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宋体" w:hAnsi="宋体"/>
          <w:color w:val="000000" w:themeColor="text1"/>
          <w:spacing w:val="42"/>
          <w:sz w:val="84"/>
          <w14:textFill>
            <w14:solidFill>
              <w14:schemeClr w14:val="tx1"/>
            </w14:solidFill>
          </w14:textFill>
        </w:rPr>
      </w:pPr>
    </w:p>
    <w:p>
      <w:pPr>
        <w:spacing w:line="360" w:lineRule="auto"/>
        <w:jc w:val="center"/>
        <w:rPr>
          <w:rFonts w:ascii="华文中宋" w:hAnsi="华文中宋" w:eastAsia="华文中宋"/>
          <w:color w:val="000000" w:themeColor="text1"/>
          <w:spacing w:val="42"/>
          <w:sz w:val="130"/>
          <w:szCs w:val="130"/>
          <w14:textFill>
            <w14:solidFill>
              <w14:schemeClr w14:val="tx1"/>
            </w14:solidFill>
          </w14:textFill>
        </w:rPr>
      </w:pPr>
      <w:r>
        <w:rPr>
          <w:rFonts w:hint="eastAsia" w:ascii="华文中宋" w:hAnsi="华文中宋" w:eastAsia="华文中宋"/>
          <w:color w:val="000000" w:themeColor="text1"/>
          <w:spacing w:val="42"/>
          <w:sz w:val="130"/>
          <w:szCs w:val="130"/>
          <w14:textFill>
            <w14:solidFill>
              <w14:schemeClr w14:val="tx1"/>
            </w14:solidFill>
          </w14:textFill>
        </w:rPr>
        <w:t>招 标 文 件</w:t>
      </w:r>
    </w:p>
    <w:p>
      <w:pPr>
        <w:spacing w:line="360" w:lineRule="auto"/>
        <w:jc w:val="center"/>
        <w:rPr>
          <w:rFonts w:ascii="宋体" w:hAnsi="宋体"/>
          <w:color w:val="000000" w:themeColor="text1"/>
          <w:sz w:val="32"/>
          <w:szCs w:val="32"/>
          <w14:textFill>
            <w14:solidFill>
              <w14:schemeClr w14:val="tx1"/>
            </w14:solidFill>
          </w14:textFill>
        </w:rPr>
      </w:pPr>
    </w:p>
    <w:p>
      <w:pPr>
        <w:spacing w:line="360" w:lineRule="auto"/>
        <w:jc w:val="center"/>
        <w:rPr>
          <w:rFonts w:ascii="宋体" w:hAnsi="宋体"/>
          <w:color w:val="000000" w:themeColor="text1"/>
          <w:sz w:val="32"/>
          <w:szCs w:val="32"/>
          <w14:textFill>
            <w14:solidFill>
              <w14:schemeClr w14:val="tx1"/>
            </w14:solidFill>
          </w14:textFill>
        </w:rPr>
      </w:pPr>
    </w:p>
    <w:p>
      <w:pPr>
        <w:spacing w:line="360" w:lineRule="auto"/>
        <w:rPr>
          <w:rFonts w:ascii="宋体" w:hAnsi="宋体"/>
          <w:color w:val="000000" w:themeColor="text1"/>
          <w14:textFill>
            <w14:solidFill>
              <w14:schemeClr w14:val="tx1"/>
            </w14:solidFill>
          </w14:textFill>
        </w:rPr>
      </w:pPr>
    </w:p>
    <w:p>
      <w:pPr>
        <w:pStyle w:val="336"/>
        <w:ind w:left="2238" w:leftChars="304" w:hanging="1600" w:hangingChars="500"/>
        <w:rPr>
          <w:rFonts w:eastAsia="仿宋_GB2312"/>
          <w:sz w:val="32"/>
          <w:szCs w:val="32"/>
        </w:rPr>
      </w:pPr>
      <w:r>
        <w:rPr>
          <w:rFonts w:hint="eastAsia" w:ascii="华文中宋" w:hAnsi="华文中宋" w:eastAsia="华文中宋"/>
          <w:color w:val="000000" w:themeColor="text1"/>
          <w:sz w:val="32"/>
          <w:szCs w:val="32"/>
          <w14:textFill>
            <w14:solidFill>
              <w14:schemeClr w14:val="tx1"/>
            </w14:solidFill>
          </w14:textFill>
        </w:rPr>
        <w:t>项目名称：成都市青羊区人民法院金融法庭信息化系统配套设备采购项目</w:t>
      </w:r>
    </w:p>
    <w:p>
      <w:pPr>
        <w:spacing w:line="360" w:lineRule="auto"/>
        <w:ind w:left="2409" w:leftChars="338" w:hanging="1699" w:hangingChars="531"/>
        <w:rPr>
          <w:rFonts w:ascii="华文中宋" w:hAnsi="华文中宋" w:eastAsia="华文中宋"/>
          <w:color w:val="000000" w:themeColor="text1"/>
          <w:sz w:val="32"/>
          <w:szCs w:val="32"/>
          <w14:textFill>
            <w14:solidFill>
              <w14:schemeClr w14:val="tx1"/>
            </w14:solidFill>
          </w14:textFill>
        </w:rPr>
      </w:pPr>
    </w:p>
    <w:p>
      <w:pPr>
        <w:spacing w:line="360" w:lineRule="auto"/>
        <w:ind w:left="2409" w:leftChars="338" w:hanging="1699" w:hangingChars="531"/>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项目编号：青羊政采（2021）A0030号</w:t>
      </w:r>
    </w:p>
    <w:p>
      <w:pPr>
        <w:spacing w:line="360" w:lineRule="auto"/>
        <w:ind w:firstLine="1280" w:firstLineChars="400"/>
        <w:rPr>
          <w:rFonts w:ascii="宋体" w:hAnsi="宋体"/>
          <w:color w:val="000000" w:themeColor="text1"/>
          <w:sz w:val="32"/>
          <w:szCs w:val="32"/>
          <w14:textFill>
            <w14:solidFill>
              <w14:schemeClr w14:val="tx1"/>
            </w14:solidFill>
          </w14:textFill>
        </w:rPr>
      </w:pPr>
    </w:p>
    <w:p>
      <w:pPr>
        <w:spacing w:line="360" w:lineRule="auto"/>
        <w:ind w:firstLine="1256" w:firstLineChars="349"/>
        <w:rPr>
          <w:rFonts w:ascii="宋体" w:hAnsi="宋体"/>
          <w:color w:val="000000" w:themeColor="text1"/>
          <w:spacing w:val="20"/>
          <w:sz w:val="32"/>
          <w:szCs w:val="32"/>
          <w14:textFill>
            <w14:solidFill>
              <w14:schemeClr w14:val="tx1"/>
            </w14:solidFill>
          </w14:textFill>
        </w:rPr>
      </w:pPr>
    </w:p>
    <w:p>
      <w:pPr>
        <w:spacing w:line="360" w:lineRule="auto"/>
        <w:rPr>
          <w:rFonts w:ascii="宋体" w:hAnsi="宋体"/>
          <w:color w:val="000000" w:themeColor="text1"/>
          <w:kern w:val="24"/>
          <w:sz w:val="32"/>
          <w:szCs w:val="32"/>
          <w14:textFill>
            <w14:solidFill>
              <w14:schemeClr w14:val="tx1"/>
            </w14:solidFill>
          </w14:textFill>
        </w:rPr>
      </w:pPr>
    </w:p>
    <w:p>
      <w:pPr>
        <w:spacing w:line="360" w:lineRule="auto"/>
        <w:rPr>
          <w:rFonts w:ascii="宋体" w:hAnsi="宋体"/>
          <w:color w:val="000000" w:themeColor="text1"/>
          <w:kern w:val="24"/>
          <w:sz w:val="32"/>
          <w:szCs w:val="32"/>
          <w14:textFill>
            <w14:solidFill>
              <w14:schemeClr w14:val="tx1"/>
            </w14:solidFill>
          </w14:textFill>
        </w:rPr>
      </w:pPr>
    </w:p>
    <w:p>
      <w:pPr>
        <w:spacing w:line="360" w:lineRule="auto"/>
        <w:jc w:val="center"/>
        <w:rPr>
          <w:rFonts w:ascii="宋体" w:hAnsi="宋体"/>
          <w:color w:val="000000" w:themeColor="text1"/>
          <w:kern w:val="24"/>
          <w:sz w:val="32"/>
          <w:szCs w:val="32"/>
          <w14:textFill>
            <w14:solidFill>
              <w14:schemeClr w14:val="tx1"/>
            </w14:solidFill>
          </w14:textFill>
        </w:rPr>
      </w:pP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成都市青羊区人民法院</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成都市成都市青羊区政府采购服务中心共同编制</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二〇二</w:t>
      </w:r>
      <w:r>
        <w:rPr>
          <w:rFonts w:hint="eastAsia" w:ascii="华文中宋" w:hAnsi="华文中宋" w:eastAsia="华文中宋"/>
          <w:color w:val="000000" w:themeColor="text1"/>
          <w:sz w:val="32"/>
          <w:szCs w:val="32"/>
          <w:lang w:val="en-US" w:eastAsia="zh-CN"/>
          <w14:textFill>
            <w14:solidFill>
              <w14:schemeClr w14:val="tx1"/>
            </w14:solidFill>
          </w14:textFill>
        </w:rPr>
        <w:t>二</w:t>
      </w:r>
      <w:r>
        <w:rPr>
          <w:rFonts w:hint="eastAsia" w:ascii="华文中宋" w:hAnsi="华文中宋" w:eastAsia="华文中宋"/>
          <w:color w:val="000000" w:themeColor="text1"/>
          <w:sz w:val="32"/>
          <w:szCs w:val="32"/>
          <w14:textFill>
            <w14:solidFill>
              <w14:schemeClr w14:val="tx1"/>
            </w14:solidFill>
          </w14:textFill>
        </w:rPr>
        <w:t>年</w:t>
      </w:r>
      <w:r>
        <w:rPr>
          <w:rFonts w:hint="eastAsia" w:ascii="华文中宋" w:hAnsi="华文中宋" w:eastAsia="华文中宋"/>
          <w:color w:val="000000" w:themeColor="text1"/>
          <w:sz w:val="32"/>
          <w:szCs w:val="32"/>
          <w:lang w:val="en-US" w:eastAsia="zh-CN"/>
          <w14:textFill>
            <w14:solidFill>
              <w14:schemeClr w14:val="tx1"/>
            </w14:solidFill>
          </w14:textFill>
        </w:rPr>
        <w:t>一</w:t>
      </w:r>
      <w:r>
        <w:rPr>
          <w:rFonts w:hint="eastAsia" w:ascii="华文中宋" w:hAnsi="华文中宋" w:eastAsia="华文中宋"/>
          <w:color w:val="000000" w:themeColor="text1"/>
          <w:sz w:val="32"/>
          <w:szCs w:val="32"/>
          <w14:textFill>
            <w14:solidFill>
              <w14:schemeClr w14:val="tx1"/>
            </w14:solidFill>
          </w14:textFill>
        </w:rPr>
        <w:t>月</w:t>
      </w:r>
      <w:r>
        <w:rPr>
          <w:rFonts w:hint="eastAsia" w:ascii="华文中宋" w:hAnsi="华文中宋" w:eastAsia="华文中宋"/>
          <w:color w:val="000000" w:themeColor="text1"/>
          <w:sz w:val="32"/>
          <w:szCs w:val="32"/>
          <w:lang w:val="en-US" w:eastAsia="zh-CN"/>
          <w14:textFill>
            <w14:solidFill>
              <w14:schemeClr w14:val="tx1"/>
            </w14:solidFill>
          </w14:textFill>
        </w:rPr>
        <w:t>十七</w:t>
      </w:r>
      <w:r>
        <w:rPr>
          <w:rFonts w:hint="eastAsia" w:ascii="华文中宋" w:hAnsi="华文中宋" w:eastAsia="华文中宋"/>
          <w:color w:val="000000" w:themeColor="text1"/>
          <w:sz w:val="32"/>
          <w:szCs w:val="32"/>
          <w14:textFill>
            <w14:solidFill>
              <w14:schemeClr w14:val="tx1"/>
            </w14:solidFill>
          </w14:textFill>
        </w:rPr>
        <w:t>日</w:t>
      </w:r>
    </w:p>
    <w:p>
      <w:pPr>
        <w:spacing w:line="360" w:lineRule="auto"/>
        <w:jc w:val="center"/>
        <w:rPr>
          <w:rFonts w:ascii="宋体" w:hAnsi="宋体"/>
          <w:b/>
          <w:color w:val="000000" w:themeColor="text1"/>
          <w:sz w:val="36"/>
          <w14:textFill>
            <w14:solidFill>
              <w14:schemeClr w14:val="tx1"/>
            </w14:solidFill>
          </w14:textFill>
        </w:rPr>
      </w:pPr>
      <w:bookmarkStart w:id="0" w:name="_Toc101328520"/>
      <w:bookmarkStart w:id="1" w:name="_Toc101234248"/>
      <w:bookmarkStart w:id="2" w:name="_Toc148505181"/>
      <w:bookmarkStart w:id="3" w:name="_Toc101247312"/>
      <w:r>
        <w:rPr>
          <w:rFonts w:hint="eastAsia" w:ascii="宋体" w:hAnsi="宋体"/>
          <w:b/>
          <w:color w:val="000000" w:themeColor="text1"/>
          <w:sz w:val="32"/>
          <w:szCs w:val="32"/>
          <w14:textFill>
            <w14:solidFill>
              <w14:schemeClr w14:val="tx1"/>
            </w14:solidFill>
          </w14:textFill>
        </w:rPr>
        <w:t>目 录</w:t>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ascii="宋体" w:hAnsi="宋体"/>
          <w:smallCaps/>
          <w:color w:val="000000" w:themeColor="text1"/>
          <w14:textFill>
            <w14:solidFill>
              <w14:schemeClr w14:val="tx1"/>
            </w14:solidFill>
          </w14:textFill>
        </w:rPr>
        <w:instrText xml:space="preserve"> TOC \o "1-2" \h \z \u </w:instrText>
      </w:r>
      <w:r>
        <w:rPr>
          <w:rFonts w:hint="eastAsia"/>
          <w:color w:val="000000" w:themeColor="text1"/>
          <w14:textFill>
            <w14:solidFill>
              <w14:schemeClr w14:val="tx1"/>
            </w14:solidFill>
          </w14:textFill>
        </w:rPr>
        <w:fldChar w:fldCharType="separate"/>
      </w:r>
      <w:r>
        <w:fldChar w:fldCharType="begin"/>
      </w:r>
      <w:r>
        <w:instrText xml:space="preserve"> HYPERLINK \l "_Toc76541344"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第1章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投标邀请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"_Toc76541345"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第2章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投标人须知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"_Toc76541346" </w:instrText>
      </w:r>
      <w:r>
        <w:fldChar w:fldCharType="separate"/>
      </w:r>
      <w:r>
        <w:rPr>
          <w:rStyle w:val="47"/>
          <w:rFonts w:ascii="Times New Roman" w:hAnsi="Times New Roman"/>
          <w:bCs/>
          <w:color w:val="000000" w:themeColor="text1"/>
          <w14:textFill>
            <w14:solidFill>
              <w14:schemeClr w14:val="tx1"/>
            </w14:solidFill>
          </w14:textFill>
        </w:rPr>
        <w:t>2.1</w:t>
      </w:r>
      <w:r>
        <w:rPr>
          <w:rStyle w:val="47"/>
          <w:rFonts w:hint="eastAsia" w:ascii="宋体" w:hAnsi="宋体"/>
          <w:bCs/>
          <w:color w:val="000000" w:themeColor="text1"/>
          <w14:textFill>
            <w14:solidFill>
              <w14:schemeClr w14:val="tx1"/>
            </w14:solidFill>
          </w14:textFill>
        </w:rPr>
        <w:t xml:space="preserve"> 投标人须知前附表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"_Toc76541347" </w:instrText>
      </w:r>
      <w:r>
        <w:fldChar w:fldCharType="separate"/>
      </w:r>
      <w:r>
        <w:rPr>
          <w:rStyle w:val="47"/>
          <w:rFonts w:ascii="Times New Roman" w:hAnsi="Times New Roman"/>
          <w:bCs/>
          <w:color w:val="000000" w:themeColor="text1"/>
          <w14:textFill>
            <w14:solidFill>
              <w14:schemeClr w14:val="tx1"/>
            </w14:solidFill>
          </w14:textFill>
        </w:rPr>
        <w:t>2.2</w:t>
      </w:r>
      <w:r>
        <w:rPr>
          <w:rStyle w:val="47"/>
          <w:rFonts w:hint="eastAsia" w:ascii="宋体" w:hAnsi="宋体"/>
          <w:bCs/>
          <w:color w:val="000000" w:themeColor="text1"/>
          <w14:textFill>
            <w14:solidFill>
              <w14:schemeClr w14:val="tx1"/>
            </w14:solidFill>
          </w14:textFill>
        </w:rPr>
        <w:t xml:space="preserve">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"_Toc76541348" </w:instrText>
      </w:r>
      <w:r>
        <w:fldChar w:fldCharType="separate"/>
      </w:r>
      <w:r>
        <w:rPr>
          <w:rStyle w:val="47"/>
          <w:rFonts w:ascii="Times New Roman" w:hAnsi="Times New Roman"/>
          <w:bCs/>
          <w:color w:val="000000" w:themeColor="text1"/>
          <w14:textFill>
            <w14:solidFill>
              <w14:schemeClr w14:val="tx1"/>
            </w14:solidFill>
          </w14:textFill>
        </w:rPr>
        <w:t>2.3</w:t>
      </w:r>
      <w:r>
        <w:rPr>
          <w:rStyle w:val="47"/>
          <w:rFonts w:hint="eastAsia" w:ascii="宋体" w:hAnsi="宋体"/>
          <w:bCs/>
          <w:color w:val="000000" w:themeColor="text1"/>
          <w14:textFill>
            <w14:solidFill>
              <w14:schemeClr w14:val="tx1"/>
            </w14:solidFill>
          </w14:textFill>
        </w:rPr>
        <w:t xml:space="preserve"> 招标文件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"_Toc76541349" </w:instrText>
      </w:r>
      <w:r>
        <w:fldChar w:fldCharType="separate"/>
      </w:r>
      <w:r>
        <w:rPr>
          <w:rStyle w:val="47"/>
          <w:rFonts w:ascii="Times New Roman" w:hAnsi="Times New Roman"/>
          <w:bCs/>
          <w:color w:val="000000" w:themeColor="text1"/>
          <w14:textFill>
            <w14:solidFill>
              <w14:schemeClr w14:val="tx1"/>
            </w14:solidFill>
          </w14:textFill>
        </w:rPr>
        <w:t>2.4</w:t>
      </w:r>
      <w:r>
        <w:rPr>
          <w:rStyle w:val="47"/>
          <w:rFonts w:hint="eastAsia" w:ascii="宋体" w:hAnsi="宋体"/>
          <w:bCs/>
          <w:color w:val="000000" w:themeColor="text1"/>
          <w14:textFill>
            <w14:solidFill>
              <w14:schemeClr w14:val="tx1"/>
            </w14:solidFill>
          </w14:textFill>
        </w:rPr>
        <w:t xml:space="preserve"> 投标文件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"_Toc76541350" </w:instrText>
      </w:r>
      <w:r>
        <w:fldChar w:fldCharType="separate"/>
      </w:r>
      <w:r>
        <w:rPr>
          <w:rStyle w:val="47"/>
          <w:rFonts w:ascii="Times New Roman" w:hAnsi="Times New Roman"/>
          <w:bCs/>
          <w:color w:val="000000" w:themeColor="text1"/>
          <w14:textFill>
            <w14:solidFill>
              <w14:schemeClr w14:val="tx1"/>
            </w14:solidFill>
          </w14:textFill>
        </w:rPr>
        <w:t>2.5</w:t>
      </w:r>
      <w:r>
        <w:rPr>
          <w:rStyle w:val="47"/>
          <w:rFonts w:hint="eastAsia" w:ascii="宋体" w:hAnsi="宋体"/>
          <w:bCs/>
          <w:color w:val="000000" w:themeColor="text1"/>
          <w14:textFill>
            <w14:solidFill>
              <w14:schemeClr w14:val="tx1"/>
            </w14:solidFill>
          </w14:textFill>
        </w:rPr>
        <w:t xml:space="preserve"> 开标、资格审查、评标和中标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"_Toc76541351" </w:instrText>
      </w:r>
      <w:r>
        <w:fldChar w:fldCharType="separate"/>
      </w:r>
      <w:r>
        <w:rPr>
          <w:rStyle w:val="47"/>
          <w:rFonts w:ascii="Times New Roman" w:hAnsi="Times New Roman"/>
          <w:bCs/>
          <w:color w:val="000000" w:themeColor="text1"/>
          <w14:textFill>
            <w14:solidFill>
              <w14:schemeClr w14:val="tx1"/>
            </w14:solidFill>
          </w14:textFill>
        </w:rPr>
        <w:t>2.6</w:t>
      </w:r>
      <w:r>
        <w:rPr>
          <w:rStyle w:val="47"/>
          <w:rFonts w:hint="eastAsia" w:ascii="宋体" w:hAnsi="宋体"/>
          <w:bCs/>
          <w:color w:val="000000" w:themeColor="text1"/>
          <w14:textFill>
            <w14:solidFill>
              <w14:schemeClr w14:val="tx1"/>
            </w14:solidFill>
          </w14:textFill>
        </w:rPr>
        <w:t xml:space="preserve"> 签订及履行合同和验收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"_Toc76541352" </w:instrText>
      </w:r>
      <w:r>
        <w:fldChar w:fldCharType="separate"/>
      </w:r>
      <w:r>
        <w:rPr>
          <w:rStyle w:val="47"/>
          <w:rFonts w:ascii="Times New Roman" w:hAnsi="Times New Roman"/>
          <w:bCs/>
          <w:color w:val="000000" w:themeColor="text1"/>
          <w14:textFill>
            <w14:solidFill>
              <w14:schemeClr w14:val="tx1"/>
            </w14:solidFill>
          </w14:textFill>
        </w:rPr>
        <w:t>2.7</w:t>
      </w:r>
      <w:r>
        <w:rPr>
          <w:rStyle w:val="47"/>
          <w:rFonts w:hint="eastAsia" w:ascii="宋体" w:hAnsi="宋体"/>
          <w:bCs/>
          <w:color w:val="000000" w:themeColor="text1"/>
          <w14:textFill>
            <w14:solidFill>
              <w14:schemeClr w14:val="tx1"/>
            </w14:solidFill>
          </w14:textFill>
        </w:rPr>
        <w:t xml:space="preserve"> 投标纪律要求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"_Toc76541353" </w:instrText>
      </w:r>
      <w:r>
        <w:fldChar w:fldCharType="separate"/>
      </w:r>
      <w:r>
        <w:rPr>
          <w:rStyle w:val="47"/>
          <w:rFonts w:ascii="Times New Roman" w:hAnsi="Times New Roman"/>
          <w:bCs/>
          <w:color w:val="000000" w:themeColor="text1"/>
          <w14:textFill>
            <w14:solidFill>
              <w14:schemeClr w14:val="tx1"/>
            </w14:solidFill>
          </w14:textFill>
        </w:rPr>
        <w:t>2.8</w:t>
      </w:r>
      <w:r>
        <w:rPr>
          <w:rStyle w:val="47"/>
          <w:rFonts w:hint="eastAsia" w:ascii="宋体" w:hAnsi="宋体"/>
          <w:bCs/>
          <w:color w:val="000000" w:themeColor="text1"/>
          <w14:textFill>
            <w14:solidFill>
              <w14:schemeClr w14:val="tx1"/>
            </w14:solidFill>
          </w14:textFill>
        </w:rPr>
        <w:t xml:space="preserve"> 询问、质疑和投诉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"_Toc76541354" </w:instrText>
      </w:r>
      <w:r>
        <w:fldChar w:fldCharType="separate"/>
      </w:r>
      <w:r>
        <w:rPr>
          <w:rStyle w:val="47"/>
          <w:rFonts w:ascii="Times New Roman" w:hAnsi="Times New Roman"/>
          <w:bCs/>
          <w:color w:val="000000" w:themeColor="text1"/>
          <w14:textFill>
            <w14:solidFill>
              <w14:schemeClr w14:val="tx1"/>
            </w14:solidFill>
          </w14:textFill>
        </w:rPr>
        <w:t>2.9</w:t>
      </w:r>
      <w:r>
        <w:rPr>
          <w:rStyle w:val="47"/>
          <w:rFonts w:hint="eastAsia" w:ascii="宋体" w:hAnsi="宋体"/>
          <w:bCs/>
          <w:color w:val="000000" w:themeColor="text1"/>
          <w14:textFill>
            <w14:solidFill>
              <w14:schemeClr w14:val="tx1"/>
            </w14:solidFill>
          </w14:textFill>
        </w:rPr>
        <w:t xml:space="preserve"> 中小企业政府采购信用融资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"_Toc76541355"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第3章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投标文件格式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"_Toc76541356" </w:instrText>
      </w:r>
      <w:r>
        <w:fldChar w:fldCharType="separate"/>
      </w:r>
      <w:r>
        <w:rPr>
          <w:rStyle w:val="47"/>
          <w:rFonts w:ascii="Times New Roman" w:hAnsi="Times New Roman"/>
          <w:bCs/>
          <w:color w:val="000000" w:themeColor="text1"/>
          <w14:textFill>
            <w14:solidFill>
              <w14:schemeClr w14:val="tx1"/>
            </w14:solidFill>
          </w14:textFill>
        </w:rPr>
        <w:t>3.1</w:t>
      </w:r>
      <w:r>
        <w:rPr>
          <w:rStyle w:val="47"/>
          <w:rFonts w:hint="eastAsia" w:ascii="宋体" w:hAnsi="宋体"/>
          <w:bCs/>
          <w:color w:val="000000" w:themeColor="text1"/>
          <w14:textFill>
            <w14:solidFill>
              <w14:schemeClr w14:val="tx1"/>
            </w14:solidFill>
          </w14:textFill>
        </w:rPr>
        <w:t xml:space="preserve"> 投标文件封面格式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"_Toc76541357" </w:instrText>
      </w:r>
      <w:r>
        <w:fldChar w:fldCharType="separate"/>
      </w:r>
      <w:r>
        <w:rPr>
          <w:rStyle w:val="47"/>
          <w:rFonts w:ascii="Times New Roman" w:hAnsi="Times New Roman"/>
          <w:bCs/>
          <w:color w:val="000000" w:themeColor="text1"/>
          <w14:textFill>
            <w14:solidFill>
              <w14:schemeClr w14:val="tx1"/>
            </w14:solidFill>
          </w14:textFill>
        </w:rPr>
        <w:t>3.2</w:t>
      </w:r>
      <w:r>
        <w:rPr>
          <w:rStyle w:val="47"/>
          <w:rFonts w:hint="eastAsia" w:ascii="宋体" w:hAnsi="宋体"/>
          <w:bCs/>
          <w:color w:val="000000" w:themeColor="text1"/>
          <w14:textFill>
            <w14:solidFill>
              <w14:schemeClr w14:val="tx1"/>
            </w14:solidFill>
          </w14:textFill>
        </w:rPr>
        <w:t xml:space="preserve"> 资格响应文件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"_Toc76541358" </w:instrText>
      </w:r>
      <w:r>
        <w:fldChar w:fldCharType="separate"/>
      </w:r>
      <w:r>
        <w:rPr>
          <w:rStyle w:val="47"/>
          <w:rFonts w:ascii="Times New Roman" w:hAnsi="Times New Roman"/>
          <w:bCs/>
          <w:color w:val="000000" w:themeColor="text1"/>
          <w14:textFill>
            <w14:solidFill>
              <w14:schemeClr w14:val="tx1"/>
            </w14:solidFill>
          </w14:textFill>
        </w:rPr>
        <w:t>3.3</w:t>
      </w:r>
      <w:r>
        <w:rPr>
          <w:rStyle w:val="47"/>
          <w:rFonts w:hint="eastAsia" w:ascii="宋体" w:hAnsi="宋体"/>
          <w:bCs/>
          <w:color w:val="000000" w:themeColor="text1"/>
          <w14:textFill>
            <w14:solidFill>
              <w14:schemeClr w14:val="tx1"/>
            </w14:solidFill>
          </w14:textFill>
        </w:rPr>
        <w:t xml:space="preserve"> 商务技术响应文件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"_Toc76541359" </w:instrText>
      </w:r>
      <w:r>
        <w:fldChar w:fldCharType="separate"/>
      </w:r>
      <w:r>
        <w:rPr>
          <w:rStyle w:val="47"/>
          <w:rFonts w:ascii="Times New Roman" w:hAnsi="Times New Roman"/>
          <w:color w:val="000000" w:themeColor="text1"/>
          <w14:textFill>
            <w14:solidFill>
              <w14:schemeClr w14:val="tx1"/>
            </w14:solidFill>
          </w14:textFill>
        </w:rPr>
        <w:t>3.4</w:t>
      </w:r>
      <w:r>
        <w:rPr>
          <w:rStyle w:val="47"/>
          <w:rFonts w:hint="eastAsia" w:ascii="宋体" w:hAnsi="宋体"/>
          <w:color w:val="000000" w:themeColor="text1"/>
          <w14:textFill>
            <w14:solidFill>
              <w14:schemeClr w14:val="tx1"/>
            </w14:solidFill>
          </w14:textFill>
        </w:rPr>
        <w:t xml:space="preserve"> 报价</w:t>
      </w:r>
      <w:r>
        <w:rPr>
          <w:rStyle w:val="47"/>
          <w:rFonts w:hint="eastAsia" w:ascii="宋体" w:hAnsi="宋体"/>
          <w:bCs/>
          <w:color w:val="000000" w:themeColor="text1"/>
          <w14:textFill>
            <w14:solidFill>
              <w14:schemeClr w14:val="tx1"/>
            </w14:solidFill>
          </w14:textFill>
        </w:rPr>
        <w:t>要求</w:t>
      </w:r>
      <w:r>
        <w:rPr>
          <w:rStyle w:val="47"/>
          <w:rFonts w:hint="eastAsia" w:ascii="宋体" w:hAnsi="宋体"/>
          <w:color w:val="000000" w:themeColor="text1"/>
          <w14:textFill>
            <w14:solidFill>
              <w14:schemeClr w14:val="tx1"/>
            </w14:solidFill>
          </w14:textFill>
        </w:rPr>
        <w:t>响应文件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"_Toc76541360"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第4章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招标项目技术、服务、商务及其他要求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"_Toc76541361" </w:instrText>
      </w:r>
      <w:r>
        <w:fldChar w:fldCharType="separate"/>
      </w:r>
      <w:r>
        <w:rPr>
          <w:rStyle w:val="47"/>
          <w:rFonts w:ascii="Times New Roman" w:hAnsi="Times New Roman"/>
          <w:color w:val="000000" w:themeColor="text1"/>
          <w14:textFill>
            <w14:solidFill>
              <w14:schemeClr w14:val="tx1"/>
            </w14:solidFill>
          </w14:textFill>
        </w:rPr>
        <w:t>4.1</w:t>
      </w:r>
      <w:r>
        <w:rPr>
          <w:rStyle w:val="47"/>
          <w:rFonts w:hint="eastAsia"/>
          <w:color w:val="000000" w:themeColor="text1"/>
          <w14:textFill>
            <w14:solidFill>
              <w14:schemeClr w14:val="tx1"/>
            </w14:solidFill>
          </w14:textFill>
        </w:rPr>
        <w:t xml:space="preserve"> 采购内容</w:t>
      </w:r>
      <w:r>
        <w:rPr>
          <w:rStyle w:val="47"/>
          <w:rFonts w:hint="eastAsia"/>
          <w:color w:val="000000" w:themeColor="text1"/>
          <w14:textFill>
            <w14:solidFill>
              <w14:schemeClr w14:val="tx1"/>
            </w14:solidFill>
          </w14:textFill>
        </w:rPr>
        <w:fldChar w:fldCharType="end"/>
      </w:r>
      <w:r>
        <w:rPr>
          <w:color w:val="000000" w:themeColor="text1"/>
          <w14:textFill>
            <w14:solidFill>
              <w14:schemeClr w14:val="tx1"/>
            </w14:solidFill>
          </w14:textFill>
        </w:rPr>
        <w:t>…………………………………………………………………………………………46</w:t>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"_Toc76541362" </w:instrText>
      </w:r>
      <w:r>
        <w:fldChar w:fldCharType="separate"/>
      </w:r>
      <w:r>
        <w:rPr>
          <w:rStyle w:val="47"/>
          <w:rFonts w:ascii="Times New Roman" w:hAnsi="Times New Roman"/>
          <w:color w:val="000000" w:themeColor="text1"/>
          <w14:textFill>
            <w14:solidFill>
              <w14:schemeClr w14:val="tx1"/>
            </w14:solidFill>
          </w14:textFill>
        </w:rPr>
        <w:t>4.2</w:t>
      </w:r>
      <w:r>
        <w:rPr>
          <w:rStyle w:val="47"/>
          <w:rFonts w:hint="eastAsia"/>
          <w:color w:val="000000" w:themeColor="text1"/>
          <w14:textFill>
            <w14:solidFill>
              <w14:schemeClr w14:val="tx1"/>
            </w14:solidFill>
          </w14:textFill>
        </w:rPr>
        <w:t xml:space="preserve"> 技术参数及要求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"_Toc76541363" </w:instrText>
      </w:r>
      <w:r>
        <w:fldChar w:fldCharType="separate"/>
      </w:r>
      <w:r>
        <w:rPr>
          <w:rStyle w:val="47"/>
          <w:rFonts w:ascii="Times New Roman" w:hAnsi="Times New Roman"/>
          <w:color w:val="000000" w:themeColor="text1"/>
          <w14:textFill>
            <w14:solidFill>
              <w14:schemeClr w14:val="tx1"/>
            </w14:solidFill>
          </w14:textFill>
        </w:rPr>
        <w:t>4.3</w:t>
      </w:r>
      <w:r>
        <w:rPr>
          <w:rStyle w:val="47"/>
          <w:rFonts w:hint="eastAsia"/>
          <w:color w:val="000000" w:themeColor="text1"/>
          <w14:textFill>
            <w14:solidFill>
              <w14:schemeClr w14:val="tx1"/>
            </w14:solidFill>
          </w14:textFill>
        </w:rPr>
        <w:t xml:space="preserve"> 商务要求</w:t>
      </w:r>
      <w:r>
        <w:rPr>
          <w:color w:val="000000" w:themeColor="text1"/>
          <w14:textFill>
            <w14:solidFill>
              <w14:schemeClr w14:val="tx1"/>
            </w14:solidFill>
          </w14:textFill>
        </w:rPr>
        <w:tab/>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"_Toc76541364" </w:instrText>
      </w:r>
      <w:r>
        <w:fldChar w:fldCharType="separate"/>
      </w:r>
      <w:r>
        <w:rPr>
          <w:rStyle w:val="47"/>
          <w:rFonts w:ascii="Times New Roman" w:hAnsi="Times New Roman"/>
          <w:color w:val="000000" w:themeColor="text1"/>
          <w14:textFill>
            <w14:solidFill>
              <w14:schemeClr w14:val="tx1"/>
            </w14:solidFill>
          </w14:textFill>
        </w:rPr>
        <w:t>4.4</w:t>
      </w:r>
      <w:r>
        <w:rPr>
          <w:rStyle w:val="47"/>
          <w:rFonts w:hint="eastAsia"/>
          <w:color w:val="000000" w:themeColor="text1"/>
          <w14:textFill>
            <w14:solidFill>
              <w14:schemeClr w14:val="tx1"/>
            </w14:solidFill>
          </w14:textFill>
        </w:rPr>
        <w:t xml:space="preserve"> 其他要求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"_Toc76541365"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第5章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资格性审查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"_Toc76541366"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第6章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评标办法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"_Toc76541367" </w:instrText>
      </w:r>
      <w:r>
        <w:fldChar w:fldCharType="separate"/>
      </w:r>
      <w:r>
        <w:rPr>
          <w:rStyle w:val="47"/>
          <w:rFonts w:ascii="Times New Roman" w:hAnsi="Times New Roman"/>
          <w:bCs/>
          <w:color w:val="000000" w:themeColor="text1"/>
          <w14:textFill>
            <w14:solidFill>
              <w14:schemeClr w14:val="tx1"/>
            </w14:solidFill>
          </w14:textFill>
        </w:rPr>
        <w:t>6.1</w:t>
      </w:r>
      <w:r>
        <w:rPr>
          <w:rStyle w:val="47"/>
          <w:rFonts w:hint="eastAsia" w:ascii="宋体" w:hAnsi="宋体"/>
          <w:bCs/>
          <w:color w:val="000000" w:themeColor="text1"/>
          <w14:textFill>
            <w14:solidFill>
              <w14:schemeClr w14:val="tx1"/>
            </w14:solidFill>
          </w14:textFill>
        </w:rPr>
        <w:t xml:space="preserve">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"_Toc76541368" </w:instrText>
      </w:r>
      <w:r>
        <w:fldChar w:fldCharType="separate"/>
      </w:r>
      <w:r>
        <w:rPr>
          <w:rStyle w:val="47"/>
          <w:rFonts w:ascii="Times New Roman" w:hAnsi="Times New Roman"/>
          <w:bCs/>
          <w:color w:val="000000" w:themeColor="text1"/>
          <w14:textFill>
            <w14:solidFill>
              <w14:schemeClr w14:val="tx1"/>
            </w14:solidFill>
          </w14:textFill>
        </w:rPr>
        <w:t>6.2</w:t>
      </w:r>
      <w:r>
        <w:rPr>
          <w:rStyle w:val="47"/>
          <w:rFonts w:hint="eastAsia" w:ascii="宋体" w:hAnsi="宋体"/>
          <w:bCs/>
          <w:color w:val="000000" w:themeColor="text1"/>
          <w14:textFill>
            <w14:solidFill>
              <w14:schemeClr w14:val="tx1"/>
            </w14:solidFill>
          </w14:textFill>
        </w:rPr>
        <w:t xml:space="preserve"> 评标方法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"_Toc76541369" </w:instrText>
      </w:r>
      <w:r>
        <w:fldChar w:fldCharType="separate"/>
      </w:r>
      <w:r>
        <w:rPr>
          <w:rStyle w:val="47"/>
          <w:rFonts w:ascii="Times New Roman" w:hAnsi="Times New Roman"/>
          <w:bCs/>
          <w:color w:val="000000" w:themeColor="text1"/>
          <w14:textFill>
            <w14:solidFill>
              <w14:schemeClr w14:val="tx1"/>
            </w14:solidFill>
          </w14:textFill>
        </w:rPr>
        <w:t>6.3</w:t>
      </w:r>
      <w:r>
        <w:rPr>
          <w:rStyle w:val="47"/>
          <w:rFonts w:hint="eastAsia" w:ascii="宋体" w:hAnsi="宋体"/>
          <w:bCs/>
          <w:color w:val="000000" w:themeColor="text1"/>
          <w14:textFill>
            <w14:solidFill>
              <w14:schemeClr w14:val="tx1"/>
            </w14:solidFill>
          </w14:textFill>
        </w:rPr>
        <w:t xml:space="preserve"> 评标程序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"_Toc76541370" </w:instrText>
      </w:r>
      <w:r>
        <w:fldChar w:fldCharType="separate"/>
      </w:r>
      <w:r>
        <w:rPr>
          <w:rStyle w:val="47"/>
          <w:rFonts w:ascii="Times New Roman" w:hAnsi="Times New Roman"/>
          <w:bCs/>
          <w:color w:val="000000" w:themeColor="text1"/>
          <w14:textFill>
            <w14:solidFill>
              <w14:schemeClr w14:val="tx1"/>
            </w14:solidFill>
          </w14:textFill>
        </w:rPr>
        <w:t>6.4</w:t>
      </w:r>
      <w:r>
        <w:rPr>
          <w:rStyle w:val="47"/>
          <w:rFonts w:hint="eastAsia" w:ascii="宋体" w:hAnsi="宋体"/>
          <w:bCs/>
          <w:color w:val="000000" w:themeColor="text1"/>
          <w14:textFill>
            <w14:solidFill>
              <w14:schemeClr w14:val="tx1"/>
            </w14:solidFill>
          </w14:textFill>
        </w:rPr>
        <w:t xml:space="preserve"> 评标争议处理规则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"_Toc76541371" </w:instrText>
      </w:r>
      <w:r>
        <w:fldChar w:fldCharType="separate"/>
      </w:r>
      <w:r>
        <w:rPr>
          <w:rStyle w:val="47"/>
          <w:rFonts w:ascii="Times New Roman" w:hAnsi="Times New Roman"/>
          <w:bCs/>
          <w:color w:val="000000" w:themeColor="text1"/>
          <w14:textFill>
            <w14:solidFill>
              <w14:schemeClr w14:val="tx1"/>
            </w14:solidFill>
          </w14:textFill>
        </w:rPr>
        <w:t>6.5</w:t>
      </w:r>
      <w:r>
        <w:rPr>
          <w:rStyle w:val="47"/>
          <w:rFonts w:hint="eastAsia" w:ascii="宋体" w:hAnsi="宋体"/>
          <w:bCs/>
          <w:color w:val="000000" w:themeColor="text1"/>
          <w14:textFill>
            <w14:solidFill>
              <w14:schemeClr w14:val="tx1"/>
            </w14:solidFill>
          </w14:textFill>
        </w:rPr>
        <w:t xml:space="preserve"> 评标细则及标准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"_Toc76541372" </w:instrText>
      </w:r>
      <w:r>
        <w:fldChar w:fldCharType="separate"/>
      </w:r>
      <w:r>
        <w:rPr>
          <w:rStyle w:val="47"/>
          <w:rFonts w:ascii="Times New Roman" w:hAnsi="Times New Roman"/>
          <w:bCs/>
          <w:color w:val="000000" w:themeColor="text1"/>
          <w14:textFill>
            <w14:solidFill>
              <w14:schemeClr w14:val="tx1"/>
            </w14:solidFill>
          </w14:textFill>
        </w:rPr>
        <w:t>6.6</w:t>
      </w:r>
      <w:r>
        <w:rPr>
          <w:rStyle w:val="47"/>
          <w:rFonts w:hint="eastAsia" w:ascii="宋体" w:hAnsi="宋体"/>
          <w:bCs/>
          <w:color w:val="000000" w:themeColor="text1"/>
          <w14:textFill>
            <w14:solidFill>
              <w14:schemeClr w14:val="tx1"/>
            </w14:solidFill>
          </w14:textFill>
        </w:rPr>
        <w:t xml:space="preserve"> 废标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"_Toc76541373" </w:instrText>
      </w:r>
      <w:r>
        <w:fldChar w:fldCharType="separate"/>
      </w:r>
      <w:r>
        <w:rPr>
          <w:rStyle w:val="47"/>
          <w:rFonts w:ascii="Times New Roman" w:hAnsi="Times New Roman"/>
          <w:bCs/>
          <w:color w:val="000000" w:themeColor="text1"/>
          <w14:textFill>
            <w14:solidFill>
              <w14:schemeClr w14:val="tx1"/>
            </w14:solidFill>
          </w14:textFill>
        </w:rPr>
        <w:t>6.7</w:t>
      </w:r>
      <w:r>
        <w:rPr>
          <w:rStyle w:val="47"/>
          <w:rFonts w:hint="eastAsia" w:ascii="宋体" w:hAnsi="宋体"/>
          <w:bCs/>
          <w:color w:val="000000" w:themeColor="text1"/>
          <w14:textFill>
            <w14:solidFill>
              <w14:schemeClr w14:val="tx1"/>
            </w14:solidFill>
          </w14:textFill>
        </w:rPr>
        <w:t xml:space="preserve"> 定标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"_Toc76541374" </w:instrText>
      </w:r>
      <w:r>
        <w:fldChar w:fldCharType="separate"/>
      </w:r>
      <w:r>
        <w:rPr>
          <w:rStyle w:val="47"/>
          <w:rFonts w:ascii="Times New Roman" w:hAnsi="Times New Roman"/>
          <w:bCs/>
          <w:color w:val="000000" w:themeColor="text1"/>
          <w14:textFill>
            <w14:solidFill>
              <w14:schemeClr w14:val="tx1"/>
            </w14:solidFill>
          </w14:textFill>
        </w:rPr>
        <w:t>6.8</w:t>
      </w:r>
      <w:r>
        <w:rPr>
          <w:rStyle w:val="47"/>
          <w:rFonts w:hint="eastAsia" w:ascii="宋体" w:hAnsi="宋体"/>
          <w:bCs/>
          <w:color w:val="000000" w:themeColor="text1"/>
          <w14:textFill>
            <w14:solidFill>
              <w14:schemeClr w14:val="tx1"/>
            </w14:solidFill>
          </w14:textFill>
        </w:rPr>
        <w:t xml:space="preserve"> 评标专家在政府采购活动中承担以下义务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"_Toc76541375" </w:instrText>
      </w:r>
      <w:r>
        <w:fldChar w:fldCharType="separate"/>
      </w:r>
      <w:r>
        <w:rPr>
          <w:rStyle w:val="47"/>
          <w:rFonts w:ascii="Times New Roman" w:hAnsi="Times New Roman"/>
          <w:bCs/>
          <w:color w:val="000000" w:themeColor="text1"/>
          <w14:textFill>
            <w14:solidFill>
              <w14:schemeClr w14:val="tx1"/>
            </w14:solidFill>
          </w14:textFill>
        </w:rPr>
        <w:t>6.9</w:t>
      </w:r>
      <w:r>
        <w:rPr>
          <w:rStyle w:val="47"/>
          <w:rFonts w:hint="eastAsia" w:ascii="宋体" w:hAnsi="宋体"/>
          <w:bCs/>
          <w:color w:val="000000" w:themeColor="text1"/>
          <w14:textFill>
            <w14:solidFill>
              <w14:schemeClr w14:val="tx1"/>
            </w14:solidFill>
          </w14:textFill>
        </w:rPr>
        <w:t xml:space="preserve"> 评标委员会及其成员不得有下列行为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"_Toc76541376" </w:instrText>
      </w:r>
      <w:r>
        <w:fldChar w:fldCharType="separate"/>
      </w:r>
      <w:r>
        <w:rPr>
          <w:rStyle w:val="47"/>
          <w:rFonts w:ascii="Times New Roman" w:hAnsi="Times New Roman"/>
          <w:bCs/>
          <w:color w:val="000000" w:themeColor="text1"/>
          <w14:textFill>
            <w14:solidFill>
              <w14:schemeClr w14:val="tx1"/>
            </w14:solidFill>
          </w14:textFill>
        </w:rPr>
        <w:t>6.10</w:t>
      </w:r>
      <w:r>
        <w:rPr>
          <w:rStyle w:val="47"/>
          <w:rFonts w:hint="eastAsia" w:ascii="宋体" w:hAnsi="宋体"/>
          <w:bCs/>
          <w:color w:val="000000" w:themeColor="text1"/>
          <w14:textFill>
            <w14:solidFill>
              <w14:schemeClr w14:val="tx1"/>
            </w14:solidFill>
          </w14:textFill>
        </w:rPr>
        <w:t xml:space="preserve"> 评审专家在政府采购活动中应当遵守以下工作纪律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"_Toc76541377"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第7章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拟签订的合同文本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tabs>
          <w:tab w:val="left" w:pos="620"/>
          <w:tab w:val="right" w:leader="dot" w:pos="8364"/>
        </w:tabs>
        <w:ind w:left="18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end"/>
      </w:r>
    </w:p>
    <w:p>
      <w:pPr>
        <w:pStyle w:val="50"/>
      </w:pPr>
    </w:p>
    <w:p>
      <w:pPr>
        <w:keepNext/>
        <w:keepLines/>
        <w:numPr>
          <w:ilvl w:val="0"/>
          <w:numId w:val="1"/>
        </w:numPr>
        <w:spacing w:before="340" w:after="330" w:line="400" w:lineRule="exact"/>
        <w:jc w:val="center"/>
        <w:outlineLvl w:val="0"/>
        <w:rPr>
          <w:rFonts w:ascii="宋体" w:hAnsi="宋体"/>
          <w:b/>
          <w:bCs/>
          <w:color w:val="000000" w:themeColor="text1"/>
          <w:spacing w:val="-20"/>
          <w:kern w:val="44"/>
          <w:sz w:val="32"/>
          <w:szCs w:val="32"/>
          <w14:textFill>
            <w14:solidFill>
              <w14:schemeClr w14:val="tx1"/>
            </w14:solidFill>
          </w14:textFill>
        </w:rPr>
      </w:pPr>
      <w:bookmarkStart w:id="4" w:name="_Toc181610856"/>
      <w:bookmarkStart w:id="5" w:name="_Toc76541344"/>
      <w:bookmarkStart w:id="6" w:name="_Toc204575871"/>
      <w:bookmarkStart w:id="7" w:name="_Toc181591102"/>
      <w:r>
        <w:rPr>
          <w:rFonts w:hint="eastAsia" w:ascii="宋体" w:hAnsi="宋体"/>
          <w:b/>
          <w:bCs/>
          <w:color w:val="000000" w:themeColor="text1"/>
          <w:spacing w:val="-20"/>
          <w:kern w:val="44"/>
          <w:sz w:val="32"/>
          <w:szCs w:val="32"/>
          <w14:textFill>
            <w14:solidFill>
              <w14:schemeClr w14:val="tx1"/>
            </w14:solidFill>
          </w14:textFill>
        </w:rPr>
        <w:t>投标邀请</w:t>
      </w:r>
      <w:bookmarkEnd w:id="4"/>
      <w:bookmarkEnd w:id="5"/>
      <w:bookmarkEnd w:id="6"/>
      <w:bookmarkEnd w:id="7"/>
    </w:p>
    <w:p>
      <w:pPr>
        <w:spacing w:line="360" w:lineRule="auto"/>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成都市青羊区政府采购服务中心(以下简称“青羊区采购中心”)受成都市青羊区人民法院委托，拟对成都市青羊区人民法院</w:t>
      </w:r>
      <w:r>
        <w:rPr>
          <w:rFonts w:hint="eastAsia" w:ascii="宋体" w:hAnsi="宋体"/>
          <w:color w:val="000000" w:themeColor="text1"/>
          <w:sz w:val="28"/>
          <w:szCs w:val="28"/>
          <w:lang w:eastAsia="zh-CN"/>
          <w14:textFill>
            <w14:solidFill>
              <w14:schemeClr w14:val="tx1"/>
            </w14:solidFill>
          </w14:textFill>
        </w:rPr>
        <w:t>金融法庭信息化系统</w:t>
      </w:r>
      <w:r>
        <w:rPr>
          <w:rFonts w:hint="eastAsia" w:ascii="宋体" w:hAnsi="宋体"/>
          <w:color w:val="000000" w:themeColor="text1"/>
          <w:sz w:val="28"/>
          <w:szCs w:val="28"/>
          <w14:textFill>
            <w14:solidFill>
              <w14:schemeClr w14:val="tx1"/>
            </w14:solidFill>
          </w14:textFill>
        </w:rPr>
        <w:t>配套设备采购项目进行国内公开招标，兹邀请符合本次招标要求的供应商参加投标。</w:t>
      </w:r>
    </w:p>
    <w:p>
      <w:pPr>
        <w:spacing w:line="360" w:lineRule="auto"/>
        <w:ind w:firstLine="562" w:firstLineChars="200"/>
        <w:jc w:val="left"/>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一</w:t>
      </w:r>
      <w:r>
        <w:rPr>
          <w:rFonts w:hint="eastAsia" w:ascii="宋体" w:hAnsi="宋体"/>
          <w:color w:val="000000" w:themeColor="text1"/>
          <w:sz w:val="28"/>
          <w:szCs w:val="28"/>
          <w14:textFill>
            <w14:solidFill>
              <w14:schemeClr w14:val="tx1"/>
            </w14:solidFill>
          </w14:textFill>
        </w:rPr>
        <w:t>、项目编号：青羊政采（2021）A0030号</w:t>
      </w:r>
    </w:p>
    <w:p>
      <w:pPr>
        <w:spacing w:line="360" w:lineRule="auto"/>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（采购项目编号：510105202100183）</w:t>
      </w:r>
    </w:p>
    <w:p>
      <w:pPr>
        <w:numPr>
          <w:ilvl w:val="0"/>
          <w:numId w:val="5"/>
        </w:numPr>
        <w:spacing w:line="360" w:lineRule="auto"/>
        <w:ind w:firstLine="640" w:firstLineChars="200"/>
        <w:jc w:val="left"/>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成都市青羊区人民法院</w:t>
      </w:r>
      <w:r>
        <w:rPr>
          <w:rFonts w:hint="eastAsia" w:ascii="华文中宋" w:hAnsi="华文中宋" w:eastAsia="华文中宋"/>
          <w:color w:val="auto"/>
          <w:sz w:val="32"/>
          <w:szCs w:val="32"/>
          <w:lang w:eastAsia="zh-CN"/>
        </w:rPr>
        <w:t>金融法庭信息化系统</w:t>
      </w:r>
      <w:r>
        <w:rPr>
          <w:rFonts w:hint="eastAsia" w:ascii="华文中宋" w:hAnsi="华文中宋" w:eastAsia="华文中宋"/>
          <w:color w:val="000000" w:themeColor="text1"/>
          <w:sz w:val="32"/>
          <w:szCs w:val="32"/>
          <w14:textFill>
            <w14:solidFill>
              <w14:schemeClr w14:val="tx1"/>
            </w14:solidFill>
          </w14:textFill>
        </w:rPr>
        <w:t>配套设备采购项目</w:t>
      </w:r>
    </w:p>
    <w:p>
      <w:pPr>
        <w:spacing w:line="360" w:lineRule="auto"/>
        <w:ind w:firstLine="562" w:firstLineChars="200"/>
        <w:jc w:val="left"/>
        <w:rPr>
          <w:rFonts w:ascii="宋体" w:hAnsi="宋体"/>
          <w:color w:val="FF0000"/>
          <w:sz w:val="28"/>
          <w:szCs w:val="28"/>
        </w:rPr>
      </w:pPr>
      <w:r>
        <w:rPr>
          <w:rFonts w:hint="eastAsia" w:ascii="宋体" w:hAnsi="宋体"/>
          <w:b/>
          <w:color w:val="000000" w:themeColor="text1"/>
          <w:sz w:val="28"/>
          <w:szCs w:val="28"/>
          <w14:textFill>
            <w14:solidFill>
              <w14:schemeClr w14:val="tx1"/>
            </w14:solidFill>
          </w14:textFill>
        </w:rPr>
        <w:t>三、</w:t>
      </w:r>
      <w:r>
        <w:rPr>
          <w:rFonts w:hint="eastAsia" w:ascii="宋体" w:hAnsi="宋体"/>
          <w:color w:val="000000" w:themeColor="text1"/>
          <w:sz w:val="28"/>
          <w:szCs w:val="28"/>
          <w14:textFill>
            <w14:solidFill>
              <w14:schemeClr w14:val="tx1"/>
            </w14:solidFill>
          </w14:textFill>
        </w:rPr>
        <w:t>资金来源、预算金额及最高限价：财政性资金，政府采购实施计划备案表号：</w:t>
      </w:r>
      <w:r>
        <w:rPr>
          <w:color w:val="auto"/>
        </w:rPr>
        <w:fldChar w:fldCharType="begin"/>
      </w:r>
      <w:r>
        <w:rPr>
          <w:color w:val="auto"/>
        </w:rPr>
        <w:instrText xml:space="preserve"> HYPERLINK "https://pay.zcygov.cn/purchaseplan_front/" \l "/plan/list/detail?id=1000000000006820841&amp;encrypt=cf874f350b0b69076d1f41eb05ca4fd6" \t "https://www.zcygov.cn/project-center/purchasePlans/_blank" </w:instrText>
      </w:r>
      <w:r>
        <w:rPr>
          <w:color w:val="auto"/>
        </w:rPr>
        <w:fldChar w:fldCharType="separate"/>
      </w:r>
      <w:r>
        <w:rPr>
          <w:rFonts w:hint="eastAsia" w:ascii="宋体" w:hAnsi="宋体"/>
          <w:color w:val="auto"/>
          <w:sz w:val="28"/>
          <w:szCs w:val="28"/>
        </w:rPr>
        <w:t>SCZC510105513001_20210009-000</w:t>
      </w:r>
      <w:r>
        <w:rPr>
          <w:rFonts w:hint="eastAsia" w:ascii="宋体" w:hAnsi="宋体"/>
          <w:color w:val="auto"/>
          <w:sz w:val="28"/>
          <w:szCs w:val="28"/>
        </w:rPr>
        <w:fldChar w:fldCharType="end"/>
      </w:r>
      <w:r>
        <w:rPr>
          <w:rFonts w:hint="eastAsia" w:ascii="宋体" w:hAnsi="宋体"/>
          <w:color w:val="auto"/>
          <w:sz w:val="28"/>
          <w:szCs w:val="28"/>
        </w:rPr>
        <w:t>；</w:t>
      </w:r>
      <w:r>
        <w:rPr>
          <w:rFonts w:hint="eastAsia" w:ascii="宋体" w:hAnsi="宋体"/>
          <w:color w:val="000000" w:themeColor="text1"/>
          <w:sz w:val="28"/>
          <w:szCs w:val="28"/>
          <w14:textFill>
            <w14:solidFill>
              <w14:schemeClr w14:val="tx1"/>
            </w14:solidFill>
          </w14:textFill>
        </w:rPr>
        <w:t>预算品目：</w:t>
      </w:r>
      <w:r>
        <w:rPr>
          <w:rFonts w:hint="eastAsia" w:ascii="宋体" w:hAnsi="宋体"/>
          <w:color w:val="auto"/>
          <w:sz w:val="28"/>
          <w:szCs w:val="28"/>
        </w:rPr>
        <w:t>A</w:t>
      </w:r>
      <w:r>
        <w:rPr>
          <w:rFonts w:ascii="宋体" w:hAnsi="宋体"/>
          <w:color w:val="auto"/>
          <w:sz w:val="28"/>
          <w:szCs w:val="28"/>
        </w:rPr>
        <w:t>02019901</w:t>
      </w:r>
      <w:r>
        <w:rPr>
          <w:rFonts w:hint="eastAsia" w:ascii="宋体" w:hAnsi="宋体"/>
          <w:color w:val="auto"/>
          <w:sz w:val="28"/>
          <w:szCs w:val="28"/>
        </w:rPr>
        <w:t>信息系统</w:t>
      </w:r>
      <w:r>
        <w:rPr>
          <w:rFonts w:hint="eastAsia" w:ascii="宋体" w:hAnsi="宋体"/>
          <w:color w:val="000000" w:themeColor="text1"/>
          <w:sz w:val="28"/>
          <w:szCs w:val="28"/>
          <w14:textFill>
            <w14:solidFill>
              <w14:schemeClr w14:val="tx1"/>
            </w14:solidFill>
          </w14:textFill>
        </w:rPr>
        <w:t>集成。项目总预算460万元；最高限价：460万元。</w:t>
      </w:r>
    </w:p>
    <w:p>
      <w:pPr>
        <w:spacing w:line="360" w:lineRule="auto"/>
        <w:ind w:firstLine="562" w:firstLineChars="200"/>
        <w:jc w:val="left"/>
        <w:rPr>
          <w:rFonts w:ascii="宋体" w:hAnsi="宋体"/>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四、招标项目简介</w:t>
      </w:r>
    </w:p>
    <w:p>
      <w:pPr>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1、本项目为成都市青羊区人民法院</w:t>
      </w:r>
      <w:r>
        <w:rPr>
          <w:rFonts w:hint="eastAsia" w:ascii="宋体" w:hAnsi="宋体"/>
          <w:color w:val="000000" w:themeColor="text1"/>
          <w:sz w:val="28"/>
          <w:szCs w:val="28"/>
          <w:lang w:eastAsia="zh-CN"/>
          <w14:textFill>
            <w14:solidFill>
              <w14:schemeClr w14:val="tx1"/>
            </w14:solidFill>
          </w14:textFill>
        </w:rPr>
        <w:t>金融法庭信息化系统</w:t>
      </w:r>
      <w:r>
        <w:rPr>
          <w:rFonts w:hint="eastAsia" w:ascii="宋体" w:hAnsi="宋体"/>
          <w:color w:val="000000" w:themeColor="text1"/>
          <w:sz w:val="28"/>
          <w:szCs w:val="28"/>
          <w14:textFill>
            <w14:solidFill>
              <w14:schemeClr w14:val="tx1"/>
            </w14:solidFill>
          </w14:textFill>
        </w:rPr>
        <w:t>配套设备采购项目。项目总预算</w:t>
      </w:r>
      <w:r>
        <w:rPr>
          <w:rFonts w:ascii="宋体" w:hAnsi="宋体"/>
          <w:color w:val="000000" w:themeColor="text1"/>
          <w:sz w:val="28"/>
          <w:szCs w:val="28"/>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6</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万元。</w:t>
      </w:r>
    </w:p>
    <w:tbl>
      <w:tblPr>
        <w:tblStyle w:val="43"/>
        <w:tblW w:w="83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0"/>
        <w:gridCol w:w="3801"/>
        <w:gridCol w:w="971"/>
        <w:gridCol w:w="862"/>
        <w:gridCol w:w="19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7"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一、信息化基础建设配套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（一）中心机房系统建设配套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UPS主机</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蓄电池</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电池柜</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电池分组空开</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直流汇流盒</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直流连接线</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安装辅材</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综合显示器</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服务器</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（二）云桌面配套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桌面云服务器</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桌面云瘦终端</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80</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桌面云接入软件</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80</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桌面显示器</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桌面显示器</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（三）智能安防系统配套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拼接大屏</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前维护架</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底座</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多屏处理器</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拼接大屏</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简易壁挂架</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视频拼接器</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视频服务一体机</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安防控制电脑</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（四）法院司法行政信息管理系统配套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管理服务一体机</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（五）数字文化建设配套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电子翻书系统</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电子展板</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高清液晶显示单元</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前维护架</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底座</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箱体连接线缆及接头</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多屏处理器</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LED条幅</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二、智慧诉讼服务系统配套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（一）诉讼服务大厅建设配套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1、智慧全功能服务一体化系统配套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智慧全功能服务一体化系统</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2、排号系统配套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液晶触摸屏取票机</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通屏控制器</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触摸评价</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无线呼叫器</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无线窗口显示屏</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平米</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2、自助查询系统配套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触控查询机</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打印机</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自助查询机</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（二）智能导诉系统配套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智能导诉模块</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智能虚拟导诉互动模块</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智能3D寻路互动模块</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视频互动模块</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多模块互动控制平台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（三）诉讼信息发布系统配套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信息发布服务器</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网络液晶一体机</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显示终端</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（四）金融智审展示系统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立式触摸查询机</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电子展板</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三、智慧审判系统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（一）智慧法庭系统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1、智慧法庭配套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庭审电脑</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庭审显示器</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庭审公告主机</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笔录打印机</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高清液晶电视</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UPS系统</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2、互联网法庭配套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庭审电脑</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庭审显示器</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打印机</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庭审显示系统</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互联网高清液晶显示单元</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前维护架</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箱体连接线缆及接头</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多屏处理器</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庭审公告主机</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UPS系统</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3、科技法庭配套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庭审电脑</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庭审显示器</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打印机</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庭审显示系统</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庭审公告主机</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UPS系统</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（二）审判公开系统配套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全彩LED</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16.588</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平米</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显示屏控制系统</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视频图层处理平台</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框架结构</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包边</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（三）数字会议系统配套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1、视频会议室配套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高清液晶显示单元</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前维护架</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底座</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箱体连接线缆及接头</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多屏处理器</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LED条幅</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2、多媒体会议系统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高清液晶显示单元</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前维护架</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底座</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箱体连接线缆及接头</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多屏处理器</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液晶屏升降器</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电子桌牌显示系统</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无纸化服务器</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无纸化客户端</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大屏显示端</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LED条幅</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3、金融法学研究实践基地配套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高清液晶显示单元</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前维护架</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底座</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箱体连接线缆及接头</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多屏处理器</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电子白板</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LED条幅</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四、集控中心兼学术报告厅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（一）集控中心兼学术报告厅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P2.5室内全彩显示屏</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29.7</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显示屏控制系统</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视频图层处理平台</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框架结构</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30.95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包边+背后</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综合布线</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安装调试/现场质保</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29.7</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控制主机</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辅助显示</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移动电子座牌</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综合平台</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3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LED条幅</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w:t>
            </w:r>
          </w:p>
        </w:tc>
      </w:tr>
    </w:tbl>
    <w:p>
      <w:pPr>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详细的技术、服务、商务及其他要求见招标文件第4章。</w:t>
      </w:r>
    </w:p>
    <w:p>
      <w:pPr>
        <w:pStyle w:val="80"/>
        <w:numPr>
          <w:ilvl w:val="0"/>
          <w:numId w:val="6"/>
        </w:numPr>
        <w:spacing w:line="360" w:lineRule="auto"/>
        <w:ind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供应商参加本次政府采购活动应具备的条件</w:t>
      </w:r>
    </w:p>
    <w:p>
      <w:pPr>
        <w:numPr>
          <w:ilvl w:val="1"/>
          <w:numId w:val="7"/>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符合《政府采购法》第二十二条第一款规定的条件；</w:t>
      </w:r>
    </w:p>
    <w:p>
      <w:pPr>
        <w:numPr>
          <w:ilvl w:val="1"/>
          <w:numId w:val="7"/>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在中华人民共和国境内依法登记注册，并有效存续具有独立法人资格的供应商；</w:t>
      </w:r>
    </w:p>
    <w:p>
      <w:pPr>
        <w:numPr>
          <w:ilvl w:val="1"/>
          <w:numId w:val="7"/>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未被列入失信被执行人、重大税收违法案件当事人名单、政府采购严重违法失信行为记录名单； </w:t>
      </w:r>
    </w:p>
    <w:p>
      <w:pPr>
        <w:numPr>
          <w:ilvl w:val="1"/>
          <w:numId w:val="7"/>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在行贿犯罪信息查询期限内，投标人及其现任法定代表人、主要负责人没有行贿犯罪记录；</w:t>
      </w:r>
    </w:p>
    <w:p>
      <w:pPr>
        <w:numPr>
          <w:ilvl w:val="1"/>
          <w:numId w:val="7"/>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未处于被行政部门禁止参与政府采购活动的期限内；</w:t>
      </w:r>
    </w:p>
    <w:p>
      <w:pPr>
        <w:numPr>
          <w:ilvl w:val="1"/>
          <w:numId w:val="7"/>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不属于其他国家相关法律法规规定的禁止参加投标的供应商</w:t>
      </w:r>
    </w:p>
    <w:p>
      <w:pPr>
        <w:numPr>
          <w:ilvl w:val="1"/>
          <w:numId w:val="7"/>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本项目不接受联合体投标。</w:t>
      </w:r>
    </w:p>
    <w:p>
      <w:pPr>
        <w:pStyle w:val="80"/>
        <w:numPr>
          <w:ilvl w:val="0"/>
          <w:numId w:val="6"/>
        </w:numPr>
        <w:spacing w:line="360" w:lineRule="auto"/>
        <w:ind w:firstLineChars="0"/>
        <w:rPr>
          <w:rFonts w:ascii="宋体" w:hAnsi="宋体"/>
          <w:b/>
          <w:i/>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招标文件获取时间</w:t>
      </w:r>
    </w:p>
    <w:p>
      <w:pPr>
        <w:numPr>
          <w:ilvl w:val="0"/>
          <w:numId w:val="8"/>
        </w:numPr>
        <w:spacing w:line="360" w:lineRule="auto"/>
        <w:ind w:left="0" w:firstLine="567"/>
        <w:rPr>
          <w:rFonts w:ascii="宋体" w:hAnsi="宋体"/>
          <w:b/>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招标文件获取时间：2021年</w:t>
      </w:r>
      <w:r>
        <w:rPr>
          <w:rFonts w:hint="eastAsia" w:ascii="宋体" w:hAnsi="宋体"/>
          <w:b/>
          <w:color w:val="000000" w:themeColor="text1"/>
          <w:sz w:val="28"/>
          <w:szCs w:val="28"/>
          <w:lang w:val="en-US" w:eastAsia="zh-CN"/>
          <w14:textFill>
            <w14:solidFill>
              <w14:schemeClr w14:val="tx1"/>
            </w14:solidFill>
          </w14:textFill>
        </w:rPr>
        <w:t>12</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30</w:t>
      </w:r>
      <w:r>
        <w:rPr>
          <w:rFonts w:hint="eastAsia" w:ascii="宋体" w:hAnsi="宋体"/>
          <w:b/>
          <w:color w:val="000000" w:themeColor="text1"/>
          <w:sz w:val="28"/>
          <w:szCs w:val="28"/>
          <w14:textFill>
            <w14:solidFill>
              <w14:schemeClr w14:val="tx1"/>
            </w14:solidFill>
          </w14:textFill>
        </w:rPr>
        <w:t>日至</w:t>
      </w:r>
      <w:r>
        <w:rPr>
          <w:rFonts w:hint="eastAsia" w:ascii="宋体" w:hAnsi="宋体"/>
          <w:b/>
          <w:color w:val="000000" w:themeColor="text1"/>
          <w:sz w:val="28"/>
          <w:szCs w:val="28"/>
          <w:lang w:val="en-US" w:eastAsia="zh-CN"/>
          <w14:textFill>
            <w14:solidFill>
              <w14:schemeClr w14:val="tx1"/>
            </w14:solidFill>
          </w14:textFill>
        </w:rPr>
        <w:t>2022年2</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15</w:t>
      </w:r>
      <w:r>
        <w:rPr>
          <w:rFonts w:hint="eastAsia" w:ascii="宋体" w:hAnsi="宋体"/>
          <w:b/>
          <w:color w:val="000000" w:themeColor="text1"/>
          <w:sz w:val="28"/>
          <w:szCs w:val="28"/>
          <w14:textFill>
            <w14:solidFill>
              <w14:schemeClr w14:val="tx1"/>
            </w14:solidFill>
          </w14:textFill>
        </w:rPr>
        <w:t>日。</w:t>
      </w:r>
    </w:p>
    <w:p>
      <w:pPr>
        <w:numPr>
          <w:ilvl w:val="0"/>
          <w:numId w:val="8"/>
        </w:numPr>
        <w:spacing w:line="360" w:lineRule="auto"/>
        <w:ind w:left="0" w:firstLine="567"/>
        <w:rPr>
          <w:rFonts w:ascii="宋体" w:hAnsi="宋体"/>
          <w:b/>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公告期限：2021年</w:t>
      </w:r>
      <w:r>
        <w:rPr>
          <w:rFonts w:hint="eastAsia" w:ascii="宋体" w:hAnsi="宋体"/>
          <w:b/>
          <w:color w:val="000000" w:themeColor="text1"/>
          <w:sz w:val="28"/>
          <w:szCs w:val="28"/>
          <w:lang w:val="en-US" w:eastAsia="zh-CN"/>
          <w14:textFill>
            <w14:solidFill>
              <w14:schemeClr w14:val="tx1"/>
            </w14:solidFill>
          </w14:textFill>
        </w:rPr>
        <w:t>12</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30</w:t>
      </w:r>
      <w:r>
        <w:rPr>
          <w:rFonts w:hint="eastAsia" w:ascii="宋体" w:hAnsi="宋体"/>
          <w:b/>
          <w:color w:val="000000" w:themeColor="text1"/>
          <w:sz w:val="28"/>
          <w:szCs w:val="28"/>
          <w14:textFill>
            <w14:solidFill>
              <w14:schemeClr w14:val="tx1"/>
            </w14:solidFill>
          </w14:textFill>
        </w:rPr>
        <w:t>日至</w:t>
      </w:r>
      <w:r>
        <w:rPr>
          <w:rFonts w:hint="eastAsia" w:ascii="宋体" w:hAnsi="宋体"/>
          <w:b/>
          <w:color w:val="000000" w:themeColor="text1"/>
          <w:sz w:val="28"/>
          <w:szCs w:val="28"/>
          <w:lang w:val="en-US" w:eastAsia="zh-CN"/>
          <w14:textFill>
            <w14:solidFill>
              <w14:schemeClr w14:val="tx1"/>
            </w14:solidFill>
          </w14:textFill>
        </w:rPr>
        <w:t>2022年1月27</w:t>
      </w:r>
      <w:r>
        <w:rPr>
          <w:rFonts w:hint="eastAsia" w:ascii="宋体" w:hAnsi="宋体"/>
          <w:b/>
          <w:color w:val="000000" w:themeColor="text1"/>
          <w:sz w:val="28"/>
          <w:szCs w:val="28"/>
          <w14:textFill>
            <w14:solidFill>
              <w14:schemeClr w14:val="tx1"/>
            </w14:solidFill>
          </w14:textFill>
        </w:rPr>
        <w:t>日。</w:t>
      </w:r>
    </w:p>
    <w:p>
      <w:pPr>
        <w:numPr>
          <w:ilvl w:val="0"/>
          <w:numId w:val="6"/>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招标文件获取方式</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操作指南</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供应商”处下载查看）。</w:t>
      </w:r>
    </w:p>
    <w:p>
      <w:pPr>
        <w:numPr>
          <w:ilvl w:val="0"/>
          <w:numId w:val="6"/>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numPr>
          <w:ilvl w:val="0"/>
          <w:numId w:val="6"/>
        </w:numPr>
        <w:spacing w:line="360" w:lineRule="auto"/>
        <w:ind w:left="0" w:firstLine="567"/>
        <w:rPr>
          <w:rFonts w:ascii="宋体" w:hAnsi="宋体"/>
          <w:b/>
          <w:color w:val="000000" w:themeColor="text1"/>
          <w:sz w:val="28"/>
          <w:szCs w:val="28"/>
          <w14:textFill>
            <w14:solidFill>
              <w14:schemeClr w14:val="tx1"/>
            </w14:solidFill>
          </w14:textFill>
        </w:rPr>
      </w:pPr>
      <w:bookmarkStart w:id="8" w:name="_Toc184013605"/>
      <w:bookmarkStart w:id="9" w:name="_Toc184023104"/>
      <w:bookmarkStart w:id="10" w:name="_Toc186274101"/>
      <w:bookmarkStart w:id="11" w:name="_Toc180051012"/>
      <w:bookmarkStart w:id="12" w:name="_Toc174185149"/>
      <w:r>
        <w:rPr>
          <w:rFonts w:hint="eastAsia" w:ascii="宋体" w:hAnsi="宋体"/>
          <w:b/>
          <w:color w:val="000000" w:themeColor="text1"/>
          <w:sz w:val="28"/>
          <w:szCs w:val="28"/>
          <w14:textFill>
            <w14:solidFill>
              <w14:schemeClr w14:val="tx1"/>
            </w14:solidFill>
          </w14:textFill>
        </w:rPr>
        <w:t>投标文件递交截止时间及开标时间</w:t>
      </w:r>
      <w:bookmarkEnd w:id="8"/>
      <w:bookmarkEnd w:id="9"/>
      <w:bookmarkEnd w:id="10"/>
      <w:bookmarkEnd w:id="11"/>
      <w:bookmarkEnd w:id="12"/>
      <w:r>
        <w:rPr>
          <w:rFonts w:hint="eastAsia" w:ascii="宋体" w:hAnsi="宋体"/>
          <w:b/>
          <w:color w:val="000000" w:themeColor="text1"/>
          <w:sz w:val="28"/>
          <w:szCs w:val="28"/>
          <w14:textFill>
            <w14:solidFill>
              <w14:schemeClr w14:val="tx1"/>
            </w14:solidFill>
          </w14:textFill>
        </w:rPr>
        <w:t>(北京时间)、地点、方式</w:t>
      </w:r>
    </w:p>
    <w:p>
      <w:pPr>
        <w:spacing w:line="560" w:lineRule="exact"/>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（一）投标文件递交截止时间及开标时间：202</w:t>
      </w:r>
      <w:r>
        <w:rPr>
          <w:rFonts w:hint="eastAsia" w:ascii="宋体" w:hAnsi="宋体"/>
          <w:b/>
          <w:color w:val="000000" w:themeColor="text1"/>
          <w:sz w:val="28"/>
          <w:szCs w:val="28"/>
          <w:lang w:val="en-US" w:eastAsia="zh-CN"/>
          <w14:textFill>
            <w14:solidFill>
              <w14:schemeClr w14:val="tx1"/>
            </w14:solidFill>
          </w14:textFill>
        </w:rPr>
        <w:t>2</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2</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16</w:t>
      </w:r>
      <w:r>
        <w:rPr>
          <w:rFonts w:hint="eastAsia" w:ascii="宋体" w:hAnsi="宋体"/>
          <w:b/>
          <w:color w:val="000000" w:themeColor="text1"/>
          <w:sz w:val="28"/>
          <w:szCs w:val="28"/>
          <w14:textFill>
            <w14:solidFill>
              <w14:schemeClr w14:val="tx1"/>
            </w14:solidFill>
          </w14:textFill>
        </w:rPr>
        <w:t>日上午09:30。</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（二）投标文件递交方式、地点：投标截止时间前，投标人应将加密的投标文件递交至“政府采购云平台”对应项目（包件）。</w:t>
      </w:r>
    </w:p>
    <w:p>
      <w:pPr>
        <w:numPr>
          <w:ilvl w:val="0"/>
          <w:numId w:val="6"/>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开标地点</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numPr>
          <w:ilvl w:val="0"/>
          <w:numId w:val="6"/>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政采中、小企业政府采购信用担保融资</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6"/>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本投标邀请在“四川政府采购网”和“成都市公共资源交易服务中心”网站上以公告形式发布</w:t>
      </w:r>
    </w:p>
    <w:p>
      <w:pPr>
        <w:numPr>
          <w:ilvl w:val="0"/>
          <w:numId w:val="6"/>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联系方式</w:t>
      </w:r>
    </w:p>
    <w:p>
      <w:pPr>
        <w:spacing w:line="360" w:lineRule="auto"/>
        <w:ind w:left="840" w:leftChars="266" w:hanging="281" w:hangingChars="100"/>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采购人：</w:t>
      </w:r>
      <w:r>
        <w:rPr>
          <w:rFonts w:ascii="宋体" w:hAnsi="宋体"/>
          <w:color w:val="000000" w:themeColor="text1"/>
          <w:sz w:val="28"/>
          <w:szCs w:val="28"/>
          <w14:textFill>
            <w14:solidFill>
              <w14:schemeClr w14:val="tx1"/>
            </w14:solidFill>
          </w14:textFill>
        </w:rPr>
        <w:t>成都市青羊区人民法院</w:t>
      </w:r>
    </w:p>
    <w:p>
      <w:pPr>
        <w:pStyle w:val="149"/>
        <w:ind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地  址：成都市青羊区</w:t>
      </w:r>
      <w:r>
        <w:rPr>
          <w:rFonts w:hint="eastAsia" w:ascii="宋体" w:hAnsi="宋体"/>
          <w:color w:val="000000" w:themeColor="text1"/>
          <w:kern w:val="0"/>
          <w:sz w:val="28"/>
          <w:szCs w:val="22"/>
          <w:highlight w:val="none"/>
          <w:lang w:eastAsia="zh-CN"/>
          <w14:textFill>
            <w14:solidFill>
              <w14:schemeClr w14:val="tx1"/>
            </w14:solidFill>
          </w14:textFill>
        </w:rPr>
        <w:t>署前街</w:t>
      </w:r>
      <w:r>
        <w:rPr>
          <w:rFonts w:hint="eastAsia" w:eastAsia="仿宋_GB2312"/>
          <w:color w:val="000000" w:themeColor="text1"/>
          <w:sz w:val="32"/>
          <w:szCs w:val="32"/>
          <w:highlight w:val="none"/>
          <w:lang w:val="en-US" w:eastAsia="zh-CN"/>
          <w14:textFill>
            <w14:solidFill>
              <w14:schemeClr w14:val="tx1"/>
            </w14:solidFill>
          </w14:textFill>
        </w:rPr>
        <w:t>42</w:t>
      </w:r>
      <w:r>
        <w:rPr>
          <w:rFonts w:hint="eastAsia" w:eastAsia="仿宋_GB2312"/>
          <w:sz w:val="32"/>
          <w:szCs w:val="32"/>
        </w:rPr>
        <w:t>号</w:t>
      </w:r>
    </w:p>
    <w:p>
      <w:pPr>
        <w:pStyle w:val="149"/>
        <w:ind w:firstLine="560"/>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邮编：6</w:t>
      </w:r>
      <w:r>
        <w:rPr>
          <w:rFonts w:ascii="宋体" w:hAnsi="宋体"/>
          <w:color w:val="000000" w:themeColor="text1"/>
          <w:sz w:val="28"/>
          <w:szCs w:val="28"/>
          <w14:textFill>
            <w14:solidFill>
              <w14:schemeClr w14:val="tx1"/>
            </w14:solidFill>
          </w14:textFill>
        </w:rPr>
        <w:t>10000</w:t>
      </w:r>
    </w:p>
    <w:p>
      <w:pPr>
        <w:pStyle w:val="149"/>
        <w:ind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联系人</w:t>
      </w:r>
      <w:r>
        <w:rPr>
          <w:rFonts w:hint="eastAsia" w:ascii="宋体" w:hAnsi="宋体"/>
          <w:color w:val="000000" w:themeColor="text1"/>
          <w:sz w:val="28"/>
          <w:szCs w:val="28"/>
          <w14:textFill>
            <w14:solidFill>
              <w14:schemeClr w14:val="tx1"/>
            </w14:solidFill>
          </w14:textFill>
        </w:rPr>
        <w:t>：</w:t>
      </w:r>
      <w:r>
        <w:rPr>
          <w:rFonts w:hint="eastAsia" w:ascii="宋体" w:hAnsi="宋体"/>
          <w:b/>
          <w:color w:val="000000" w:themeColor="text1"/>
          <w:sz w:val="28"/>
          <w14:textFill>
            <w14:solidFill>
              <w14:schemeClr w14:val="tx1"/>
            </w14:solidFill>
          </w14:textFill>
        </w:rPr>
        <w:t>习继军</w:t>
      </w:r>
    </w:p>
    <w:p>
      <w:pPr>
        <w:pStyle w:val="149"/>
        <w:ind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联系电话：</w:t>
      </w:r>
      <w:r>
        <w:rPr>
          <w:rFonts w:ascii="宋体" w:hAnsi="宋体"/>
          <w:color w:val="000000" w:themeColor="text1"/>
          <w:sz w:val="28"/>
          <w:szCs w:val="28"/>
          <w14:textFill>
            <w14:solidFill>
              <w14:schemeClr w14:val="tx1"/>
            </w14:solidFill>
          </w14:textFill>
        </w:rPr>
        <w:t>028-60733031</w:t>
      </w:r>
    </w:p>
    <w:p>
      <w:pPr>
        <w:spacing w:line="360" w:lineRule="auto"/>
        <w:ind w:firstLine="568" w:firstLineChars="202"/>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成都市成都市青羊区政府采购服务中心</w:t>
      </w:r>
    </w:p>
    <w:p>
      <w:pPr>
        <w:pStyle w:val="149"/>
        <w:ind w:firstLine="565" w:firstLineChars="202"/>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sz w:val="28"/>
          <w14:textFill>
            <w14:solidFill>
              <w14:schemeClr w14:val="tx1"/>
            </w14:solidFill>
          </w14:textFill>
        </w:rPr>
        <w:t>地  址：</w:t>
      </w:r>
      <w:r>
        <w:rPr>
          <w:rFonts w:hint="eastAsia" w:ascii="宋体" w:hAnsi="宋体"/>
          <w:color w:val="000000" w:themeColor="text1"/>
          <w:kern w:val="0"/>
          <w:sz w:val="28"/>
          <w:szCs w:val="22"/>
          <w14:textFill>
            <w14:solidFill>
              <w14:schemeClr w14:val="tx1"/>
            </w14:solidFill>
          </w14:textFill>
        </w:rPr>
        <w:t>成都市青羊区西华门街19号1号楼</w:t>
      </w:r>
    </w:p>
    <w:p>
      <w:pPr>
        <w:spacing w:line="360" w:lineRule="auto"/>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邮  编：6100</w:t>
      </w:r>
      <w:r>
        <w:rPr>
          <w:rFonts w:ascii="宋体" w:hAnsi="宋体"/>
          <w:color w:val="000000" w:themeColor="text1"/>
          <w:sz w:val="28"/>
          <w14:textFill>
            <w14:solidFill>
              <w14:schemeClr w14:val="tx1"/>
            </w14:solidFill>
          </w14:textFill>
        </w:rPr>
        <w:t>00</w:t>
      </w:r>
    </w:p>
    <w:p>
      <w:pPr>
        <w:spacing w:line="360" w:lineRule="auto"/>
        <w:ind w:firstLine="565" w:firstLineChars="202"/>
        <w:rPr>
          <w:rFonts w:ascii="宋体" w:hAnsi="宋体"/>
          <w:color w:val="000000" w:themeColor="text1"/>
          <w:kern w:val="0"/>
          <w:sz w:val="28"/>
          <w14:textFill>
            <w14:solidFill>
              <w14:schemeClr w14:val="tx1"/>
            </w14:solidFill>
          </w14:textFill>
        </w:rPr>
      </w:pPr>
      <w:r>
        <w:rPr>
          <w:rFonts w:hint="eastAsia" w:ascii="宋体" w:hAnsi="宋体"/>
          <w:color w:val="000000" w:themeColor="text1"/>
          <w:sz w:val="28"/>
          <w14:textFill>
            <w14:solidFill>
              <w14:schemeClr w14:val="tx1"/>
            </w14:solidFill>
          </w14:textFill>
        </w:rPr>
        <w:t>联系人：梁志刚</w:t>
      </w:r>
    </w:p>
    <w:p>
      <w:pPr>
        <w:spacing w:line="360" w:lineRule="auto"/>
        <w:ind w:firstLine="565" w:firstLineChars="202"/>
        <w:rPr>
          <w:rFonts w:ascii="宋体" w:hAnsi="宋体"/>
          <w:color w:val="000000" w:themeColor="text1"/>
          <w:kern w:val="0"/>
          <w:sz w:val="28"/>
          <w14:textFill>
            <w14:solidFill>
              <w14:schemeClr w14:val="tx1"/>
            </w14:solidFill>
          </w14:textFill>
        </w:rPr>
      </w:pPr>
      <w:r>
        <w:rPr>
          <w:rFonts w:hint="eastAsia" w:ascii="宋体" w:hAnsi="宋体"/>
          <w:color w:val="000000" w:themeColor="text1"/>
          <w:sz w:val="28"/>
          <w14:textFill>
            <w14:solidFill>
              <w14:schemeClr w14:val="tx1"/>
            </w14:solidFill>
          </w14:textFill>
        </w:rPr>
        <w:t>联系电话：</w:t>
      </w:r>
      <w:r>
        <w:rPr>
          <w:rFonts w:ascii="宋体" w:hAnsi="宋体"/>
          <w:color w:val="000000" w:themeColor="text1"/>
          <w:kern w:val="0"/>
          <w:sz w:val="28"/>
          <w14:textFill>
            <w14:solidFill>
              <w14:schemeClr w14:val="tx1"/>
            </w14:solidFill>
          </w14:textFill>
        </w:rPr>
        <w:t>028-84532709</w:t>
      </w:r>
    </w:p>
    <w:p>
      <w:pPr>
        <w:spacing w:line="360" w:lineRule="auto"/>
        <w:ind w:firstLine="565" w:firstLineChars="202"/>
        <w:rPr>
          <w:rFonts w:ascii="宋体" w:hAnsi="宋体"/>
          <w:color w:val="000000" w:themeColor="text1"/>
          <w:kern w:val="0"/>
          <w:sz w:val="28"/>
          <w14:textFill>
            <w14:solidFill>
              <w14:schemeClr w14:val="tx1"/>
            </w14:solidFill>
          </w14:textFill>
        </w:rPr>
      </w:pPr>
      <w:r>
        <w:rPr>
          <w:rFonts w:hint="eastAsia" w:ascii="宋体" w:hAnsi="宋体"/>
          <w:color w:val="000000" w:themeColor="text1"/>
          <w:kern w:val="0"/>
          <w:sz w:val="28"/>
          <w14:textFill>
            <w14:solidFill>
              <w14:schemeClr w14:val="tx1"/>
            </w14:solidFill>
          </w14:textFill>
        </w:rPr>
        <w:t>技术支持电话：4</w:t>
      </w:r>
      <w:r>
        <w:rPr>
          <w:rFonts w:ascii="宋体" w:hAnsi="宋体"/>
          <w:color w:val="000000" w:themeColor="text1"/>
          <w:kern w:val="0"/>
          <w:sz w:val="28"/>
          <w14:textFill>
            <w14:solidFill>
              <w14:schemeClr w14:val="tx1"/>
            </w14:solidFill>
          </w14:textFill>
        </w:rPr>
        <w:t>00</w:t>
      </w:r>
      <w:r>
        <w:rPr>
          <w:rFonts w:hint="eastAsia" w:ascii="宋体" w:hAnsi="宋体"/>
          <w:color w:val="000000" w:themeColor="text1"/>
          <w:kern w:val="0"/>
          <w:sz w:val="28"/>
          <w14:textFill>
            <w14:solidFill>
              <w14:schemeClr w14:val="tx1"/>
            </w14:solidFill>
          </w14:textFill>
        </w:rPr>
        <w:t>—8</w:t>
      </w:r>
      <w:r>
        <w:rPr>
          <w:rFonts w:ascii="宋体" w:hAnsi="宋体"/>
          <w:color w:val="000000" w:themeColor="text1"/>
          <w:kern w:val="0"/>
          <w:sz w:val="28"/>
          <w14:textFill>
            <w14:solidFill>
              <w14:schemeClr w14:val="tx1"/>
            </w14:solidFill>
          </w14:textFill>
        </w:rPr>
        <w:t>81</w:t>
      </w:r>
      <w:r>
        <w:rPr>
          <w:rFonts w:hint="eastAsia" w:ascii="宋体" w:hAnsi="宋体"/>
          <w:color w:val="000000" w:themeColor="text1"/>
          <w:kern w:val="0"/>
          <w:sz w:val="28"/>
          <w14:textFill>
            <w14:solidFill>
              <w14:schemeClr w14:val="tx1"/>
            </w14:solidFill>
          </w14:textFill>
        </w:rPr>
        <w:t>—7</w:t>
      </w:r>
      <w:r>
        <w:rPr>
          <w:rFonts w:ascii="宋体" w:hAnsi="宋体"/>
          <w:color w:val="000000" w:themeColor="text1"/>
          <w:kern w:val="0"/>
          <w:sz w:val="28"/>
          <w14:textFill>
            <w14:solidFill>
              <w14:schemeClr w14:val="tx1"/>
            </w14:solidFill>
          </w14:textFill>
        </w:rPr>
        <w:t>190</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集中采购监督机构：成都市青羊区财政局</w:t>
      </w:r>
    </w:p>
    <w:p>
      <w:pPr>
        <w:spacing w:line="360" w:lineRule="auto"/>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址：成都市青羊区西华门街19号1号楼</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联系人：</w:t>
      </w:r>
      <w:r>
        <w:rPr>
          <w:rFonts w:hint="eastAsia" w:ascii="宋体" w:hAnsi="宋体"/>
          <w:color w:val="000000" w:themeColor="text1"/>
          <w:sz w:val="28"/>
          <w:szCs w:val="28"/>
          <w14:textFill>
            <w14:solidFill>
              <w14:schemeClr w14:val="tx1"/>
            </w14:solidFill>
          </w14:textFill>
        </w:rPr>
        <w:t xml:space="preserve">冯 </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瑾</w:t>
      </w:r>
    </w:p>
    <w:p>
      <w:pPr>
        <w:pStyle w:val="82"/>
        <w:tabs>
          <w:tab w:val="left" w:pos="900"/>
        </w:tabs>
        <w:spacing w:line="360" w:lineRule="auto"/>
        <w:ind w:firstLine="56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联系电话：028-</w:t>
      </w:r>
      <w:r>
        <w:rPr>
          <w:rFonts w:hint="eastAsia" w:ascii="宋体" w:hAnsi="宋体"/>
          <w:color w:val="000000" w:themeColor="text1"/>
          <w:sz w:val="28"/>
          <w:szCs w:val="28"/>
          <w14:textFill>
            <w14:solidFill>
              <w14:schemeClr w14:val="tx1"/>
            </w14:solidFill>
          </w14:textFill>
        </w:rPr>
        <w:t>86699817</w:t>
      </w:r>
    </w:p>
    <w:p>
      <w:pPr>
        <w:tabs>
          <w:tab w:val="left" w:pos="900"/>
        </w:tabs>
        <w:spacing w:line="360" w:lineRule="auto"/>
        <w:rPr>
          <w:rFonts w:ascii="宋体"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keepNext/>
        <w:keepLines/>
        <w:numPr>
          <w:ilvl w:val="0"/>
          <w:numId w:val="1"/>
        </w:numPr>
        <w:spacing w:before="340" w:after="330" w:line="400" w:lineRule="exact"/>
        <w:ind w:left="0" w:firstLine="0"/>
        <w:jc w:val="center"/>
        <w:outlineLvl w:val="0"/>
        <w:rPr>
          <w:rFonts w:ascii="宋体" w:hAnsi="宋体"/>
          <w:b/>
          <w:bCs/>
          <w:color w:val="000000" w:themeColor="text1"/>
          <w:spacing w:val="-20"/>
          <w:kern w:val="44"/>
          <w:sz w:val="32"/>
          <w:szCs w:val="32"/>
          <w14:textFill>
            <w14:solidFill>
              <w14:schemeClr w14:val="tx1"/>
            </w14:solidFill>
          </w14:textFill>
        </w:rPr>
      </w:pPr>
      <w:bookmarkStart w:id="13" w:name="_Toc76541345"/>
      <w:r>
        <w:rPr>
          <w:rFonts w:hint="eastAsia" w:ascii="宋体" w:hAnsi="宋体"/>
          <w:b/>
          <w:bCs/>
          <w:color w:val="000000" w:themeColor="text1"/>
          <w:spacing w:val="-20"/>
          <w:kern w:val="44"/>
          <w:sz w:val="32"/>
          <w:szCs w:val="32"/>
          <w14:textFill>
            <w14:solidFill>
              <w14:schemeClr w14:val="tx1"/>
            </w14:solidFill>
          </w14:textFill>
        </w:rPr>
        <w:t>投标人须知</w:t>
      </w:r>
      <w:bookmarkEnd w:id="13"/>
    </w:p>
    <w:p>
      <w:pPr>
        <w:keepNext/>
        <w:keepLines/>
        <w:numPr>
          <w:ilvl w:val="1"/>
          <w:numId w:val="1"/>
        </w:numPr>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4" w:name="_Toc213396760"/>
      <w:bookmarkStart w:id="15" w:name="_Toc189727030"/>
      <w:bookmarkStart w:id="16" w:name="_Toc213496268"/>
      <w:bookmarkStart w:id="17" w:name="_Toc213396946"/>
      <w:bookmarkStart w:id="18" w:name="_Toc213397010"/>
      <w:bookmarkStart w:id="19" w:name="_Toc76541346"/>
      <w:bookmarkStart w:id="20" w:name="_Toc217446032"/>
      <w:bookmarkStart w:id="21" w:name="_Toc316462344"/>
      <w:r>
        <w:rPr>
          <w:rFonts w:hint="eastAsia" w:ascii="宋体" w:hAnsi="宋体"/>
          <w:b/>
          <w:bCs/>
          <w:color w:val="000000" w:themeColor="text1"/>
          <w:sz w:val="28"/>
          <w:szCs w:val="28"/>
          <w14:textFill>
            <w14:solidFill>
              <w14:schemeClr w14:val="tx1"/>
            </w14:solidFill>
          </w14:textFill>
        </w:rPr>
        <w:t>投标人须知前附表</w:t>
      </w:r>
      <w:bookmarkEnd w:id="14"/>
      <w:bookmarkEnd w:id="15"/>
      <w:bookmarkEnd w:id="16"/>
      <w:bookmarkEnd w:id="17"/>
      <w:bookmarkEnd w:id="18"/>
      <w:bookmarkEnd w:id="19"/>
      <w:bookmarkEnd w:id="20"/>
      <w:bookmarkEnd w:id="21"/>
    </w:p>
    <w:tbl>
      <w:tblPr>
        <w:tblStyle w:val="43"/>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000000" w:themeColor="text1"/>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color w:val="000000" w:themeColor="text1"/>
                <w:lang w:val="zh-CN"/>
                <w14:textFill>
                  <w14:solidFill>
                    <w14:schemeClr w14:val="tx1"/>
                  </w14:solidFill>
                </w14:textFill>
              </w:rPr>
            </w:pPr>
            <w:r>
              <w:rPr>
                <w:rFonts w:hint="eastAsia" w:ascii="宋体" w:hAnsi="宋体" w:cs="宋体"/>
                <w:b/>
                <w:color w:val="000000" w:themeColor="text1"/>
                <w:sz w:val="28"/>
                <w:szCs w:val="28"/>
                <w:lang w:val="zh-CN"/>
                <w14:textFill>
                  <w14:solidFill>
                    <w14:schemeClr w14:val="tx1"/>
                  </w14:solidFill>
                </w14:textFill>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color w:val="000000" w:themeColor="text1"/>
                <w:lang w:val="zh-CN"/>
                <w14:textFill>
                  <w14:solidFill>
                    <w14:schemeClr w14:val="tx1"/>
                  </w14:solidFill>
                </w14:textFill>
              </w:rPr>
            </w:pPr>
            <w:r>
              <w:rPr>
                <w:rFonts w:hint="eastAsia" w:ascii="宋体" w:hAnsi="宋体" w:cs="宋体"/>
                <w:b/>
                <w:color w:val="000000" w:themeColor="text1"/>
                <w:sz w:val="28"/>
                <w:szCs w:val="28"/>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eastAsia="仿宋_GB2312" w:cs="宋体"/>
                <w:b/>
                <w:color w:val="000000" w:themeColor="text1"/>
                <w:lang w:val="zh-CN"/>
                <w14:textFill>
                  <w14:solidFill>
                    <w14:schemeClr w14:val="tx1"/>
                  </w14:solidFill>
                </w14:textFill>
              </w:rPr>
            </w:pPr>
            <w:r>
              <w:rPr>
                <w:rFonts w:hint="eastAsia" w:ascii="宋体" w:hAnsi="宋体" w:cs="宋体"/>
                <w:b/>
                <w:color w:val="000000" w:themeColor="text1"/>
                <w:lang w:val="zh-CN"/>
                <w14:textFill>
                  <w14:solidFill>
                    <w14:schemeClr w14:val="tx1"/>
                  </w14:solidFill>
                </w14:textFill>
              </w:rPr>
              <w:t>人民币</w:t>
            </w:r>
            <w:r>
              <w:rPr>
                <w:rFonts w:ascii="宋体" w:hAnsi="宋体" w:cs="宋体"/>
                <w:b/>
                <w:color w:val="000000" w:themeColor="text1"/>
                <w14:textFill>
                  <w14:solidFill>
                    <w14:schemeClr w14:val="tx1"/>
                  </w14:solidFill>
                </w14:textFill>
              </w:rPr>
              <w:t>4</w:t>
            </w:r>
            <w:r>
              <w:rPr>
                <w:rFonts w:hint="eastAsia" w:ascii="宋体" w:hAnsi="宋体" w:cs="宋体"/>
                <w:b/>
                <w:color w:val="000000" w:themeColor="text1"/>
                <w14:textFill>
                  <w14:solidFill>
                    <w14:schemeClr w14:val="tx1"/>
                  </w14:solidFill>
                </w14:textFill>
              </w:rPr>
              <w:t>6</w:t>
            </w:r>
            <w:r>
              <w:rPr>
                <w:rFonts w:ascii="宋体" w:hAnsi="宋体" w:cs="宋体"/>
                <w:b/>
                <w:color w:val="000000" w:themeColor="text1"/>
                <w14:textFill>
                  <w14:solidFill>
                    <w14:schemeClr w14:val="tx1"/>
                  </w14:solidFill>
                </w14:textFill>
              </w:rPr>
              <w:t>0</w:t>
            </w:r>
            <w:r>
              <w:rPr>
                <w:rFonts w:hint="eastAsia" w:ascii="宋体" w:hAnsi="宋体" w:cs="宋体"/>
                <w:b/>
                <w:color w:val="000000" w:themeColor="text1"/>
                <w:lang w:val="zh-CN"/>
                <w14:textFill>
                  <w14:solidFill>
                    <w14:schemeClr w14:val="tx1"/>
                  </w14:solidFill>
                </w14:textFill>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color w:val="000000" w:themeColor="text1"/>
                <w:lang w:val="zh-CN"/>
                <w14:textFill>
                  <w14:solidFill>
                    <w14:schemeClr w14:val="tx1"/>
                  </w14:solidFill>
                </w14:textFill>
              </w:rPr>
            </w:pPr>
            <w:r>
              <w:rPr>
                <w:rFonts w:hint="eastAsia" w:ascii="宋体" w:hAnsi="宋体" w:cs="宋体"/>
                <w:b/>
                <w:color w:val="000000" w:themeColor="text1"/>
                <w:lang w:val="zh-CN"/>
                <w14:textFill>
                  <w14:solidFill>
                    <w14:schemeClr w14:val="tx1"/>
                  </w14:solidFill>
                </w14:textFill>
              </w:rPr>
              <w:t>本项目最高限价为人民币</w:t>
            </w:r>
            <w:r>
              <w:rPr>
                <w:rFonts w:ascii="宋体" w:hAnsi="宋体" w:cs="宋体"/>
                <w:b/>
                <w:color w:val="000000" w:themeColor="text1"/>
                <w14:textFill>
                  <w14:solidFill>
                    <w14:schemeClr w14:val="tx1"/>
                  </w14:solidFill>
                </w14:textFill>
              </w:rPr>
              <w:t>4</w:t>
            </w:r>
            <w:r>
              <w:rPr>
                <w:rFonts w:hint="eastAsia" w:ascii="宋体" w:hAnsi="宋体" w:cs="宋体"/>
                <w:b/>
                <w:color w:val="000000" w:themeColor="text1"/>
                <w14:textFill>
                  <w14:solidFill>
                    <w14:schemeClr w14:val="tx1"/>
                  </w14:solidFill>
                </w14:textFill>
              </w:rPr>
              <w:t>6</w:t>
            </w:r>
            <w:r>
              <w:rPr>
                <w:rFonts w:ascii="宋体" w:hAnsi="宋体" w:cs="宋体"/>
                <w:b/>
                <w:color w:val="000000" w:themeColor="text1"/>
                <w14:textFill>
                  <w14:solidFill>
                    <w14:schemeClr w14:val="tx1"/>
                  </w14:solidFill>
                </w14:textFill>
              </w:rPr>
              <w:t>0</w:t>
            </w:r>
            <w:r>
              <w:rPr>
                <w:rFonts w:hint="eastAsia" w:ascii="宋体" w:hAnsi="宋体" w:cs="宋体"/>
                <w:b/>
                <w:color w:val="000000" w:themeColor="text1"/>
                <w:lang w:val="zh-CN"/>
                <w14:textFill>
                  <w14:solidFill>
                    <w14:schemeClr w14:val="tx1"/>
                  </w14:solidFill>
                </w14:textFill>
              </w:rPr>
              <w:t>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14:textFill>
                  <w14:solidFill>
                    <w14:schemeClr w14:val="tx1"/>
                  </w14:solidFill>
                </w14:textFill>
              </w:rPr>
              <w:t>综合评标法</w:t>
            </w:r>
            <w:r>
              <w:rPr>
                <w:rFonts w:hint="eastAsia" w:ascii="宋体" w:hAnsi="宋体" w:cs="宋体"/>
                <w:color w:val="000000" w:themeColor="text1"/>
                <w:lang w:val="zh-CN"/>
                <w14:textFill>
                  <w14:solidFill>
                    <w14:schemeClr w14:val="tx1"/>
                  </w14:solidFill>
                </w14:textFill>
              </w:rPr>
              <w:t>(详见第6章)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小微企业价格扣除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w:t>
            </w:r>
            <w:r>
              <w:rPr>
                <w:rFonts w:ascii="宋体" w:hAnsi="宋体" w:cs="宋体"/>
                <w:color w:val="000000" w:themeColor="text1"/>
                <w:lang w:val="zh-CN"/>
                <w14:textFill>
                  <w14:solidFill>
                    <w14:schemeClr w14:val="tx1"/>
                  </w14:solidFill>
                </w14:textFill>
              </w:rPr>
              <w:t>规定的中小企业</w:t>
            </w:r>
            <w:r>
              <w:rPr>
                <w:rFonts w:hint="eastAsia" w:ascii="宋体" w:hAnsi="宋体" w:cs="宋体"/>
                <w:color w:val="000000" w:themeColor="text1"/>
                <w:lang w:val="zh-CN"/>
                <w14:textFill>
                  <w14:solidFill>
                    <w14:schemeClr w14:val="tx1"/>
                  </w14:solidFill>
                </w14:textFill>
              </w:rPr>
              <w:t>扶持</w:t>
            </w:r>
            <w:r>
              <w:rPr>
                <w:rFonts w:ascii="宋体" w:hAnsi="宋体" w:cs="宋体"/>
                <w:color w:val="000000" w:themeColor="text1"/>
                <w:lang w:val="zh-CN"/>
                <w14:textFill>
                  <w14:solidFill>
                    <w14:schemeClr w14:val="tx1"/>
                  </w14:solidFill>
                </w14:textFill>
              </w:rPr>
              <w:t>政策</w:t>
            </w:r>
            <w:r>
              <w:rPr>
                <w:rFonts w:hint="eastAsia" w:ascii="宋体" w:hAnsi="宋体" w:cs="宋体"/>
                <w:color w:val="000000" w:themeColor="text1"/>
                <w:lang w:val="zh-CN"/>
                <w14:textFill>
                  <w14:solidFill>
                    <w14:schemeClr w14:val="tx1"/>
                  </w14:solidFill>
                </w14:textFill>
              </w:rPr>
              <w:t>。</w:t>
            </w:r>
          </w:p>
          <w:p>
            <w:pPr>
              <w:spacing w:line="360" w:lineRule="auto"/>
              <w:rPr>
                <w:rFonts w:ascii="宋体" w:hAnsi="宋体"/>
                <w:b/>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监狱企业价格扣除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1.根据《关于政府采购支持监狱企业发展有关问题的通知》（财库[2014]68号）的规定，</w:t>
            </w:r>
            <w:r>
              <w:rPr>
                <w:rFonts w:hint="eastAsia" w:ascii="宋体" w:hAnsi="宋体"/>
                <w:color w:val="000000" w:themeColor="text1"/>
                <w14:textFill>
                  <w14:solidFill>
                    <w14:schemeClr w14:val="tx1"/>
                  </w14:solidFill>
                </w14:textFill>
              </w:rPr>
              <w:t>监狱企业视同小型、微型企业，</w:t>
            </w:r>
            <w:r>
              <w:rPr>
                <w:rFonts w:hint="eastAsia" w:ascii="宋体" w:hAnsi="宋体" w:cs="宋体"/>
                <w:color w:val="000000" w:themeColor="text1"/>
                <w:lang w:val="zh-CN"/>
                <w14:textFill>
                  <w14:solidFill>
                    <w14:schemeClr w14:val="tx1"/>
                  </w14:solidFill>
                </w14:textFill>
              </w:rPr>
              <w:t>对监狱企业制造的货物给予10%的价格扣除，用扣除后的价格参与评标。</w:t>
            </w:r>
          </w:p>
          <w:p>
            <w:pPr>
              <w:spacing w:line="360" w:lineRule="auto"/>
              <w:rPr>
                <w:rFonts w:ascii="宋体" w:hAnsi="宋体"/>
                <w:b/>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2.投标产品中为监狱企业制造的货物应提供由省级以上监狱管理局、戒毒管理局（含新疆生产建设兵团）出具的制造商属于监狱企业的证明文件复印件。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残疾人福利性单位价格扣除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1.根据《三部门联合发布关于促进残疾人就业政府采购政策的通知》（财库[2017]141号）的规定，残疾人福利性单位视同小型、微型企业，对残疾人福利性单位制造的货物给予10%的价格扣除，用扣除后的价格参与评标。</w:t>
            </w:r>
          </w:p>
          <w:p>
            <w:pPr>
              <w:spacing w:line="360" w:lineRule="auto"/>
              <w:rPr>
                <w:rFonts w:ascii="宋体" w:hAnsi="宋体"/>
                <w:b/>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2.投标人应提供《残疾人福利性单位声明函》。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提交投标文件的截止之日起</w:t>
            </w:r>
            <w:r>
              <w:rPr>
                <w:rFonts w:hint="eastAsia" w:ascii="宋体" w:hAnsi="宋体" w:cs="宋体"/>
                <w:color w:val="000000" w:themeColor="text1"/>
                <w:u w:val="single"/>
                <w14:textFill>
                  <w14:solidFill>
                    <w14:schemeClr w14:val="tx1"/>
                  </w14:solidFill>
                </w14:textFill>
              </w:rPr>
              <w:t>90</w:t>
            </w:r>
            <w:r>
              <w:rPr>
                <w:rFonts w:hint="eastAsia" w:ascii="宋体" w:hAnsi="宋体" w:cs="宋体"/>
                <w:color w:val="000000" w:themeColor="text1"/>
                <w:lang w:val="zh-CN"/>
                <w14:textFill>
                  <w14:solidFill>
                    <w14:schemeClr w14:val="tx1"/>
                  </w14:solidFill>
                </w14:textFill>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详见投标人须知2.4.12</w:t>
            </w:r>
          </w:p>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注：投标人使用</w:t>
            </w:r>
            <w:r>
              <w:rPr>
                <w:rFonts w:ascii="宋体" w:hAnsi="宋体"/>
                <w:color w:val="000000" w:themeColor="text1"/>
                <w14:textFill>
                  <w14:solidFill>
                    <w14:schemeClr w14:val="tx1"/>
                  </w14:solidFill>
                </w14:textFill>
              </w:rPr>
              <w:t>CA证书在</w:t>
            </w:r>
            <w:r>
              <w:rPr>
                <w:rFonts w:hint="eastAsia" w:ascii="宋体" w:hAnsi="宋体"/>
                <w:color w:val="000000" w:themeColor="text1"/>
                <w14:textFill>
                  <w14:solidFill>
                    <w14:schemeClr w14:val="tx1"/>
                  </w14:solidFill>
                </w14:textFill>
              </w:rPr>
              <w:t>投标截止时间前，将投标文件上传至政府</w:t>
            </w:r>
            <w:r>
              <w:rPr>
                <w:rFonts w:ascii="宋体" w:hAnsi="宋体"/>
                <w:color w:val="000000" w:themeColor="text1"/>
                <w14:textFill>
                  <w14:solidFill>
                    <w14:schemeClr w14:val="tx1"/>
                  </w14:solidFill>
                </w14:textFill>
              </w:rPr>
              <w:t>采购</w:t>
            </w:r>
            <w:r>
              <w:rPr>
                <w:rFonts w:hint="eastAsia" w:ascii="宋体" w:hAnsi="宋体"/>
                <w:color w:val="000000" w:themeColor="text1"/>
                <w14:textFill>
                  <w14:solidFill>
                    <w14:schemeClr w14:val="tx1"/>
                  </w14:solidFill>
                </w14:textFill>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b/>
                <w:color w:val="000000" w:themeColor="text1"/>
                <w14:textFill>
                  <w14:solidFill>
                    <w14:schemeClr w14:val="tx1"/>
                  </w14:solidFill>
                </w14:textFill>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详见投标人须知2.5.1。</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投标文件解密：开启解密后，投标人应在系统提示的解密开始时间后</w:t>
            </w:r>
            <w:r>
              <w:rPr>
                <w:rFonts w:ascii="宋体" w:hAnsi="宋体"/>
                <w:b/>
                <w:color w:val="000000" w:themeColor="text1"/>
                <w14:textFill>
                  <w14:solidFill>
                    <w14:schemeClr w14:val="tx1"/>
                  </w14:solidFill>
                </w14:textFill>
              </w:rPr>
              <w:t>60</w:t>
            </w:r>
            <w:r>
              <w:rPr>
                <w:rFonts w:hint="eastAsia" w:ascii="宋体" w:hAnsi="宋体"/>
                <w:b/>
                <w:color w:val="000000" w:themeColor="text1"/>
                <w14:textFill>
                  <w14:solidFill>
                    <w14:schemeClr w14:val="tx1"/>
                  </w14:solidFill>
                </w14:textFill>
              </w:rPr>
              <w:t>分钟内，使用对投标文件进行加密的CA证书在线完成对投标人递交至政府采购云平台的投标文件的解密。</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向区采购服务中心提出，并由成都市青羊区政府采购服务中心按相关规定作出答复（详见投标人须知2.8）。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投诉受理单位：本项目同级财政部门，即成都市青羊区财政局。</w:t>
            </w:r>
          </w:p>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联系电话：028-86699817。</w:t>
            </w:r>
          </w:p>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地址：成都市青羊区西华门1</w:t>
            </w:r>
            <w:r>
              <w:rPr>
                <w:rFonts w:ascii="宋体" w:hAnsi="宋体"/>
                <w:color w:val="000000" w:themeColor="text1"/>
                <w14:textFill>
                  <w14:solidFill>
                    <w14:schemeClr w14:val="tx1"/>
                  </w14:solidFill>
                </w14:textFill>
              </w:rPr>
              <w:t>9</w:t>
            </w:r>
            <w:r>
              <w:rPr>
                <w:rFonts w:hint="eastAsia" w:ascii="宋体" w:hAnsi="宋体"/>
                <w:color w:val="000000" w:themeColor="text1"/>
                <w14:textFill>
                  <w14:solidFill>
                    <w14:schemeClr w14:val="tx1"/>
                  </w14:solidFill>
                </w14:textFill>
              </w:rPr>
              <w:t>号1号楼4楼</w:t>
            </w:r>
          </w:p>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邮编：6100</w:t>
            </w:r>
            <w:r>
              <w:rPr>
                <w:rFonts w:ascii="宋体" w:hAnsi="宋体"/>
                <w:color w:val="000000" w:themeColor="text1"/>
                <w14:textFill>
                  <w14:solidFill>
                    <w14:schemeClr w14:val="tx1"/>
                  </w14:solidFill>
                </w14:textFill>
              </w:rPr>
              <w:t>00</w:t>
            </w:r>
            <w:r>
              <w:rPr>
                <w:rFonts w:hint="eastAsia" w:ascii="宋体" w:hAnsi="宋体"/>
                <w:color w:val="000000" w:themeColor="text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所有</w:t>
            </w:r>
            <w:r>
              <w:rPr>
                <w:rFonts w:hint="eastAsia" w:ascii="宋体" w:hAnsi="宋体"/>
                <w:color w:val="000000" w:themeColor="text1"/>
                <w14:textFill>
                  <w14:solidFill>
                    <w14:schemeClr w14:val="tx1"/>
                  </w14:solidFill>
                </w14:textFill>
              </w:rPr>
              <w:t>投标人</w:t>
            </w:r>
            <w:r>
              <w:rPr>
                <w:rFonts w:hint="eastAsia" w:ascii="宋体" w:hAnsi="宋体" w:cs="宋体"/>
                <w:color w:val="000000" w:themeColor="text1"/>
                <w:lang w:val="zh-CN"/>
                <w14:textFill>
                  <w14:solidFill>
                    <w14:schemeClr w14:val="tx1"/>
                  </w14:solidFill>
                </w14:textFill>
              </w:rPr>
              <w:t>投标文件资格性、符合性检查情况、采用综合评分法时的得分情况、评标结果等将在成都市青羊区政府采购服务中心网、四川政府采购网上采购结果公告栏中予以公告。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中标公告在四川政府采购网上公告后，中标供应商自行登录政府</w:t>
            </w:r>
            <w:r>
              <w:rPr>
                <w:rFonts w:ascii="宋体" w:hAnsi="宋体" w:cs="宋体"/>
                <w:color w:val="000000" w:themeColor="text1"/>
                <w:lang w:val="zh-CN"/>
                <w14:textFill>
                  <w14:solidFill>
                    <w14:schemeClr w14:val="tx1"/>
                  </w14:solidFill>
                </w14:textFill>
              </w:rPr>
              <w:t>采购</w:t>
            </w:r>
            <w:r>
              <w:rPr>
                <w:rFonts w:hint="eastAsia" w:ascii="宋体" w:hAnsi="宋体" w:cs="宋体"/>
                <w:color w:val="000000" w:themeColor="text1"/>
                <w:lang w:val="zh-CN"/>
                <w14:textFill>
                  <w14:solidFill>
                    <w14:schemeClr w14:val="tx1"/>
                  </w14:solidFill>
                </w14:textFill>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政府采购合同签订之日起2个工作日内，采购人将在四川政府采购网公告政府采购合同；疫情防控期间，采购人原则上在5个工作日内与供应商签订政府采购合同及向本采购项目同级财政部门，即成都市青羊区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color w:val="000000" w:themeColor="text1"/>
                <w:sz w:val="24"/>
                <w14:textFill>
                  <w14:solidFill>
                    <w14:schemeClr w14:val="tx1"/>
                  </w14:solidFill>
                </w14:textFill>
              </w:rPr>
              <w:t>工作的通知》</w:t>
            </w:r>
            <w:r>
              <w:rPr>
                <w:rFonts w:hint="eastAsia" w:ascii="宋体" w:hAnsi="宋体"/>
                <w:color w:val="000000" w:themeColor="text1"/>
                <w14:textFill>
                  <w14:solidFill>
                    <w14:schemeClr w14:val="tx1"/>
                  </w14:solidFill>
                </w14:textFill>
              </w:rPr>
              <w:t>（成财采〔2020〕20号）</w:t>
            </w:r>
            <w:r>
              <w:rPr>
                <w:rFonts w:hint="eastAsia" w:ascii="宋体" w:hAnsi="宋体"/>
                <w:color w:val="000000" w:themeColor="text1"/>
                <w:sz w:val="24"/>
                <w14:textFill>
                  <w14:solidFill>
                    <w14:schemeClr w14:val="tx1"/>
                  </w14:solidFill>
                </w14:textFill>
              </w:rPr>
              <w:t>见附件</w:t>
            </w:r>
            <w:r>
              <w:rPr>
                <w:rFonts w:hint="eastAsia" w:ascii="宋体" w:hAnsi="宋体"/>
                <w:color w:val="000000" w:themeColor="text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000000" w:themeColor="text1"/>
                <w14:textFill>
                  <w14:solidFill>
                    <w14:schemeClr w14:val="tx1"/>
                  </w14:solidFill>
                </w14:textFill>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1"/>
        </w:numPr>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22" w:name="_Toc76541347"/>
      <w:r>
        <w:rPr>
          <w:rFonts w:hint="eastAsia" w:ascii="宋体" w:hAnsi="宋体"/>
          <w:b/>
          <w:bCs/>
          <w:color w:val="000000" w:themeColor="text1"/>
          <w:sz w:val="28"/>
          <w:szCs w:val="28"/>
          <w14:textFill>
            <w14:solidFill>
              <w14:schemeClr w14:val="tx1"/>
            </w14:solidFill>
          </w14:textFill>
        </w:rPr>
        <w:t>总则</w:t>
      </w:r>
      <w:bookmarkEnd w:id="22"/>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适用范围</w:t>
      </w:r>
    </w:p>
    <w:p>
      <w:pPr>
        <w:numPr>
          <w:ilvl w:val="0"/>
          <w:numId w:val="10"/>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本招标文件仅适用于本次公开招标采购项目。</w:t>
      </w:r>
    </w:p>
    <w:p>
      <w:pPr>
        <w:numPr>
          <w:ilvl w:val="0"/>
          <w:numId w:val="10"/>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的最终解释权由采购人或成都市成都市青羊区政府采购服务中心享有。对招标文件中供应商参加本次政府采购活动应当具备的条件，招标项目技术、服务、商务及其他要求，评标细则及标准由采购人负责解释。除上述招标文件内容，其他内容由成都市青羊区政府采购服务中心负责解释。</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有关定义</w:t>
      </w:r>
    </w:p>
    <w:p>
      <w:pPr>
        <w:numPr>
          <w:ilvl w:val="0"/>
          <w:numId w:val="11"/>
        </w:numPr>
        <w:tabs>
          <w:tab w:val="left" w:pos="1134"/>
        </w:tabs>
        <w:spacing w:line="360" w:lineRule="auto"/>
        <w:ind w:left="0" w:firstLine="568"/>
        <w:rPr>
          <w:rFonts w:asciiTheme="minorEastAsia" w:hAnsiTheme="minorEastAsia" w:eastAsiaTheme="minorEastAsia"/>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“采购人”和“甲方”系指依法进行政府采购的成都市青羊区机关、事业单位、团体组织。本次招标的采购人是</w:t>
      </w:r>
      <w:r>
        <w:rPr>
          <w:rFonts w:hint="eastAsia" w:asciiTheme="minorEastAsia" w:hAnsiTheme="minorEastAsia" w:eastAsiaTheme="minorEastAsia"/>
          <w:color w:val="000000" w:themeColor="text1"/>
          <w:sz w:val="28"/>
          <w:szCs w:val="28"/>
          <w14:textFill>
            <w14:solidFill>
              <w14:schemeClr w14:val="tx1"/>
            </w14:solidFill>
          </w14:textFill>
        </w:rPr>
        <w:t>成都市青羊区教育技术装备与信息管理中心。</w:t>
      </w:r>
    </w:p>
    <w:p>
      <w:pPr>
        <w:numPr>
          <w:ilvl w:val="0"/>
          <w:numId w:val="11"/>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“投标人”系指在系统中成功提交《采购文件获取登记表》拟参加投标和向采购人提供货物及服务的供应商。</w:t>
      </w:r>
    </w:p>
    <w:p>
      <w:pPr>
        <w:numPr>
          <w:ilvl w:val="0"/>
          <w:numId w:val="11"/>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本招标文件各部分规定的期间以时、日、月、年计算。期间开始的时和日，不计算在期间内，而从次日开始计算。期间届满的最后一天是节假日的，以节假日后的第一日为期间届满的日期。</w:t>
      </w:r>
    </w:p>
    <w:p>
      <w:pPr>
        <w:numPr>
          <w:ilvl w:val="0"/>
          <w:numId w:val="11"/>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本招标文件各部分规定的“以上”、“以下”、“内”、“以内”，包括本数；所称的“不足”，不包括本数。</w:t>
      </w:r>
    </w:p>
    <w:p>
      <w:pPr>
        <w:numPr>
          <w:ilvl w:val="0"/>
          <w:numId w:val="11"/>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numPr>
          <w:ilvl w:val="0"/>
          <w:numId w:val="11"/>
        </w:numPr>
        <w:tabs>
          <w:tab w:val="left" w:pos="1134"/>
        </w:tabs>
        <w:spacing w:line="360" w:lineRule="auto"/>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不见面开标是指，成都市成都市青羊区政府采购服务中心依托政府采购云平台组织开标活动，供应商在线参与开标的一种组织形式。</w:t>
      </w: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bookmarkStart w:id="23" w:name="_Toc183682344"/>
      <w:bookmarkStart w:id="24" w:name="_Toc217390843"/>
      <w:bookmarkStart w:id="25" w:name="_Toc217446036"/>
      <w:bookmarkStart w:id="26" w:name="_Toc183582207"/>
      <w:r>
        <w:rPr>
          <w:rFonts w:hint="eastAsia" w:ascii="宋体" w:hAnsi="宋体"/>
          <w:b/>
          <w:bCs/>
          <w:color w:val="000000" w:themeColor="text1"/>
          <w:sz w:val="28"/>
          <w:szCs w:val="28"/>
          <w14:textFill>
            <w14:solidFill>
              <w14:schemeClr w14:val="tx1"/>
            </w14:solidFill>
          </w14:textFill>
        </w:rPr>
        <w:t>合格的投标人</w:t>
      </w:r>
      <w:bookmarkEnd w:id="23"/>
      <w:bookmarkEnd w:id="24"/>
      <w:bookmarkEnd w:id="25"/>
      <w:bookmarkEnd w:id="26"/>
    </w:p>
    <w:p>
      <w:pPr>
        <w:tabs>
          <w:tab w:val="left" w:pos="7665"/>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合格的投标人应具备以下条件：</w:t>
      </w:r>
    </w:p>
    <w:p>
      <w:pPr>
        <w:numPr>
          <w:ilvl w:val="0"/>
          <w:numId w:val="12"/>
        </w:numPr>
        <w:tabs>
          <w:tab w:val="left" w:pos="1134"/>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本招标文件“投标邀请”第五条规定的条件；</w:t>
      </w:r>
    </w:p>
    <w:p>
      <w:pPr>
        <w:numPr>
          <w:ilvl w:val="0"/>
          <w:numId w:val="12"/>
        </w:numPr>
        <w:tabs>
          <w:tab w:val="left" w:pos="1134"/>
        </w:tabs>
        <w:spacing w:line="360" w:lineRule="auto"/>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按照招标文件“投标邀请”中第六、七、八条规定获取了招标文件。</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投标费用</w:t>
      </w:r>
    </w:p>
    <w:p>
      <w:pPr>
        <w:spacing w:line="360" w:lineRule="auto"/>
        <w:ind w:firstLine="660" w:firstLineChars="23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投标人应自行承担参加投标的全部费用。</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充分、公平竞争保障措施</w:t>
      </w:r>
    </w:p>
    <w:p>
      <w:pPr>
        <w:numPr>
          <w:ilvl w:val="0"/>
          <w:numId w:val="13"/>
        </w:numPr>
        <w:tabs>
          <w:tab w:val="left" w:pos="1134"/>
        </w:tabs>
        <w:adjustRightInd w:val="0"/>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单位负责人为同一人或者存在直接控股、管理关系的不同供应商，不得参加同一项目的投标。</w:t>
      </w:r>
    </w:p>
    <w:p>
      <w:pPr>
        <w:numPr>
          <w:ilvl w:val="0"/>
          <w:numId w:val="13"/>
        </w:numPr>
        <w:tabs>
          <w:tab w:val="left" w:pos="1134"/>
        </w:tabs>
        <w:adjustRightInd w:val="0"/>
        <w:spacing w:line="560" w:lineRule="exact"/>
        <w:ind w:left="0" w:firstLine="567"/>
        <w:rPr>
          <w:rFonts w:ascii="宋体" w:hAnsi="宋体"/>
          <w:b/>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为采购项目提供整体设计、规范编制或者项目管理、监理、检测等服务的供应商，不得再参加该采购项目的其他采购活动。供应商为采购人、</w:t>
      </w:r>
      <w:r>
        <w:rPr>
          <w:rFonts w:hint="eastAsia" w:ascii="宋体" w:cs="Arial"/>
          <w:color w:val="000000" w:themeColor="text1"/>
          <w:sz w:val="28"/>
          <w:szCs w:val="28"/>
          <w14:textFill>
            <w14:solidFill>
              <w14:schemeClr w14:val="tx1"/>
            </w14:solidFill>
          </w14:textFill>
        </w:rPr>
        <w:t>采购代理机构</w:t>
      </w:r>
      <w:r>
        <w:rPr>
          <w:rFonts w:hint="eastAsia" w:ascii="宋体" w:hAnsi="宋体"/>
          <w:color w:val="000000" w:themeColor="text1"/>
          <w:sz w:val="28"/>
          <w:szCs w:val="28"/>
          <w14:textFill>
            <w14:solidFill>
              <w14:schemeClr w14:val="tx1"/>
            </w14:solidFill>
          </w14:textFill>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numPr>
          <w:ilvl w:val="0"/>
          <w:numId w:val="13"/>
        </w:numPr>
        <w:tabs>
          <w:tab w:val="left" w:pos="1134"/>
        </w:tabs>
        <w:adjustRightInd w:val="0"/>
        <w:spacing w:line="560" w:lineRule="exact"/>
        <w:ind w:left="0" w:firstLine="567"/>
        <w:rPr>
          <w:rFonts w:ascii="宋体" w:hAnsi="宋体"/>
          <w:b/>
          <w:bCs/>
          <w:color w:val="000000" w:themeColor="text1"/>
          <w:sz w:val="28"/>
          <w:szCs w:val="28"/>
          <w:lang w:val="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本项目核心设备为：</w:t>
      </w:r>
      <w:r>
        <w:rPr>
          <w:rFonts w:hint="eastAsia" w:ascii="宋体" w:hAnsi="宋体"/>
          <w:b/>
          <w:bCs/>
          <w:color w:val="000000" w:themeColor="text1"/>
          <w:sz w:val="28"/>
          <w:szCs w:val="28"/>
          <w14:textFill>
            <w14:solidFill>
              <w14:schemeClr w14:val="tx1"/>
            </w14:solidFill>
          </w14:textFill>
        </w:rPr>
        <w:t>UPS主机、服务器、高清液晶显示单元、全彩LED。</w:t>
      </w:r>
    </w:p>
    <w:p>
      <w:pPr>
        <w:numPr>
          <w:ilvl w:val="0"/>
          <w:numId w:val="13"/>
        </w:numPr>
        <w:tabs>
          <w:tab w:val="left" w:pos="1134"/>
        </w:tabs>
        <w:adjustRightInd w:val="0"/>
        <w:spacing w:line="560" w:lineRule="exact"/>
        <w:ind w:left="0" w:firstLine="567"/>
        <w:rPr>
          <w:rFonts w:ascii="宋体" w:hAnsi="宋体"/>
          <w:b/>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27" w:name="_Toc76541348"/>
      <w:bookmarkStart w:id="28" w:name="_Toc183682347"/>
      <w:bookmarkStart w:id="29" w:name="_Toc183582210"/>
      <w:bookmarkStart w:id="30" w:name="_Toc217446039"/>
      <w:r>
        <w:rPr>
          <w:rFonts w:hint="eastAsia" w:ascii="宋体" w:hAnsi="宋体"/>
          <w:b/>
          <w:bCs/>
          <w:color w:val="000000" w:themeColor="text1"/>
          <w:sz w:val="28"/>
          <w:szCs w:val="28"/>
          <w14:textFill>
            <w14:solidFill>
              <w14:schemeClr w14:val="tx1"/>
            </w14:solidFill>
          </w14:textFill>
        </w:rPr>
        <w:t>招标文件</w:t>
      </w:r>
      <w:bookmarkEnd w:id="27"/>
      <w:bookmarkEnd w:id="28"/>
      <w:bookmarkEnd w:id="29"/>
      <w:bookmarkEnd w:id="30"/>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招标文件的构成</w:t>
      </w:r>
    </w:p>
    <w:p>
      <w:pPr>
        <w:numPr>
          <w:ilvl w:val="0"/>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投标邀请；</w:t>
      </w:r>
    </w:p>
    <w:p>
      <w:pPr>
        <w:numPr>
          <w:ilvl w:val="1"/>
          <w:numId w:val="1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投标人须知；</w:t>
      </w:r>
    </w:p>
    <w:p>
      <w:pPr>
        <w:numPr>
          <w:ilvl w:val="1"/>
          <w:numId w:val="1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投标文件格式；</w:t>
      </w:r>
    </w:p>
    <w:p>
      <w:pPr>
        <w:numPr>
          <w:ilvl w:val="1"/>
          <w:numId w:val="1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招标项目技术、服务、商务及其他要求；</w:t>
      </w:r>
    </w:p>
    <w:p>
      <w:pPr>
        <w:numPr>
          <w:ilvl w:val="1"/>
          <w:numId w:val="1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w:t>
      </w:r>
    </w:p>
    <w:p>
      <w:pPr>
        <w:numPr>
          <w:ilvl w:val="1"/>
          <w:numId w:val="1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评标办法；</w:t>
      </w:r>
    </w:p>
    <w:p>
      <w:pPr>
        <w:numPr>
          <w:ilvl w:val="1"/>
          <w:numId w:val="1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拟签订合同文本。</w:t>
      </w:r>
    </w:p>
    <w:p>
      <w:pPr>
        <w:numPr>
          <w:ilvl w:val="0"/>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投标人应认真阅读和充分理解招标文件中所有的事项、格式条款和规范要求。投标人没有对招标文件全面做出实质性响应所产生的风险由投标人承担。</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31" w:name="_Toc183682348"/>
      <w:bookmarkStart w:id="32" w:name="_Toc183582211"/>
      <w:bookmarkStart w:id="33" w:name="_Toc217446040"/>
      <w:r>
        <w:rPr>
          <w:rFonts w:hint="eastAsia" w:ascii="宋体" w:hAnsi="宋体"/>
          <w:b/>
          <w:bCs/>
          <w:color w:val="000000" w:themeColor="text1"/>
          <w:sz w:val="28"/>
          <w:szCs w:val="28"/>
          <w14:textFill>
            <w14:solidFill>
              <w14:schemeClr w14:val="tx1"/>
            </w14:solidFill>
          </w14:textFill>
        </w:rPr>
        <w:t>招标文件的澄清</w:t>
      </w:r>
      <w:bookmarkEnd w:id="31"/>
      <w:bookmarkEnd w:id="32"/>
      <w:r>
        <w:rPr>
          <w:rFonts w:hint="eastAsia" w:ascii="宋体" w:hAnsi="宋体"/>
          <w:b/>
          <w:bCs/>
          <w:color w:val="000000" w:themeColor="text1"/>
          <w:sz w:val="28"/>
          <w:szCs w:val="28"/>
          <w14:textFill>
            <w14:solidFill>
              <w14:schemeClr w14:val="tx1"/>
            </w14:solidFill>
          </w14:textFill>
        </w:rPr>
        <w:t>和修改</w:t>
      </w:r>
      <w:bookmarkEnd w:id="33"/>
      <w:bookmarkStart w:id="34" w:name="_Toc77400780"/>
      <w:bookmarkStart w:id="35" w:name="_Toc183682351"/>
      <w:bookmarkStart w:id="36" w:name="_Toc217446042"/>
      <w:bookmarkStart w:id="37" w:name="_Toc183582214"/>
      <w:bookmarkStart w:id="38" w:name="_Toc89075876"/>
    </w:p>
    <w:p>
      <w:pPr>
        <w:numPr>
          <w:ilvl w:val="0"/>
          <w:numId w:val="16"/>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在投标截止时间前，采购人或者</w:t>
      </w:r>
      <w:r>
        <w:rPr>
          <w:rFonts w:hint="eastAsia" w:cs="Arial"/>
          <w:color w:val="000000" w:themeColor="text1"/>
          <w:sz w:val="28"/>
          <w:szCs w:val="28"/>
          <w14:textFill>
            <w14:solidFill>
              <w14:schemeClr w14:val="tx1"/>
            </w14:solidFill>
          </w14:textFill>
        </w:rPr>
        <w:t>区政府采购服务中心</w:t>
      </w:r>
      <w:r>
        <w:rPr>
          <w:rFonts w:hint="eastAsia" w:ascii="宋体" w:hAnsi="宋体"/>
          <w:color w:val="000000" w:themeColor="text1"/>
          <w:sz w:val="28"/>
          <w:szCs w:val="28"/>
          <w14:textFill>
            <w14:solidFill>
              <w14:schemeClr w14:val="tx1"/>
            </w14:solidFill>
          </w14:textFill>
        </w:rPr>
        <w:t>可以对已发出的招标文件进行必要的澄清或者修改。</w:t>
      </w:r>
    </w:p>
    <w:p>
      <w:pPr>
        <w:numPr>
          <w:ilvl w:val="0"/>
          <w:numId w:val="16"/>
        </w:numPr>
        <w:spacing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成都市青羊区政府采购服务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6"/>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可能影响投标文件编制的，成都市青羊区政府采购服务中心应当在投标截止时间至少15日前，通过政府采购云平台通知所有获取招标文件的潜在投标人；不足15日的，采购人或区政府采购服务中心应当顺延提交投标文件的截止时间。</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39" w:name="_Toc76541349"/>
      <w:r>
        <w:rPr>
          <w:rFonts w:hint="eastAsia" w:ascii="宋体" w:hAnsi="宋体"/>
          <w:b/>
          <w:bCs/>
          <w:color w:val="000000" w:themeColor="text1"/>
          <w:sz w:val="28"/>
          <w:szCs w:val="28"/>
          <w14:textFill>
            <w14:solidFill>
              <w14:schemeClr w14:val="tx1"/>
            </w14:solidFill>
          </w14:textFill>
        </w:rPr>
        <w:t>投标文件</w:t>
      </w:r>
      <w:bookmarkEnd w:id="34"/>
      <w:bookmarkEnd w:id="35"/>
      <w:bookmarkEnd w:id="36"/>
      <w:bookmarkEnd w:id="37"/>
      <w:bookmarkEnd w:id="38"/>
      <w:bookmarkEnd w:id="39"/>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0" w:name="_Toc217446043"/>
      <w:bookmarkStart w:id="41" w:name="_Toc183682352"/>
      <w:bookmarkStart w:id="42" w:name="_Toc183582215"/>
      <w:r>
        <w:rPr>
          <w:rFonts w:hint="eastAsia" w:ascii="宋体" w:hAnsi="宋体"/>
          <w:b/>
          <w:bCs/>
          <w:color w:val="000000" w:themeColor="text1"/>
          <w:sz w:val="28"/>
          <w:szCs w:val="28"/>
          <w14:textFill>
            <w14:solidFill>
              <w14:schemeClr w14:val="tx1"/>
            </w14:solidFill>
          </w14:textFill>
        </w:rPr>
        <w:t>投标文件的语言</w:t>
      </w:r>
      <w:bookmarkEnd w:id="40"/>
      <w:bookmarkEnd w:id="41"/>
      <w:bookmarkEnd w:id="42"/>
    </w:p>
    <w:p>
      <w:pPr>
        <w:numPr>
          <w:ilvl w:val="0"/>
          <w:numId w:val="17"/>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投标人提交的投标文件以及投标人与采购人或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7"/>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3" w:name="_Toc183582216"/>
      <w:bookmarkStart w:id="44" w:name="_Toc217446044"/>
      <w:bookmarkStart w:id="45" w:name="_Toc183682353"/>
      <w:r>
        <w:rPr>
          <w:rFonts w:hint="eastAsia" w:ascii="宋体" w:hAnsi="宋体"/>
          <w:b/>
          <w:bCs/>
          <w:color w:val="000000" w:themeColor="text1"/>
          <w:sz w:val="28"/>
          <w:szCs w:val="28"/>
          <w14:textFill>
            <w14:solidFill>
              <w14:schemeClr w14:val="tx1"/>
            </w14:solidFill>
          </w14:textFill>
        </w:rPr>
        <w:t>计量单位</w:t>
      </w:r>
      <w:bookmarkEnd w:id="43"/>
      <w:bookmarkEnd w:id="44"/>
      <w:bookmarkEnd w:id="45"/>
    </w:p>
    <w:p>
      <w:pPr>
        <w:tabs>
          <w:tab w:val="left" w:pos="7665"/>
        </w:tabs>
        <w:spacing w:line="360" w:lineRule="auto"/>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除招标文件中另有规定外，本次采购项目所有合同项下的投标均采用国家法定的计量单位。</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6" w:name="_Toc217446045"/>
      <w:r>
        <w:rPr>
          <w:rFonts w:hint="eastAsia" w:ascii="宋体" w:hAnsi="宋体"/>
          <w:b/>
          <w:bCs/>
          <w:color w:val="000000" w:themeColor="text1"/>
          <w:sz w:val="28"/>
          <w:szCs w:val="28"/>
          <w14:textFill>
            <w14:solidFill>
              <w14:schemeClr w14:val="tx1"/>
            </w14:solidFill>
          </w14:textFill>
        </w:rPr>
        <w:t>投标货币</w:t>
      </w:r>
      <w:bookmarkEnd w:id="46"/>
    </w:p>
    <w:p>
      <w:pPr>
        <w:tabs>
          <w:tab w:val="left" w:pos="7665"/>
        </w:tabs>
        <w:spacing w:line="360" w:lineRule="auto"/>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本次招标项目的投标均以人民币报价。</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7" w:name="_Toc217446046"/>
      <w:r>
        <w:rPr>
          <w:rFonts w:hint="eastAsia" w:ascii="宋体" w:hAnsi="宋体"/>
          <w:b/>
          <w:bCs/>
          <w:color w:val="000000" w:themeColor="text1"/>
          <w:sz w:val="28"/>
          <w:szCs w:val="28"/>
          <w14:textFill>
            <w14:solidFill>
              <w14:schemeClr w14:val="tx1"/>
            </w14:solidFill>
          </w14:textFill>
        </w:rPr>
        <w:t>联合体投标</w:t>
      </w:r>
      <w:bookmarkEnd w:id="47"/>
    </w:p>
    <w:p>
      <w:pPr>
        <w:tabs>
          <w:tab w:val="left" w:pos="7665"/>
        </w:tabs>
        <w:spacing w:line="360" w:lineRule="auto"/>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本次政府采购活动不接受联合体投标。</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8" w:name="_Toc217446047"/>
      <w:r>
        <w:rPr>
          <w:rFonts w:hint="eastAsia" w:ascii="宋体" w:hAnsi="宋体"/>
          <w:b/>
          <w:bCs/>
          <w:color w:val="000000" w:themeColor="text1"/>
          <w:sz w:val="28"/>
          <w:szCs w:val="28"/>
          <w14:textFill>
            <w14:solidFill>
              <w14:schemeClr w14:val="tx1"/>
            </w14:solidFill>
          </w14:textFill>
        </w:rPr>
        <w:t>知识产权</w:t>
      </w:r>
      <w:bookmarkEnd w:id="48"/>
    </w:p>
    <w:p>
      <w:pPr>
        <w:numPr>
          <w:ilvl w:val="0"/>
          <w:numId w:val="18"/>
        </w:numPr>
        <w:tabs>
          <w:tab w:val="left" w:pos="1134"/>
        </w:tabs>
        <w:spacing w:line="360" w:lineRule="auto"/>
        <w:ind w:left="0" w:firstLine="54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8"/>
        </w:numPr>
        <w:tabs>
          <w:tab w:val="left" w:pos="1134"/>
        </w:tabs>
        <w:spacing w:line="360" w:lineRule="auto"/>
        <w:ind w:left="0" w:firstLine="54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采购人享有本项目实施过程中产生的知识成果及知识产权。</w:t>
      </w:r>
    </w:p>
    <w:p>
      <w:pPr>
        <w:numPr>
          <w:ilvl w:val="0"/>
          <w:numId w:val="18"/>
        </w:numPr>
        <w:tabs>
          <w:tab w:val="left" w:pos="1134"/>
        </w:tabs>
        <w:spacing w:line="360" w:lineRule="auto"/>
        <w:ind w:left="0" w:firstLine="54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8"/>
        </w:numPr>
        <w:tabs>
          <w:tab w:val="left" w:pos="1134"/>
        </w:tabs>
        <w:spacing w:line="360" w:lineRule="auto"/>
        <w:ind w:left="0" w:firstLine="54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如采用投标人所不拥有的知识产权，则在投标报价中必须包括合法获取该知识产权的相关费用。</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9" w:name="_Toc183582217"/>
      <w:bookmarkStart w:id="50" w:name="_Toc217446048"/>
      <w:bookmarkStart w:id="51" w:name="_Toc183682354"/>
      <w:r>
        <w:rPr>
          <w:rFonts w:hint="eastAsia" w:ascii="宋体" w:hAnsi="宋体"/>
          <w:b/>
          <w:bCs/>
          <w:color w:val="000000" w:themeColor="text1"/>
          <w:sz w:val="28"/>
          <w:szCs w:val="28"/>
          <w14:textFill>
            <w14:solidFill>
              <w14:schemeClr w14:val="tx1"/>
            </w14:solidFill>
          </w14:textFill>
        </w:rPr>
        <w:t>投标文件的组成</w:t>
      </w:r>
      <w:bookmarkEnd w:id="49"/>
      <w:bookmarkEnd w:id="50"/>
      <w:bookmarkEnd w:id="51"/>
    </w:p>
    <w:p>
      <w:pPr>
        <w:spacing w:line="360" w:lineRule="auto"/>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投标人应按照招标文件的规定和要求编制投标文件。投标人拟在中标后将中标项目的非主体、非关键性工作交由他人完成的，应当在投标文件中载明。投标人编写的投标文件应包括下列部分：</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资格响应文件：</w:t>
      </w:r>
    </w:p>
    <w:p>
      <w:pPr>
        <w:pStyle w:val="150"/>
        <w:numPr>
          <w:ilvl w:val="0"/>
          <w:numId w:val="19"/>
        </w:numPr>
        <w:tabs>
          <w:tab w:val="left" w:pos="993"/>
        </w:tabs>
        <w:spacing w:after="200" w:line="360" w:lineRule="auto"/>
        <w:ind w:left="0" w:firstLine="420"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关于投标人资格申明的函；</w:t>
      </w:r>
    </w:p>
    <w:p>
      <w:pPr>
        <w:pStyle w:val="150"/>
        <w:numPr>
          <w:ilvl w:val="0"/>
          <w:numId w:val="19"/>
        </w:numPr>
        <w:tabs>
          <w:tab w:val="left" w:pos="993"/>
        </w:tabs>
        <w:spacing w:after="200" w:line="360" w:lineRule="auto"/>
        <w:ind w:left="0" w:firstLine="420"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声明；</w:t>
      </w:r>
    </w:p>
    <w:p>
      <w:pPr>
        <w:pStyle w:val="150"/>
        <w:numPr>
          <w:ilvl w:val="0"/>
          <w:numId w:val="19"/>
        </w:numPr>
        <w:tabs>
          <w:tab w:val="left" w:pos="993"/>
        </w:tabs>
        <w:spacing w:after="200" w:line="360" w:lineRule="auto"/>
        <w:ind w:left="0" w:firstLine="420"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投标人应提交的相关资格证明材料：</w:t>
      </w:r>
    </w:p>
    <w:p>
      <w:pPr>
        <w:pStyle w:val="150"/>
        <w:numPr>
          <w:ilvl w:val="0"/>
          <w:numId w:val="20"/>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营业执照复印件（正本或副本）或法人证书复印件（正本或副本）；</w:t>
      </w:r>
    </w:p>
    <w:p>
      <w:pPr>
        <w:pStyle w:val="150"/>
        <w:numPr>
          <w:ilvl w:val="0"/>
          <w:numId w:val="20"/>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2019或2020会计年度资产负债表复印件（说明：投标人成立时间至递交投标文件截止时间止不足一年的，提供成立后任意时段的资产负债表复印件）；</w:t>
      </w:r>
    </w:p>
    <w:p>
      <w:pPr>
        <w:pStyle w:val="150"/>
        <w:numPr>
          <w:ilvl w:val="0"/>
          <w:numId w:val="20"/>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投标人缴纳2020或2021年任意时段的税收的银行电子回单或者行政部门出具的纳税证明或完税证明复印件；</w:t>
      </w:r>
    </w:p>
    <w:p>
      <w:pPr>
        <w:pStyle w:val="150"/>
        <w:numPr>
          <w:ilvl w:val="0"/>
          <w:numId w:val="20"/>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pStyle w:val="150"/>
        <w:numPr>
          <w:ilvl w:val="0"/>
          <w:numId w:val="20"/>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投标人缴纳2020或2021年任意时段的社保的银行电子回单或行政部门出具的社保缴纳证明材料复印件；</w:t>
      </w:r>
    </w:p>
    <w:p>
      <w:pPr>
        <w:pStyle w:val="150"/>
        <w:numPr>
          <w:ilvl w:val="0"/>
          <w:numId w:val="20"/>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商务技术响应文件</w:t>
      </w:r>
    </w:p>
    <w:p>
      <w:pPr>
        <w:numPr>
          <w:ilvl w:val="0"/>
          <w:numId w:val="21"/>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投标函；</w:t>
      </w:r>
    </w:p>
    <w:p>
      <w:pPr>
        <w:numPr>
          <w:ilvl w:val="0"/>
          <w:numId w:val="21"/>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法定代表人身份证明书；</w:t>
      </w:r>
    </w:p>
    <w:p>
      <w:pPr>
        <w:numPr>
          <w:ilvl w:val="0"/>
          <w:numId w:val="21"/>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投标产品技术性能、技术参数和配置的详细描述；</w:t>
      </w:r>
    </w:p>
    <w:p>
      <w:pPr>
        <w:numPr>
          <w:ilvl w:val="0"/>
          <w:numId w:val="21"/>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售后服务及承诺；</w:t>
      </w:r>
    </w:p>
    <w:p>
      <w:pPr>
        <w:numPr>
          <w:ilvl w:val="0"/>
          <w:numId w:val="21"/>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项目实施方案；</w:t>
      </w:r>
    </w:p>
    <w:p>
      <w:pPr>
        <w:numPr>
          <w:ilvl w:val="0"/>
          <w:numId w:val="21"/>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承诺函。</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报价要求响应文件</w:t>
      </w:r>
    </w:p>
    <w:p>
      <w:pPr>
        <w:numPr>
          <w:ilvl w:val="0"/>
          <w:numId w:val="22"/>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开标一览表；</w:t>
      </w:r>
    </w:p>
    <w:p>
      <w:pPr>
        <w:numPr>
          <w:ilvl w:val="0"/>
          <w:numId w:val="22"/>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分项报价明细表（分项报价明细表格式中要求填写品牌、规格型号、制造商、进口或国产的，投标人必须载明其投标产品的品牌、规格型号、制造商、进口或国产）；</w:t>
      </w:r>
    </w:p>
    <w:p>
      <w:pPr>
        <w:numPr>
          <w:ilvl w:val="0"/>
          <w:numId w:val="22"/>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中小企业声明函（如未提供中小企业声明函，则其投标产品中的小型、微型企业制造的货物不能享受招标文件规定的价格扣除，但不影响投标人投标文件的有效性）；</w:t>
      </w:r>
    </w:p>
    <w:p>
      <w:pPr>
        <w:numPr>
          <w:ilvl w:val="0"/>
          <w:numId w:val="22"/>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残疾人福利性单位声明函（如未提供残疾人福利性单位声明函，则其投标产品中的残疾人福利性单位制造的货物不能享受招标文件规定的价格扣除，但不影响投标人投标文件的有效性）；</w:t>
      </w:r>
    </w:p>
    <w:p>
      <w:pPr>
        <w:numPr>
          <w:ilvl w:val="0"/>
          <w:numId w:val="22"/>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投标产品</w:t>
      </w:r>
      <w:r>
        <w:rPr>
          <w:rFonts w:ascii="宋体" w:hAnsi="宋体"/>
          <w:b/>
          <w:color w:val="000000" w:themeColor="text1"/>
          <w:sz w:val="28"/>
          <w:szCs w:val="28"/>
          <w14:textFill>
            <w14:solidFill>
              <w14:schemeClr w14:val="tx1"/>
            </w14:solidFill>
          </w14:textFill>
        </w:rPr>
        <w:t>制造商属于监狱企业的证明文件复印件</w:t>
      </w:r>
      <w:r>
        <w:rPr>
          <w:rFonts w:hint="eastAsia" w:ascii="宋体" w:hAnsi="宋体"/>
          <w:b/>
          <w:color w:val="000000" w:themeColor="text1"/>
          <w:sz w:val="28"/>
          <w:szCs w:val="28"/>
          <w14:textFill>
            <w14:solidFill>
              <w14:schemeClr w14:val="tx1"/>
            </w14:solidFill>
          </w14:textFill>
        </w:rPr>
        <w:t>（1、</w:t>
      </w:r>
      <w:r>
        <w:rPr>
          <w:rFonts w:ascii="宋体" w:hAnsi="宋体"/>
          <w:b/>
          <w:color w:val="000000" w:themeColor="text1"/>
          <w:sz w:val="28"/>
          <w:szCs w:val="28"/>
          <w14:textFill>
            <w14:solidFill>
              <w14:schemeClr w14:val="tx1"/>
            </w14:solidFill>
          </w14:textFill>
        </w:rPr>
        <w:t>投标产品中为监狱企业制造的货物应提供由省级以上监狱管理局、戒毒管理局（含新疆生产建设兵团）出具的制造商属于监狱企业的证明文件复印件</w:t>
      </w:r>
      <w:r>
        <w:rPr>
          <w:rFonts w:hint="eastAsia" w:ascii="宋体" w:hAnsi="宋体"/>
          <w:b/>
          <w:color w:val="000000" w:themeColor="text1"/>
          <w:sz w:val="28"/>
          <w:szCs w:val="28"/>
          <w14:textFill>
            <w14:solidFill>
              <w14:schemeClr w14:val="tx1"/>
            </w14:solidFill>
          </w14:textFill>
        </w:rPr>
        <w:t>；2、如未提供</w:t>
      </w:r>
      <w:r>
        <w:rPr>
          <w:rFonts w:ascii="宋体" w:hAnsi="宋体"/>
          <w:b/>
          <w:color w:val="000000" w:themeColor="text1"/>
          <w:sz w:val="28"/>
          <w:szCs w:val="28"/>
          <w14:textFill>
            <w14:solidFill>
              <w14:schemeClr w14:val="tx1"/>
            </w14:solidFill>
          </w14:textFill>
        </w:rPr>
        <w:t>监狱企业的证明文件</w:t>
      </w:r>
      <w:r>
        <w:rPr>
          <w:rFonts w:hint="eastAsia" w:ascii="宋体" w:hAnsi="宋体"/>
          <w:b/>
          <w:color w:val="000000" w:themeColor="text1"/>
          <w:sz w:val="28"/>
          <w:szCs w:val="28"/>
          <w14:textFill>
            <w14:solidFill>
              <w14:schemeClr w14:val="tx1"/>
            </w14:solidFill>
          </w14:textFill>
        </w:rPr>
        <w:t>复印件，则其</w:t>
      </w:r>
      <w:r>
        <w:rPr>
          <w:rFonts w:ascii="宋体" w:hAnsi="宋体"/>
          <w:b/>
          <w:color w:val="000000" w:themeColor="text1"/>
          <w:sz w:val="28"/>
          <w:szCs w:val="28"/>
          <w14:textFill>
            <w14:solidFill>
              <w14:schemeClr w14:val="tx1"/>
            </w14:solidFill>
          </w14:textFill>
        </w:rPr>
        <w:t>投标产品中为监狱企业制造的货物</w:t>
      </w:r>
      <w:r>
        <w:rPr>
          <w:rFonts w:hint="eastAsia" w:ascii="宋体" w:hAnsi="宋体"/>
          <w:b/>
          <w:color w:val="000000" w:themeColor="text1"/>
          <w:sz w:val="28"/>
          <w:szCs w:val="28"/>
          <w14:textFill>
            <w14:solidFill>
              <w14:schemeClr w14:val="tx1"/>
            </w14:solidFill>
          </w14:textFill>
        </w:rPr>
        <w:t>不能享受招标文件规定的价格扣除，但不影响投标人投标文件的有效性。）</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52" w:name="_Toc316292019"/>
      <w:bookmarkEnd w:id="52"/>
      <w:bookmarkStart w:id="53" w:name="_Toc316291395"/>
      <w:bookmarkEnd w:id="53"/>
      <w:bookmarkStart w:id="54" w:name="_Toc316292020"/>
      <w:bookmarkEnd w:id="54"/>
      <w:bookmarkStart w:id="55" w:name="_Toc316291396"/>
      <w:bookmarkEnd w:id="55"/>
      <w:bookmarkStart w:id="56" w:name="_Toc183682355"/>
      <w:bookmarkStart w:id="57" w:name="_Toc183582218"/>
      <w:bookmarkStart w:id="58" w:name="_Toc217446049"/>
      <w:r>
        <w:rPr>
          <w:rFonts w:hint="eastAsia" w:ascii="宋体" w:hAnsi="宋体"/>
          <w:b/>
          <w:bCs/>
          <w:color w:val="000000" w:themeColor="text1"/>
          <w:sz w:val="28"/>
          <w:szCs w:val="28"/>
          <w14:textFill>
            <w14:solidFill>
              <w14:schemeClr w14:val="tx1"/>
            </w14:solidFill>
          </w14:textFill>
        </w:rPr>
        <w:t>投标文件格式</w:t>
      </w:r>
      <w:bookmarkEnd w:id="56"/>
      <w:bookmarkEnd w:id="57"/>
      <w:bookmarkEnd w:id="58"/>
      <w:r>
        <w:rPr>
          <w:rFonts w:hint="eastAsia" w:ascii="宋体" w:hAnsi="宋体"/>
          <w:b/>
          <w:bCs/>
          <w:color w:val="000000" w:themeColor="text1"/>
          <w:sz w:val="28"/>
          <w:szCs w:val="28"/>
          <w14:textFill>
            <w14:solidFill>
              <w14:schemeClr w14:val="tx1"/>
            </w14:solidFill>
          </w14:textFill>
        </w:rPr>
        <w:tab/>
      </w:r>
    </w:p>
    <w:p>
      <w:pPr>
        <w:numPr>
          <w:ilvl w:val="0"/>
          <w:numId w:val="23"/>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投标人应按照招标文件第3章中提供的“投标文件格式”填写相关内容。</w:t>
      </w:r>
    </w:p>
    <w:p>
      <w:pPr>
        <w:numPr>
          <w:ilvl w:val="0"/>
          <w:numId w:val="23"/>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对于没有格式要求的投标文件由投标人自行编写。</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投标报价</w:t>
      </w:r>
    </w:p>
    <w:p>
      <w:pPr>
        <w:numPr>
          <w:ilvl w:val="0"/>
          <w:numId w:val="24"/>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投标人的报价是投标人响应招标项目要求的全部工作内容的价格体现，包括投标人完成本项目所需的一切费用。</w:t>
      </w:r>
    </w:p>
    <w:p>
      <w:pPr>
        <w:numPr>
          <w:ilvl w:val="0"/>
          <w:numId w:val="24"/>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bookmarkStart w:id="59" w:name="_Toc183682360"/>
      <w:bookmarkStart w:id="60" w:name="_Toc217446050"/>
      <w:bookmarkStart w:id="61" w:name="_Toc183582223"/>
      <w:r>
        <w:rPr>
          <w:rFonts w:hint="eastAsia" w:ascii="宋体" w:hAnsi="宋体"/>
          <w:color w:val="000000" w:themeColor="text1"/>
          <w:sz w:val="28"/>
          <w:szCs w:val="28"/>
          <w14:textFill>
            <w14:solidFill>
              <w14:schemeClr w14:val="tx1"/>
            </w14:solidFill>
          </w14:textFill>
        </w:rPr>
        <w:t>三、投标文件报价出现前后不一致的，按照下列规定修正：（1）大写金额和小写金额不一致的，以大写金额为准，但大写金额出现文字错误，导致金额无法判断的除外；（</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）单价金额小数点或者百分比有明显错位的，应以总价为准，并修改单价；（</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cs="Arial"/>
          <w:color w:val="000000" w:themeColor="text1"/>
          <w:sz w:val="28"/>
          <w:szCs w:val="28"/>
          <w14:textFill>
            <w14:solidFill>
              <w14:schemeClr w14:val="tx1"/>
            </w14:solidFill>
          </w14:textFill>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000000" w:themeColor="text1"/>
          <w:sz w:val="28"/>
          <w:szCs w:val="28"/>
          <w14:textFill>
            <w14:solidFill>
              <w14:schemeClr w14:val="tx1"/>
            </w14:solidFill>
          </w14:textFill>
        </w:rPr>
        <w:t>如因断电、断网、系统故障或其他不可抗力等因素</w:t>
      </w:r>
      <w:r>
        <w:rPr>
          <w:rFonts w:hint="eastAsia" w:cs="Arial"/>
          <w:color w:val="000000" w:themeColor="text1"/>
          <w:sz w:val="28"/>
          <w:szCs w:val="28"/>
          <w14:textFill>
            <w14:solidFill>
              <w14:schemeClr w14:val="tx1"/>
            </w14:solidFill>
          </w14:textFill>
        </w:rPr>
        <w:t>，导致系统无法使用的，由投标人按评标委员会的要求进行澄清或者说明。</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投标保证金</w:t>
      </w:r>
      <w:bookmarkEnd w:id="59"/>
      <w:bookmarkEnd w:id="60"/>
      <w:bookmarkEnd w:id="61"/>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cs="Arial"/>
          <w:color w:val="000000" w:themeColor="text1"/>
          <w:sz w:val="28"/>
          <w:szCs w:val="28"/>
          <w14:textFill>
            <w14:solidFill>
              <w14:schemeClr w14:val="tx1"/>
            </w14:solidFill>
          </w14:textFill>
        </w:rPr>
        <w:t>本项目不收取投标保证金。</w:t>
      </w:r>
    </w:p>
    <w:p>
      <w:pPr>
        <w:keepNext/>
        <w:keepLines/>
        <w:numPr>
          <w:ilvl w:val="2"/>
          <w:numId w:val="1"/>
        </w:numPr>
        <w:tabs>
          <w:tab w:val="left" w:pos="851"/>
        </w:tabs>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62" w:name="_Toc316292024"/>
      <w:bookmarkEnd w:id="62"/>
      <w:bookmarkStart w:id="63" w:name="_Toc316291400"/>
      <w:bookmarkEnd w:id="63"/>
      <w:bookmarkStart w:id="64" w:name="_Toc183582224"/>
      <w:bookmarkStart w:id="65" w:name="_Toc217446051"/>
      <w:bookmarkStart w:id="66" w:name="_Toc183682361"/>
      <w:r>
        <w:rPr>
          <w:rFonts w:hint="eastAsia" w:ascii="宋体" w:hAnsi="宋体"/>
          <w:b/>
          <w:bCs/>
          <w:color w:val="000000" w:themeColor="text1"/>
          <w:sz w:val="28"/>
          <w:szCs w:val="28"/>
          <w14:textFill>
            <w14:solidFill>
              <w14:schemeClr w14:val="tx1"/>
            </w14:solidFill>
          </w14:textFill>
        </w:rPr>
        <w:t>投标有效期</w:t>
      </w:r>
      <w:bookmarkEnd w:id="64"/>
      <w:bookmarkEnd w:id="65"/>
      <w:bookmarkEnd w:id="66"/>
    </w:p>
    <w:p>
      <w:pPr>
        <w:numPr>
          <w:ilvl w:val="0"/>
          <w:numId w:val="2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w:t>
      </w:r>
      <w:r>
        <w:rPr>
          <w:rFonts w:hint="eastAsia" w:ascii="Helvetica" w:hAnsi="Helvetica" w:cs="Helvetica"/>
          <w:color w:val="000000" w:themeColor="text1"/>
          <w:sz w:val="28"/>
          <w:szCs w:val="28"/>
          <w14:textFill>
            <w14:solidFill>
              <w14:schemeClr w14:val="tx1"/>
            </w14:solidFill>
          </w14:textFill>
        </w:rPr>
        <w:t>提交投标文件的截止之日起</w:t>
      </w:r>
      <w:r>
        <w:rPr>
          <w:rFonts w:hint="eastAsia" w:ascii="宋体" w:hAnsi="宋体"/>
          <w:color w:val="000000" w:themeColor="text1"/>
          <w:sz w:val="28"/>
          <w:szCs w:val="28"/>
          <w:u w:val="single"/>
          <w14:textFill>
            <w14:solidFill>
              <w14:schemeClr w14:val="tx1"/>
            </w14:solidFill>
          </w14:textFill>
        </w:rPr>
        <w:t>90</w:t>
      </w:r>
      <w:r>
        <w:rPr>
          <w:rFonts w:hint="eastAsia" w:ascii="宋体" w:hAnsi="宋体"/>
          <w:color w:val="000000" w:themeColor="text1"/>
          <w:sz w:val="28"/>
          <w:szCs w:val="28"/>
          <w14:textFill>
            <w14:solidFill>
              <w14:schemeClr w14:val="tx1"/>
            </w14:solidFill>
          </w14:textFill>
        </w:rPr>
        <w:t>天。投标有效期短于此规定期限的或不作响应的，则其投标文件将按无效投标文件处理。</w:t>
      </w:r>
    </w:p>
    <w:p>
      <w:pPr>
        <w:numPr>
          <w:ilvl w:val="0"/>
          <w:numId w:val="2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4"/>
        <w:tabs>
          <w:tab w:val="left" w:pos="851"/>
        </w:tabs>
        <w:spacing w:after="200" w:line="240" w:lineRule="auto"/>
        <w:ind w:left="0" w:firstLine="0"/>
        <w:rPr>
          <w:color w:val="000000" w:themeColor="text1"/>
          <w14:textFill>
            <w14:solidFill>
              <w14:schemeClr w14:val="tx1"/>
            </w14:solidFill>
          </w14:textFill>
        </w:rPr>
      </w:pPr>
      <w:bookmarkStart w:id="67" w:name="_Toc183582227"/>
      <w:bookmarkStart w:id="68" w:name="_Toc183682364"/>
      <w:bookmarkStart w:id="69" w:name="_Toc217446054"/>
      <w:r>
        <w:rPr>
          <w:rFonts w:hint="eastAsia"/>
          <w:color w:val="000000" w:themeColor="text1"/>
          <w14:textFill>
            <w14:solidFill>
              <w14:schemeClr w14:val="tx1"/>
            </w14:solidFill>
          </w14:textFill>
        </w:rPr>
        <w:t>投标文件的制作和签章、加密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4"/>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w:t>
      </w:r>
      <w:bookmarkEnd w:id="67"/>
      <w:bookmarkEnd w:id="68"/>
      <w:r>
        <w:rPr>
          <w:rFonts w:hint="eastAsia"/>
          <w:color w:val="000000" w:themeColor="text1"/>
          <w14:textFill>
            <w14:solidFill>
              <w14:schemeClr w14:val="tx1"/>
            </w14:solidFill>
          </w14:textFill>
        </w:rPr>
        <w:t>递交</w:t>
      </w:r>
      <w:bookmarkEnd w:id="69"/>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bookmarkStart w:id="70" w:name="_Toc316475587"/>
      <w:bookmarkEnd w:id="70"/>
      <w:bookmarkStart w:id="71" w:name="_Toc316475586"/>
      <w:bookmarkEnd w:id="71"/>
      <w:bookmarkStart w:id="72" w:name="_Toc183582228"/>
      <w:bookmarkStart w:id="73" w:name="_Toc183682365"/>
      <w:bookmarkStart w:id="74" w:name="_Toc217446055"/>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成都市青羊区政府采购服务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4"/>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w:t>
      </w:r>
      <w:bookmarkEnd w:id="72"/>
      <w:bookmarkEnd w:id="73"/>
      <w:bookmarkEnd w:id="74"/>
      <w:r>
        <w:rPr>
          <w:rFonts w:hint="eastAsia"/>
          <w:color w:val="000000" w:themeColor="text1"/>
          <w14:textFill>
            <w14:solidFill>
              <w14:schemeClr w14:val="tx1"/>
            </w14:solidFill>
          </w14:textFill>
        </w:rPr>
        <w:t>补充、修改</w:t>
      </w:r>
    </w:p>
    <w:p>
      <w:pPr>
        <w:numPr>
          <w:ilvl w:val="0"/>
          <w:numId w:val="26"/>
        </w:numPr>
        <w:tabs>
          <w:tab w:val="left" w:pos="1134"/>
        </w:tabs>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6"/>
        </w:numPr>
        <w:tabs>
          <w:tab w:val="left" w:pos="1134"/>
        </w:tabs>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4"/>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投标文件的撤回</w:t>
      </w:r>
    </w:p>
    <w:p>
      <w:pPr>
        <w:spacing w:before="120" w:after="200" w:line="360" w:lineRule="auto"/>
        <w:ind w:firstLine="565" w:firstLineChars="202"/>
        <w:rPr>
          <w:rFonts w:ascii="宋体" w:hAnsi="宋体"/>
          <w:bCs/>
          <w:color w:val="000000" w:themeColor="text1"/>
          <w:sz w:val="28"/>
          <w:szCs w:val="28"/>
          <w14:textFill>
            <w14:solidFill>
              <w14:schemeClr w14:val="tx1"/>
            </w14:solidFill>
          </w14:textFill>
        </w:rPr>
      </w:pPr>
      <w:bookmarkStart w:id="75" w:name="_Toc183682368"/>
      <w:bookmarkStart w:id="76" w:name="_Toc77400782"/>
      <w:bookmarkStart w:id="77" w:name="_Toc89075878"/>
      <w:bookmarkStart w:id="78" w:name="_Toc183582231"/>
      <w:bookmarkStart w:id="79" w:name="_Toc217446056"/>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4"/>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登录政府采购云平台，点击“项目采购—开标评标”模块，找到对应项目，进入“开标大厅”，等待区政府采购服务中心开启解密后，进行线上解密。</w:t>
      </w:r>
      <w:r>
        <w:rPr>
          <w:rFonts w:hint="eastAsia" w:ascii="宋体" w:hAnsi="宋体"/>
          <w:bCs/>
          <w:color w:val="000000" w:themeColor="text1"/>
          <w:sz w:val="28"/>
          <w:szCs w:val="28"/>
          <w14:textFill>
            <w14:solidFill>
              <w14:schemeClr w14:val="tx1"/>
            </w14:solidFill>
          </w14:textFill>
        </w:rPr>
        <w:t>除因断电、断网、系统故障或其他不可抗力等因素，导致系统无法使用外，投标人在规定的解密时间内，未成功解密的投标文件将视为无效投标文件。</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80" w:name="_Toc76541350"/>
      <w:r>
        <w:rPr>
          <w:rFonts w:hint="eastAsia" w:ascii="宋体" w:hAnsi="宋体"/>
          <w:b/>
          <w:bCs/>
          <w:color w:val="000000" w:themeColor="text1"/>
          <w:sz w:val="28"/>
          <w:szCs w:val="28"/>
          <w14:textFill>
            <w14:solidFill>
              <w14:schemeClr w14:val="tx1"/>
            </w14:solidFill>
          </w14:textFill>
        </w:rPr>
        <w:t>开标、资格审查、评标和中标</w:t>
      </w:r>
      <w:bookmarkEnd w:id="75"/>
      <w:bookmarkEnd w:id="76"/>
      <w:bookmarkEnd w:id="77"/>
      <w:bookmarkEnd w:id="78"/>
      <w:bookmarkEnd w:id="79"/>
      <w:bookmarkEnd w:id="80"/>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81" w:name="_Toc183682369"/>
      <w:bookmarkStart w:id="82" w:name="_Toc183582232"/>
      <w:bookmarkStart w:id="83" w:name="_Toc217446057"/>
      <w:r>
        <w:rPr>
          <w:rFonts w:hint="eastAsia" w:ascii="宋体" w:hAnsi="宋体"/>
          <w:b/>
          <w:bCs/>
          <w:color w:val="000000" w:themeColor="text1"/>
          <w:sz w:val="28"/>
          <w:szCs w:val="28"/>
          <w14:textFill>
            <w14:solidFill>
              <w14:schemeClr w14:val="tx1"/>
            </w14:solidFill>
          </w14:textFill>
        </w:rPr>
        <w:t>开标</w:t>
      </w:r>
      <w:bookmarkEnd w:id="81"/>
      <w:bookmarkEnd w:id="82"/>
      <w:bookmarkEnd w:id="83"/>
      <w:r>
        <w:rPr>
          <w:rFonts w:hint="eastAsia" w:ascii="宋体" w:hAnsi="宋体"/>
          <w:b/>
          <w:bCs/>
          <w:color w:val="000000" w:themeColor="text1"/>
          <w:sz w:val="28"/>
          <w:szCs w:val="28"/>
          <w14:textFill>
            <w14:solidFill>
              <w14:schemeClr w14:val="tx1"/>
            </w14:solidFill>
          </w14:textFill>
        </w:rPr>
        <w:t>及开标程序</w:t>
      </w:r>
    </w:p>
    <w:p>
      <w:pPr>
        <w:pStyle w:val="80"/>
        <w:numPr>
          <w:ilvl w:val="0"/>
          <w:numId w:val="27"/>
        </w:numPr>
        <w:tabs>
          <w:tab w:val="left" w:pos="1134"/>
        </w:tabs>
        <w:spacing w:before="120" w:after="200" w:line="360" w:lineRule="auto"/>
        <w:ind w:left="0" w:right="210" w:firstLine="567" w:firstLineChars="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本项目为不见面开标项目。递交投标文件的投标人不足3家的，不予开标。</w:t>
      </w:r>
    </w:p>
    <w:p>
      <w:pPr>
        <w:pStyle w:val="80"/>
        <w:numPr>
          <w:ilvl w:val="0"/>
          <w:numId w:val="27"/>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80"/>
        <w:numPr>
          <w:ilvl w:val="0"/>
          <w:numId w:val="27"/>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投标文件。等待区采购中心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pStyle w:val="80"/>
        <w:numPr>
          <w:ilvl w:val="0"/>
          <w:numId w:val="27"/>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0"/>
        <w:numPr>
          <w:ilvl w:val="0"/>
          <w:numId w:val="27"/>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80"/>
        <w:numPr>
          <w:ilvl w:val="0"/>
          <w:numId w:val="27"/>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因断电、断网、系统故障或其他不可抗力等因素导致不见面开标系统无法正常运行的，开标活动中止或延迟，待系统恢复正常后继续进行开标活动。</w:t>
      </w:r>
    </w:p>
    <w:p>
      <w:pPr>
        <w:pStyle w:val="80"/>
        <w:numPr>
          <w:ilvl w:val="0"/>
          <w:numId w:val="27"/>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资格审查</w:t>
      </w:r>
    </w:p>
    <w:p>
      <w:pPr>
        <w:spacing w:line="360" w:lineRule="auto"/>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详见招标文件第5章。</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评标</w:t>
      </w:r>
    </w:p>
    <w:p>
      <w:pPr>
        <w:spacing w:line="360" w:lineRule="auto"/>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详见招标文件第6章。</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84" w:name="_Toc183682375"/>
      <w:bookmarkStart w:id="85" w:name="_Toc183582238"/>
      <w:bookmarkStart w:id="86" w:name="_Toc217446063"/>
      <w:r>
        <w:rPr>
          <w:rFonts w:hint="eastAsia" w:ascii="宋体" w:hAnsi="宋体"/>
          <w:b/>
          <w:bCs/>
          <w:color w:val="000000" w:themeColor="text1"/>
          <w:sz w:val="28"/>
          <w:szCs w:val="28"/>
          <w14:textFill>
            <w14:solidFill>
              <w14:schemeClr w14:val="tx1"/>
            </w14:solidFill>
          </w14:textFill>
        </w:rPr>
        <w:t>中标通知</w:t>
      </w:r>
      <w:bookmarkEnd w:id="84"/>
      <w:bookmarkEnd w:id="85"/>
      <w:r>
        <w:rPr>
          <w:rFonts w:hint="eastAsia" w:ascii="宋体" w:hAnsi="宋体"/>
          <w:b/>
          <w:bCs/>
          <w:color w:val="000000" w:themeColor="text1"/>
          <w:sz w:val="28"/>
          <w:szCs w:val="28"/>
          <w14:textFill>
            <w14:solidFill>
              <w14:schemeClr w14:val="tx1"/>
            </w14:solidFill>
          </w14:textFill>
        </w:rPr>
        <w:t>书</w:t>
      </w:r>
      <w:bookmarkEnd w:id="86"/>
    </w:p>
    <w:p>
      <w:pPr>
        <w:spacing w:line="580" w:lineRule="exact"/>
        <w:ind w:right="210" w:firstLine="560" w:firstLineChars="200"/>
        <w:rPr>
          <w:rFonts w:ascii="宋体" w:hAnsi="宋体"/>
          <w:color w:val="000000" w:themeColor="text1"/>
          <w:sz w:val="28"/>
          <w:szCs w:val="28"/>
          <w14:textFill>
            <w14:solidFill>
              <w14:schemeClr w14:val="tx1"/>
            </w14:solidFill>
          </w14:textFill>
        </w:rPr>
      </w:pPr>
      <w:bookmarkStart w:id="87" w:name="_Toc217446064"/>
      <w:bookmarkStart w:id="88" w:name="_Toc183582240"/>
      <w:bookmarkStart w:id="89" w:name="_Toc183682377"/>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w:t>
      </w:r>
      <w:r>
        <w:rPr>
          <w:rFonts w:ascii="宋体" w:hAnsi="宋体"/>
          <w:color w:val="000000" w:themeColor="text1"/>
          <w:sz w:val="28"/>
          <w:szCs w:val="28"/>
          <w14:textFill>
            <w14:solidFill>
              <w14:schemeClr w14:val="tx1"/>
            </w14:solidFill>
          </w14:textFill>
        </w:rPr>
        <w:t>采购</w:t>
      </w:r>
      <w:r>
        <w:rPr>
          <w:rFonts w:hint="eastAsia" w:ascii="宋体" w:hAnsi="宋体"/>
          <w:color w:val="000000" w:themeColor="text1"/>
          <w:sz w:val="28"/>
          <w:szCs w:val="28"/>
          <w14:textFill>
            <w14:solidFill>
              <w14:schemeClr w14:val="tx1"/>
            </w14:solidFill>
          </w14:textFill>
        </w:rPr>
        <w:t>云平台下载中标通知书。</w:t>
      </w:r>
    </w:p>
    <w:p>
      <w:pPr>
        <w:keepNext/>
        <w:keepLines/>
        <w:numPr>
          <w:ilvl w:val="1"/>
          <w:numId w:val="1"/>
        </w:numPr>
        <w:spacing w:before="240" w:line="360" w:lineRule="auto"/>
        <w:jc w:val="left"/>
        <w:outlineLvl w:val="1"/>
        <w:rPr>
          <w:rFonts w:ascii="宋体" w:hAnsi="宋体"/>
          <w:b/>
          <w:bCs/>
          <w:color w:val="000000" w:themeColor="text1"/>
          <w:sz w:val="28"/>
          <w:szCs w:val="28"/>
          <w14:textFill>
            <w14:solidFill>
              <w14:schemeClr w14:val="tx1"/>
            </w14:solidFill>
          </w14:textFill>
        </w:rPr>
      </w:pPr>
      <w:bookmarkStart w:id="90" w:name="_Toc76541351"/>
      <w:r>
        <w:rPr>
          <w:rFonts w:hint="eastAsia" w:ascii="宋体" w:hAnsi="宋体"/>
          <w:b/>
          <w:bCs/>
          <w:color w:val="000000" w:themeColor="text1"/>
          <w:sz w:val="28"/>
          <w:szCs w:val="28"/>
          <w14:textFill>
            <w14:solidFill>
              <w14:schemeClr w14:val="tx1"/>
            </w14:solidFill>
          </w14:textFill>
        </w:rPr>
        <w:t>签订及履行合同和验收</w:t>
      </w:r>
      <w:bookmarkEnd w:id="87"/>
      <w:bookmarkEnd w:id="90"/>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91" w:name="_Toc217446065"/>
      <w:r>
        <w:rPr>
          <w:rFonts w:hint="eastAsia" w:ascii="宋体" w:hAnsi="宋体"/>
          <w:b/>
          <w:bCs/>
          <w:color w:val="000000" w:themeColor="text1"/>
          <w:sz w:val="28"/>
          <w:szCs w:val="28"/>
          <w14:textFill>
            <w14:solidFill>
              <w14:schemeClr w14:val="tx1"/>
            </w14:solidFill>
          </w14:textFill>
        </w:rPr>
        <w:t>签订合同</w:t>
      </w:r>
      <w:bookmarkEnd w:id="91"/>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四、询问或者质疑事项可能影响中标、成交结果的，采购人应当暂停签订合同，已经签订合同的，应当中止履行合同。</w:t>
      </w: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bookmarkStart w:id="92" w:name="_Toc315871033"/>
      <w:bookmarkEnd w:id="92"/>
      <w:bookmarkStart w:id="93" w:name="_Toc217446066"/>
      <w:r>
        <w:rPr>
          <w:rFonts w:hint="eastAsia" w:ascii="宋体" w:hAnsi="宋体"/>
          <w:b/>
          <w:bCs/>
          <w:color w:val="000000" w:themeColor="text1"/>
          <w:sz w:val="28"/>
          <w:szCs w:val="28"/>
          <w14:textFill>
            <w14:solidFill>
              <w14:schemeClr w14:val="tx1"/>
            </w14:solidFill>
          </w14:textFill>
        </w:rPr>
        <w:t>合同分包</w:t>
      </w:r>
      <w:bookmarkEnd w:id="93"/>
      <w:r>
        <w:rPr>
          <w:rFonts w:hint="eastAsia" w:ascii="宋体" w:hAnsi="宋体"/>
          <w:b/>
          <w:bCs/>
          <w:color w:val="000000" w:themeColor="text1"/>
          <w:sz w:val="28"/>
          <w:szCs w:val="28"/>
          <w14:textFill>
            <w14:solidFill>
              <w14:schemeClr w14:val="tx1"/>
            </w14:solidFill>
          </w14:textFill>
        </w:rPr>
        <w:t>和转包</w:t>
      </w:r>
    </w:p>
    <w:p>
      <w:pPr>
        <w:keepNext/>
        <w:keepLines/>
        <w:numPr>
          <w:ilvl w:val="3"/>
          <w:numId w:val="1"/>
        </w:numPr>
        <w:spacing w:line="360" w:lineRule="auto"/>
        <w:ind w:left="1275" w:hanging="1275"/>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合同分包</w:t>
      </w:r>
    </w:p>
    <w:p>
      <w:pPr>
        <w:pStyle w:val="120"/>
        <w:spacing w:line="360" w:lineRule="auto"/>
        <w:ind w:firstLine="560" w:firstLineChars="200"/>
        <w:rPr>
          <w:rFonts w:cs="Times New Roman" w:eastAsiaTheme="minorEastAsia"/>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keepNext/>
        <w:keepLines/>
        <w:numPr>
          <w:ilvl w:val="3"/>
          <w:numId w:val="1"/>
        </w:numPr>
        <w:spacing w:line="360" w:lineRule="auto"/>
        <w:ind w:left="1275" w:hanging="1275"/>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合同转包</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一、严禁中标供应商将本项目转包。本项目所称转包，是指</w:t>
      </w:r>
      <w:r>
        <w:rPr>
          <w:rFonts w:hint="eastAsia" w:ascii="宋体" w:hAnsi="宋体" w:cs="宋体"/>
          <w:color w:val="000000" w:themeColor="text1"/>
          <w:sz w:val="28"/>
          <w:szCs w:val="28"/>
          <w14:textFill>
            <w14:solidFill>
              <w14:schemeClr w14:val="tx1"/>
            </w14:solidFill>
          </w14:textFill>
        </w:rPr>
        <w:t xml:space="preserve">将本项目转给他人或者将本项目全部肢解以后以分包的名义分别转给他人的行为。 </w:t>
      </w:r>
    </w:p>
    <w:p>
      <w:pPr>
        <w:spacing w:line="360" w:lineRule="auto"/>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二、中标供应商转包的，视同拒绝履行政府采购合同，将依法追究法律责任。</w:t>
      </w:r>
    </w:p>
    <w:p>
      <w:pPr>
        <w:keepNext/>
        <w:keepLines/>
        <w:numPr>
          <w:ilvl w:val="2"/>
          <w:numId w:val="1"/>
        </w:numPr>
        <w:spacing w:before="240" w:line="360" w:lineRule="auto"/>
        <w:ind w:left="0" w:firstLine="0"/>
        <w:outlineLvl w:val="2"/>
        <w:rPr>
          <w:rFonts w:ascii="宋体" w:hAnsi="宋体"/>
          <w:b/>
          <w:bCs/>
          <w:color w:val="000000" w:themeColor="text1"/>
          <w:sz w:val="28"/>
          <w:szCs w:val="28"/>
          <w14:textFill>
            <w14:solidFill>
              <w14:schemeClr w14:val="tx1"/>
            </w14:solidFill>
          </w14:textFill>
        </w:rPr>
      </w:pPr>
      <w:bookmarkStart w:id="94" w:name="_Toc217446067"/>
      <w:r>
        <w:rPr>
          <w:rFonts w:hint="eastAsia" w:ascii="宋体" w:hAnsi="宋体"/>
          <w:b/>
          <w:bCs/>
          <w:color w:val="000000" w:themeColor="text1"/>
          <w:sz w:val="28"/>
          <w:szCs w:val="28"/>
          <w14:textFill>
            <w14:solidFill>
              <w14:schemeClr w14:val="tx1"/>
            </w14:solidFill>
          </w14:textFill>
        </w:rPr>
        <w:t>采购人增加合同标的的权</w:t>
      </w:r>
      <w:bookmarkEnd w:id="94"/>
      <w:r>
        <w:rPr>
          <w:rFonts w:hint="eastAsia" w:ascii="宋体" w:hAnsi="宋体"/>
          <w:b/>
          <w:bCs/>
          <w:color w:val="000000" w:themeColor="text1"/>
          <w:sz w:val="28"/>
          <w:szCs w:val="28"/>
          <w14:textFill>
            <w14:solidFill>
              <w14:schemeClr w14:val="tx1"/>
            </w14:solidFill>
          </w14:textFill>
        </w:rPr>
        <w:t>利</w:t>
      </w:r>
    </w:p>
    <w:p>
      <w:pPr>
        <w:spacing w:after="180"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95" w:name="_Toc217446068"/>
      <w:r>
        <w:rPr>
          <w:rFonts w:hint="eastAsia" w:ascii="宋体" w:hAnsi="宋体"/>
          <w:b/>
          <w:bCs/>
          <w:color w:val="000000" w:themeColor="text1"/>
          <w:sz w:val="28"/>
          <w:szCs w:val="28"/>
          <w14:textFill>
            <w14:solidFill>
              <w14:schemeClr w14:val="tx1"/>
            </w14:solidFill>
          </w14:textFill>
        </w:rPr>
        <w:t>履约保证金</w:t>
      </w:r>
      <w:bookmarkEnd w:id="95"/>
    </w:p>
    <w:p>
      <w:pPr>
        <w:spacing w:line="360" w:lineRule="auto"/>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本项目不收取履约保证金。</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96" w:name="_Toc217446069"/>
      <w:r>
        <w:rPr>
          <w:rFonts w:hint="eastAsia" w:ascii="宋体" w:hAnsi="宋体"/>
          <w:b/>
          <w:bCs/>
          <w:color w:val="000000" w:themeColor="text1"/>
          <w:sz w:val="28"/>
          <w:szCs w:val="28"/>
          <w14:textFill>
            <w14:solidFill>
              <w14:schemeClr w14:val="tx1"/>
            </w14:solidFill>
          </w14:textFill>
        </w:rPr>
        <w:t>合同公告</w:t>
      </w:r>
    </w:p>
    <w:p>
      <w:pPr>
        <w:spacing w:after="180"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合同备案</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疫情防控期间，采购人原则上在5个工作日内与供应商签订政府采购合同及按成都市青羊区财政局的要求完成合同备案工作。</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履行合同</w:t>
      </w:r>
      <w:bookmarkEnd w:id="96"/>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一、合同一经签订，双方应严格履行合同规定的义务。</w:t>
      </w:r>
    </w:p>
    <w:p>
      <w:pPr>
        <w:tabs>
          <w:tab w:val="left" w:pos="1134"/>
        </w:tabs>
        <w:spacing w:line="360" w:lineRule="auto"/>
        <w:ind w:firstLine="560" w:firstLineChars="200"/>
        <w:rPr>
          <w:rFonts w:ascii="Times New Roman" w:hAnsi="Times New Roman" w:eastAsia="仿宋_GB2312"/>
          <w:sz w:val="32"/>
          <w:szCs w:val="32"/>
        </w:rPr>
      </w:pPr>
      <w:r>
        <w:rPr>
          <w:rFonts w:hint="eastAsia" w:ascii="宋体" w:hAnsi="宋体"/>
          <w:color w:val="000000" w:themeColor="text1"/>
          <w:sz w:val="28"/>
          <w:szCs w:val="28"/>
          <w14:textFill>
            <w14:solidFill>
              <w14:schemeClr w14:val="tx1"/>
            </w14:solidFill>
          </w14:textFill>
        </w:rPr>
        <w:t>二、在合同履行过程中，如发生合同纠纷，合同双方应按照《中华人民共和国民法典》及合同条款的有关规定进行处理。</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Times New Roman" w:hAnsi="Times New Roman" w:eastAsia="仿宋_GB2312"/>
          <w:sz w:val="32"/>
          <w:szCs w:val="32"/>
        </w:rPr>
        <w:t>★验收标准和方法</w:t>
      </w:r>
    </w:p>
    <w:bookmarkEnd w:id="88"/>
    <w:bookmarkEnd w:id="89"/>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bookmarkStart w:id="97" w:name="_Toc217446074"/>
      <w:bookmarkStart w:id="98" w:name="_Toc183682380"/>
      <w:bookmarkStart w:id="99" w:name="_Toc183582243"/>
      <w:r>
        <w:rPr>
          <w:rFonts w:hint="eastAsia" w:ascii="宋体" w:hAnsi="宋体"/>
          <w:color w:val="000000" w:themeColor="text1"/>
          <w:sz w:val="28"/>
          <w:szCs w:val="28"/>
          <w14:textFill>
            <w14:solidFill>
              <w14:schemeClr w14:val="tx1"/>
            </w14:solidFill>
          </w14:textFill>
        </w:rPr>
        <w:t>1中标供应商应根据行业惯例和规定的相关国家标准(包括但不限于信息产业部)在中标后需提供一份详细的系统的检验测试办法和测试标准，以及相应的测试和检验时间计划。</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2采购人在接到供应商系统检验测试的申请后，采购人负责提供操作人员参加检验和测试，其它任何与检验和测试系统的费用由供应商负担。</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3项目验收包括货物验收和安装验收2个阶段。</w:t>
      </w:r>
    </w:p>
    <w:p>
      <w:pPr>
        <w:tabs>
          <w:tab w:val="left" w:pos="1134"/>
        </w:tabs>
        <w:spacing w:line="360" w:lineRule="auto"/>
        <w:ind w:firstLine="560" w:firstLineChars="200"/>
        <w:rPr>
          <w:rFonts w:ascii="宋体" w:hAnsi="宋体"/>
          <w:color w:val="FF0000"/>
          <w:sz w:val="28"/>
          <w:szCs w:val="28"/>
        </w:rPr>
      </w:pPr>
      <w:r>
        <w:rPr>
          <w:rFonts w:hint="eastAsia" w:ascii="宋体" w:hAnsi="宋体"/>
          <w:color w:val="000000" w:themeColor="text1"/>
          <w:sz w:val="28"/>
          <w:szCs w:val="28"/>
          <w14:textFill>
            <w14:solidFill>
              <w14:schemeClr w14:val="tx1"/>
            </w14:solidFill>
          </w14:textFill>
        </w:rPr>
        <w:t>4其他未尽事宜应严格按照《财政部关于进一步加强政府采购需求和履约验收管理的指导意见》(财库〔2016〕205号)、《四川省政府采购项目需求论证和履约验收管理办法》(川财采〔2015〕32号)的要求进行验收</w:t>
      </w:r>
      <w:r>
        <w:rPr>
          <w:rFonts w:hint="eastAsia" w:ascii="宋体" w:hAnsi="宋体"/>
          <w:color w:val="FF0000"/>
          <w:sz w:val="28"/>
          <w:szCs w:val="28"/>
        </w:rPr>
        <w:t>。</w:t>
      </w:r>
    </w:p>
    <w:p>
      <w:pPr>
        <w:keepNext/>
        <w:keepLines/>
        <w:numPr>
          <w:ilvl w:val="2"/>
          <w:numId w:val="1"/>
        </w:numPr>
        <w:spacing w:line="360" w:lineRule="auto"/>
        <w:ind w:left="0" w:firstLine="0"/>
        <w:outlineLvl w:val="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★付款方式</w:t>
      </w:r>
      <w:bookmarkStart w:id="100" w:name="_Toc76541352"/>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1签订合同后，供应商向采购人开具正式发票，采购人在收到发票后三十个工作日内支付合同总金额30%的合同首付款；</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2主要设备进场并经采购人和项目监理清点签收后五个工作日内成交供应商向采购人开具正式发票，采购人在收到发票后三十个工作日内支付合同总金额20%的合同款；</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3项目完成并经采购人和项目监理验收合格后五个工作日内成交供应商向采购人开具正式发票，采购人在收到发票后三十个工作日内支付合同总金额40%的合同款；</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4项目验收完成并成功运行1年后五个工作日内成交供应商向采购人开具正式发票，采购人在收到发票后三十个工作日内支付合同总金额10%的合同款。</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投标纪律要求</w:t>
      </w:r>
      <w:bookmarkEnd w:id="97"/>
      <w:bookmarkEnd w:id="100"/>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101" w:name="_Toc217446075"/>
      <w:r>
        <w:rPr>
          <w:rFonts w:hint="eastAsia" w:ascii="宋体" w:hAnsi="宋体"/>
          <w:b/>
          <w:bCs/>
          <w:color w:val="000000" w:themeColor="text1"/>
          <w:sz w:val="28"/>
          <w:szCs w:val="28"/>
          <w14:textFill>
            <w14:solidFill>
              <w14:schemeClr w14:val="tx1"/>
            </w14:solidFill>
          </w14:textFill>
        </w:rPr>
        <w:t>投标人不得具有的情形</w:t>
      </w:r>
      <w:bookmarkEnd w:id="101"/>
    </w:p>
    <w:p>
      <w:pPr>
        <w:spacing w:after="180" w:line="360" w:lineRule="auto"/>
        <w:ind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投标人参加投标不得有下列情形：</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有下列情形之一的，视为投标人串通投标：</w:t>
      </w:r>
    </w:p>
    <w:p>
      <w:pPr>
        <w:tabs>
          <w:tab w:val="left" w:pos="1134"/>
        </w:tabs>
        <w:spacing w:line="360" w:lineRule="auto"/>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（一）不同投标人的投标文件由同一单位或者个人编制；</w:t>
      </w:r>
    </w:p>
    <w:p>
      <w:pPr>
        <w:tabs>
          <w:tab w:val="left" w:pos="1134"/>
        </w:tabs>
        <w:spacing w:line="360" w:lineRule="auto"/>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（二）不同投标人委托同一单位或者个人办理投标事宜；</w:t>
      </w:r>
    </w:p>
    <w:p>
      <w:pPr>
        <w:tabs>
          <w:tab w:val="left" w:pos="1134"/>
        </w:tabs>
        <w:spacing w:line="360" w:lineRule="auto"/>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（三）不同投标人的投标文件载明的项目管理成员或者联系人员为同一人；</w:t>
      </w:r>
    </w:p>
    <w:p>
      <w:pPr>
        <w:tabs>
          <w:tab w:val="left" w:pos="1134"/>
        </w:tabs>
        <w:spacing w:line="360" w:lineRule="auto"/>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（四）不同投标人的投标文件异常一致或者投标报价呈规律性差异；</w:t>
      </w:r>
    </w:p>
    <w:p>
      <w:pPr>
        <w:tabs>
          <w:tab w:val="left" w:pos="1134"/>
        </w:tabs>
        <w:spacing w:line="360" w:lineRule="auto"/>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（五）不同投标人的投标文件相互混装；</w:t>
      </w:r>
    </w:p>
    <w:p>
      <w:pPr>
        <w:tabs>
          <w:tab w:val="left" w:pos="1134"/>
        </w:tabs>
        <w:spacing w:line="360" w:lineRule="auto"/>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（六）不同投标人的投标保证金从同一单位或者个人的账户转出；</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提供虚假材料谋取中标；</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采取不正当手段诋毁、排挤其他投标人；</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与采购人或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、其他投标人恶意串通；</w:t>
      </w:r>
    </w:p>
    <w:p>
      <w:pPr>
        <w:numPr>
          <w:ilvl w:val="1"/>
          <w:numId w:val="28"/>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、评标委员会成员行贿或者提供其他不正当利益；</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在招标过程中与采购人或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进行协商谈判；</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中标后无正当理由拒不与采购人签订政府采购合同；</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未按照采购文件确定的事项签订政府采购合同；</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将政府采购合同转包或者违规分包；</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提供假冒伪劣产品；</w:t>
      </w:r>
    </w:p>
    <w:p>
      <w:pPr>
        <w:numPr>
          <w:ilvl w:val="1"/>
          <w:numId w:val="28"/>
        </w:numPr>
        <w:tabs>
          <w:tab w:val="left" w:pos="1134"/>
          <w:tab w:val="left" w:pos="1418"/>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擅自变更、中止或者终止政府采购合同；</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十四、处于被行政部门禁止参与政府采购活动的期限内；</w:t>
      </w:r>
    </w:p>
    <w:p>
      <w:pPr>
        <w:tabs>
          <w:tab w:val="left" w:pos="1134"/>
        </w:tabs>
        <w:spacing w:line="360" w:lineRule="auto"/>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十五、拒绝有关部门的监督检查或者向监督检查部门提供虚假情况；</w:t>
      </w:r>
    </w:p>
    <w:p>
      <w:pPr>
        <w:spacing w:after="180"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十六、法律法规规定的其他情形。</w:t>
      </w:r>
    </w:p>
    <w:p>
      <w:pPr>
        <w:spacing w:after="180" w:line="360" w:lineRule="auto"/>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投标人有上述情形的，按照规定追究法律责任，具备一至十四条情形之一的，同时将认定投标人投标无效或不确定其为中标人，或者取消中标资格或认定中标无效。</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102" w:name="_Toc314574786"/>
      <w:r>
        <w:rPr>
          <w:rFonts w:hint="eastAsia" w:ascii="宋体" w:hAnsi="宋体"/>
          <w:b/>
          <w:bCs/>
          <w:color w:val="000000" w:themeColor="text1"/>
          <w:sz w:val="28"/>
          <w:szCs w:val="28"/>
          <w14:textFill>
            <w14:solidFill>
              <w14:schemeClr w14:val="tx1"/>
            </w14:solidFill>
          </w14:textFill>
        </w:rPr>
        <w:t>保密</w:t>
      </w:r>
      <w:bookmarkEnd w:id="102"/>
    </w:p>
    <w:p>
      <w:pPr>
        <w:numPr>
          <w:ilvl w:val="0"/>
          <w:numId w:val="29"/>
        </w:numPr>
        <w:tabs>
          <w:tab w:val="left" w:pos="0"/>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不得透露有关在系统中成功提交《采购文件获取登记表》的潜在投标人的任何情况。</w:t>
      </w:r>
    </w:p>
    <w:p>
      <w:pPr>
        <w:numPr>
          <w:ilvl w:val="0"/>
          <w:numId w:val="29"/>
        </w:numPr>
        <w:tabs>
          <w:tab w:val="left" w:pos="0"/>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有关投标文件的审查、澄清、评估和比较以及合同授予意向等情况都不得对外透露。</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回避</w:t>
      </w:r>
    </w:p>
    <w:p>
      <w:pPr>
        <w:shd w:val="clear" w:color="auto" w:fill="FFFFFF"/>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在政府采购活动中，采购人员</w:t>
      </w:r>
      <w:r>
        <w:rPr>
          <w:rFonts w:hint="eastAsia" w:cs="Helvetica"/>
          <w:color w:val="000000" w:themeColor="text1"/>
          <w:sz w:val="28"/>
          <w:szCs w:val="28"/>
          <w14:textFill>
            <w14:solidFill>
              <w14:schemeClr w14:val="tx1"/>
            </w14:solidFill>
          </w14:textFill>
        </w:rPr>
        <w:t>（如</w:t>
      </w:r>
      <w:r>
        <w:rPr>
          <w:rFonts w:hint="eastAsia"/>
          <w:color w:val="000000" w:themeColor="text1"/>
          <w:sz w:val="28"/>
          <w:szCs w:val="28"/>
          <w14:textFill>
            <w14:solidFill>
              <w14:schemeClr w14:val="tx1"/>
            </w14:solidFill>
          </w14:textFill>
        </w:rPr>
        <w:t>采购人内部负责采购项目的具体经办工作人员或直接分管采购项目的负责人、</w:t>
      </w:r>
      <w:r>
        <w:rPr>
          <w:rFonts w:hint="eastAsia" w:cs="Arial"/>
          <w:color w:val="000000" w:themeColor="text1"/>
          <w:sz w:val="28"/>
          <w:szCs w:val="28"/>
          <w14:textFill>
            <w14:solidFill>
              <w14:schemeClr w14:val="tx1"/>
            </w14:solidFill>
          </w14:textFill>
        </w:rPr>
        <w:t>成都市青羊区政府采购服务中心</w:t>
      </w:r>
      <w:r>
        <w:rPr>
          <w:rFonts w:hint="eastAsia"/>
          <w:color w:val="000000" w:themeColor="text1"/>
          <w:sz w:val="28"/>
          <w:szCs w:val="28"/>
          <w14:textFill>
            <w14:solidFill>
              <w14:schemeClr w14:val="tx1"/>
            </w14:solidFill>
          </w14:textFill>
        </w:rPr>
        <w:t>负责采购项目的具体经办工作人员或直接分管采购活动的负责人等</w:t>
      </w:r>
      <w:r>
        <w:rPr>
          <w:rFonts w:hint="eastAsia" w:cs="Helvetica"/>
          <w:color w:val="000000" w:themeColor="text1"/>
          <w:sz w:val="28"/>
          <w:szCs w:val="28"/>
          <w14:textFill>
            <w14:solidFill>
              <w14:schemeClr w14:val="tx1"/>
            </w14:solidFill>
          </w14:textFill>
        </w:rPr>
        <w:t>）</w:t>
      </w:r>
      <w:r>
        <w:rPr>
          <w:rFonts w:hint="eastAsia" w:ascii="宋体" w:hAnsi="宋体" w:cs="Helvetica"/>
          <w:color w:val="000000" w:themeColor="text1"/>
          <w:sz w:val="28"/>
          <w:szCs w:val="28"/>
          <w14:textFill>
            <w14:solidFill>
              <w14:schemeClr w14:val="tx1"/>
            </w14:solidFill>
          </w14:textFill>
        </w:rPr>
        <w:t>及相关人员与</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有下列利害关系之一的，应当回避：</w:t>
      </w:r>
    </w:p>
    <w:p>
      <w:pPr>
        <w:shd w:val="clear" w:color="auto" w:fill="FFFFFF"/>
        <w:spacing w:line="360" w:lineRule="auto"/>
        <w:ind w:left="708" w:hanging="708" w:hangingChars="253"/>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　　（一）参加采购活动前3年内与</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存在劳动关系；</w:t>
      </w:r>
    </w:p>
    <w:p>
      <w:pPr>
        <w:shd w:val="clear" w:color="auto" w:fill="FFFFFF"/>
        <w:spacing w:line="360" w:lineRule="auto"/>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　　（二）参加采购活动前3年内担任</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的董事、监事；</w:t>
      </w:r>
    </w:p>
    <w:p>
      <w:pPr>
        <w:shd w:val="clear" w:color="auto" w:fill="FFFFFF"/>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（三）参加采购活动前3年内是</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的控股股东或者实际控制人；</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（四）与</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的法定代表人或者负责人有夫妻、直系血亲、三代以内旁系血亲或者近姻亲关系；</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（五）与</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有其他可能影响政府采购活动公平、公正进行的关系。</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认为采购人员及相关人员与其他</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有利害关系的，可以向采购人或者</w:t>
      </w:r>
      <w:r>
        <w:rPr>
          <w:rFonts w:hint="eastAsia" w:ascii="宋体" w:hAnsi="宋体" w:cs="Arial"/>
          <w:color w:val="000000" w:themeColor="text1"/>
          <w:sz w:val="28"/>
          <w:szCs w:val="28"/>
          <w14:textFill>
            <w14:solidFill>
              <w14:schemeClr w14:val="tx1"/>
            </w14:solidFill>
          </w14:textFill>
        </w:rPr>
        <w:t>采购代理机构</w:t>
      </w:r>
      <w:r>
        <w:rPr>
          <w:rFonts w:hint="eastAsia" w:ascii="宋体" w:hAnsi="宋体" w:cs="Helvetica"/>
          <w:color w:val="000000" w:themeColor="text1"/>
          <w:sz w:val="28"/>
          <w:szCs w:val="28"/>
          <w14:textFill>
            <w14:solidFill>
              <w14:schemeClr w14:val="tx1"/>
            </w14:solidFill>
          </w14:textFill>
        </w:rPr>
        <w:t>书面提出回避申请，并说明理由。采购人或者</w:t>
      </w:r>
      <w:r>
        <w:rPr>
          <w:rFonts w:hint="eastAsia" w:ascii="宋体" w:hAnsi="宋体" w:cs="Arial"/>
          <w:color w:val="000000" w:themeColor="text1"/>
          <w:sz w:val="28"/>
          <w:szCs w:val="28"/>
          <w14:textFill>
            <w14:solidFill>
              <w14:schemeClr w14:val="tx1"/>
            </w14:solidFill>
          </w14:textFill>
        </w:rPr>
        <w:t>采购代理机构</w:t>
      </w:r>
      <w:r>
        <w:rPr>
          <w:rFonts w:hint="eastAsia" w:ascii="宋体" w:hAnsi="宋体" w:cs="Helvetica"/>
          <w:color w:val="000000" w:themeColor="text1"/>
          <w:sz w:val="28"/>
          <w:szCs w:val="28"/>
          <w14:textFill>
            <w14:solidFill>
              <w14:schemeClr w14:val="tx1"/>
            </w14:solidFill>
          </w14:textFill>
        </w:rPr>
        <w:t>应当及时询问被申请回避人员，有利害关系的被申请回避人员应当回避。</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03" w:name="_Toc76541353"/>
      <w:bookmarkStart w:id="104" w:name="_Toc217446078"/>
      <w:r>
        <w:rPr>
          <w:rFonts w:hint="eastAsia" w:ascii="宋体" w:hAnsi="宋体"/>
          <w:b/>
          <w:bCs/>
          <w:color w:val="000000" w:themeColor="text1"/>
          <w:sz w:val="28"/>
          <w:szCs w:val="28"/>
          <w14:textFill>
            <w14:solidFill>
              <w14:schemeClr w14:val="tx1"/>
            </w14:solidFill>
          </w14:textFill>
        </w:rPr>
        <w:t>询问、质疑和投诉</w:t>
      </w:r>
      <w:bookmarkEnd w:id="103"/>
      <w:bookmarkEnd w:id="104"/>
      <w:bookmarkStart w:id="105" w:name="_Toc217446079"/>
    </w:p>
    <w:bookmarkEnd w:id="98"/>
    <w:bookmarkEnd w:id="99"/>
    <w:bookmarkEnd w:id="105"/>
    <w:p>
      <w:pPr>
        <w:numPr>
          <w:ilvl w:val="0"/>
          <w:numId w:val="30"/>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30"/>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31"/>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31"/>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供应商对除上述招标文件中的其他内容，采购过程及中标结果（除资格审查）提出询问或质疑的，应通过“政府采购云平台”向成都市青羊区政府采购服务中心提出</w:t>
      </w:r>
      <w:r>
        <w:rPr>
          <w:rFonts w:hint="eastAsia" w:ascii="宋体" w:hAnsi="宋体"/>
          <w:color w:val="000000" w:themeColor="text1"/>
          <w:sz w:val="28"/>
          <w:szCs w:val="28"/>
          <w14:textFill>
            <w14:solidFill>
              <w14:schemeClr w14:val="tx1"/>
            </w14:solidFill>
          </w14:textFill>
        </w:rPr>
        <w:t>。</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30"/>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成都市青羊区政府采购服务中心的质疑答复不满意，或者采购人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成都市青羊区政府采购服务中心未在规定期限内作出答复的，供应商可以在答复期满后15个工作日内向同级财政部门提起投诉。</w:t>
      </w:r>
    </w:p>
    <w:p>
      <w:pPr>
        <w:keepNext/>
        <w:keepLines/>
        <w:numPr>
          <w:ilvl w:val="1"/>
          <w:numId w:val="1"/>
        </w:numPr>
        <w:spacing w:before="260" w:line="360" w:lineRule="auto"/>
        <w:jc w:val="left"/>
        <w:outlineLvl w:val="1"/>
        <w:rPr>
          <w:rFonts w:ascii="宋体" w:hAnsi="宋体"/>
          <w:b/>
          <w:bCs/>
          <w:color w:val="000000" w:themeColor="text1"/>
          <w:sz w:val="28"/>
          <w:szCs w:val="28"/>
          <w14:textFill>
            <w14:solidFill>
              <w14:schemeClr w14:val="tx1"/>
            </w14:solidFill>
          </w14:textFill>
        </w:rPr>
      </w:pPr>
      <w:bookmarkStart w:id="106" w:name="_Toc76541354"/>
      <w:r>
        <w:rPr>
          <w:rFonts w:hint="eastAsia" w:ascii="宋体" w:hAnsi="宋体"/>
          <w:b/>
          <w:bCs/>
          <w:color w:val="000000" w:themeColor="text1"/>
          <w:sz w:val="28"/>
          <w:szCs w:val="28"/>
          <w14:textFill>
            <w14:solidFill>
              <w14:schemeClr w14:val="tx1"/>
            </w14:solidFill>
          </w14:textFill>
        </w:rPr>
        <w:t>中小企业政府采购信用融资</w:t>
      </w:r>
      <w:bookmarkEnd w:id="106"/>
    </w:p>
    <w:p>
      <w:pPr>
        <w:numPr>
          <w:ilvl w:val="0"/>
          <w:numId w:val="32"/>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参与本次招标活动中标的中小企业投标人无需提供财产抵押或第三方担保，凭借政府采购合同可向融资机构申请融资。</w:t>
      </w:r>
    </w:p>
    <w:p>
      <w:pPr>
        <w:numPr>
          <w:ilvl w:val="0"/>
          <w:numId w:val="32"/>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pPr>
        <w:tabs>
          <w:tab w:val="left" w:pos="1276"/>
        </w:tabs>
        <w:spacing w:line="360" w:lineRule="auto"/>
        <w:rPr>
          <w:rFonts w:ascii="宋体" w:hAnsi="宋体"/>
          <w:color w:val="000000" w:themeColor="text1"/>
          <w:sz w:val="28"/>
          <w:szCs w:val="28"/>
          <w14:textFill>
            <w14:solidFill>
              <w14:schemeClr w14:val="tx1"/>
            </w14:solidFill>
          </w14:textFill>
        </w:rPr>
      </w:pPr>
    </w:p>
    <w:p>
      <w:pPr>
        <w:tabs>
          <w:tab w:val="left" w:pos="1276"/>
        </w:tabs>
        <w:spacing w:line="360" w:lineRule="auto"/>
        <w:rPr>
          <w:rFonts w:ascii="宋体" w:hAnsi="宋体"/>
          <w:color w:val="000000" w:themeColor="text1"/>
          <w:sz w:val="28"/>
          <w:szCs w:val="28"/>
          <w14:textFill>
            <w14:solidFill>
              <w14:schemeClr w14:val="tx1"/>
            </w14:solidFill>
          </w14:textFill>
        </w:rPr>
      </w:pPr>
    </w:p>
    <w:p>
      <w:pPr>
        <w:tabs>
          <w:tab w:val="left" w:pos="1276"/>
        </w:tabs>
        <w:spacing w:line="360" w:lineRule="auto"/>
        <w:rPr>
          <w:rFonts w:ascii="宋体"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keepNext/>
        <w:keepLines/>
        <w:numPr>
          <w:ilvl w:val="0"/>
          <w:numId w:val="1"/>
        </w:numPr>
        <w:spacing w:before="340" w:after="330" w:line="400" w:lineRule="exact"/>
        <w:jc w:val="center"/>
        <w:outlineLvl w:val="0"/>
        <w:rPr>
          <w:rFonts w:ascii="宋体" w:hAnsi="宋体"/>
          <w:b/>
          <w:bCs/>
          <w:color w:val="000000" w:themeColor="text1"/>
          <w:spacing w:val="-20"/>
          <w:kern w:val="44"/>
          <w:sz w:val="32"/>
          <w:szCs w:val="32"/>
          <w14:textFill>
            <w14:solidFill>
              <w14:schemeClr w14:val="tx1"/>
            </w14:solidFill>
          </w14:textFill>
        </w:rPr>
      </w:pPr>
      <w:bookmarkStart w:id="107" w:name="_Toc315871048"/>
      <w:bookmarkEnd w:id="107"/>
      <w:bookmarkStart w:id="108" w:name="_Toc315871050"/>
      <w:bookmarkEnd w:id="108"/>
      <w:bookmarkStart w:id="109" w:name="_Toc315871045"/>
      <w:bookmarkEnd w:id="109"/>
      <w:bookmarkStart w:id="110" w:name="_Toc316292048"/>
      <w:bookmarkEnd w:id="110"/>
      <w:bookmarkStart w:id="111" w:name="_Toc316292049"/>
      <w:bookmarkEnd w:id="111"/>
      <w:bookmarkStart w:id="112" w:name="_Toc315871047"/>
      <w:bookmarkEnd w:id="112"/>
      <w:bookmarkStart w:id="113" w:name="_Toc315871049"/>
      <w:bookmarkEnd w:id="113"/>
      <w:bookmarkStart w:id="114" w:name="_Toc316292051"/>
      <w:bookmarkEnd w:id="114"/>
      <w:bookmarkStart w:id="115" w:name="_Toc316292050"/>
      <w:bookmarkEnd w:id="115"/>
      <w:bookmarkStart w:id="116" w:name="_Toc316292052"/>
      <w:bookmarkEnd w:id="116"/>
      <w:bookmarkStart w:id="117" w:name="_Toc315871046"/>
      <w:bookmarkEnd w:id="117"/>
      <w:bookmarkStart w:id="118" w:name="_Toc76541355"/>
      <w:r>
        <w:rPr>
          <w:rFonts w:hint="eastAsia" w:ascii="宋体" w:hAnsi="宋体"/>
          <w:b/>
          <w:bCs/>
          <w:color w:val="000000" w:themeColor="text1"/>
          <w:spacing w:val="-20"/>
          <w:kern w:val="44"/>
          <w:sz w:val="32"/>
          <w:szCs w:val="32"/>
          <w14:textFill>
            <w14:solidFill>
              <w14:schemeClr w14:val="tx1"/>
            </w14:solidFill>
          </w14:textFill>
        </w:rPr>
        <w:t>投标文件格式</w:t>
      </w:r>
      <w:bookmarkEnd w:id="118"/>
    </w:p>
    <w:p>
      <w:pPr>
        <w:keepNext/>
        <w:keepLines/>
        <w:numPr>
          <w:ilvl w:val="1"/>
          <w:numId w:val="1"/>
        </w:numPr>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19" w:name="_Toc76541356"/>
      <w:r>
        <w:rPr>
          <w:rFonts w:hint="eastAsia" w:ascii="宋体" w:hAnsi="宋体"/>
          <w:b/>
          <w:bCs/>
          <w:color w:val="000000" w:themeColor="text1"/>
          <w:sz w:val="28"/>
          <w:szCs w:val="28"/>
          <w14:textFill>
            <w14:solidFill>
              <w14:schemeClr w14:val="tx1"/>
            </w14:solidFill>
          </w14:textFill>
        </w:rPr>
        <w:t>投标文件封面格式</w:t>
      </w:r>
      <w:bookmarkEnd w:id="119"/>
    </w:p>
    <w:p>
      <w:pPr>
        <w:spacing w:line="360" w:lineRule="auto"/>
        <w:rPr>
          <w:rFonts w:ascii="宋体" w:hAnsi="宋体"/>
          <w:bCs/>
          <w:color w:val="000000" w:themeColor="text1"/>
          <w:szCs w:val="21"/>
          <w14:textFill>
            <w14:solidFill>
              <w14:schemeClr w14:val="tx1"/>
            </w14:solidFill>
          </w14:textFill>
        </w:rPr>
      </w:pPr>
    </w:p>
    <w:p>
      <w:pPr>
        <w:spacing w:line="360" w:lineRule="auto"/>
        <w:rPr>
          <w:rFonts w:ascii="宋体" w:hAnsi="宋体"/>
          <w:bCs/>
          <w:color w:val="000000" w:themeColor="text1"/>
          <w:szCs w:val="21"/>
          <w14:textFill>
            <w14:solidFill>
              <w14:schemeClr w14:val="tx1"/>
            </w14:solidFill>
          </w14:textFill>
        </w:rPr>
      </w:pPr>
    </w:p>
    <w:p>
      <w:pPr>
        <w:spacing w:line="360" w:lineRule="auto"/>
        <w:jc w:val="right"/>
        <w:rPr>
          <w:rFonts w:ascii="宋体" w:hAnsi="宋体"/>
          <w:color w:val="000000" w:themeColor="text1"/>
          <w14:textFill>
            <w14:solidFill>
              <w14:schemeClr w14:val="tx1"/>
            </w14:solidFill>
          </w14:textFill>
        </w:rPr>
      </w:pPr>
    </w:p>
    <w:p>
      <w:pPr>
        <w:spacing w:line="360" w:lineRule="auto"/>
        <w:jc w:val="center"/>
        <w:rPr>
          <w:rFonts w:ascii="宋体" w:hAnsi="宋体"/>
          <w:color w:val="000000" w:themeColor="text1"/>
          <w:spacing w:val="78"/>
          <w:sz w:val="96"/>
          <w:szCs w:val="120"/>
          <w14:textFill>
            <w14:solidFill>
              <w14:schemeClr w14:val="tx1"/>
            </w14:solidFill>
          </w14:textFill>
        </w:rPr>
      </w:pPr>
      <w:r>
        <w:rPr>
          <w:rFonts w:hint="eastAsia" w:ascii="宋体" w:hAnsi="宋体"/>
          <w:color w:val="000000" w:themeColor="text1"/>
          <w:spacing w:val="78"/>
          <w:sz w:val="96"/>
          <w:szCs w:val="120"/>
          <w14:textFill>
            <w14:solidFill>
              <w14:schemeClr w14:val="tx1"/>
            </w14:solidFill>
          </w14:textFill>
        </w:rPr>
        <w:t>投标文件</w:t>
      </w:r>
    </w:p>
    <w:p>
      <w:pPr>
        <w:spacing w:line="360" w:lineRule="auto"/>
        <w:jc w:val="center"/>
        <w:rPr>
          <w:rFonts w:ascii="宋体" w:hAnsi="宋体"/>
          <w:bCs/>
          <w:color w:val="000000" w:themeColor="text1"/>
          <w:sz w:val="36"/>
          <w14:textFill>
            <w14:solidFill>
              <w14:schemeClr w14:val="tx1"/>
            </w14:solidFill>
          </w14:textFill>
        </w:rPr>
      </w:pPr>
    </w:p>
    <w:p>
      <w:pPr>
        <w:spacing w:line="360" w:lineRule="auto"/>
        <w:jc w:val="center"/>
        <w:rPr>
          <w:rFonts w:ascii="宋体" w:hAnsi="宋体"/>
          <w:bCs/>
          <w:color w:val="000000" w:themeColor="text1"/>
          <w:sz w:val="36"/>
          <w14:textFill>
            <w14:solidFill>
              <w14:schemeClr w14:val="tx1"/>
            </w14:solidFill>
          </w14:textFill>
        </w:rPr>
      </w:pPr>
    </w:p>
    <w:p>
      <w:pPr>
        <w:pStyle w:val="336"/>
        <w:ind w:firstLine="643"/>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项目名称：成都市青羊区人民法院</w:t>
      </w:r>
      <w:r>
        <w:rPr>
          <w:rFonts w:hint="eastAsia" w:ascii="宋体" w:hAnsi="宋体"/>
          <w:b/>
          <w:bCs/>
          <w:color w:val="000000" w:themeColor="text1"/>
          <w:sz w:val="32"/>
          <w:szCs w:val="32"/>
          <w:lang w:eastAsia="zh-CN"/>
          <w14:textFill>
            <w14:solidFill>
              <w14:schemeClr w14:val="tx1"/>
            </w14:solidFill>
          </w14:textFill>
        </w:rPr>
        <w:t>金融法庭信息化系统</w:t>
      </w:r>
      <w:r>
        <w:rPr>
          <w:rFonts w:hint="eastAsia" w:ascii="宋体" w:hAnsi="宋体"/>
          <w:b/>
          <w:bCs/>
          <w:color w:val="000000" w:themeColor="text1"/>
          <w:sz w:val="32"/>
          <w:szCs w:val="32"/>
          <w14:textFill>
            <w14:solidFill>
              <w14:schemeClr w14:val="tx1"/>
            </w14:solidFill>
          </w14:textFill>
        </w:rPr>
        <w:t>配套设备采购项目</w:t>
      </w:r>
    </w:p>
    <w:p>
      <w:pPr>
        <w:spacing w:line="360" w:lineRule="auto"/>
        <w:ind w:left="1751" w:hanging="1751" w:hangingChars="545"/>
        <w:rPr>
          <w:rFonts w:ascii="宋体" w:hAnsi="宋体"/>
          <w:b/>
          <w:bCs/>
          <w:color w:val="000000" w:themeColor="text1"/>
          <w:sz w:val="32"/>
          <w:szCs w:val="32"/>
          <w14:textFill>
            <w14:solidFill>
              <w14:schemeClr w14:val="tx1"/>
            </w14:solidFill>
          </w14:textFill>
        </w:rPr>
      </w:pPr>
    </w:p>
    <w:p>
      <w:pPr>
        <w:spacing w:line="360" w:lineRule="auto"/>
        <w:rPr>
          <w:rFonts w:ascii="宋体" w:hAnsi="宋体"/>
          <w:b/>
          <w:color w:val="000000" w:themeColor="text1"/>
          <w:sz w:val="32"/>
          <w:szCs w:val="32"/>
          <w:u w:val="single"/>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项目编号：</w:t>
      </w:r>
      <w:r>
        <w:rPr>
          <w:rFonts w:hint="eastAsia" w:ascii="宋体" w:hAnsi="宋体"/>
          <w:color w:val="000000" w:themeColor="text1"/>
          <w:sz w:val="28"/>
          <w:szCs w:val="28"/>
          <w14:textFill>
            <w14:solidFill>
              <w14:schemeClr w14:val="tx1"/>
            </w14:solidFill>
          </w14:textFill>
        </w:rPr>
        <w:t>项目编号：青羊政采（2021）A0030号</w:t>
      </w:r>
    </w:p>
    <w:p>
      <w:pPr>
        <w:spacing w:line="360" w:lineRule="auto"/>
        <w:rPr>
          <w:rFonts w:ascii="宋体" w:hAnsi="宋体"/>
          <w:b/>
          <w:bCs/>
          <w:color w:val="000000" w:themeColor="text1"/>
          <w:sz w:val="32"/>
          <w:szCs w:val="32"/>
          <w14:textFill>
            <w14:solidFill>
              <w14:schemeClr w14:val="tx1"/>
            </w14:solidFill>
          </w14:textFill>
        </w:rPr>
      </w:pPr>
    </w:p>
    <w:p>
      <w:pPr>
        <w:spacing w:line="360" w:lineRule="auto"/>
        <w:rPr>
          <w:rFonts w:ascii="宋体" w:hAnsi="宋体"/>
          <w:b/>
          <w:bCs/>
          <w:color w:val="000000" w:themeColor="text1"/>
          <w:sz w:val="32"/>
          <w:szCs w:val="32"/>
          <w14:textFill>
            <w14:solidFill>
              <w14:schemeClr w14:val="tx1"/>
            </w14:solidFill>
          </w14:textFill>
        </w:rPr>
      </w:pPr>
    </w:p>
    <w:p>
      <w:pPr>
        <w:spacing w:line="360" w:lineRule="auto"/>
        <w:rPr>
          <w:rFonts w:ascii="宋体" w:hAnsi="宋体"/>
          <w:b/>
          <w:bCs/>
          <w:color w:val="000000" w:themeColor="text1"/>
          <w:sz w:val="32"/>
          <w:szCs w:val="32"/>
          <w14:textFill>
            <w14:solidFill>
              <w14:schemeClr w14:val="tx1"/>
            </w14:solidFill>
          </w14:textFill>
        </w:rPr>
      </w:pPr>
    </w:p>
    <w:p>
      <w:pPr>
        <w:spacing w:line="360" w:lineRule="auto"/>
        <w:ind w:firstLine="630" w:firstLineChars="196"/>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投标人名称：XXXX</w:t>
      </w:r>
    </w:p>
    <w:p>
      <w:pPr>
        <w:spacing w:line="360" w:lineRule="auto"/>
        <w:ind w:firstLine="569" w:firstLineChars="177"/>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日       期：202X年XX月XX日</w:t>
      </w:r>
    </w:p>
    <w:p>
      <w:pPr>
        <w:spacing w:line="360" w:lineRule="auto"/>
        <w:ind w:firstLine="569" w:firstLineChars="177"/>
        <w:rPr>
          <w:rFonts w:ascii="宋体" w:hAnsi="宋体"/>
          <w:b/>
          <w:bCs/>
          <w:color w:val="000000" w:themeColor="text1"/>
          <w:sz w:val="32"/>
          <w:szCs w:val="32"/>
          <w14:textFill>
            <w14:solidFill>
              <w14:schemeClr w14:val="tx1"/>
            </w14:solidFill>
          </w14:textFill>
        </w:rPr>
      </w:pPr>
    </w:p>
    <w:p>
      <w:pPr>
        <w:spacing w:line="360" w:lineRule="auto"/>
        <w:ind w:firstLine="569" w:firstLineChars="177"/>
        <w:rPr>
          <w:rFonts w:ascii="宋体" w:hAnsi="宋体"/>
          <w:b/>
          <w:bCs/>
          <w:color w:val="000000" w:themeColor="text1"/>
          <w:sz w:val="32"/>
          <w:szCs w:val="32"/>
          <w14:textFill>
            <w14:solidFill>
              <w14:schemeClr w14:val="tx1"/>
            </w14:solidFill>
          </w14:textFill>
        </w:rPr>
      </w:pPr>
    </w:p>
    <w:p>
      <w:pPr>
        <w:spacing w:line="360" w:lineRule="auto"/>
        <w:ind w:firstLine="569" w:firstLineChars="177"/>
        <w:rPr>
          <w:rFonts w:ascii="宋体" w:hAnsi="宋体"/>
          <w:b/>
          <w:bCs/>
          <w:color w:val="000000" w:themeColor="text1"/>
          <w:sz w:val="32"/>
          <w:szCs w:val="32"/>
          <w14:textFill>
            <w14:solidFill>
              <w14:schemeClr w14:val="tx1"/>
            </w14:solidFill>
          </w14:textFill>
        </w:rPr>
      </w:pPr>
    </w:p>
    <w:p>
      <w:pPr>
        <w:spacing w:line="360" w:lineRule="auto"/>
        <w:ind w:firstLine="569" w:firstLineChars="177"/>
        <w:rPr>
          <w:rFonts w:ascii="宋体" w:hAnsi="宋体"/>
          <w:b/>
          <w:bCs/>
          <w:color w:val="000000" w:themeColor="text1"/>
          <w:sz w:val="32"/>
          <w:szCs w:val="32"/>
          <w14:textFill>
            <w14:solidFill>
              <w14:schemeClr w14:val="tx1"/>
            </w14:solidFill>
          </w14:textFill>
        </w:rPr>
      </w:pPr>
    </w:p>
    <w:p>
      <w:pPr>
        <w:keepNext/>
        <w:keepLines/>
        <w:numPr>
          <w:ilvl w:val="1"/>
          <w:numId w:val="1"/>
        </w:numPr>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20" w:name="_Toc76541357"/>
      <w:r>
        <w:rPr>
          <w:rFonts w:hint="eastAsia" w:ascii="宋体" w:hAnsi="宋体"/>
          <w:b/>
          <w:bCs/>
          <w:color w:val="000000" w:themeColor="text1"/>
          <w:sz w:val="28"/>
          <w:szCs w:val="28"/>
          <w14:textFill>
            <w14:solidFill>
              <w14:schemeClr w14:val="tx1"/>
            </w14:solidFill>
          </w14:textFill>
        </w:rPr>
        <w:t>资格响应文件</w:t>
      </w:r>
      <w:bookmarkEnd w:id="120"/>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关于投标人资格申明的函</w:t>
      </w:r>
    </w:p>
    <w:p>
      <w:pPr>
        <w:spacing w:line="360" w:lineRule="auto"/>
        <w:rPr>
          <w:rFonts w:ascii="宋体" w:hAnsi="宋体"/>
          <w:color w:val="000000" w:themeColor="text1"/>
          <w:sz w:val="28"/>
          <w:szCs w:val="28"/>
          <w14:textFill>
            <w14:solidFill>
              <w14:schemeClr w14:val="tx1"/>
            </w14:solidFill>
          </w14:textFill>
        </w:rPr>
      </w:pPr>
      <w:bookmarkStart w:id="121" w:name="_Toc238581782"/>
      <w:bookmarkStart w:id="122" w:name="_Toc52184753"/>
      <w:bookmarkStart w:id="123" w:name="_Toc119296788"/>
      <w:bookmarkStart w:id="124" w:name="_Toc119295087"/>
      <w:bookmarkStart w:id="125" w:name="_Toc119203988"/>
      <w:bookmarkStart w:id="126" w:name="_Toc146903609"/>
      <w:r>
        <w:rPr>
          <w:rFonts w:hint="eastAsia" w:ascii="宋体" w:hAnsi="宋体"/>
          <w:color w:val="000000" w:themeColor="text1"/>
          <w:sz w:val="28"/>
          <w:szCs w:val="28"/>
          <w14:textFill>
            <w14:solidFill>
              <w14:schemeClr w14:val="tx1"/>
            </w14:solidFill>
          </w14:textFill>
        </w:rPr>
        <w:t>致：成都市青羊区政府采购服务中心</w:t>
      </w:r>
      <w:bookmarkEnd w:id="121"/>
    </w:p>
    <w:p>
      <w:pPr>
        <w:pStyle w:val="336"/>
        <w:ind w:firstLine="562"/>
        <w:rPr>
          <w:rFonts w:ascii="宋体" w:hAnsi="宋体"/>
          <w:color w:val="000000" w:themeColor="text1"/>
          <w:sz w:val="28"/>
          <w:szCs w:val="28"/>
          <w14:textFill>
            <w14:solidFill>
              <w14:schemeClr w14:val="tx1"/>
            </w14:solidFill>
          </w14:textFill>
        </w:rPr>
      </w:pPr>
      <w:bookmarkStart w:id="127" w:name="_Toc238581783"/>
      <w:r>
        <w:rPr>
          <w:rFonts w:hint="eastAsia" w:ascii="宋体" w:hAnsi="宋体"/>
          <w:b/>
          <w:bCs/>
          <w:color w:val="000000" w:themeColor="text1"/>
          <w:sz w:val="28"/>
          <w:szCs w:val="28"/>
          <w14:textFill>
            <w14:solidFill>
              <w14:schemeClr w14:val="tx1"/>
            </w14:solidFill>
          </w14:textFill>
        </w:rPr>
        <w:t>关于我方对</w:t>
      </w:r>
      <w:r>
        <w:rPr>
          <w:rFonts w:hint="eastAsia" w:eastAsia="仿宋_GB2312"/>
          <w:b/>
          <w:bCs/>
          <w:sz w:val="32"/>
          <w:szCs w:val="32"/>
        </w:rPr>
        <w:t>成都市青羊区人民法院</w:t>
      </w:r>
      <w:r>
        <w:rPr>
          <w:rFonts w:hint="eastAsia" w:eastAsia="仿宋_GB2312"/>
          <w:b/>
          <w:bCs/>
          <w:sz w:val="32"/>
          <w:szCs w:val="32"/>
          <w:lang w:eastAsia="zh-CN"/>
        </w:rPr>
        <w:t>金融法庭信息化系统</w:t>
      </w:r>
      <w:r>
        <w:rPr>
          <w:rFonts w:hint="eastAsia" w:eastAsia="仿宋_GB2312"/>
          <w:b/>
          <w:bCs/>
          <w:sz w:val="32"/>
          <w:szCs w:val="32"/>
        </w:rPr>
        <w:t>配套设备采购项目</w:t>
      </w:r>
      <w:r>
        <w:rPr>
          <w:rFonts w:hint="eastAsia" w:ascii="宋体" w:hAnsi="宋体"/>
          <w:b/>
          <w:color w:val="000000" w:themeColor="text1"/>
          <w:sz w:val="28"/>
          <w:szCs w:val="28"/>
          <w:u w:val="single"/>
          <w14:textFill>
            <w14:solidFill>
              <w14:schemeClr w14:val="tx1"/>
            </w14:solidFill>
          </w14:textFill>
        </w:rPr>
        <w:t>（</w:t>
      </w:r>
      <w:r>
        <w:rPr>
          <w:rFonts w:hint="eastAsia" w:ascii="宋体" w:hAnsi="宋体"/>
          <w:color w:val="000000" w:themeColor="text1"/>
          <w:sz w:val="28"/>
          <w:szCs w:val="28"/>
          <w:u w:val="single"/>
          <w14:textFill>
            <w14:solidFill>
              <w14:schemeClr w14:val="tx1"/>
            </w14:solidFill>
          </w14:textFill>
        </w:rPr>
        <w:t>项目编号：青羊政采（2021）A0030号</w:t>
      </w:r>
      <w:r>
        <w:rPr>
          <w:rFonts w:hint="eastAsia" w:ascii="宋体" w:hAnsi="宋体"/>
          <w:b/>
          <w:color w:val="000000" w:themeColor="text1"/>
          <w:sz w:val="28"/>
          <w:szCs w:val="28"/>
          <w:u w:val="single"/>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的公开招标，提交的下列文件和说明是准确的和真实的。</w:t>
      </w:r>
      <w:bookmarkEnd w:id="127"/>
    </w:p>
    <w:p>
      <w:pPr>
        <w:widowControl/>
        <w:numPr>
          <w:ilvl w:val="2"/>
          <w:numId w:val="33"/>
        </w:numPr>
        <w:spacing w:line="360" w:lineRule="auto"/>
        <w:ind w:left="0" w:firstLine="560" w:firstLineChars="200"/>
        <w:rPr>
          <w:rFonts w:ascii="宋体" w:hAnsi="宋体"/>
          <w:color w:val="000000" w:themeColor="text1"/>
          <w:sz w:val="28"/>
          <w:szCs w:val="28"/>
          <w14:textFill>
            <w14:solidFill>
              <w14:schemeClr w14:val="tx1"/>
            </w14:solidFill>
          </w14:textFill>
        </w:rPr>
      </w:pPr>
      <w:bookmarkStart w:id="128" w:name="_Toc238581784"/>
      <w:r>
        <w:rPr>
          <w:rFonts w:hint="eastAsia" w:ascii="宋体" w:hAnsi="宋体"/>
          <w:color w:val="000000" w:themeColor="text1"/>
          <w:sz w:val="28"/>
          <w:szCs w:val="28"/>
          <w14:textFill>
            <w14:solidFill>
              <w14:schemeClr w14:val="tx1"/>
            </w14:solidFill>
          </w14:textFill>
        </w:rPr>
        <w:t>投标人名称及概况：</w:t>
      </w:r>
      <w:bookmarkEnd w:id="122"/>
      <w:bookmarkEnd w:id="123"/>
      <w:bookmarkEnd w:id="124"/>
      <w:bookmarkEnd w:id="125"/>
      <w:bookmarkEnd w:id="126"/>
      <w:bookmarkEnd w:id="128"/>
    </w:p>
    <w:p>
      <w:pPr>
        <w:widowControl/>
        <w:numPr>
          <w:ilvl w:val="0"/>
          <w:numId w:val="34"/>
        </w:numPr>
        <w:spacing w:line="360" w:lineRule="auto"/>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widowControl/>
        <w:numPr>
          <w:ilvl w:val="0"/>
          <w:numId w:val="34"/>
        </w:numPr>
        <w:spacing w:line="360" w:lineRule="auto"/>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           邮编：XXXX</w:t>
      </w:r>
    </w:p>
    <w:p>
      <w:pPr>
        <w:spacing w:line="360" w:lineRule="auto"/>
        <w:ind w:firstLine="700" w:firstLineChars="2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传真/电话：XXXX</w:t>
      </w:r>
    </w:p>
    <w:p>
      <w:pPr>
        <w:widowControl/>
        <w:numPr>
          <w:ilvl w:val="0"/>
          <w:numId w:val="34"/>
        </w:numPr>
        <w:spacing w:line="360" w:lineRule="auto"/>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成立日期或注册日期：XXXX</w:t>
      </w:r>
    </w:p>
    <w:p>
      <w:pPr>
        <w:widowControl/>
        <w:numPr>
          <w:ilvl w:val="0"/>
          <w:numId w:val="34"/>
        </w:numPr>
        <w:spacing w:line="360" w:lineRule="auto"/>
        <w:ind w:left="0" w:firstLine="560" w:firstLineChars="200"/>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法定代表人姓名：XXXX</w:t>
      </w:r>
    </w:p>
    <w:p>
      <w:pPr>
        <w:widowControl/>
        <w:numPr>
          <w:ilvl w:val="2"/>
          <w:numId w:val="33"/>
        </w:numPr>
        <w:tabs>
          <w:tab w:val="left" w:pos="1276"/>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开户银行名称：XXXX</w:t>
      </w:r>
    </w:p>
    <w:p>
      <w:pPr>
        <w:spacing w:line="360" w:lineRule="auto"/>
        <w:ind w:firstLine="1260" w:firstLineChars="4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w:t>
      </w:r>
    </w:p>
    <w:p>
      <w:pPr>
        <w:spacing w:line="360" w:lineRule="auto"/>
        <w:ind w:firstLine="1260" w:firstLineChars="4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账号：XXXX</w:t>
      </w: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w:t>
      </w:r>
      <w:r>
        <w:rPr>
          <w:rFonts w:hint="eastAsia" w:ascii="宋体" w:hAnsi="宋体"/>
          <w:color w:val="000000" w:themeColor="text1"/>
          <w:sz w:val="28"/>
          <w:szCs w:val="28"/>
          <w:u w:val="single"/>
          <w14:textFill>
            <w14:solidFill>
              <w14:schemeClr w14:val="tx1"/>
            </w14:solidFill>
          </w14:textFill>
        </w:rPr>
        <w:t>XXXX</w:t>
      </w:r>
    </w:p>
    <w:p>
      <w:pPr>
        <w:spacing w:line="360" w:lineRule="auto"/>
        <w:ind w:left="283" w:leftChars="135" w:firstLine="280" w:firstLineChars="100"/>
        <w:rPr>
          <w:rFonts w:ascii="宋体" w:hAnsi="宋体"/>
          <w:color w:val="000000" w:themeColor="text1"/>
          <w:sz w:val="28"/>
          <w:szCs w:val="28"/>
          <w:u w:val="single"/>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spacing w:line="380" w:lineRule="exact"/>
        <w:rPr>
          <w:rFonts w:ascii="宋体" w:hAnsi="宋体"/>
          <w:color w:val="000000" w:themeColor="text1"/>
          <w:sz w:val="28"/>
          <w:szCs w:val="28"/>
          <w14:textFill>
            <w14:solidFill>
              <w14:schemeClr w14:val="tx1"/>
            </w14:solidFill>
          </w14:textFill>
        </w:rPr>
      </w:pPr>
    </w:p>
    <w:p>
      <w:pPr>
        <w:spacing w:line="360" w:lineRule="auto"/>
        <w:rPr>
          <w:rFonts w:ascii="宋体" w:hAnsi="宋体"/>
          <w:b/>
          <w:bCs/>
          <w:color w:val="000000" w:themeColor="text1"/>
          <w:sz w:val="32"/>
          <w:szCs w:val="32"/>
          <w14:textFill>
            <w14:solidFill>
              <w14:schemeClr w14:val="tx1"/>
            </w14:solidFill>
          </w14:textFill>
        </w:rPr>
      </w:pP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声明</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致：成都市青羊区政府采购服务中心</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我单位作为</w:t>
      </w:r>
      <w:r>
        <w:rPr>
          <w:rFonts w:hint="eastAsia" w:ascii="宋体" w:hAnsi="宋体"/>
          <w:b/>
          <w:color w:val="000000" w:themeColor="text1"/>
          <w:sz w:val="28"/>
          <w:szCs w:val="28"/>
          <w:u w:val="single"/>
          <w14:textFill>
            <w14:solidFill>
              <w14:schemeClr w14:val="tx1"/>
            </w14:solidFill>
          </w14:textFill>
        </w:rPr>
        <w:t>关于我方对成都市青羊区人民法院</w:t>
      </w:r>
      <w:r>
        <w:rPr>
          <w:rFonts w:hint="eastAsia" w:ascii="宋体" w:hAnsi="宋体"/>
          <w:b/>
          <w:color w:val="000000" w:themeColor="text1"/>
          <w:sz w:val="28"/>
          <w:szCs w:val="28"/>
          <w:u w:val="single"/>
          <w:lang w:eastAsia="zh-CN"/>
          <w14:textFill>
            <w14:solidFill>
              <w14:schemeClr w14:val="tx1"/>
            </w14:solidFill>
          </w14:textFill>
        </w:rPr>
        <w:t>金融法庭信息化系统</w:t>
      </w:r>
      <w:r>
        <w:rPr>
          <w:rFonts w:hint="eastAsia" w:ascii="宋体" w:hAnsi="宋体"/>
          <w:b/>
          <w:color w:val="000000" w:themeColor="text1"/>
          <w:sz w:val="28"/>
          <w:szCs w:val="28"/>
          <w:u w:val="single"/>
          <w14:textFill>
            <w14:solidFill>
              <w14:schemeClr w14:val="tx1"/>
            </w14:solidFill>
          </w14:textFill>
        </w:rPr>
        <w:t>配套设备采购项目（项目编号：青羊政采（2021）A0030号）</w:t>
      </w:r>
      <w:r>
        <w:rPr>
          <w:rFonts w:hint="eastAsia" w:ascii="宋体" w:hAnsi="宋体"/>
          <w:color w:val="000000" w:themeColor="text1"/>
          <w:sz w:val="28"/>
          <w:szCs w:val="28"/>
          <w14:textFill>
            <w14:solidFill>
              <w14:schemeClr w14:val="tx1"/>
            </w14:solidFill>
          </w14:textFill>
        </w:rPr>
        <w:t>的投标人，在此郑重声明：</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一、我单位参加政府采购活动前三年内，在经营活动中</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重大违法记录。</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二、我单位</w:t>
      </w:r>
      <w:r>
        <w:rPr>
          <w:rFonts w:hint="eastAsia" w:ascii="宋体" w:hAnsi="宋体"/>
          <w:b/>
          <w:color w:val="000000" w:themeColor="text1"/>
          <w:sz w:val="28"/>
          <w:szCs w:val="28"/>
          <w:u w:val="single"/>
          <w14:textFill>
            <w14:solidFill>
              <w14:schemeClr w14:val="tx1"/>
            </w14:solidFill>
          </w14:textFill>
        </w:rPr>
        <w:t>（说明：填写“具有”或“不具有”）</w:t>
      </w:r>
      <w:r>
        <w:rPr>
          <w:rFonts w:hint="eastAsia" w:ascii="宋体" w:hAnsi="宋体"/>
          <w:color w:val="000000" w:themeColor="text1"/>
          <w:sz w:val="28"/>
          <w:szCs w:val="28"/>
          <w14:textFill>
            <w14:solidFill>
              <w14:schemeClr w14:val="tx1"/>
            </w14:solidFill>
          </w14:textFill>
        </w:rPr>
        <w:t>良好的商业信誉。</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三、与我单位负责人为同一人或者存在直接控股、管理关系的相关供应商：</w:t>
      </w:r>
      <w:r>
        <w:rPr>
          <w:rFonts w:hint="eastAsia" w:ascii="宋体" w:hAnsi="宋体"/>
          <w:b/>
          <w:color w:val="000000" w:themeColor="text1"/>
          <w:sz w:val="28"/>
          <w:szCs w:val="28"/>
          <w:u w:val="single"/>
          <w14:textFill>
            <w14:solidFill>
              <w14:schemeClr w14:val="tx1"/>
            </w14:solidFill>
          </w14:textFill>
        </w:rPr>
        <w:t>（说明：填写“无”或“（一）供应商名称１；（二）供应商名称２；（三）……”）</w:t>
      </w:r>
      <w:r>
        <w:rPr>
          <w:rFonts w:hint="eastAsia" w:ascii="宋体" w:hAnsi="宋体"/>
          <w:b/>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四、在行贿犯罪信息查询期限内，我单位及我单位现任法定代表人、主要负责人</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行贿犯罪记录。</w:t>
      </w:r>
    </w:p>
    <w:p>
      <w:pPr>
        <w:tabs>
          <w:tab w:val="left" w:pos="1260"/>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失信被执行人、重大税收违法案件当事人名单。</w:t>
      </w:r>
    </w:p>
    <w:p>
      <w:pPr>
        <w:tabs>
          <w:tab w:val="left" w:pos="1260"/>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政府采购严重违法失信行为记录名单。</w:t>
      </w:r>
    </w:p>
    <w:p>
      <w:pPr>
        <w:tabs>
          <w:tab w:val="left" w:pos="1260"/>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六、我单位</w:t>
      </w:r>
      <w:r>
        <w:rPr>
          <w:rFonts w:hint="eastAsia" w:ascii="宋体" w:hAnsi="宋体"/>
          <w:b/>
          <w:color w:val="000000" w:themeColor="text1"/>
          <w:sz w:val="28"/>
          <w:szCs w:val="28"/>
          <w:u w:val="single"/>
          <w14:textFill>
            <w14:solidFill>
              <w14:schemeClr w14:val="tx1"/>
            </w14:solidFill>
          </w14:textFill>
        </w:rPr>
        <w:t>（说明：填写“未处于”或“处于”）</w:t>
      </w:r>
      <w:r>
        <w:rPr>
          <w:rFonts w:hint="eastAsia" w:ascii="宋体" w:hAnsi="宋体"/>
          <w:bCs/>
          <w:color w:val="000000" w:themeColor="text1"/>
          <w:sz w:val="28"/>
          <w:szCs w:val="28"/>
          <w14:textFill>
            <w14:solidFill>
              <w14:schemeClr w14:val="tx1"/>
            </w14:solidFill>
          </w14:textFill>
        </w:rPr>
        <w:t>被行政部门禁止参与政府采购活动的期限内。</w:t>
      </w:r>
    </w:p>
    <w:p>
      <w:pPr>
        <w:tabs>
          <w:tab w:val="left" w:pos="1260"/>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特此声明。</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w:t>
      </w:r>
      <w:r>
        <w:rPr>
          <w:rFonts w:hint="eastAsia" w:ascii="宋体" w:hAnsi="宋体"/>
          <w:color w:val="000000" w:themeColor="text1"/>
          <w:sz w:val="28"/>
          <w:szCs w:val="28"/>
          <w:u w:val="single"/>
          <w14:textFill>
            <w14:solidFill>
              <w14:schemeClr w14:val="tx1"/>
            </w14:solidFill>
          </w14:textFill>
        </w:rPr>
        <w:t>XXXX</w:t>
      </w:r>
    </w:p>
    <w:p>
      <w:pPr>
        <w:tabs>
          <w:tab w:val="left" w:pos="1260"/>
        </w:tabs>
        <w:spacing w:line="560" w:lineRule="exact"/>
        <w:ind w:firstLine="560" w:firstLineChars="20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期：202</w:t>
      </w:r>
      <w:r>
        <w:rPr>
          <w:rFonts w:hint="eastAsia" w:ascii="宋体" w:hAnsi="宋体"/>
          <w:color w:val="000000" w:themeColor="text1"/>
          <w:sz w:val="28"/>
          <w:szCs w:val="28"/>
          <w:u w:val="single"/>
          <w14:textFill>
            <w14:solidFill>
              <w14:schemeClr w14:val="tx1"/>
            </w14:solidFill>
          </w14:textFill>
        </w:rPr>
        <w:t>X</w:t>
      </w:r>
      <w:r>
        <w:rPr>
          <w:rFonts w:hint="eastAsia" w:ascii="宋体" w:hAnsi="宋体"/>
          <w:color w:val="000000" w:themeColor="text1"/>
          <w:sz w:val="28"/>
          <w:szCs w:val="28"/>
          <w14:textFill>
            <w14:solidFill>
              <w14:schemeClr w14:val="tx1"/>
            </w14:solidFill>
          </w14:textFill>
        </w:rPr>
        <w:t>年</w:t>
      </w:r>
      <w:r>
        <w:rPr>
          <w:rFonts w:hint="eastAsia"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3969"/>
        </w:tabs>
        <w:spacing w:line="588" w:lineRule="exact"/>
        <w:ind w:right="-58"/>
        <w:rPr>
          <w:rFonts w:ascii="宋体" w:hAnsi="宋体"/>
          <w:bCs/>
          <w:color w:val="000000" w:themeColor="text1"/>
          <w:sz w:val="28"/>
          <w:u w:val="single"/>
          <w14:textFill>
            <w14:solidFill>
              <w14:schemeClr w14:val="tx1"/>
            </w14:solidFill>
          </w14:textFill>
        </w:rPr>
      </w:pP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投标人应提交的相关资格证明材料</w:t>
      </w:r>
    </w:p>
    <w:p>
      <w:pPr>
        <w:ind w:firstLine="560" w:firstLineChars="200"/>
        <w:rPr>
          <w:color w:val="000000" w:themeColor="text1"/>
          <w:sz w:val="28"/>
          <w:szCs w:val="28"/>
          <w14:textFill>
            <w14:solidFill>
              <w14:schemeClr w14:val="tx1"/>
            </w14:solidFill>
          </w14:textFill>
        </w:rPr>
      </w:pPr>
    </w:p>
    <w:p>
      <w:pPr>
        <w:pStyle w:val="80"/>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投标人按招标文件要求，应提供以下相关资格证明材料：</w:t>
      </w:r>
    </w:p>
    <w:p>
      <w:pPr>
        <w:pStyle w:val="80"/>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一</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营业执照复印件（正本或副本）或法人证书复印件（正本或副本）；</w:t>
      </w:r>
    </w:p>
    <w:p>
      <w:pPr>
        <w:pStyle w:val="80"/>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二</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2019或2020会计年度资产负债表复印件（说明：投标人成立时间至递交投标文件截止时间止不足一年的，提供成立后任意时段的资产负债表复印件）；</w:t>
      </w:r>
    </w:p>
    <w:p>
      <w:pPr>
        <w:pStyle w:val="80"/>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三</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投标人缴纳2020或2021年任意时段的税收的银行电子回单或者行政部门出具的纳税证明或完税证明复印件；</w:t>
      </w:r>
    </w:p>
    <w:p>
      <w:pPr>
        <w:pStyle w:val="80"/>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四</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pStyle w:val="80"/>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五</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投标人缴纳2020或2021年任意时段的社保的银行电子回单或行政部门出具的社保缴纳证明材料复印件；</w:t>
      </w:r>
    </w:p>
    <w:p>
      <w:pPr>
        <w:pStyle w:val="80"/>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六</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spacing w:line="360" w:lineRule="auto"/>
        <w:ind w:firstLine="560" w:firstLineChars="200"/>
        <w:rPr>
          <w:color w:val="000000" w:themeColor="text1"/>
          <w:sz w:val="28"/>
          <w:szCs w:val="28"/>
          <w14:textFill>
            <w14:solidFill>
              <w14:schemeClr w14:val="tx1"/>
            </w14:solidFill>
          </w14:textFill>
        </w:rPr>
      </w:pPr>
    </w:p>
    <w:p>
      <w:pPr>
        <w:spacing w:line="360" w:lineRule="auto"/>
        <w:ind w:firstLine="560" w:firstLineChars="200"/>
        <w:rPr>
          <w:color w:val="000000" w:themeColor="text1"/>
          <w:sz w:val="28"/>
          <w:szCs w:val="28"/>
          <w14:textFill>
            <w14:solidFill>
              <w14:schemeClr w14:val="tx1"/>
            </w14:solidFill>
          </w14:textFill>
        </w:rPr>
      </w:pPr>
    </w:p>
    <w:p>
      <w:pPr>
        <w:spacing w:line="360" w:lineRule="auto"/>
        <w:ind w:firstLine="560" w:firstLineChars="200"/>
        <w:rPr>
          <w:color w:val="000000" w:themeColor="text1"/>
          <w:sz w:val="28"/>
          <w:szCs w:val="28"/>
          <w14:textFill>
            <w14:solidFill>
              <w14:schemeClr w14:val="tx1"/>
            </w14:solidFill>
          </w14:textFill>
        </w:rPr>
      </w:pPr>
    </w:p>
    <w:p>
      <w:pPr>
        <w:pStyle w:val="50"/>
        <w:rPr>
          <w:color w:val="000000" w:themeColor="text1"/>
          <w:sz w:val="28"/>
          <w:szCs w:val="28"/>
          <w14:textFill>
            <w14:solidFill>
              <w14:schemeClr w14:val="tx1"/>
            </w14:solidFill>
          </w14:textFill>
        </w:rPr>
      </w:pPr>
    </w:p>
    <w:p>
      <w:pPr>
        <w:pStyle w:val="50"/>
        <w:rPr>
          <w:color w:val="000000" w:themeColor="text1"/>
          <w:sz w:val="28"/>
          <w:szCs w:val="28"/>
          <w14:textFill>
            <w14:solidFill>
              <w14:schemeClr w14:val="tx1"/>
            </w14:solidFill>
          </w14:textFill>
        </w:rPr>
      </w:pPr>
    </w:p>
    <w:p>
      <w:pPr>
        <w:spacing w:line="360" w:lineRule="auto"/>
        <w:rPr>
          <w:color w:val="000000" w:themeColor="text1"/>
          <w:sz w:val="28"/>
          <w:szCs w:val="28"/>
          <w14:textFill>
            <w14:solidFill>
              <w14:schemeClr w14:val="tx1"/>
            </w14:solidFill>
          </w14:textFill>
        </w:rPr>
      </w:pP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29" w:name="_Toc76541358"/>
      <w:r>
        <w:rPr>
          <w:rFonts w:hint="eastAsia" w:ascii="宋体" w:hAnsi="宋体"/>
          <w:b/>
          <w:bCs/>
          <w:color w:val="000000" w:themeColor="text1"/>
          <w:sz w:val="28"/>
          <w:szCs w:val="28"/>
          <w14:textFill>
            <w14:solidFill>
              <w14:schemeClr w14:val="tx1"/>
            </w14:solidFill>
          </w14:textFill>
        </w:rPr>
        <w:t>商务技术响应文件</w:t>
      </w:r>
      <w:bookmarkEnd w:id="129"/>
    </w:p>
    <w:p>
      <w:pPr>
        <w:keepNext/>
        <w:keepLines/>
        <w:numPr>
          <w:ilvl w:val="2"/>
          <w:numId w:val="1"/>
        </w:numPr>
        <w:spacing w:line="360" w:lineRule="auto"/>
        <w:ind w:left="569" w:hanging="56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投标函</w:t>
      </w:r>
    </w:p>
    <w:p>
      <w:pPr>
        <w:spacing w:line="560" w:lineRule="exact"/>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成都市青羊区政府采购服务中心：</w:t>
      </w:r>
    </w:p>
    <w:p>
      <w:pPr>
        <w:spacing w:line="560" w:lineRule="exact"/>
        <w:ind w:firstLine="565"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我方全面研究了“</w:t>
      </w:r>
      <w:r>
        <w:rPr>
          <w:rFonts w:hint="eastAsia" w:ascii="宋体" w:hAnsi="宋体"/>
          <w:b/>
          <w:color w:val="000000" w:themeColor="text1"/>
          <w:sz w:val="28"/>
          <w:szCs w:val="28"/>
          <w:u w:val="single"/>
          <w14:textFill>
            <w14:solidFill>
              <w14:schemeClr w14:val="tx1"/>
            </w14:solidFill>
          </w14:textFill>
        </w:rPr>
        <w:t>关于我方对成都市青羊区人民法院</w:t>
      </w:r>
      <w:r>
        <w:rPr>
          <w:rFonts w:hint="eastAsia" w:ascii="宋体" w:hAnsi="宋体"/>
          <w:b/>
          <w:color w:val="000000" w:themeColor="text1"/>
          <w:sz w:val="28"/>
          <w:szCs w:val="28"/>
          <w:u w:val="single"/>
          <w:lang w:eastAsia="zh-CN"/>
          <w14:textFill>
            <w14:solidFill>
              <w14:schemeClr w14:val="tx1"/>
            </w14:solidFill>
          </w14:textFill>
        </w:rPr>
        <w:t>金融法庭信息化系统</w:t>
      </w:r>
      <w:r>
        <w:rPr>
          <w:rFonts w:hint="eastAsia" w:ascii="宋体" w:hAnsi="宋体"/>
          <w:b/>
          <w:color w:val="000000" w:themeColor="text1"/>
          <w:sz w:val="28"/>
          <w:szCs w:val="28"/>
          <w:u w:val="single"/>
          <w14:textFill>
            <w14:solidFill>
              <w14:schemeClr w14:val="tx1"/>
            </w14:solidFill>
          </w14:textFill>
        </w:rPr>
        <w:t>配套设备采购项目（项目编号：青羊政采（2021）A0030号）</w:t>
      </w:r>
      <w:r>
        <w:rPr>
          <w:rFonts w:hint="eastAsia" w:ascii="宋体" w:hAnsi="宋体"/>
          <w:bCs/>
          <w:color w:val="000000" w:themeColor="text1"/>
          <w:sz w:val="28"/>
          <w:szCs w:val="28"/>
          <w14:textFill>
            <w14:solidFill>
              <w14:schemeClr w14:val="tx1"/>
            </w14:solidFill>
          </w14:textFill>
        </w:rPr>
        <w:t>招标文件，决定参加贵单位组织的本项目投标。我方授权</w:t>
      </w:r>
      <w:r>
        <w:rPr>
          <w:rFonts w:hint="eastAsia" w:ascii="宋体" w:hAnsi="宋体"/>
          <w:bCs/>
          <w:color w:val="000000" w:themeColor="text1"/>
          <w:sz w:val="28"/>
          <w:szCs w:val="28"/>
          <w:u w:val="single"/>
          <w14:textFill>
            <w14:solidFill>
              <w14:schemeClr w14:val="tx1"/>
            </w14:solidFill>
          </w14:textFill>
        </w:rPr>
        <w:t>XXXX（姓名、职务）</w:t>
      </w:r>
      <w:r>
        <w:rPr>
          <w:rFonts w:hint="eastAsia" w:ascii="宋体" w:hAnsi="宋体"/>
          <w:bCs/>
          <w:color w:val="000000" w:themeColor="text1"/>
          <w:sz w:val="28"/>
          <w:szCs w:val="28"/>
          <w14:textFill>
            <w14:solidFill>
              <w14:schemeClr w14:val="tx1"/>
            </w14:solidFill>
          </w14:textFill>
        </w:rPr>
        <w:t>代表我方</w:t>
      </w:r>
      <w:r>
        <w:rPr>
          <w:rFonts w:hint="eastAsia" w:ascii="宋体" w:hAnsi="宋体"/>
          <w:bCs/>
          <w:color w:val="000000" w:themeColor="text1"/>
          <w:sz w:val="28"/>
          <w:szCs w:val="28"/>
          <w:u w:val="single"/>
          <w14:textFill>
            <w14:solidFill>
              <w14:schemeClr w14:val="tx1"/>
            </w14:solidFill>
          </w14:textFill>
        </w:rPr>
        <w:t>XXXX（投标人名称）</w:t>
      </w:r>
      <w:r>
        <w:rPr>
          <w:rFonts w:hint="eastAsia" w:ascii="宋体" w:hAnsi="宋体"/>
          <w:bCs/>
          <w:color w:val="000000" w:themeColor="text1"/>
          <w:sz w:val="28"/>
          <w:szCs w:val="28"/>
          <w14:textFill>
            <w14:solidFill>
              <w14:schemeClr w14:val="tx1"/>
            </w14:solidFill>
          </w14:textFill>
        </w:rPr>
        <w:t>全权处理本项目投标的有关事宜。</w:t>
      </w:r>
    </w:p>
    <w:p>
      <w:pPr>
        <w:numPr>
          <w:ilvl w:val="1"/>
          <w:numId w:val="35"/>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我方自愿按照招标文件规定的各项要求向采购人提供所需货物及服务，</w:t>
      </w:r>
      <w:r>
        <w:rPr>
          <w:rFonts w:hint="eastAsia" w:ascii="宋体" w:hAnsi="宋体"/>
          <w:b/>
          <w:color w:val="000000" w:themeColor="text1"/>
          <w:sz w:val="28"/>
          <w:szCs w:val="28"/>
          <w14:textFill>
            <w14:solidFill>
              <w14:schemeClr w14:val="tx1"/>
            </w14:solidFill>
          </w14:textFill>
        </w:rPr>
        <w:t>投标报价以《开标一览表》为准</w:t>
      </w:r>
      <w:r>
        <w:rPr>
          <w:rFonts w:hint="eastAsia" w:ascii="宋体" w:hAnsi="宋体"/>
          <w:color w:val="000000" w:themeColor="text1"/>
          <w:sz w:val="28"/>
          <w:szCs w:val="28"/>
          <w14:textFill>
            <w14:solidFill>
              <w14:schemeClr w14:val="tx1"/>
            </w14:solidFill>
          </w14:textFill>
        </w:rPr>
        <w:t>。</w:t>
      </w:r>
    </w:p>
    <w:p>
      <w:pPr>
        <w:numPr>
          <w:ilvl w:val="1"/>
          <w:numId w:val="35"/>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如果我方中标，我方将严格履行合同规定的责任和义务，否则将承担由此产生的一切责任。</w:t>
      </w:r>
    </w:p>
    <w:p>
      <w:pPr>
        <w:numPr>
          <w:ilvl w:val="1"/>
          <w:numId w:val="35"/>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我方已知晓全部招标文件的内容，包括修改文件（如有）以及全部相关资料和有关附件，并对上述文件均无异议。</w:t>
      </w:r>
    </w:p>
    <w:p>
      <w:pPr>
        <w:numPr>
          <w:ilvl w:val="1"/>
          <w:numId w:val="35"/>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投标有效期为从投标截止之日起90天。</w:t>
      </w:r>
    </w:p>
    <w:p>
      <w:pPr>
        <w:numPr>
          <w:ilvl w:val="1"/>
          <w:numId w:val="35"/>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我方愿意提供贵中心可能另外要求的，与投标有关的文件资料，并保证我方已提供和将要提供的文件资料是真实、准确的，并对此承担一切法律后果。</w:t>
      </w:r>
    </w:p>
    <w:p>
      <w:pPr>
        <w:numPr>
          <w:ilvl w:val="1"/>
          <w:numId w:val="3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我单位联系方式：</w:t>
      </w:r>
    </w:p>
    <w:p>
      <w:pPr>
        <w:spacing w:line="360" w:lineRule="auto"/>
        <w:ind w:left="420" w:firstLine="565" w:firstLineChars="202"/>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w:t>
      </w:r>
      <w:r>
        <w:rPr>
          <w:rFonts w:hint="eastAsia" w:ascii="宋体" w:hAnsi="宋体"/>
          <w:color w:val="000000" w:themeColor="text1"/>
          <w:sz w:val="28"/>
          <w:szCs w:val="28"/>
          <w:u w:val="single"/>
          <w14:textFill>
            <w14:solidFill>
              <w14:schemeClr w14:val="tx1"/>
            </w14:solidFill>
          </w14:textFill>
        </w:rPr>
        <w:t>XXXX</w:t>
      </w:r>
    </w:p>
    <w:p>
      <w:pPr>
        <w:spacing w:line="360" w:lineRule="auto"/>
        <w:ind w:left="420" w:firstLine="565" w:firstLineChars="202"/>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    真：</w:t>
      </w:r>
      <w:r>
        <w:rPr>
          <w:rFonts w:hint="eastAsia" w:ascii="宋体" w:hAnsi="宋体"/>
          <w:color w:val="000000" w:themeColor="text1"/>
          <w:sz w:val="28"/>
          <w:szCs w:val="28"/>
          <w:u w:val="single"/>
          <w14:textFill>
            <w14:solidFill>
              <w14:schemeClr w14:val="tx1"/>
            </w14:solidFill>
          </w14:textFill>
        </w:rPr>
        <w:t>XXXX</w:t>
      </w:r>
    </w:p>
    <w:p>
      <w:pPr>
        <w:spacing w:line="360" w:lineRule="auto"/>
        <w:ind w:left="420" w:firstLine="565" w:firstLineChars="202"/>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邮政编码：</w:t>
      </w:r>
      <w:r>
        <w:rPr>
          <w:rFonts w:hint="eastAsia" w:ascii="宋体" w:hAnsi="宋体"/>
          <w:color w:val="000000" w:themeColor="text1"/>
          <w:sz w:val="28"/>
          <w:szCs w:val="28"/>
          <w:u w:val="single"/>
          <w14:textFill>
            <w14:solidFill>
              <w14:schemeClr w14:val="tx1"/>
            </w14:solidFill>
          </w14:textFill>
        </w:rPr>
        <w:t>XXXX</w:t>
      </w:r>
    </w:p>
    <w:p>
      <w:pPr>
        <w:spacing w:after="120" w:line="360" w:lineRule="auto"/>
        <w:ind w:left="420" w:leftChars="200" w:firstLine="560" w:firstLine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spacing w:line="360" w:lineRule="auto"/>
        <w:ind w:left="283" w:leftChars="135" w:firstLine="700" w:firstLineChars="250"/>
        <w:rPr>
          <w:rFonts w:ascii="宋体" w:hAnsi="宋体"/>
          <w:bCs/>
          <w:color w:val="000000" w:themeColor="text1"/>
          <w:sz w:val="28"/>
          <w:u w:val="single"/>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tabs>
          <w:tab w:val="left" w:pos="630"/>
          <w:tab w:val="left" w:pos="7560"/>
        </w:tabs>
        <w:spacing w:line="360" w:lineRule="auto"/>
        <w:rPr>
          <w:rFonts w:ascii="宋体" w:hAnsi="宋体"/>
          <w:color w:val="000000" w:themeColor="text1"/>
          <w:sz w:val="28"/>
          <w:szCs w:val="28"/>
          <w:u w:val="single"/>
          <w14:textFill>
            <w14:solidFill>
              <w14:schemeClr w14:val="tx1"/>
            </w14:solidFill>
          </w14:textFill>
        </w:rPr>
      </w:pPr>
      <w:bookmarkStart w:id="130" w:name="_Toc239846734"/>
      <w:bookmarkStart w:id="131" w:name="_Toc229802674"/>
      <w:bookmarkStart w:id="132" w:name="_Toc239849853"/>
      <w:bookmarkStart w:id="133" w:name="_Toc240367172"/>
      <w:bookmarkStart w:id="134" w:name="_Toc314574804"/>
      <w:bookmarkStart w:id="135" w:name="_Toc231030275"/>
      <w:bookmarkStart w:id="136" w:name="_Toc240865266"/>
      <w:bookmarkStart w:id="137" w:name="_Toc265494342"/>
      <w:bookmarkStart w:id="138" w:name="_Toc237145395"/>
    </w:p>
    <w:p>
      <w:pPr>
        <w:tabs>
          <w:tab w:val="left" w:pos="630"/>
          <w:tab w:val="left" w:pos="7560"/>
        </w:tabs>
        <w:spacing w:line="360" w:lineRule="auto"/>
        <w:rPr>
          <w:rFonts w:ascii="宋体" w:hAnsi="宋体"/>
          <w:color w:val="000000" w:themeColor="text1"/>
          <w:sz w:val="28"/>
          <w:szCs w:val="28"/>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法定代表人身份证明书</w:t>
      </w:r>
    </w:p>
    <w:p>
      <w:pPr>
        <w:tabs>
          <w:tab w:val="left" w:pos="6300"/>
        </w:tabs>
        <w:spacing w:line="360" w:lineRule="auto"/>
        <w:ind w:firstLine="573"/>
        <w:rPr>
          <w:rFonts w:ascii="宋体" w:hAnsi="宋体"/>
          <w:color w:val="000000" w:themeColor="text1"/>
          <w:sz w:val="28"/>
          <w:u w:val="single"/>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r>
        <w:rPr>
          <w:rFonts w:hint="eastAsia" w:ascii="宋体" w:hAnsi="宋体"/>
          <w:color w:val="000000" w:themeColor="text1"/>
          <w:sz w:val="28"/>
          <w:u w:val="single"/>
          <w:lang w:val="zh-CN"/>
          <w14:textFill>
            <w14:solidFill>
              <w14:schemeClr w14:val="tx1"/>
            </w14:solidFill>
          </w14:textFill>
        </w:rPr>
        <w:t>XXXX（法定代表人姓名）</w:t>
      </w:r>
      <w:r>
        <w:rPr>
          <w:rFonts w:hint="eastAsia" w:ascii="宋体" w:hAnsi="宋体"/>
          <w:color w:val="000000" w:themeColor="text1"/>
          <w:sz w:val="28"/>
          <w:lang w:val="zh-CN"/>
          <w14:textFill>
            <w14:solidFill>
              <w14:schemeClr w14:val="tx1"/>
            </w14:solidFill>
          </w14:textFill>
        </w:rPr>
        <w:t>在</w:t>
      </w:r>
      <w:r>
        <w:rPr>
          <w:rFonts w:hint="eastAsia" w:ascii="宋体" w:hAnsi="宋体"/>
          <w:color w:val="000000" w:themeColor="text1"/>
          <w:sz w:val="28"/>
          <w:u w:val="single"/>
          <w:lang w:val="zh-CN"/>
          <w14:textFill>
            <w14:solidFill>
              <w14:schemeClr w14:val="tx1"/>
            </w14:solidFill>
          </w14:textFill>
        </w:rPr>
        <w:t>XXXX（投标人名称）</w:t>
      </w:r>
      <w:r>
        <w:rPr>
          <w:rFonts w:hint="eastAsia" w:ascii="宋体" w:hAnsi="宋体"/>
          <w:color w:val="000000" w:themeColor="text1"/>
          <w:sz w:val="28"/>
          <w:lang w:val="zh-CN"/>
          <w14:textFill>
            <w14:solidFill>
              <w14:schemeClr w14:val="tx1"/>
            </w14:solidFill>
          </w14:textFill>
        </w:rPr>
        <w:t>处 任</w:t>
      </w:r>
      <w:r>
        <w:rPr>
          <w:rFonts w:hint="eastAsia" w:ascii="宋体" w:hAnsi="宋体"/>
          <w:color w:val="000000" w:themeColor="text1"/>
          <w:sz w:val="28"/>
          <w:u w:val="single"/>
          <w:lang w:val="zh-CN"/>
          <w14:textFill>
            <w14:solidFill>
              <w14:schemeClr w14:val="tx1"/>
            </w14:solidFill>
          </w14:textFill>
        </w:rPr>
        <w:t>XXXX（职务名称）</w:t>
      </w:r>
      <w:r>
        <w:rPr>
          <w:rFonts w:hint="eastAsia" w:ascii="宋体" w:hAnsi="宋体"/>
          <w:color w:val="000000" w:themeColor="text1"/>
          <w:sz w:val="28"/>
          <w:lang w:val="zh-CN"/>
          <w14:textFill>
            <w14:solidFill>
              <w14:schemeClr w14:val="tx1"/>
            </w14:solidFill>
          </w14:textFill>
        </w:rPr>
        <w:t>职务，是</w:t>
      </w:r>
      <w:r>
        <w:rPr>
          <w:rFonts w:hint="eastAsia" w:ascii="宋体" w:hAnsi="宋体"/>
          <w:color w:val="000000" w:themeColor="text1"/>
          <w:sz w:val="28"/>
          <w:u w:val="single"/>
          <w:lang w:val="zh-CN"/>
          <w14:textFill>
            <w14:solidFill>
              <w14:schemeClr w14:val="tx1"/>
            </w14:solidFill>
          </w14:textFill>
        </w:rPr>
        <w:t>XXXX（投标人名称）</w:t>
      </w:r>
      <w:r>
        <w:rPr>
          <w:rFonts w:hint="eastAsia" w:ascii="宋体" w:hAnsi="宋体"/>
          <w:color w:val="000000" w:themeColor="text1"/>
          <w:sz w:val="28"/>
          <w:lang w:val="zh-CN"/>
          <w14:textFill>
            <w14:solidFill>
              <w14:schemeClr w14:val="tx1"/>
            </w14:solidFill>
          </w14:textFill>
        </w:rPr>
        <w:t>的法定代表人。</w:t>
      </w: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bookmarkStart w:id="139" w:name="_Toc263768866"/>
      <w:r>
        <w:rPr>
          <w:rFonts w:hint="eastAsia" w:ascii="宋体" w:hAnsi="宋体"/>
          <w:color w:val="000000" w:themeColor="text1"/>
          <w:sz w:val="28"/>
          <w:lang w:val="zh-CN"/>
          <w14:textFill>
            <w14:solidFill>
              <w14:schemeClr w14:val="tx1"/>
            </w14:solidFill>
          </w14:textFill>
        </w:rPr>
        <w:t>特此证明。</w:t>
      </w:r>
      <w:bookmarkEnd w:id="139"/>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spacing w:line="360" w:lineRule="auto"/>
        <w:rPr>
          <w:rFonts w:ascii="宋体" w:hAnsi="宋体"/>
          <w:color w:val="000000" w:themeColor="text1"/>
          <w:sz w:val="28"/>
          <w:lang w:val="zh-CN"/>
          <w14:textFill>
            <w14:solidFill>
              <w14:schemeClr w14:val="tx1"/>
            </w14:solidFill>
          </w14:textFill>
        </w:rPr>
      </w:pPr>
      <w:r>
        <w:rPr>
          <w:rFonts w:hint="eastAsia" w:ascii="宋体" w:hAnsi="宋体"/>
          <w:color w:val="000000" w:themeColor="text1"/>
          <w:sz w:val="28"/>
          <w:lang w:val="zh-CN"/>
          <w14:textFill>
            <w14:solidFill>
              <w14:schemeClr w14:val="tx1"/>
            </w14:solidFill>
          </w14:textFill>
        </w:rPr>
        <w:t>投标人名称：</w:t>
      </w:r>
      <w:r>
        <w:rPr>
          <w:rFonts w:hint="eastAsia" w:ascii="宋体" w:hAnsi="宋体"/>
          <w:color w:val="000000" w:themeColor="text1"/>
          <w:sz w:val="28"/>
          <w:u w:val="single"/>
          <w:lang w:val="zh-CN"/>
          <w14:textFill>
            <w14:solidFill>
              <w14:schemeClr w14:val="tx1"/>
            </w14:solidFill>
          </w14:textFill>
        </w:rPr>
        <w:t>XXXX</w:t>
      </w:r>
    </w:p>
    <w:p>
      <w:pPr>
        <w:spacing w:line="360" w:lineRule="auto"/>
        <w:rPr>
          <w:rFonts w:ascii="宋体" w:hAnsi="宋体"/>
          <w:b/>
          <w:color w:val="000000" w:themeColor="text1"/>
          <w:sz w:val="28"/>
          <w:u w:val="single"/>
          <w:lang w:val="zh-CN"/>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w:t>
      </w:r>
      <w:r>
        <w:rPr>
          <w:rFonts w:hint="eastAsia" w:ascii="宋体" w:hAnsi="宋体"/>
          <w:color w:val="000000" w:themeColor="text1"/>
          <w:sz w:val="28"/>
          <w:lang w:val="zh-CN"/>
          <w14:textFill>
            <w14:solidFill>
              <w14:schemeClr w14:val="tx1"/>
            </w14:solidFill>
          </w14:textFill>
        </w:rPr>
        <w:t>2</w:t>
      </w:r>
      <w:r>
        <w:rPr>
          <w:rFonts w:hint="eastAsia" w:ascii="宋体" w:hAnsi="宋体"/>
          <w:color w:val="000000" w:themeColor="text1"/>
          <w:sz w:val="28"/>
          <w:u w:val="single"/>
          <w:lang w:val="zh-CN"/>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color w:val="000000" w:themeColor="text1"/>
          <w:sz w:val="28"/>
          <w:u w:val="single"/>
          <w:lang w:val="zh-CN"/>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color w:val="000000" w:themeColor="text1"/>
          <w:sz w:val="28"/>
          <w:u w:val="single"/>
          <w:lang w:val="zh-CN"/>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spacing w:after="180" w:line="360" w:lineRule="auto"/>
        <w:ind w:firstLine="568" w:firstLineChars="202"/>
        <w:rPr>
          <w:rFonts w:ascii="宋体" w:hAnsi="宋体"/>
          <w:b/>
          <w:color w:val="000000" w:themeColor="text1"/>
          <w:sz w:val="28"/>
          <w:szCs w:val="28"/>
          <w14:textFill>
            <w14:solidFill>
              <w14:schemeClr w14:val="tx1"/>
            </w14:solidFill>
          </w14:textFill>
        </w:rPr>
      </w:pPr>
    </w:p>
    <w:p>
      <w:pPr>
        <w:spacing w:after="180" w:line="360" w:lineRule="auto"/>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说明：上述证明文件在投标文件中附有法定代表人身份证复印件（身份证两面均应复印）或护照复印件（投标人的法定代表人为外籍人士的，则提供护照复印件）时才能生效。</w:t>
      </w:r>
    </w:p>
    <w:p>
      <w:pPr>
        <w:spacing w:after="180" w:line="300" w:lineRule="auto"/>
        <w:rPr>
          <w:rFonts w:ascii="宋体" w:hAnsi="宋体"/>
          <w:b/>
          <w:color w:val="000000" w:themeColor="text1"/>
          <w:sz w:val="28"/>
          <w:szCs w:val="28"/>
          <w14:textFill>
            <w14:solidFill>
              <w14:schemeClr w14:val="tx1"/>
            </w14:solidFill>
          </w14:textFill>
        </w:rPr>
      </w:pPr>
    </w:p>
    <w:bookmarkEnd w:id="130"/>
    <w:bookmarkEnd w:id="131"/>
    <w:bookmarkEnd w:id="132"/>
    <w:bookmarkEnd w:id="133"/>
    <w:bookmarkEnd w:id="134"/>
    <w:bookmarkEnd w:id="135"/>
    <w:bookmarkEnd w:id="136"/>
    <w:bookmarkEnd w:id="137"/>
    <w:bookmarkEnd w:id="138"/>
    <w:p>
      <w:pPr>
        <w:rPr>
          <w:color w:val="000000" w:themeColor="text1"/>
          <w14:textFill>
            <w14:solidFill>
              <w14:schemeClr w14:val="tx1"/>
            </w14:solidFill>
          </w14:textFill>
        </w:rPr>
      </w:pPr>
      <w:bookmarkStart w:id="140" w:name="_Toc315871054"/>
      <w:bookmarkEnd w:id="140"/>
      <w:bookmarkStart w:id="141" w:name="_Toc302997926"/>
      <w:bookmarkStart w:id="142" w:name="_Toc217446083"/>
      <w:bookmarkStart w:id="143" w:name="_Toc220299393"/>
      <w:bookmarkStart w:id="144" w:name="_Toc263753605"/>
      <w:bookmarkStart w:id="145" w:name="_Toc263768870"/>
    </w:p>
    <w:p>
      <w:pPr>
        <w:rPr>
          <w:color w:val="000000" w:themeColor="text1"/>
          <w14:textFill>
            <w14:solidFill>
              <w14:schemeClr w14:val="tx1"/>
            </w14:solidFill>
          </w14:textFill>
        </w:rPr>
      </w:pPr>
    </w:p>
    <w:p>
      <w:pPr>
        <w:rPr>
          <w:color w:val="000000" w:themeColor="text1"/>
          <w14:textFill>
            <w14:solidFill>
              <w14:schemeClr w14:val="tx1"/>
            </w14:solidFill>
          </w14:textFill>
        </w:rPr>
      </w:pPr>
    </w:p>
    <w:bookmarkEnd w:id="141"/>
    <w:p>
      <w:pPr>
        <w:pStyle w:val="4"/>
        <w:spacing w:after="200" w:line="240" w:lineRule="auto"/>
        <w:ind w:left="851" w:hanging="851"/>
        <w:rPr>
          <w:color w:val="000000" w:themeColor="text1"/>
          <w14:textFill>
            <w14:solidFill>
              <w14:schemeClr w14:val="tx1"/>
            </w14:solidFill>
          </w14:textFill>
        </w:rPr>
      </w:pPr>
      <w:r>
        <w:rPr>
          <w:rFonts w:hint="eastAsia"/>
          <w:color w:val="000000" w:themeColor="text1"/>
          <w14:textFill>
            <w14:solidFill>
              <w14:schemeClr w14:val="tx1"/>
            </w14:solidFill>
          </w14:textFill>
        </w:rPr>
        <w:t>投标产品技术性能、技术参数和配置的详细描述</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pacing w:after="120" w:line="360" w:lineRule="auto"/>
        <w:ind w:left="420" w:left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u w:val="single"/>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售后服务及承诺</w:t>
      </w:r>
    </w:p>
    <w:p>
      <w:pPr>
        <w:snapToGrid w:val="0"/>
        <w:spacing w:line="360" w:lineRule="auto"/>
        <w:ind w:right="-624" w:rightChars="-29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14:textFill>
            <w14:solidFill>
              <w14:schemeClr w14:val="tx1"/>
            </w14:solidFill>
          </w14:textFill>
        </w:rPr>
        <w:t>项目名称：</w:t>
      </w:r>
    </w:p>
    <w:p>
      <w:pPr>
        <w:snapToGrid w:val="0"/>
        <w:spacing w:line="360" w:lineRule="auto"/>
        <w:ind w:right="-624" w:rightChars="-297"/>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项目编号：</w:t>
      </w:r>
    </w:p>
    <w:p>
      <w:pPr>
        <w:tabs>
          <w:tab w:val="left" w:pos="720"/>
        </w:tabs>
        <w:spacing w:line="360" w:lineRule="auto"/>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一、验收标准</w:t>
      </w:r>
    </w:p>
    <w:p>
      <w:pPr>
        <w:spacing w:line="360" w:lineRule="auto"/>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 xml:space="preserve">    （投标人应提出详细的验收程序和所执行的验收标准）</w:t>
      </w:r>
    </w:p>
    <w:p>
      <w:pPr>
        <w:spacing w:line="360" w:lineRule="auto"/>
        <w:ind w:firstLine="565" w:firstLineChars="202"/>
        <w:rPr>
          <w:rFonts w:ascii="宋体" w:hAnsi="宋体"/>
          <w:color w:val="000000" w:themeColor="text1"/>
          <w:sz w:val="28"/>
          <w14:textFill>
            <w14:solidFill>
              <w14:schemeClr w14:val="tx1"/>
            </w14:solidFill>
          </w14:textFill>
        </w:rPr>
      </w:pPr>
    </w:p>
    <w:p>
      <w:pPr>
        <w:spacing w:line="360" w:lineRule="auto"/>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二、交货进度计划及保障措施</w:t>
      </w:r>
    </w:p>
    <w:p>
      <w:pPr>
        <w:spacing w:line="360" w:lineRule="auto"/>
        <w:ind w:firstLine="565" w:firstLineChars="202"/>
        <w:rPr>
          <w:rFonts w:ascii="宋体" w:hAnsi="宋体"/>
          <w:color w:val="000000" w:themeColor="text1"/>
          <w:sz w:val="28"/>
          <w14:textFill>
            <w14:solidFill>
              <w14:schemeClr w14:val="tx1"/>
            </w14:solidFill>
          </w14:textFill>
        </w:rPr>
      </w:pPr>
    </w:p>
    <w:p>
      <w:pPr>
        <w:spacing w:line="360" w:lineRule="auto"/>
        <w:ind w:firstLine="565" w:firstLineChars="202"/>
        <w:rPr>
          <w:rFonts w:ascii="宋体" w:hAnsi="宋体"/>
          <w:color w:val="000000" w:themeColor="text1"/>
          <w:sz w:val="28"/>
          <w14:textFill>
            <w14:solidFill>
              <w14:schemeClr w14:val="tx1"/>
            </w14:solidFill>
          </w14:textFill>
        </w:rPr>
      </w:pPr>
    </w:p>
    <w:p>
      <w:pPr>
        <w:tabs>
          <w:tab w:val="left" w:pos="720"/>
        </w:tabs>
        <w:spacing w:line="360" w:lineRule="auto"/>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三、售后服务承诺</w:t>
      </w:r>
    </w:p>
    <w:p>
      <w:pPr>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（售后服务承诺应包括但不限于以下内容）</w:t>
      </w:r>
    </w:p>
    <w:p>
      <w:pPr>
        <w:spacing w:line="4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（一）产品制造厂家或投标人设立的售后服务机构网点清单、服务电话和维修人员名单；</w:t>
      </w:r>
    </w:p>
    <w:p>
      <w:pPr>
        <w:spacing w:line="4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（二）说明投标产品的保修时间、保修期内的保修内容与范围、维修响应时间等；</w:t>
      </w:r>
    </w:p>
    <w:p>
      <w:pPr>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（三）……</w:t>
      </w:r>
    </w:p>
    <w:p>
      <w:pPr>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四、技术支持的能力及方案</w:t>
      </w: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tabs>
          <w:tab w:val="left" w:pos="720"/>
        </w:tabs>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五、其他说明的内容</w:t>
      </w:r>
    </w:p>
    <w:p>
      <w:pPr>
        <w:ind w:firstLine="565" w:firstLineChars="202"/>
        <w:rPr>
          <w:rFonts w:ascii="宋体" w:hAnsi="宋体"/>
          <w:color w:val="000000" w:themeColor="text1"/>
          <w:sz w:val="28"/>
          <w14:textFill>
            <w14:solidFill>
              <w14:schemeClr w14:val="tx1"/>
            </w14:solidFill>
          </w14:textFill>
        </w:rPr>
      </w:pPr>
    </w:p>
    <w:p>
      <w:pPr>
        <w:spacing w:after="120" w:line="360" w:lineRule="auto"/>
        <w:ind w:left="420" w:left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keepNext/>
        <w:keepLines/>
        <w:numPr>
          <w:ilvl w:val="2"/>
          <w:numId w:val="1"/>
        </w:numPr>
        <w:spacing w:line="360" w:lineRule="auto"/>
        <w:ind w:left="567"/>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项目实施方案</w:t>
      </w:r>
    </w:p>
    <w:p>
      <w:pPr>
        <w:snapToGrid w:val="0"/>
        <w:spacing w:line="360" w:lineRule="auto"/>
        <w:ind w:right="-624" w:rightChars="-29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p>
    <w:p>
      <w:pPr>
        <w:snapToGrid w:val="0"/>
        <w:spacing w:line="360" w:lineRule="auto"/>
        <w:rPr>
          <w:rFonts w:ascii="宋体" w:hAnsi="宋体"/>
          <w:b/>
          <w:color w:val="000000" w:themeColor="text1"/>
          <w:sz w:val="28"/>
          <w:u w:val="single"/>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pacing w:after="120" w:line="360" w:lineRule="auto"/>
        <w:ind w:left="420" w:leftChars="200"/>
        <w:rPr>
          <w:rFonts w:ascii="宋体" w:hAnsi="宋体"/>
          <w:bCs/>
          <w:color w:val="000000" w:themeColor="text1"/>
          <w:sz w:val="28"/>
          <w:szCs w:val="28"/>
          <w:u w:val="single"/>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spacing w:after="120" w:line="360" w:lineRule="auto"/>
        <w:ind w:left="420" w:leftChars="200"/>
        <w:rPr>
          <w:rFonts w:ascii="宋体" w:hAnsi="宋体"/>
          <w:bCs/>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spacing w:after="120" w:line="360" w:lineRule="auto"/>
        <w:ind w:left="420" w:leftChars="200"/>
        <w:rPr>
          <w:rFonts w:ascii="宋体" w:hAnsi="宋体"/>
          <w:bCs/>
          <w:color w:val="000000" w:themeColor="text1"/>
          <w:sz w:val="28"/>
          <w14:textFill>
            <w14:solidFill>
              <w14:schemeClr w14:val="tx1"/>
            </w14:solidFill>
          </w14:textFill>
        </w:rPr>
      </w:pPr>
    </w:p>
    <w:p>
      <w:pPr>
        <w:spacing w:after="120" w:line="360" w:lineRule="auto"/>
        <w:ind w:left="420" w:leftChars="200"/>
        <w:rPr>
          <w:rFonts w:ascii="宋体" w:hAnsi="宋体"/>
          <w:b/>
          <w:color w:val="000000" w:themeColor="text1"/>
          <w:sz w:val="28"/>
          <w:szCs w:val="28"/>
          <w14:textFill>
            <w14:solidFill>
              <w14:schemeClr w14:val="tx1"/>
            </w14:solidFill>
          </w14:textFill>
        </w:rPr>
      </w:pPr>
    </w:p>
    <w:p>
      <w:pPr>
        <w:keepNext/>
        <w:keepLines/>
        <w:numPr>
          <w:ilvl w:val="2"/>
          <w:numId w:val="1"/>
        </w:numPr>
        <w:spacing w:line="360" w:lineRule="auto"/>
        <w:ind w:left="567"/>
        <w:outlineLvl w:val="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承诺函</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napToGrid w:val="0"/>
        <w:spacing w:line="360" w:lineRule="auto"/>
        <w:ind w:firstLine="560" w:firstLineChars="200"/>
        <w:rPr>
          <w:rFonts w:ascii="宋体" w:hAnsi="宋体"/>
          <w:color w:val="000000" w:themeColor="text1"/>
          <w14:textFill>
            <w14:solidFill>
              <w14:schemeClr w14:val="tx1"/>
            </w14:solidFill>
          </w14:textFill>
        </w:rPr>
      </w:pPr>
      <w:r>
        <w:rPr>
          <w:rFonts w:hint="eastAsia" w:ascii="宋体" w:hAnsi="宋体"/>
          <w:color w:val="000000" w:themeColor="text1"/>
          <w:sz w:val="28"/>
          <w14:textFill>
            <w14:solidFill>
              <w14:schemeClr w14:val="tx1"/>
            </w14:solidFill>
          </w14:textFill>
        </w:rPr>
        <w:t>我单位作为参加本</w:t>
      </w:r>
      <w:r>
        <w:rPr>
          <w:rFonts w:hint="eastAsia" w:ascii="宋体" w:hAnsi="宋体"/>
          <w:color w:val="000000" w:themeColor="text1"/>
          <w:sz w:val="28"/>
          <w:szCs w:val="28"/>
          <w14:textFill>
            <w14:solidFill>
              <w14:schemeClr w14:val="tx1"/>
            </w14:solidFill>
          </w14:textFill>
        </w:rPr>
        <w:t>项目</w:t>
      </w:r>
      <w:r>
        <w:rPr>
          <w:rFonts w:hint="eastAsia" w:ascii="宋体" w:hAnsi="宋体"/>
          <w:color w:val="000000" w:themeColor="text1"/>
          <w:sz w:val="28"/>
          <w14:textFill>
            <w14:solidFill>
              <w14:schemeClr w14:val="tx1"/>
            </w14:solidFill>
          </w14:textFill>
        </w:rPr>
        <w:t>的投标人，在此郑重承诺：</w:t>
      </w:r>
    </w:p>
    <w:p>
      <w:pPr>
        <w:numPr>
          <w:ilvl w:val="0"/>
          <w:numId w:val="36"/>
        </w:numPr>
        <w:tabs>
          <w:tab w:val="left" w:pos="1134"/>
        </w:tabs>
        <w:snapToGrid w:val="0"/>
        <w:spacing w:line="360" w:lineRule="auto"/>
        <w:ind w:left="0" w:firstLine="562"/>
        <w:rPr>
          <w:rFonts w:ascii="宋体" w:hAnsi="宋体" w:eastAsiaTheme="minorEastAsia" w:cstheme="minorBidi"/>
          <w:color w:val="000000" w:themeColor="text1"/>
          <w:sz w:val="28"/>
          <w:szCs w:val="28"/>
          <w14:textFill>
            <w14:solidFill>
              <w14:schemeClr w14:val="tx1"/>
            </w14:solidFill>
          </w14:textFill>
        </w:rPr>
      </w:pPr>
      <w:r>
        <w:rPr>
          <w:rFonts w:hint="eastAsia" w:ascii="宋体" w:hAnsi="宋体" w:eastAsiaTheme="minorEastAsia" w:cstheme="minorBidi"/>
          <w:color w:val="000000" w:themeColor="text1"/>
          <w:sz w:val="28"/>
          <w:szCs w:val="28"/>
          <w14:textFill>
            <w14:solidFill>
              <w14:schemeClr w14:val="tx1"/>
            </w14:solidFill>
          </w14:textFill>
        </w:rPr>
        <w:t>为本项目提供的所有产品、辅材中</w:t>
      </w:r>
      <w:r>
        <w:rPr>
          <w:rFonts w:cs="宋体" w:asciiTheme="minorEastAsia" w:hAnsiTheme="minorEastAsia" w:eastAsiaTheme="minorEastAsia"/>
          <w:color w:val="000000" w:themeColor="text1"/>
          <w:sz w:val="28"/>
          <w:szCs w:val="28"/>
          <w14:textFill>
            <w14:solidFill>
              <w14:schemeClr w14:val="tx1"/>
            </w14:solidFill>
          </w14:textFill>
        </w:rPr>
        <w:t>属于《国家强制性产品认证目录》范围内产品的，均通过国家强制性产品认证并取得认证证书。</w:t>
      </w:r>
    </w:p>
    <w:p>
      <w:pPr>
        <w:numPr>
          <w:ilvl w:val="0"/>
          <w:numId w:val="36"/>
        </w:numPr>
        <w:tabs>
          <w:tab w:val="left" w:pos="1134"/>
        </w:tabs>
        <w:snapToGrid w:val="0"/>
        <w:spacing w:line="360" w:lineRule="auto"/>
        <w:ind w:left="0" w:firstLine="562"/>
        <w:rPr>
          <w:rFonts w:ascii="宋体" w:hAnsi="宋体" w:eastAsiaTheme="minorEastAsia" w:cstheme="minorBidi"/>
          <w:b/>
          <w:color w:val="000000" w:themeColor="text1"/>
          <w:sz w:val="28"/>
          <w:szCs w:val="28"/>
          <w14:textFill>
            <w14:solidFill>
              <w14:schemeClr w14:val="tx1"/>
            </w14:solidFill>
          </w14:textFill>
        </w:rPr>
      </w:pPr>
      <w:r>
        <w:rPr>
          <w:rFonts w:hint="eastAsia" w:eastAsiaTheme="minorEastAsia" w:cstheme="minorBidi"/>
          <w:color w:val="000000" w:themeColor="text1"/>
          <w:sz w:val="28"/>
          <w:szCs w:val="28"/>
          <w14:textFill>
            <w14:solidFill>
              <w14:schemeClr w14:val="tx1"/>
            </w14:solidFill>
          </w14:textFill>
        </w:rPr>
        <w:t>为本项目提供的所有产品、辅材符合现行的强制性国家相关标准、行业标准。</w:t>
      </w:r>
    </w:p>
    <w:p>
      <w:pPr>
        <w:numPr>
          <w:ilvl w:val="0"/>
          <w:numId w:val="36"/>
        </w:numPr>
        <w:tabs>
          <w:tab w:val="left" w:pos="1134"/>
        </w:tabs>
        <w:snapToGrid w:val="0"/>
        <w:spacing w:line="360" w:lineRule="auto"/>
        <w:ind w:left="0" w:firstLine="562"/>
        <w:rPr>
          <w:rFonts w:ascii="宋体" w:hAnsi="宋体" w:eastAsiaTheme="minorEastAsia" w:cstheme="minorBidi"/>
          <w:color w:val="000000" w:themeColor="text1"/>
          <w:sz w:val="28"/>
          <w:szCs w:val="28"/>
          <w:lang w:val="zh-CN"/>
          <w14:textFill>
            <w14:solidFill>
              <w14:schemeClr w14:val="tx1"/>
            </w14:solidFill>
          </w14:textFill>
        </w:rPr>
      </w:pPr>
      <w:r>
        <w:rPr>
          <w:rFonts w:hint="eastAsia" w:ascii="宋体" w:hAnsi="宋体" w:eastAsiaTheme="minorEastAsia" w:cstheme="minorBidi"/>
          <w:color w:val="000000" w:themeColor="text1"/>
          <w:sz w:val="28"/>
          <w:szCs w:val="28"/>
          <w:lang w:val="zh-CN"/>
          <w14:textFill>
            <w14:solidFill>
              <w14:schemeClr w14:val="tx1"/>
            </w14:solidFill>
          </w14:textFill>
        </w:rPr>
        <w:t>为本项目提供的所有产品中属于节能产品政府采购品目清单中的政府强制采购产品的，均具有国家确定的认证机构出具的有效期内的节能产品认证证书。</w:t>
      </w:r>
    </w:p>
    <w:p>
      <w:pPr>
        <w:numPr>
          <w:ilvl w:val="0"/>
          <w:numId w:val="36"/>
        </w:numPr>
        <w:tabs>
          <w:tab w:val="left" w:pos="1134"/>
        </w:tabs>
        <w:snapToGrid w:val="0"/>
        <w:spacing w:line="360" w:lineRule="auto"/>
        <w:ind w:left="0" w:firstLine="562"/>
        <w:rPr>
          <w:rFonts w:ascii="宋体" w:hAnsi="宋体" w:eastAsiaTheme="minorEastAsia" w:cstheme="minorBidi"/>
          <w:color w:val="000000" w:themeColor="text1"/>
          <w:sz w:val="28"/>
          <w:szCs w:val="28"/>
          <w:lang w:val="zh-CN"/>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为本项目实施涉及的商品包装和快递包装，均符合财政部等三部门联合印发商品包装和快递包装政府采购需求标准（试行）（财办库[2020]123号）的要求。</w:t>
      </w:r>
    </w:p>
    <w:p>
      <w:pPr>
        <w:numPr>
          <w:ilvl w:val="0"/>
          <w:numId w:val="36"/>
        </w:numPr>
        <w:tabs>
          <w:tab w:val="left" w:pos="1134"/>
        </w:tabs>
        <w:snapToGrid w:val="0"/>
        <w:spacing w:line="360" w:lineRule="auto"/>
        <w:ind w:left="0" w:firstLine="562"/>
        <w:rPr>
          <w:rFonts w:ascii="宋体" w:hAnsi="宋体" w:eastAsiaTheme="minorEastAsia" w:cstheme="minorBidi"/>
          <w:color w:val="000000" w:themeColor="text1"/>
          <w:sz w:val="28"/>
          <w:szCs w:val="28"/>
          <w:lang w:val="zh-CN"/>
          <w14:textFill>
            <w14:solidFill>
              <w14:schemeClr w14:val="tx1"/>
            </w14:solidFill>
          </w14:textFill>
        </w:rPr>
      </w:pPr>
      <w:r>
        <w:rPr>
          <w:rFonts w:hint="eastAsia" w:ascii="宋体" w:hAnsi="宋体" w:eastAsiaTheme="minorEastAsia" w:cstheme="minorBidi"/>
          <w:color w:val="000000" w:themeColor="text1"/>
          <w:sz w:val="28"/>
          <w:szCs w:val="28"/>
          <w:lang w:val="zh-CN"/>
          <w14:textFill>
            <w14:solidFill>
              <w14:schemeClr w14:val="tx1"/>
            </w14:solidFill>
          </w14:textFill>
        </w:rPr>
        <w:t>我方承诺完全响应招标文件</w:t>
      </w:r>
      <w:r>
        <w:rPr>
          <w:rFonts w:ascii="Times New Roman" w:hAnsi="Times New Roman" w:eastAsiaTheme="minorEastAsia"/>
          <w:color w:val="000000" w:themeColor="text1"/>
          <w:sz w:val="28"/>
          <w:szCs w:val="28"/>
          <w:lang w:val="zh-CN"/>
          <w14:textFill>
            <w14:solidFill>
              <w14:schemeClr w14:val="tx1"/>
            </w14:solidFill>
          </w14:textFill>
        </w:rPr>
        <w:t>4.</w:t>
      </w:r>
      <w:r>
        <w:rPr>
          <w:rFonts w:hint="eastAsia" w:ascii="Times New Roman" w:hAnsi="Times New Roman" w:eastAsiaTheme="minorEastAsia"/>
          <w:color w:val="000000" w:themeColor="text1"/>
          <w:sz w:val="28"/>
          <w:szCs w:val="28"/>
          <w14:textFill>
            <w14:solidFill>
              <w14:schemeClr w14:val="tx1"/>
            </w14:solidFill>
          </w14:textFill>
        </w:rPr>
        <w:t>3商务要求的：</w:t>
      </w:r>
      <w:r>
        <w:rPr>
          <w:rFonts w:hint="eastAsia" w:ascii="Times New Roman" w:hAnsi="Times New Roman" w:eastAsia="仿宋_GB2312"/>
          <w:color w:val="000000" w:themeColor="text1"/>
          <w:sz w:val="32"/>
          <w:szCs w:val="32"/>
          <w14:textFill>
            <w14:solidFill>
              <w14:schemeClr w14:val="tx1"/>
            </w14:solidFill>
          </w14:textFill>
        </w:rPr>
        <w:t>1.交付及安装时间2.交付地点3.质量要求4.验收标准和方法5.售后服务及质量保证期6.付款方式。</w:t>
      </w:r>
    </w:p>
    <w:p>
      <w:pPr>
        <w:adjustRightInd w:val="0"/>
        <w:snapToGrid w:val="0"/>
        <w:spacing w:line="560" w:lineRule="exact"/>
        <w:rPr>
          <w:rFonts w:ascii="宋体" w:hAnsi="宋体"/>
          <w:color w:val="000000" w:themeColor="text1"/>
          <w:sz w:val="28"/>
          <w14:textFill>
            <w14:solidFill>
              <w14:schemeClr w14:val="tx1"/>
            </w14:solidFill>
          </w14:textFill>
        </w:rPr>
      </w:pPr>
    </w:p>
    <w:p>
      <w:pPr>
        <w:snapToGrid w:val="0"/>
        <w:spacing w:line="360" w:lineRule="auto"/>
        <w:ind w:firstLine="560" w:firstLineChars="200"/>
        <w:rPr>
          <w:rFonts w:ascii="宋体" w:hAnsi="宋体"/>
          <w:color w:val="000000" w:themeColor="text1"/>
          <w:sz w:val="28"/>
          <w:szCs w:val="28"/>
          <w14:textFill>
            <w14:solidFill>
              <w14:schemeClr w14:val="tx1"/>
            </w14:solidFill>
          </w14:textFill>
        </w:rPr>
      </w:pPr>
    </w:p>
    <w:p>
      <w:pPr>
        <w:snapToGrid w:val="0"/>
        <w:spacing w:line="360" w:lineRule="auto"/>
        <w:ind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特此承诺。</w:t>
      </w:r>
    </w:p>
    <w:p>
      <w:pPr>
        <w:spacing w:after="120" w:line="360" w:lineRule="auto"/>
        <w:ind w:left="420" w:left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adjustRightInd w:val="0"/>
        <w:spacing w:line="400" w:lineRule="exact"/>
        <w:ind w:firstLine="420" w:firstLineChars="150"/>
        <w:rPr>
          <w:rFonts w:ascii="宋体" w:hAnsi="宋体"/>
          <w:bCs/>
          <w:color w:val="000000" w:themeColor="text1"/>
          <w:sz w:val="28"/>
          <w14:textFill>
            <w14:solidFill>
              <w14:schemeClr w14:val="tx1"/>
            </w14:solidFill>
          </w14:textFill>
        </w:rPr>
        <w:sectPr>
          <w:pgSz w:w="11906" w:h="16838"/>
          <w:pgMar w:top="1440" w:right="1474" w:bottom="1440" w:left="1474" w:header="851" w:footer="992" w:gutter="0"/>
          <w:cols w:space="720" w:num="1"/>
        </w:sect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bookmarkEnd w:id="142"/>
      <w:bookmarkEnd w:id="143"/>
      <w:bookmarkEnd w:id="144"/>
      <w:bookmarkEnd w:id="145"/>
      <w:bookmarkStart w:id="146" w:name="_Toc316475719"/>
    </w:p>
    <w:p>
      <w:pPr>
        <w:adjustRightInd w:val="0"/>
        <w:spacing w:line="400" w:lineRule="exact"/>
        <w:rPr>
          <w:rFonts w:ascii="宋体" w:hAnsi="宋体"/>
          <w:bCs/>
          <w:color w:val="000000" w:themeColor="text1"/>
          <w:sz w:val="28"/>
          <w14:textFill>
            <w14:solidFill>
              <w14:schemeClr w14:val="tx1"/>
            </w14:solidFill>
          </w14:textFill>
        </w:rPr>
      </w:pPr>
    </w:p>
    <w:p>
      <w:pPr>
        <w:keepNext/>
        <w:keepLines/>
        <w:numPr>
          <w:ilvl w:val="2"/>
          <w:numId w:val="1"/>
        </w:numPr>
        <w:spacing w:line="360" w:lineRule="auto"/>
        <w:outlineLvl w:val="2"/>
        <w:rPr>
          <w:rFonts w:ascii="宋体" w:hAnsi="宋体"/>
          <w:b/>
          <w:color w:val="000000" w:themeColor="text1"/>
          <w:sz w:val="28"/>
          <w:szCs w:val="28"/>
          <w14:textFill>
            <w14:solidFill>
              <w14:schemeClr w14:val="tx1"/>
            </w14:solidFill>
          </w14:textFill>
        </w:rPr>
      </w:pPr>
      <w:bookmarkStart w:id="147" w:name="_Toc68703946"/>
      <w:r>
        <w:rPr>
          <w:rFonts w:hint="eastAsia" w:ascii="宋体" w:hAnsi="宋体"/>
          <w:b/>
          <w:color w:val="000000" w:themeColor="text1"/>
          <w:sz w:val="28"/>
          <w:szCs w:val="28"/>
          <w14:textFill>
            <w14:solidFill>
              <w14:schemeClr w14:val="tx1"/>
            </w14:solidFill>
          </w14:textFill>
        </w:rPr>
        <w:t>售后服务方案</w:t>
      </w:r>
      <w:bookmarkEnd w:id="147"/>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r>
        <w:rPr>
          <w:rFonts w:hint="eastAsia" w:ascii="宋体" w:hAnsi="宋体"/>
          <w:b/>
          <w:color w:val="000000" w:themeColor="text1"/>
          <w:sz w:val="28"/>
          <w:szCs w:val="28"/>
          <w:u w:val="single"/>
          <w14:textFill>
            <w14:solidFill>
              <w14:schemeClr w14:val="tx1"/>
            </w14:solidFill>
          </w14:textFill>
        </w:rPr>
        <w:t>关于我方对成都市青羊区人民法院</w:t>
      </w:r>
      <w:r>
        <w:rPr>
          <w:rFonts w:hint="eastAsia" w:ascii="宋体" w:hAnsi="宋体"/>
          <w:b/>
          <w:color w:val="000000" w:themeColor="text1"/>
          <w:sz w:val="28"/>
          <w:szCs w:val="28"/>
          <w:u w:val="single"/>
          <w:lang w:eastAsia="zh-CN"/>
          <w14:textFill>
            <w14:solidFill>
              <w14:schemeClr w14:val="tx1"/>
            </w14:solidFill>
          </w14:textFill>
        </w:rPr>
        <w:t>金融法庭信息化系统</w:t>
      </w:r>
      <w:r>
        <w:rPr>
          <w:rFonts w:hint="eastAsia" w:ascii="宋体" w:hAnsi="宋体"/>
          <w:b/>
          <w:color w:val="000000" w:themeColor="text1"/>
          <w:sz w:val="28"/>
          <w:szCs w:val="28"/>
          <w:u w:val="single"/>
          <w14:textFill>
            <w14:solidFill>
              <w14:schemeClr w14:val="tx1"/>
            </w14:solidFill>
          </w14:textFill>
        </w:rPr>
        <w:t>配套设备采购项目（项目编号：青羊政采（2021）A0030号）</w:t>
      </w: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pStyle w:val="25"/>
        <w:spacing w:line="360" w:lineRule="auto"/>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ascii="宋体" w:hAnsi="宋体"/>
          <w:bCs/>
          <w:color w:val="000000" w:themeColor="text1"/>
          <w:sz w:val="28"/>
          <w:szCs w:val="28"/>
          <w:u w:val="single"/>
          <w14:textFill>
            <w14:solidFill>
              <w14:schemeClr w14:val="tx1"/>
            </w14:solidFill>
          </w14:textFill>
        </w:rPr>
        <w:t xml:space="preserve">     XX      </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r>
        <w:rPr>
          <w:rFonts w:ascii="宋体" w:hAnsi="宋体"/>
          <w:color w:val="000000" w:themeColor="text1"/>
          <w:sz w:val="28"/>
          <w14:textFill>
            <w14:solidFill>
              <w14:schemeClr w14:val="tx1"/>
            </w14:solidFill>
          </w14:textFill>
        </w:rPr>
        <w:t>日期：</w:t>
      </w:r>
      <w:r>
        <w:rPr>
          <w:rFonts w:ascii="宋体" w:hAnsi="宋体"/>
          <w:bCs/>
          <w:color w:val="000000" w:themeColor="text1"/>
          <w:sz w:val="28"/>
          <w14:textFill>
            <w14:solidFill>
              <w14:schemeClr w14:val="tx1"/>
            </w14:solidFill>
          </w14:textFill>
        </w:rPr>
        <w:t>202X年XX月XX日</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keepNext/>
        <w:keepLines/>
        <w:numPr>
          <w:ilvl w:val="1"/>
          <w:numId w:val="1"/>
        </w:numPr>
        <w:spacing w:before="260" w:after="260" w:line="360" w:lineRule="auto"/>
        <w:jc w:val="left"/>
        <w:outlineLvl w:val="1"/>
        <w:rPr>
          <w:rFonts w:ascii="宋体" w:hAnsi="宋体"/>
          <w:b/>
          <w:color w:val="000000" w:themeColor="text1"/>
          <w:sz w:val="28"/>
          <w14:textFill>
            <w14:solidFill>
              <w14:schemeClr w14:val="tx1"/>
            </w14:solidFill>
          </w14:textFill>
        </w:rPr>
      </w:pPr>
      <w:bookmarkStart w:id="148" w:name="_Toc76541359"/>
      <w:r>
        <w:rPr>
          <w:rFonts w:hint="eastAsia" w:ascii="宋体" w:hAnsi="宋体"/>
          <w:b/>
          <w:color w:val="000000" w:themeColor="text1"/>
          <w:sz w:val="28"/>
          <w14:textFill>
            <w14:solidFill>
              <w14:schemeClr w14:val="tx1"/>
            </w14:solidFill>
          </w14:textFill>
        </w:rPr>
        <w:t>报价</w:t>
      </w:r>
      <w:r>
        <w:rPr>
          <w:rFonts w:hint="eastAsia" w:ascii="宋体" w:hAnsi="宋体"/>
          <w:b/>
          <w:bCs/>
          <w:color w:val="000000" w:themeColor="text1"/>
          <w:sz w:val="28"/>
          <w:szCs w:val="28"/>
          <w14:textFill>
            <w14:solidFill>
              <w14:schemeClr w14:val="tx1"/>
            </w14:solidFill>
          </w14:textFill>
        </w:rPr>
        <w:t>要求</w:t>
      </w:r>
      <w:r>
        <w:rPr>
          <w:rFonts w:hint="eastAsia" w:ascii="宋体" w:hAnsi="宋体"/>
          <w:b/>
          <w:color w:val="000000" w:themeColor="text1"/>
          <w:sz w:val="28"/>
          <w14:textFill>
            <w14:solidFill>
              <w14:schemeClr w14:val="tx1"/>
            </w14:solidFill>
          </w14:textFill>
        </w:rPr>
        <w:t>响应文件</w:t>
      </w:r>
      <w:bookmarkEnd w:id="148"/>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开标一览表</w:t>
      </w:r>
    </w:p>
    <w:p>
      <w:pPr>
        <w:tabs>
          <w:tab w:val="left" w:pos="1134"/>
        </w:tabs>
        <w:spacing w:line="560" w:lineRule="exact"/>
        <w:ind w:firstLine="427" w:firstLineChars="15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 xml:space="preserve">标项1： </w:t>
      </w:r>
    </w:p>
    <w:tbl>
      <w:tblPr>
        <w:tblStyle w:val="44"/>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color w:val="000000" w:themeColor="text1"/>
                <w:kern w:val="0"/>
                <w:sz w:val="28"/>
                <w:szCs w:val="28"/>
                <w14:textFill>
                  <w14:solidFill>
                    <w14:schemeClr w14:val="tx1"/>
                  </w14:solidFill>
                </w14:textFill>
              </w:rPr>
            </w:pPr>
          </w:p>
        </w:tc>
      </w:tr>
    </w:tbl>
    <w:p>
      <w:pPr>
        <w:tabs>
          <w:tab w:val="left" w:pos="1134"/>
        </w:tabs>
        <w:spacing w:line="560" w:lineRule="exact"/>
        <w:rPr>
          <w:rFonts w:ascii="宋体" w:hAnsi="宋体"/>
          <w:color w:val="000000" w:themeColor="text1"/>
          <w:sz w:val="28"/>
          <w:szCs w:val="28"/>
          <w14:textFill>
            <w14:solidFill>
              <w14:schemeClr w14:val="tx1"/>
            </w14:solidFill>
          </w14:textFill>
        </w:rPr>
      </w:pPr>
    </w:p>
    <w:p>
      <w:pPr>
        <w:tabs>
          <w:tab w:val="left" w:pos="1134"/>
        </w:tabs>
        <w:spacing w:line="560" w:lineRule="exact"/>
        <w:ind w:firstLine="427" w:firstLineChars="152"/>
        <w:rPr>
          <w:rFonts w:ascii="宋体" w:hAnsi="宋体"/>
          <w:b/>
          <w:bCs/>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投标报价以投标人在政府采购云平台开标一览表中填写的报价为准。</w:t>
      </w:r>
    </w:p>
    <w:p>
      <w:pPr>
        <w:snapToGrid w:val="0"/>
        <w:spacing w:line="500" w:lineRule="exact"/>
        <w:ind w:left="1445" w:right="-57" w:rightChars="-27" w:hanging="1445" w:hangingChars="514"/>
        <w:rPr>
          <w:rFonts w:ascii="宋体" w:hAnsi="宋体"/>
          <w:b/>
          <w:bCs/>
          <w:color w:val="000000" w:themeColor="text1"/>
          <w:sz w:val="28"/>
          <w:u w:val="single"/>
          <w14:textFill>
            <w14:solidFill>
              <w14:schemeClr w14:val="tx1"/>
            </w14:solidFill>
          </w14:textFill>
        </w:rPr>
      </w:pPr>
    </w:p>
    <w:p>
      <w:pPr>
        <w:spacing w:line="360" w:lineRule="auto"/>
        <w:rPr>
          <w:rFonts w:ascii="宋体" w:hAnsi="宋体"/>
          <w:b/>
          <w:color w:val="000000" w:themeColor="text1"/>
          <w:sz w:val="28"/>
          <w:szCs w:val="28"/>
          <w:u w:val="single"/>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分项报价明细表</w:t>
      </w:r>
    </w:p>
    <w:p>
      <w:pPr>
        <w:snapToGrid w:val="0"/>
        <w:spacing w:line="440" w:lineRule="exact"/>
        <w:ind w:right="-624" w:rightChars="-297"/>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项目名称：</w:t>
      </w:r>
      <w:r>
        <w:rPr>
          <w:rFonts w:ascii="宋体" w:hAnsi="宋体"/>
          <w:b/>
          <w:color w:val="000000" w:themeColor="text1"/>
          <w:sz w:val="28"/>
          <w14:textFill>
            <w14:solidFill>
              <w14:schemeClr w14:val="tx1"/>
            </w14:solidFill>
          </w14:textFill>
        </w:rPr>
        <w:t xml:space="preserve"> </w:t>
      </w:r>
    </w:p>
    <w:p>
      <w:pPr>
        <w:tabs>
          <w:tab w:val="left" w:pos="7560"/>
        </w:tabs>
        <w:spacing w:after="180" w:line="440" w:lineRule="exact"/>
        <w:rPr>
          <w:rFonts w:ascii="宋体" w:hAnsi="宋体"/>
          <w:b/>
          <w:color w:val="000000" w:themeColor="text1"/>
          <w:sz w:val="28"/>
          <w:szCs w:val="20"/>
          <w:u w:val="single"/>
          <w14:textFill>
            <w14:solidFill>
              <w14:schemeClr w14:val="tx1"/>
            </w14:solidFill>
          </w14:textFill>
        </w:rPr>
      </w:pPr>
      <w:r>
        <w:rPr>
          <w:rFonts w:hint="eastAsia" w:ascii="宋体" w:hAnsi="宋体"/>
          <w:b/>
          <w:color w:val="000000" w:themeColor="text1"/>
          <w:sz w:val="28"/>
          <w:szCs w:val="20"/>
          <w14:textFill>
            <w14:solidFill>
              <w14:schemeClr w14:val="tx1"/>
            </w14:solidFill>
          </w14:textFill>
        </w:rPr>
        <w:t>项目编号：</w:t>
      </w:r>
    </w:p>
    <w:p>
      <w:pPr>
        <w:tabs>
          <w:tab w:val="left" w:pos="7560"/>
        </w:tabs>
        <w:spacing w:after="180" w:line="440" w:lineRule="exact"/>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分项报价明细表（说明：投标人应根据其投标报价的构成提供详细的分项价格明细表。）</w:t>
      </w:r>
    </w:p>
    <w:tbl>
      <w:tblPr>
        <w:tblStyle w:val="43"/>
        <w:tblW w:w="9640" w:type="dxa"/>
        <w:tblInd w:w="-5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276"/>
        <w:gridCol w:w="850"/>
        <w:gridCol w:w="1320"/>
        <w:gridCol w:w="1089"/>
        <w:gridCol w:w="1559"/>
        <w:gridCol w:w="567"/>
        <w:gridCol w:w="709"/>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852"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序号</w:t>
            </w:r>
          </w:p>
        </w:tc>
        <w:tc>
          <w:tcPr>
            <w:tcW w:w="127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货物名称</w:t>
            </w:r>
          </w:p>
        </w:tc>
        <w:tc>
          <w:tcPr>
            <w:tcW w:w="85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品牌</w:t>
            </w:r>
          </w:p>
        </w:tc>
        <w:tc>
          <w:tcPr>
            <w:tcW w:w="132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规格型号</w:t>
            </w:r>
          </w:p>
        </w:tc>
        <w:tc>
          <w:tcPr>
            <w:tcW w:w="108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制造商</w:t>
            </w:r>
          </w:p>
        </w:tc>
        <w:tc>
          <w:tcPr>
            <w:tcW w:w="155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进口或国产</w:t>
            </w:r>
          </w:p>
        </w:tc>
        <w:tc>
          <w:tcPr>
            <w:tcW w:w="567"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数量</w:t>
            </w:r>
          </w:p>
        </w:tc>
        <w:tc>
          <w:tcPr>
            <w:tcW w:w="70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单价</w:t>
            </w:r>
          </w:p>
        </w:tc>
        <w:tc>
          <w:tcPr>
            <w:tcW w:w="141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总价</w:t>
            </w:r>
            <w:r>
              <w:rPr>
                <w:rFonts w:hint="eastAsia" w:ascii="宋体" w:hAnsi="宋体"/>
                <w:b/>
                <w:bCs/>
                <w:color w:val="000000" w:themeColor="text1"/>
                <w:sz w:val="24"/>
                <w:szCs w:val="28"/>
                <w14:textFill>
                  <w14:solidFill>
                    <w14:schemeClr w14:val="tx1"/>
                  </w14:solidFill>
                </w14:textFill>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27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32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08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55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567"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70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41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27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32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08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55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567"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70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41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27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32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08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55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567"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70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41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2" w:type="dxa"/>
            <w:gridSpan w:val="8"/>
            <w:tcBorders>
              <w:top w:val="single" w:color="auto" w:sz="2" w:space="0"/>
              <w:left w:val="single" w:color="auto" w:sz="2" w:space="0"/>
              <w:bottom w:val="single" w:color="auto" w:sz="2" w:space="0"/>
              <w:right w:val="single" w:color="auto" w:sz="4" w:space="0"/>
            </w:tcBorders>
            <w:vAlign w:val="center"/>
          </w:tcPr>
          <w:p>
            <w:pPr>
              <w:pStyle w:val="25"/>
              <w:ind w:left="0" w:leftChars="0"/>
              <w:jc w:val="center"/>
              <w:rPr>
                <w:rFonts w:ascii="宋体" w:hAnsi="宋体"/>
                <w:bCs/>
                <w:color w:val="000000" w:themeColor="text1"/>
                <w:sz w:val="24"/>
                <w:szCs w:val="28"/>
                <w14:textFill>
                  <w14:solidFill>
                    <w14:schemeClr w14:val="tx1"/>
                  </w14:solidFill>
                </w14:textFill>
              </w:rPr>
            </w:pPr>
            <w:r>
              <w:rPr>
                <w:rFonts w:hint="eastAsia" w:ascii="宋体" w:hAnsi="宋体"/>
                <w:bCs/>
                <w:color w:val="000000" w:themeColor="text1"/>
                <w:sz w:val="24"/>
                <w:szCs w:val="28"/>
                <w14:textFill>
                  <w14:solidFill>
                    <w14:schemeClr w14:val="tx1"/>
                  </w14:solidFill>
                </w14:textFill>
              </w:rPr>
              <w:t>投标报价（总价合计）</w:t>
            </w:r>
          </w:p>
        </w:tc>
        <w:tc>
          <w:tcPr>
            <w:tcW w:w="1418" w:type="dxa"/>
            <w:tcBorders>
              <w:top w:val="single" w:color="auto" w:sz="2" w:space="0"/>
              <w:left w:val="single" w:color="auto" w:sz="4"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r>
              <w:rPr>
                <w:rFonts w:hint="eastAsia" w:ascii="宋体" w:hAnsi="宋体"/>
                <w:bCs/>
                <w:color w:val="000000" w:themeColor="text1"/>
                <w:sz w:val="24"/>
                <w:szCs w:val="28"/>
                <w14:textFill>
                  <w14:solidFill>
                    <w14:schemeClr w14:val="tx1"/>
                  </w14:solidFill>
                </w14:textFill>
              </w:rPr>
              <w:t>X</w:t>
            </w:r>
            <w:r>
              <w:rPr>
                <w:rFonts w:ascii="宋体" w:hAnsi="宋体"/>
                <w:bCs/>
                <w:color w:val="000000" w:themeColor="text1"/>
                <w:sz w:val="24"/>
                <w:szCs w:val="28"/>
                <w14:textFill>
                  <w14:solidFill>
                    <w14:schemeClr w14:val="tx1"/>
                  </w14:solidFill>
                </w14:textFill>
              </w:rPr>
              <w:t>X</w:t>
            </w:r>
            <w:r>
              <w:rPr>
                <w:rFonts w:hint="eastAsia" w:ascii="宋体" w:hAnsi="宋体"/>
                <w:bCs/>
                <w:color w:val="000000" w:themeColor="text1"/>
                <w:sz w:val="24"/>
                <w:szCs w:val="28"/>
                <w14:textFill>
                  <w14:solidFill>
                    <w14:schemeClr w14:val="tx1"/>
                  </w14:solidFill>
                </w14:textFill>
              </w:rPr>
              <w:t>元</w:t>
            </w:r>
          </w:p>
        </w:tc>
      </w:tr>
    </w:tbl>
    <w:p>
      <w:pPr>
        <w:spacing w:line="440" w:lineRule="atLeast"/>
        <w:ind w:firstLine="419" w:firstLineChars="149"/>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说明：</w:t>
      </w:r>
    </w:p>
    <w:p>
      <w:pPr>
        <w:spacing w:line="440" w:lineRule="atLeast"/>
        <w:ind w:firstLine="419" w:firstLineChars="149"/>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1、进口产品是指通过中国海关报关验放进入中国境内且产自关境外的产品。</w:t>
      </w:r>
    </w:p>
    <w:p>
      <w:pPr>
        <w:spacing w:line="440" w:lineRule="atLeast"/>
        <w:ind w:firstLine="419" w:firstLineChars="149"/>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2、分项报价明细表格式中要求填写品牌、规格型号、制造商、进口或国产的，投标人必须载明其投标产品的品牌、规格型号、制造商、进口或国产。</w:t>
      </w:r>
    </w:p>
    <w:p>
      <w:pPr>
        <w:numPr>
          <w:ilvl w:val="0"/>
          <w:numId w:val="37"/>
        </w:numPr>
        <w:tabs>
          <w:tab w:val="left" w:pos="630"/>
          <w:tab w:val="left" w:pos="3414"/>
          <w:tab w:val="left" w:pos="7560"/>
        </w:tabs>
        <w:spacing w:after="200" w:line="360" w:lineRule="auto"/>
        <w:ind w:left="0" w:firstLine="0"/>
        <w:rPr>
          <w:rFonts w:ascii="宋体" w:hAnsi="宋体"/>
          <w:b/>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w:t>
      </w:r>
      <w:r>
        <w:rPr>
          <w:rFonts w:hint="eastAsia" w:ascii="宋体" w:hAnsi="宋体"/>
          <w:b/>
          <w:color w:val="000000" w:themeColor="text1"/>
          <w:sz w:val="28"/>
          <w14:textFill>
            <w14:solidFill>
              <w14:schemeClr w14:val="tx1"/>
            </w14:solidFill>
          </w14:textFill>
        </w:rPr>
        <w:t>投标产品中为监狱企业制造的货物清单及价格（说明：</w:t>
      </w:r>
      <w:r>
        <w:rPr>
          <w:rFonts w:ascii="宋体" w:hAnsi="宋体"/>
          <w:b/>
          <w:color w:val="000000" w:themeColor="text1"/>
          <w:sz w:val="28"/>
          <w14:textFill>
            <w14:solidFill>
              <w14:schemeClr w14:val="tx1"/>
            </w14:solidFill>
          </w14:textFill>
        </w:rPr>
        <w:t>1、提供由省级以上监狱管理局、戒毒管理局（含新疆生产建设兵团）出具的</w:t>
      </w:r>
      <w:r>
        <w:rPr>
          <w:rFonts w:hint="eastAsia" w:ascii="宋体" w:hAnsi="宋体"/>
          <w:b/>
          <w:color w:val="000000" w:themeColor="text1"/>
          <w:sz w:val="28"/>
          <w14:textFill>
            <w14:solidFill>
              <w14:schemeClr w14:val="tx1"/>
            </w14:solidFill>
          </w14:textFill>
        </w:rPr>
        <w:t>制造</w:t>
      </w:r>
      <w:r>
        <w:rPr>
          <w:rFonts w:ascii="宋体" w:hAnsi="宋体"/>
          <w:b/>
          <w:color w:val="000000" w:themeColor="text1"/>
          <w:sz w:val="28"/>
          <w14:textFill>
            <w14:solidFill>
              <w14:schemeClr w14:val="tx1"/>
            </w14:solidFill>
          </w14:textFill>
        </w:rPr>
        <w:t>商属于监狱企业的证明文件复印件；2、如未提供</w:t>
      </w:r>
      <w:r>
        <w:rPr>
          <w:rFonts w:hint="eastAsia" w:ascii="宋体" w:hAnsi="宋体"/>
          <w:b/>
          <w:color w:val="000000" w:themeColor="text1"/>
          <w:sz w:val="28"/>
          <w14:textFill>
            <w14:solidFill>
              <w14:schemeClr w14:val="tx1"/>
            </w14:solidFill>
          </w14:textFill>
        </w:rPr>
        <w:t>货物</w:t>
      </w:r>
      <w:r>
        <w:rPr>
          <w:rFonts w:ascii="宋体" w:hAnsi="宋体"/>
          <w:b/>
          <w:color w:val="000000" w:themeColor="text1"/>
          <w:sz w:val="28"/>
          <w14:textFill>
            <w14:solidFill>
              <w14:schemeClr w14:val="tx1"/>
            </w14:solidFill>
          </w14:textFill>
        </w:rPr>
        <w:t>清单及价格以及相关证明材料复印件，则不能享受对监狱企业</w:t>
      </w:r>
      <w:r>
        <w:rPr>
          <w:rFonts w:hint="eastAsia" w:ascii="宋体" w:hAnsi="宋体"/>
          <w:b/>
          <w:color w:val="000000" w:themeColor="text1"/>
          <w:sz w:val="28"/>
          <w14:textFill>
            <w14:solidFill>
              <w14:schemeClr w14:val="tx1"/>
            </w14:solidFill>
          </w14:textFill>
        </w:rPr>
        <w:t>制造的货物</w:t>
      </w:r>
      <w:r>
        <w:rPr>
          <w:rFonts w:ascii="宋体" w:hAnsi="宋体"/>
          <w:b/>
          <w:color w:val="000000" w:themeColor="text1"/>
          <w:sz w:val="28"/>
          <w14:textFill>
            <w14:solidFill>
              <w14:schemeClr w14:val="tx1"/>
            </w14:solidFill>
          </w14:textFill>
        </w:rPr>
        <w:t>的价格扣除，但不影响投标文件的有效性。）</w:t>
      </w:r>
    </w:p>
    <w:tbl>
      <w:tblPr>
        <w:tblStyle w:val="43"/>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980"/>
        <w:gridCol w:w="12"/>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序号</w:t>
            </w:r>
          </w:p>
        </w:tc>
        <w:tc>
          <w:tcPr>
            <w:tcW w:w="1720"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货物名称</w:t>
            </w:r>
          </w:p>
        </w:tc>
        <w:tc>
          <w:tcPr>
            <w:tcW w:w="694"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品牌</w:t>
            </w:r>
          </w:p>
        </w:tc>
        <w:tc>
          <w:tcPr>
            <w:tcW w:w="1253"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规格型号</w:t>
            </w:r>
          </w:p>
        </w:tc>
        <w:tc>
          <w:tcPr>
            <w:tcW w:w="1417"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制造商</w:t>
            </w:r>
          </w:p>
        </w:tc>
        <w:tc>
          <w:tcPr>
            <w:tcW w:w="851"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数量</w:t>
            </w:r>
          </w:p>
        </w:tc>
        <w:tc>
          <w:tcPr>
            <w:tcW w:w="992" w:type="dxa"/>
            <w:gridSpan w:val="2"/>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单价</w:t>
            </w:r>
          </w:p>
        </w:tc>
        <w:tc>
          <w:tcPr>
            <w:tcW w:w="1406"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720" w:type="dxa"/>
            <w:vAlign w:val="center"/>
          </w:tcPr>
          <w:p>
            <w:pPr>
              <w:spacing w:line="360" w:lineRule="auto"/>
              <w:jc w:val="center"/>
              <w:rPr>
                <w:rFonts w:ascii="宋体" w:hAnsi="宋体"/>
                <w:color w:val="000000" w:themeColor="text1"/>
                <w14:textFill>
                  <w14:solidFill>
                    <w14:schemeClr w14:val="tx1"/>
                  </w14:solidFill>
                </w14:textFill>
              </w:rPr>
            </w:pPr>
          </w:p>
        </w:tc>
        <w:tc>
          <w:tcPr>
            <w:tcW w:w="694" w:type="dxa"/>
            <w:vAlign w:val="center"/>
          </w:tcPr>
          <w:p>
            <w:pPr>
              <w:spacing w:line="360" w:lineRule="auto"/>
              <w:jc w:val="center"/>
              <w:rPr>
                <w:rFonts w:ascii="宋体" w:hAnsi="宋体"/>
                <w:color w:val="000000" w:themeColor="text1"/>
                <w14:textFill>
                  <w14:solidFill>
                    <w14:schemeClr w14:val="tx1"/>
                  </w14:solidFill>
                </w14:textFill>
              </w:rPr>
            </w:pPr>
          </w:p>
        </w:tc>
        <w:tc>
          <w:tcPr>
            <w:tcW w:w="1253" w:type="dxa"/>
            <w:vAlign w:val="center"/>
          </w:tcPr>
          <w:p>
            <w:pPr>
              <w:spacing w:line="360" w:lineRule="auto"/>
              <w:jc w:val="center"/>
              <w:rPr>
                <w:rFonts w:ascii="宋体" w:hAnsi="宋体"/>
                <w:color w:val="000000" w:themeColor="text1"/>
                <w14:textFill>
                  <w14:solidFill>
                    <w14:schemeClr w14:val="tx1"/>
                  </w14:solidFill>
                </w14:textFill>
              </w:rPr>
            </w:pPr>
          </w:p>
        </w:tc>
        <w:tc>
          <w:tcPr>
            <w:tcW w:w="1417" w:type="dxa"/>
            <w:vAlign w:val="center"/>
          </w:tcPr>
          <w:p>
            <w:pPr>
              <w:spacing w:line="360" w:lineRule="auto"/>
              <w:jc w:val="center"/>
              <w:rPr>
                <w:rFonts w:ascii="宋体" w:hAnsi="宋体"/>
                <w:color w:val="000000" w:themeColor="text1"/>
                <w14:textFill>
                  <w14:solidFill>
                    <w14:schemeClr w14:val="tx1"/>
                  </w14:solidFill>
                </w14:textFill>
              </w:rPr>
            </w:pPr>
          </w:p>
        </w:tc>
        <w:tc>
          <w:tcPr>
            <w:tcW w:w="851" w:type="dxa"/>
            <w:vAlign w:val="center"/>
          </w:tcPr>
          <w:p>
            <w:pPr>
              <w:spacing w:line="360" w:lineRule="auto"/>
              <w:jc w:val="center"/>
              <w:rPr>
                <w:rFonts w:ascii="宋体" w:hAnsi="宋体"/>
                <w:color w:val="000000" w:themeColor="text1"/>
                <w14:textFill>
                  <w14:solidFill>
                    <w14:schemeClr w14:val="tx1"/>
                  </w14:solidFill>
                </w14:textFill>
              </w:rPr>
            </w:pPr>
          </w:p>
        </w:tc>
        <w:tc>
          <w:tcPr>
            <w:tcW w:w="992" w:type="dxa"/>
            <w:gridSpan w:val="2"/>
            <w:vAlign w:val="center"/>
          </w:tcPr>
          <w:p>
            <w:pPr>
              <w:spacing w:line="360" w:lineRule="auto"/>
              <w:jc w:val="center"/>
              <w:rPr>
                <w:rFonts w:ascii="宋体" w:hAnsi="宋体"/>
                <w:color w:val="000000" w:themeColor="text1"/>
                <w14:textFill>
                  <w14:solidFill>
                    <w14:schemeClr w14:val="tx1"/>
                  </w14:solidFill>
                </w14:textFill>
              </w:rPr>
            </w:pPr>
          </w:p>
        </w:tc>
        <w:tc>
          <w:tcPr>
            <w:tcW w:w="1406"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720" w:type="dxa"/>
            <w:vAlign w:val="center"/>
          </w:tcPr>
          <w:p>
            <w:pPr>
              <w:spacing w:line="360" w:lineRule="auto"/>
              <w:jc w:val="center"/>
              <w:rPr>
                <w:rFonts w:ascii="宋体" w:hAnsi="宋体"/>
                <w:color w:val="000000" w:themeColor="text1"/>
                <w14:textFill>
                  <w14:solidFill>
                    <w14:schemeClr w14:val="tx1"/>
                  </w14:solidFill>
                </w14:textFill>
              </w:rPr>
            </w:pPr>
          </w:p>
        </w:tc>
        <w:tc>
          <w:tcPr>
            <w:tcW w:w="694" w:type="dxa"/>
            <w:vAlign w:val="center"/>
          </w:tcPr>
          <w:p>
            <w:pPr>
              <w:spacing w:line="360" w:lineRule="auto"/>
              <w:jc w:val="center"/>
              <w:rPr>
                <w:rFonts w:ascii="宋体" w:hAnsi="宋体"/>
                <w:color w:val="000000" w:themeColor="text1"/>
                <w14:textFill>
                  <w14:solidFill>
                    <w14:schemeClr w14:val="tx1"/>
                  </w14:solidFill>
                </w14:textFill>
              </w:rPr>
            </w:pPr>
          </w:p>
        </w:tc>
        <w:tc>
          <w:tcPr>
            <w:tcW w:w="1253" w:type="dxa"/>
            <w:vAlign w:val="center"/>
          </w:tcPr>
          <w:p>
            <w:pPr>
              <w:spacing w:line="360" w:lineRule="auto"/>
              <w:jc w:val="center"/>
              <w:rPr>
                <w:rFonts w:ascii="宋体" w:hAnsi="宋体"/>
                <w:color w:val="000000" w:themeColor="text1"/>
                <w14:textFill>
                  <w14:solidFill>
                    <w14:schemeClr w14:val="tx1"/>
                  </w14:solidFill>
                </w14:textFill>
              </w:rPr>
            </w:pPr>
          </w:p>
        </w:tc>
        <w:tc>
          <w:tcPr>
            <w:tcW w:w="1417" w:type="dxa"/>
            <w:vAlign w:val="center"/>
          </w:tcPr>
          <w:p>
            <w:pPr>
              <w:spacing w:line="360" w:lineRule="auto"/>
              <w:jc w:val="center"/>
              <w:rPr>
                <w:rFonts w:ascii="宋体" w:hAnsi="宋体"/>
                <w:color w:val="000000" w:themeColor="text1"/>
                <w14:textFill>
                  <w14:solidFill>
                    <w14:schemeClr w14:val="tx1"/>
                  </w14:solidFill>
                </w14:textFill>
              </w:rPr>
            </w:pPr>
          </w:p>
        </w:tc>
        <w:tc>
          <w:tcPr>
            <w:tcW w:w="851" w:type="dxa"/>
            <w:vAlign w:val="center"/>
          </w:tcPr>
          <w:p>
            <w:pPr>
              <w:spacing w:line="360" w:lineRule="auto"/>
              <w:jc w:val="center"/>
              <w:rPr>
                <w:rFonts w:ascii="宋体" w:hAnsi="宋体"/>
                <w:color w:val="000000" w:themeColor="text1"/>
                <w14:textFill>
                  <w14:solidFill>
                    <w14:schemeClr w14:val="tx1"/>
                  </w14:solidFill>
                </w14:textFill>
              </w:rPr>
            </w:pPr>
          </w:p>
        </w:tc>
        <w:tc>
          <w:tcPr>
            <w:tcW w:w="992" w:type="dxa"/>
            <w:gridSpan w:val="2"/>
            <w:vAlign w:val="center"/>
          </w:tcPr>
          <w:p>
            <w:pPr>
              <w:spacing w:line="360" w:lineRule="auto"/>
              <w:jc w:val="center"/>
              <w:rPr>
                <w:rFonts w:ascii="宋体" w:hAnsi="宋体"/>
                <w:color w:val="000000" w:themeColor="text1"/>
                <w14:textFill>
                  <w14:solidFill>
                    <w14:schemeClr w14:val="tx1"/>
                  </w14:solidFill>
                </w14:textFill>
              </w:rPr>
            </w:pPr>
          </w:p>
        </w:tc>
        <w:tc>
          <w:tcPr>
            <w:tcW w:w="1406"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720" w:type="dxa"/>
            <w:vAlign w:val="center"/>
          </w:tcPr>
          <w:p>
            <w:pPr>
              <w:spacing w:line="360" w:lineRule="auto"/>
              <w:jc w:val="center"/>
              <w:rPr>
                <w:rFonts w:ascii="宋体" w:hAnsi="宋体"/>
                <w:color w:val="000000" w:themeColor="text1"/>
                <w14:textFill>
                  <w14:solidFill>
                    <w14:schemeClr w14:val="tx1"/>
                  </w14:solidFill>
                </w14:textFill>
              </w:rPr>
            </w:pPr>
          </w:p>
        </w:tc>
        <w:tc>
          <w:tcPr>
            <w:tcW w:w="694" w:type="dxa"/>
            <w:vAlign w:val="center"/>
          </w:tcPr>
          <w:p>
            <w:pPr>
              <w:spacing w:line="360" w:lineRule="auto"/>
              <w:jc w:val="center"/>
              <w:rPr>
                <w:rFonts w:ascii="宋体" w:hAnsi="宋体"/>
                <w:color w:val="000000" w:themeColor="text1"/>
                <w14:textFill>
                  <w14:solidFill>
                    <w14:schemeClr w14:val="tx1"/>
                  </w14:solidFill>
                </w14:textFill>
              </w:rPr>
            </w:pPr>
          </w:p>
        </w:tc>
        <w:tc>
          <w:tcPr>
            <w:tcW w:w="1253" w:type="dxa"/>
            <w:vAlign w:val="center"/>
          </w:tcPr>
          <w:p>
            <w:pPr>
              <w:spacing w:line="360" w:lineRule="auto"/>
              <w:jc w:val="center"/>
              <w:rPr>
                <w:rFonts w:ascii="宋体" w:hAnsi="宋体"/>
                <w:color w:val="000000" w:themeColor="text1"/>
                <w14:textFill>
                  <w14:solidFill>
                    <w14:schemeClr w14:val="tx1"/>
                  </w14:solidFill>
                </w14:textFill>
              </w:rPr>
            </w:pPr>
          </w:p>
        </w:tc>
        <w:tc>
          <w:tcPr>
            <w:tcW w:w="1417" w:type="dxa"/>
            <w:vAlign w:val="center"/>
          </w:tcPr>
          <w:p>
            <w:pPr>
              <w:spacing w:line="360" w:lineRule="auto"/>
              <w:jc w:val="center"/>
              <w:rPr>
                <w:rFonts w:ascii="宋体" w:hAnsi="宋体"/>
                <w:color w:val="000000" w:themeColor="text1"/>
                <w14:textFill>
                  <w14:solidFill>
                    <w14:schemeClr w14:val="tx1"/>
                  </w14:solidFill>
                </w14:textFill>
              </w:rPr>
            </w:pPr>
          </w:p>
        </w:tc>
        <w:tc>
          <w:tcPr>
            <w:tcW w:w="851" w:type="dxa"/>
            <w:vAlign w:val="center"/>
          </w:tcPr>
          <w:p>
            <w:pPr>
              <w:spacing w:line="360" w:lineRule="auto"/>
              <w:jc w:val="center"/>
              <w:rPr>
                <w:rFonts w:ascii="宋体" w:hAnsi="宋体"/>
                <w:color w:val="000000" w:themeColor="text1"/>
                <w14:textFill>
                  <w14:solidFill>
                    <w14:schemeClr w14:val="tx1"/>
                  </w14:solidFill>
                </w14:textFill>
              </w:rPr>
            </w:pPr>
          </w:p>
        </w:tc>
        <w:tc>
          <w:tcPr>
            <w:tcW w:w="992" w:type="dxa"/>
            <w:gridSpan w:val="2"/>
            <w:vAlign w:val="center"/>
          </w:tcPr>
          <w:p>
            <w:pPr>
              <w:spacing w:line="360" w:lineRule="auto"/>
              <w:jc w:val="center"/>
              <w:rPr>
                <w:rFonts w:ascii="宋体" w:hAnsi="宋体"/>
                <w:color w:val="000000" w:themeColor="text1"/>
                <w14:textFill>
                  <w14:solidFill>
                    <w14:schemeClr w14:val="tx1"/>
                  </w14:solidFill>
                </w14:textFill>
              </w:rPr>
            </w:pPr>
          </w:p>
        </w:tc>
        <w:tc>
          <w:tcPr>
            <w:tcW w:w="1406"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875" w:type="dxa"/>
            <w:gridSpan w:val="7"/>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监狱企业制造的货物</w:t>
            </w:r>
            <w:r>
              <w:rPr>
                <w:rFonts w:hint="eastAsia" w:ascii="宋体" w:hAnsi="宋体"/>
                <w:b/>
                <w:color w:val="000000" w:themeColor="text1"/>
                <w14:textFill>
                  <w14:solidFill>
                    <w14:schemeClr w14:val="tx1"/>
                  </w14:solidFill>
                </w14:textFill>
              </w:rPr>
              <w:t>总价合计</w:t>
            </w:r>
          </w:p>
        </w:tc>
        <w:tc>
          <w:tcPr>
            <w:tcW w:w="1418" w:type="dxa"/>
            <w:gridSpan w:val="2"/>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p>
        </w:tc>
      </w:tr>
    </w:tbl>
    <w:p>
      <w:pPr>
        <w:numPr>
          <w:ilvl w:val="0"/>
          <w:numId w:val="37"/>
        </w:numPr>
        <w:tabs>
          <w:tab w:val="left" w:pos="630"/>
          <w:tab w:val="left" w:pos="7560"/>
        </w:tabs>
        <w:spacing w:after="200" w:line="360" w:lineRule="auto"/>
        <w:ind w:left="0" w:firstLine="0"/>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投标人投标产品中为残疾人福利性单位制造的货物清单及价格（说明：如未提供则不能享受对残疾人福利性单位制造的货物的价格扣除）</w:t>
      </w: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448"/>
        <w:gridCol w:w="1194"/>
        <w:gridCol w:w="1194"/>
        <w:gridCol w:w="1193"/>
        <w:gridCol w:w="717"/>
        <w:gridCol w:w="835"/>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序号</w:t>
            </w:r>
          </w:p>
        </w:tc>
        <w:tc>
          <w:tcPr>
            <w:tcW w:w="1448"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货物名称</w:t>
            </w:r>
          </w:p>
        </w:tc>
        <w:tc>
          <w:tcPr>
            <w:tcW w:w="1194" w:type="dxa"/>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品牌</w:t>
            </w:r>
          </w:p>
        </w:tc>
        <w:tc>
          <w:tcPr>
            <w:tcW w:w="1194"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规格型号</w:t>
            </w:r>
          </w:p>
        </w:tc>
        <w:tc>
          <w:tcPr>
            <w:tcW w:w="1193"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制造商</w:t>
            </w:r>
          </w:p>
        </w:tc>
        <w:tc>
          <w:tcPr>
            <w:tcW w:w="717"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数量</w:t>
            </w:r>
          </w:p>
        </w:tc>
        <w:tc>
          <w:tcPr>
            <w:tcW w:w="835"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单价</w:t>
            </w:r>
          </w:p>
        </w:tc>
        <w:tc>
          <w:tcPr>
            <w:tcW w:w="1133"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08"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448" w:type="dxa"/>
            <w:vAlign w:val="center"/>
          </w:tcPr>
          <w:p>
            <w:pPr>
              <w:spacing w:line="360" w:lineRule="auto"/>
              <w:jc w:val="center"/>
              <w:rPr>
                <w:rFonts w:ascii="宋体" w:hAnsi="宋体"/>
                <w:color w:val="000000" w:themeColor="text1"/>
                <w14:textFill>
                  <w14:solidFill>
                    <w14:schemeClr w14:val="tx1"/>
                  </w14:solidFill>
                </w14:textFill>
              </w:rPr>
            </w:pPr>
          </w:p>
        </w:tc>
        <w:tc>
          <w:tcPr>
            <w:tcW w:w="1194" w:type="dxa"/>
          </w:tcPr>
          <w:p>
            <w:pPr>
              <w:spacing w:line="360" w:lineRule="auto"/>
              <w:jc w:val="center"/>
              <w:rPr>
                <w:rFonts w:ascii="宋体" w:hAnsi="宋体"/>
                <w:color w:val="000000" w:themeColor="text1"/>
                <w14:textFill>
                  <w14:solidFill>
                    <w14:schemeClr w14:val="tx1"/>
                  </w14:solidFill>
                </w14:textFill>
              </w:rPr>
            </w:pPr>
          </w:p>
        </w:tc>
        <w:tc>
          <w:tcPr>
            <w:tcW w:w="1194" w:type="dxa"/>
            <w:vAlign w:val="center"/>
          </w:tcPr>
          <w:p>
            <w:pPr>
              <w:spacing w:line="360" w:lineRule="auto"/>
              <w:jc w:val="center"/>
              <w:rPr>
                <w:rFonts w:ascii="宋体" w:hAnsi="宋体"/>
                <w:color w:val="000000" w:themeColor="text1"/>
                <w14:textFill>
                  <w14:solidFill>
                    <w14:schemeClr w14:val="tx1"/>
                  </w14:solidFill>
                </w14:textFill>
              </w:rPr>
            </w:pPr>
          </w:p>
        </w:tc>
        <w:tc>
          <w:tcPr>
            <w:tcW w:w="1193" w:type="dxa"/>
            <w:vAlign w:val="center"/>
          </w:tcPr>
          <w:p>
            <w:pPr>
              <w:spacing w:line="360" w:lineRule="auto"/>
              <w:jc w:val="center"/>
              <w:rPr>
                <w:rFonts w:ascii="宋体" w:hAnsi="宋体"/>
                <w:color w:val="000000" w:themeColor="text1"/>
                <w14:textFill>
                  <w14:solidFill>
                    <w14:schemeClr w14:val="tx1"/>
                  </w14:solidFill>
                </w14:textFill>
              </w:rPr>
            </w:pPr>
          </w:p>
        </w:tc>
        <w:tc>
          <w:tcPr>
            <w:tcW w:w="717" w:type="dxa"/>
            <w:vAlign w:val="center"/>
          </w:tcPr>
          <w:p>
            <w:pPr>
              <w:spacing w:line="360" w:lineRule="auto"/>
              <w:jc w:val="center"/>
              <w:rPr>
                <w:rFonts w:ascii="宋体" w:hAnsi="宋体"/>
                <w:color w:val="000000" w:themeColor="text1"/>
                <w14:textFill>
                  <w14:solidFill>
                    <w14:schemeClr w14:val="tx1"/>
                  </w14:solidFill>
                </w14:textFill>
              </w:rPr>
            </w:pPr>
          </w:p>
        </w:tc>
        <w:tc>
          <w:tcPr>
            <w:tcW w:w="835" w:type="dxa"/>
            <w:vAlign w:val="center"/>
          </w:tcPr>
          <w:p>
            <w:pPr>
              <w:spacing w:line="360" w:lineRule="auto"/>
              <w:jc w:val="center"/>
              <w:rPr>
                <w:rFonts w:ascii="宋体" w:hAnsi="宋体"/>
                <w:color w:val="000000" w:themeColor="text1"/>
                <w14:textFill>
                  <w14:solidFill>
                    <w14:schemeClr w14:val="tx1"/>
                  </w14:solidFill>
                </w14:textFill>
              </w:rPr>
            </w:pPr>
          </w:p>
        </w:tc>
        <w:tc>
          <w:tcPr>
            <w:tcW w:w="1133"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08"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448" w:type="dxa"/>
            <w:vAlign w:val="center"/>
          </w:tcPr>
          <w:p>
            <w:pPr>
              <w:spacing w:line="360" w:lineRule="auto"/>
              <w:jc w:val="center"/>
              <w:rPr>
                <w:rFonts w:ascii="宋体" w:hAnsi="宋体"/>
                <w:color w:val="000000" w:themeColor="text1"/>
                <w14:textFill>
                  <w14:solidFill>
                    <w14:schemeClr w14:val="tx1"/>
                  </w14:solidFill>
                </w14:textFill>
              </w:rPr>
            </w:pPr>
          </w:p>
        </w:tc>
        <w:tc>
          <w:tcPr>
            <w:tcW w:w="1194" w:type="dxa"/>
          </w:tcPr>
          <w:p>
            <w:pPr>
              <w:spacing w:line="360" w:lineRule="auto"/>
              <w:jc w:val="center"/>
              <w:rPr>
                <w:rFonts w:ascii="宋体" w:hAnsi="宋体"/>
                <w:color w:val="000000" w:themeColor="text1"/>
                <w14:textFill>
                  <w14:solidFill>
                    <w14:schemeClr w14:val="tx1"/>
                  </w14:solidFill>
                </w14:textFill>
              </w:rPr>
            </w:pPr>
          </w:p>
        </w:tc>
        <w:tc>
          <w:tcPr>
            <w:tcW w:w="1194" w:type="dxa"/>
            <w:vAlign w:val="center"/>
          </w:tcPr>
          <w:p>
            <w:pPr>
              <w:spacing w:line="360" w:lineRule="auto"/>
              <w:jc w:val="center"/>
              <w:rPr>
                <w:rFonts w:ascii="宋体" w:hAnsi="宋体"/>
                <w:color w:val="000000" w:themeColor="text1"/>
                <w14:textFill>
                  <w14:solidFill>
                    <w14:schemeClr w14:val="tx1"/>
                  </w14:solidFill>
                </w14:textFill>
              </w:rPr>
            </w:pPr>
          </w:p>
        </w:tc>
        <w:tc>
          <w:tcPr>
            <w:tcW w:w="1193" w:type="dxa"/>
            <w:vAlign w:val="center"/>
          </w:tcPr>
          <w:p>
            <w:pPr>
              <w:spacing w:line="360" w:lineRule="auto"/>
              <w:jc w:val="center"/>
              <w:rPr>
                <w:rFonts w:ascii="宋体" w:hAnsi="宋体"/>
                <w:color w:val="000000" w:themeColor="text1"/>
                <w14:textFill>
                  <w14:solidFill>
                    <w14:schemeClr w14:val="tx1"/>
                  </w14:solidFill>
                </w14:textFill>
              </w:rPr>
            </w:pPr>
          </w:p>
        </w:tc>
        <w:tc>
          <w:tcPr>
            <w:tcW w:w="717" w:type="dxa"/>
            <w:vAlign w:val="center"/>
          </w:tcPr>
          <w:p>
            <w:pPr>
              <w:spacing w:line="360" w:lineRule="auto"/>
              <w:jc w:val="center"/>
              <w:rPr>
                <w:rFonts w:ascii="宋体" w:hAnsi="宋体"/>
                <w:color w:val="000000" w:themeColor="text1"/>
                <w14:textFill>
                  <w14:solidFill>
                    <w14:schemeClr w14:val="tx1"/>
                  </w14:solidFill>
                </w14:textFill>
              </w:rPr>
            </w:pPr>
          </w:p>
        </w:tc>
        <w:tc>
          <w:tcPr>
            <w:tcW w:w="835" w:type="dxa"/>
            <w:vAlign w:val="center"/>
          </w:tcPr>
          <w:p>
            <w:pPr>
              <w:spacing w:line="360" w:lineRule="auto"/>
              <w:jc w:val="center"/>
              <w:rPr>
                <w:rFonts w:ascii="宋体" w:hAnsi="宋体"/>
                <w:color w:val="000000" w:themeColor="text1"/>
                <w14:textFill>
                  <w14:solidFill>
                    <w14:schemeClr w14:val="tx1"/>
                  </w14:solidFill>
                </w14:textFill>
              </w:rPr>
            </w:pPr>
          </w:p>
        </w:tc>
        <w:tc>
          <w:tcPr>
            <w:tcW w:w="1133"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08"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448" w:type="dxa"/>
            <w:vAlign w:val="center"/>
          </w:tcPr>
          <w:p>
            <w:pPr>
              <w:spacing w:line="360" w:lineRule="auto"/>
              <w:jc w:val="center"/>
              <w:rPr>
                <w:rFonts w:ascii="宋体" w:hAnsi="宋体"/>
                <w:color w:val="000000" w:themeColor="text1"/>
                <w14:textFill>
                  <w14:solidFill>
                    <w14:schemeClr w14:val="tx1"/>
                  </w14:solidFill>
                </w14:textFill>
              </w:rPr>
            </w:pPr>
          </w:p>
        </w:tc>
        <w:tc>
          <w:tcPr>
            <w:tcW w:w="1194" w:type="dxa"/>
          </w:tcPr>
          <w:p>
            <w:pPr>
              <w:spacing w:line="360" w:lineRule="auto"/>
              <w:jc w:val="center"/>
              <w:rPr>
                <w:rFonts w:ascii="宋体" w:hAnsi="宋体"/>
                <w:color w:val="000000" w:themeColor="text1"/>
                <w14:textFill>
                  <w14:solidFill>
                    <w14:schemeClr w14:val="tx1"/>
                  </w14:solidFill>
                </w14:textFill>
              </w:rPr>
            </w:pPr>
          </w:p>
        </w:tc>
        <w:tc>
          <w:tcPr>
            <w:tcW w:w="1194" w:type="dxa"/>
            <w:vAlign w:val="center"/>
          </w:tcPr>
          <w:p>
            <w:pPr>
              <w:spacing w:line="360" w:lineRule="auto"/>
              <w:jc w:val="center"/>
              <w:rPr>
                <w:rFonts w:ascii="宋体" w:hAnsi="宋体"/>
                <w:color w:val="000000" w:themeColor="text1"/>
                <w14:textFill>
                  <w14:solidFill>
                    <w14:schemeClr w14:val="tx1"/>
                  </w14:solidFill>
                </w14:textFill>
              </w:rPr>
            </w:pPr>
          </w:p>
        </w:tc>
        <w:tc>
          <w:tcPr>
            <w:tcW w:w="1193" w:type="dxa"/>
            <w:vAlign w:val="center"/>
          </w:tcPr>
          <w:p>
            <w:pPr>
              <w:spacing w:line="360" w:lineRule="auto"/>
              <w:jc w:val="center"/>
              <w:rPr>
                <w:rFonts w:ascii="宋体" w:hAnsi="宋体"/>
                <w:color w:val="000000" w:themeColor="text1"/>
                <w14:textFill>
                  <w14:solidFill>
                    <w14:schemeClr w14:val="tx1"/>
                  </w14:solidFill>
                </w14:textFill>
              </w:rPr>
            </w:pPr>
          </w:p>
        </w:tc>
        <w:tc>
          <w:tcPr>
            <w:tcW w:w="717" w:type="dxa"/>
            <w:vAlign w:val="center"/>
          </w:tcPr>
          <w:p>
            <w:pPr>
              <w:spacing w:line="360" w:lineRule="auto"/>
              <w:jc w:val="center"/>
              <w:rPr>
                <w:rFonts w:ascii="宋体" w:hAnsi="宋体"/>
                <w:color w:val="000000" w:themeColor="text1"/>
                <w14:textFill>
                  <w14:solidFill>
                    <w14:schemeClr w14:val="tx1"/>
                  </w14:solidFill>
                </w14:textFill>
              </w:rPr>
            </w:pPr>
          </w:p>
        </w:tc>
        <w:tc>
          <w:tcPr>
            <w:tcW w:w="835" w:type="dxa"/>
            <w:vAlign w:val="center"/>
          </w:tcPr>
          <w:p>
            <w:pPr>
              <w:spacing w:line="360" w:lineRule="auto"/>
              <w:jc w:val="center"/>
              <w:rPr>
                <w:rFonts w:ascii="宋体" w:hAnsi="宋体"/>
                <w:color w:val="000000" w:themeColor="text1"/>
                <w14:textFill>
                  <w14:solidFill>
                    <w14:schemeClr w14:val="tx1"/>
                  </w14:solidFill>
                </w14:textFill>
              </w:rPr>
            </w:pPr>
          </w:p>
        </w:tc>
        <w:tc>
          <w:tcPr>
            <w:tcW w:w="1133"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389" w:type="dxa"/>
            <w:gridSpan w:val="7"/>
          </w:tcPr>
          <w:p>
            <w:pPr>
              <w:spacing w:line="360" w:lineRule="auto"/>
              <w:jc w:val="center"/>
              <w:rPr>
                <w:rFonts w:ascii="宋体" w:hAnsi="宋体"/>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残疾人福利性单位制造的货物</w:t>
            </w:r>
            <w:r>
              <w:rPr>
                <w:rFonts w:hint="eastAsia" w:ascii="宋体" w:hAnsi="宋体"/>
                <w:b/>
                <w:color w:val="000000" w:themeColor="text1"/>
                <w14:textFill>
                  <w14:solidFill>
                    <w14:schemeClr w14:val="tx1"/>
                  </w14:solidFill>
                </w14:textFill>
              </w:rPr>
              <w:t>总价合计</w:t>
            </w:r>
          </w:p>
        </w:tc>
        <w:tc>
          <w:tcPr>
            <w:tcW w:w="1133" w:type="dxa"/>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p>
        </w:tc>
      </w:tr>
    </w:tbl>
    <w:p>
      <w:pPr>
        <w:spacing w:line="360" w:lineRule="auto"/>
        <w:rPr>
          <w:rFonts w:ascii="宋体" w:hAnsi="宋体"/>
          <w:color w:val="000000" w:themeColor="text1"/>
          <w:sz w:val="28"/>
          <w14:textFill>
            <w14:solidFill>
              <w14:schemeClr w14:val="tx1"/>
            </w14:solidFill>
          </w14:textFill>
        </w:rPr>
      </w:pPr>
    </w:p>
    <w:p>
      <w:pPr>
        <w:spacing w:line="360" w:lineRule="auto"/>
        <w:rPr>
          <w:rFonts w:ascii="宋体" w:hAnsi="宋体"/>
          <w:color w:val="000000" w:themeColor="text1"/>
          <w:sz w:val="28"/>
          <w:lang w:val="zh-CN"/>
          <w14:textFill>
            <w14:solidFill>
              <w14:schemeClr w14:val="tx1"/>
            </w14:solidFill>
          </w14:textFill>
        </w:rPr>
      </w:pPr>
      <w:r>
        <w:rPr>
          <w:rFonts w:hint="eastAsia" w:ascii="宋体" w:hAnsi="宋体"/>
          <w:color w:val="000000" w:themeColor="text1"/>
          <w:sz w:val="28"/>
          <w:lang w:val="zh-CN"/>
          <w14:textFill>
            <w14:solidFill>
              <w14:schemeClr w14:val="tx1"/>
            </w14:solidFill>
          </w14:textFill>
        </w:rPr>
        <w:t>投标人名称：</w:t>
      </w:r>
      <w:r>
        <w:rPr>
          <w:rFonts w:ascii="宋体" w:hAnsi="宋体"/>
          <w:color w:val="000000" w:themeColor="text1"/>
          <w:sz w:val="28"/>
          <w:u w:val="single"/>
          <w:lang w:val="zh-CN"/>
          <w14:textFill>
            <w14:solidFill>
              <w14:schemeClr w14:val="tx1"/>
            </w14:solidFill>
          </w14:textFill>
        </w:rPr>
        <w:t>XXXXXXXX</w:t>
      </w:r>
    </w:p>
    <w:p>
      <w:pPr>
        <w:pStyle w:val="12"/>
        <w:spacing w:after="0" w:line="240" w:lineRule="auto"/>
        <w:ind w:firstLine="0"/>
        <w:rPr>
          <w:rFonts w:ascii="宋体" w:hAnsi="宋体"/>
          <w:bCs/>
          <w:color w:val="000000" w:themeColor="text1"/>
          <w:sz w:val="28"/>
          <w14:textFill>
            <w14:solidFill>
              <w14:schemeClr w14:val="tx1"/>
            </w14:solidFill>
          </w14:textFill>
        </w:rPr>
      </w:pPr>
      <w:r>
        <w:rPr>
          <w:rFonts w:ascii="宋体" w:hAnsi="宋体"/>
          <w:color w:val="000000" w:themeColor="text1"/>
          <w:sz w:val="28"/>
          <w14:textFill>
            <w14:solidFill>
              <w14:schemeClr w14:val="tx1"/>
            </w14:solidFill>
          </w14:textFill>
        </w:rPr>
        <w:t>日期：</w:t>
      </w:r>
      <w:r>
        <w:rPr>
          <w:rFonts w:ascii="宋体" w:hAnsi="宋体"/>
          <w:bCs/>
          <w:color w:val="000000" w:themeColor="text1"/>
          <w:sz w:val="28"/>
          <w14:textFill>
            <w14:solidFill>
              <w14:schemeClr w14:val="tx1"/>
            </w14:solidFill>
          </w14:textFill>
        </w:rPr>
        <w:t>202X年XX月XX日</w:t>
      </w:r>
    </w:p>
    <w:p>
      <w:pPr>
        <w:pStyle w:val="12"/>
        <w:spacing w:after="0" w:line="240" w:lineRule="auto"/>
        <w:ind w:firstLine="0"/>
        <w:rPr>
          <w:rFonts w:ascii="宋体" w:hAnsi="宋体"/>
          <w:bCs/>
          <w:color w:val="000000" w:themeColor="text1"/>
          <w:sz w:val="28"/>
          <w14:textFill>
            <w14:solidFill>
              <w14:schemeClr w14:val="tx1"/>
            </w14:solidFill>
          </w14:textFill>
        </w:rPr>
      </w:pPr>
    </w:p>
    <w:p>
      <w:pPr>
        <w:pStyle w:val="12"/>
        <w:spacing w:after="0" w:line="240" w:lineRule="auto"/>
        <w:ind w:firstLine="0"/>
        <w:rPr>
          <w:rFonts w:ascii="宋体" w:hAnsi="宋体"/>
          <w:bCs/>
          <w:color w:val="000000" w:themeColor="text1"/>
          <w:sz w:val="28"/>
          <w14:textFill>
            <w14:solidFill>
              <w14:schemeClr w14:val="tx1"/>
            </w14:solidFill>
          </w14:textFill>
        </w:rPr>
      </w:pPr>
    </w:p>
    <w:p>
      <w:pPr>
        <w:pStyle w:val="12"/>
        <w:spacing w:after="0" w:line="240" w:lineRule="auto"/>
        <w:ind w:firstLine="0"/>
        <w:rPr>
          <w:rFonts w:ascii="宋体" w:hAnsi="宋体"/>
          <w:bCs/>
          <w:color w:val="000000" w:themeColor="text1"/>
          <w:sz w:val="28"/>
          <w14:textFill>
            <w14:solidFill>
              <w14:schemeClr w14:val="tx1"/>
            </w14:solidFill>
          </w14:textFill>
        </w:rPr>
      </w:pPr>
    </w:p>
    <w:p>
      <w:pPr>
        <w:pStyle w:val="12"/>
        <w:spacing w:after="0" w:line="240" w:lineRule="auto"/>
        <w:ind w:firstLine="0"/>
        <w:rPr>
          <w:rFonts w:ascii="宋体" w:hAnsi="宋体"/>
          <w:bCs/>
          <w:color w:val="000000" w:themeColor="text1"/>
          <w:sz w:val="28"/>
          <w14:textFill>
            <w14:solidFill>
              <w14:schemeClr w14:val="tx1"/>
            </w14:solidFill>
          </w14:textFill>
        </w:rPr>
      </w:pPr>
    </w:p>
    <w:p>
      <w:pPr>
        <w:pStyle w:val="12"/>
        <w:spacing w:after="0" w:line="240" w:lineRule="auto"/>
        <w:ind w:firstLine="0"/>
        <w:rPr>
          <w:rFonts w:ascii="宋体" w:hAnsi="宋体"/>
          <w:bCs/>
          <w:color w:val="000000" w:themeColor="text1"/>
          <w:sz w:val="28"/>
          <w14:textFill>
            <w14:solidFill>
              <w14:schemeClr w14:val="tx1"/>
            </w14:solidFill>
          </w14:textFill>
        </w:rPr>
      </w:pPr>
    </w:p>
    <w:p>
      <w:pPr>
        <w:pStyle w:val="12"/>
        <w:spacing w:after="0" w:line="240" w:lineRule="auto"/>
        <w:ind w:firstLine="0"/>
        <w:rPr>
          <w:rFonts w:ascii="宋体" w:hAnsi="宋体"/>
          <w:bCs/>
          <w:color w:val="000000" w:themeColor="text1"/>
          <w:sz w:val="28"/>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中小企业声明函</w:t>
      </w:r>
    </w:p>
    <w:p>
      <w:pPr>
        <w:spacing w:line="588" w:lineRule="exact"/>
        <w:jc w:val="center"/>
        <w:rPr>
          <w:rFonts w:ascii="宋体" w:hAnsi="宋体"/>
          <w:b/>
          <w:color w:val="000000" w:themeColor="text1"/>
          <w:spacing w:val="6"/>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中小企业声明函</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本公司郑重声明，根据《政府采购促进中小企业发展管理办法》（财库﹝2020﹞46 号）的规定，本公司参加</w:t>
      </w:r>
      <w:r>
        <w:rPr>
          <w:rFonts w:hint="eastAsia" w:ascii="宋体" w:hAnsi="宋体"/>
          <w:color w:val="000000" w:themeColor="text1"/>
          <w:sz w:val="28"/>
          <w:szCs w:val="28"/>
          <w:u w:val="single"/>
          <w14:textFill>
            <w14:solidFill>
              <w14:schemeClr w14:val="tx1"/>
            </w14:solidFill>
          </w14:textFill>
        </w:rPr>
        <w:t>（单位名称）</w:t>
      </w:r>
      <w:r>
        <w:rPr>
          <w:rFonts w:hint="eastAsia" w:ascii="宋体" w:hAnsi="宋体"/>
          <w:color w:val="000000" w:themeColor="text1"/>
          <w:sz w:val="28"/>
          <w:szCs w:val="28"/>
          <w14:textFill>
            <w14:solidFill>
              <w14:schemeClr w14:val="tx1"/>
            </w14:solidFill>
          </w14:textFill>
        </w:rPr>
        <w:t>的</w:t>
      </w:r>
      <w:r>
        <w:rPr>
          <w:rFonts w:hint="eastAsia" w:ascii="宋体" w:hAnsi="宋体"/>
          <w:color w:val="000000" w:themeColor="text1"/>
          <w:sz w:val="28"/>
          <w:szCs w:val="28"/>
          <w:u w:val="single"/>
          <w14:textFill>
            <w14:solidFill>
              <w14:schemeClr w14:val="tx1"/>
            </w14:solidFill>
          </w14:textFill>
        </w:rPr>
        <w:t>（项目名称）</w:t>
      </w:r>
      <w:r>
        <w:rPr>
          <w:rFonts w:hint="eastAsia" w:ascii="宋体" w:hAnsi="宋体"/>
          <w:color w:val="000000" w:themeColor="text1"/>
          <w:sz w:val="28"/>
          <w:szCs w:val="28"/>
          <w14:textFill>
            <w14:solidFill>
              <w14:schemeClr w14:val="tx1"/>
            </w14:solidFill>
          </w14:textFill>
        </w:rPr>
        <w:t>采购活动，提供的货物全部由符合政策要求的中小企业制造。相关企业的具体情况如下：</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1.</w:t>
      </w:r>
      <w:r>
        <w:rPr>
          <w:rFonts w:hint="eastAsia" w:ascii="宋体" w:hAnsi="宋体"/>
          <w:color w:val="000000" w:themeColor="text1"/>
          <w:sz w:val="28"/>
          <w:szCs w:val="28"/>
          <w:u w:val="single"/>
          <w14:textFill>
            <w14:solidFill>
              <w14:schemeClr w14:val="tx1"/>
            </w14:solidFill>
          </w14:textFill>
        </w:rPr>
        <w:t xml:space="preserve"> ___XXXX____</w:t>
      </w:r>
      <w:r>
        <w:rPr>
          <w:rFonts w:hint="eastAsia" w:ascii="宋体" w:hAnsi="宋体"/>
          <w:color w:val="000000" w:themeColor="text1"/>
          <w:sz w:val="28"/>
          <w:szCs w:val="28"/>
          <w14:textFill>
            <w14:solidFill>
              <w14:schemeClr w14:val="tx1"/>
            </w14:solidFill>
          </w14:textFill>
        </w:rPr>
        <w:t>（标的名称），属于</w:t>
      </w:r>
      <w:r>
        <w:rPr>
          <w:rFonts w:hint="eastAsia" w:ascii="宋体" w:hAnsi="宋体"/>
          <w:color w:val="000000" w:themeColor="text1"/>
          <w:sz w:val="28"/>
          <w:szCs w:val="28"/>
          <w:u w:val="single"/>
          <w14:textFill>
            <w14:solidFill>
              <w14:schemeClr w14:val="tx1"/>
            </w14:solidFill>
          </w14:textFill>
        </w:rPr>
        <w:t>___XXXX____</w:t>
      </w:r>
      <w:r>
        <w:rPr>
          <w:rFonts w:hint="eastAsia" w:ascii="宋体" w:hAnsi="宋体"/>
          <w:color w:val="000000" w:themeColor="text1"/>
          <w:sz w:val="28"/>
          <w:szCs w:val="28"/>
          <w14:textFill>
            <w14:solidFill>
              <w14:schemeClr w14:val="tx1"/>
            </w14:solidFill>
          </w14:textFill>
        </w:rPr>
        <w:t>（采购文件中明确的所属行业） 行业；制造商为</w:t>
      </w:r>
      <w:r>
        <w:rPr>
          <w:rFonts w:hint="eastAsia" w:ascii="宋体" w:hAnsi="宋体"/>
          <w:color w:val="000000" w:themeColor="text1"/>
          <w:sz w:val="28"/>
          <w:szCs w:val="28"/>
          <w:u w:val="single"/>
          <w14:textFill>
            <w14:solidFill>
              <w14:schemeClr w14:val="tx1"/>
            </w14:solidFill>
          </w14:textFill>
        </w:rPr>
        <w:t>___XXXX____</w:t>
      </w:r>
      <w:r>
        <w:rPr>
          <w:rFonts w:hint="eastAsia" w:ascii="宋体" w:hAnsi="宋体"/>
          <w:color w:val="000000" w:themeColor="text1"/>
          <w:sz w:val="28"/>
          <w:szCs w:val="28"/>
          <w14:textFill>
            <w14:solidFill>
              <w14:schemeClr w14:val="tx1"/>
            </w14:solidFill>
          </w14:textFill>
        </w:rPr>
        <w:t>（企业名称），从业人员</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人，营业收入为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万元，资产总额为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万元，属于</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（中型企业、小型企业、微型企业）；</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2. </w:t>
      </w:r>
      <w:r>
        <w:rPr>
          <w:rFonts w:hint="eastAsia" w:ascii="宋体" w:hAnsi="宋体"/>
          <w:color w:val="000000" w:themeColor="text1"/>
          <w:sz w:val="28"/>
          <w:szCs w:val="28"/>
          <w:u w:val="single"/>
          <w14:textFill>
            <w14:solidFill>
              <w14:schemeClr w14:val="tx1"/>
            </w14:solidFill>
          </w14:textFill>
        </w:rPr>
        <w:t>___XXXX____</w:t>
      </w:r>
      <w:r>
        <w:rPr>
          <w:rFonts w:hint="eastAsia" w:ascii="宋体" w:hAnsi="宋体"/>
          <w:color w:val="000000" w:themeColor="text1"/>
          <w:sz w:val="28"/>
          <w:szCs w:val="28"/>
          <w14:textFill>
            <w14:solidFill>
              <w14:schemeClr w14:val="tx1"/>
            </w14:solidFill>
          </w14:textFill>
        </w:rPr>
        <w:t>（标的名称），属于</w:t>
      </w:r>
      <w:r>
        <w:rPr>
          <w:rFonts w:hint="eastAsia" w:ascii="宋体" w:hAnsi="宋体"/>
          <w:color w:val="000000" w:themeColor="text1"/>
          <w:sz w:val="28"/>
          <w:szCs w:val="28"/>
          <w:u w:val="single"/>
          <w14:textFill>
            <w14:solidFill>
              <w14:schemeClr w14:val="tx1"/>
            </w14:solidFill>
          </w14:textFill>
        </w:rPr>
        <w:t>___XXXX____</w:t>
      </w:r>
      <w:r>
        <w:rPr>
          <w:rFonts w:hint="eastAsia" w:ascii="宋体" w:hAnsi="宋体"/>
          <w:color w:val="000000" w:themeColor="text1"/>
          <w:sz w:val="28"/>
          <w:szCs w:val="28"/>
          <w14:textFill>
            <w14:solidFill>
              <w14:schemeClr w14:val="tx1"/>
            </w14:solidFill>
          </w14:textFill>
        </w:rPr>
        <w:t>（采购文件中明确的所属行业） 行业；制造商为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（企业名称），从业人员</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人，营业收入为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万元，资产总额为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万元，属于</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（中型企业、小型企业、微型企业）；</w:t>
      </w:r>
    </w:p>
    <w:p>
      <w:pPr>
        <w:spacing w:line="588" w:lineRule="exact"/>
        <w:ind w:firstLine="563"/>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以上企业，不属于大企业的分支机构，不存在控股股东 为大企业的情形，也不存在与大企业的负责人为同一人的情形。</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本企业对上述声明内容的真实性负责。如有虚假，将依法承担相应责任。</w:t>
      </w:r>
    </w:p>
    <w:p>
      <w:pPr>
        <w:spacing w:line="588" w:lineRule="exact"/>
        <w:ind w:firstLine="5040" w:firstLineChars="18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企业名称：</w:t>
      </w:r>
      <w:r>
        <w:rPr>
          <w:rFonts w:hint="eastAsia" w:ascii="宋体" w:hAnsi="宋体"/>
          <w:color w:val="000000" w:themeColor="text1"/>
          <w:sz w:val="28"/>
          <w:szCs w:val="28"/>
          <w:u w:val="single"/>
          <w14:textFill>
            <w14:solidFill>
              <w14:schemeClr w14:val="tx1"/>
            </w14:solidFill>
          </w14:textFill>
        </w:rPr>
        <w:t>___XXXX____</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日 期：</w:t>
      </w:r>
      <w:r>
        <w:rPr>
          <w:rFonts w:ascii="宋体" w:hAnsi="宋体"/>
          <w:color w:val="000000" w:themeColor="text1"/>
          <w:sz w:val="28"/>
          <w:szCs w:val="28"/>
          <w:u w:val="single"/>
          <w14:textFill>
            <w14:solidFill>
              <w14:schemeClr w14:val="tx1"/>
            </w14:solidFill>
          </w14:textFill>
        </w:rPr>
        <w:t>202X</w:t>
      </w:r>
      <w:r>
        <w:rPr>
          <w:rFonts w:hint="eastAsia" w:ascii="宋体" w:hAnsi="宋体"/>
          <w:color w:val="000000" w:themeColor="text1"/>
          <w:sz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日</w:t>
      </w:r>
    </w:p>
    <w:p>
      <w:pPr>
        <w:pStyle w:val="80"/>
        <w:tabs>
          <w:tab w:val="left" w:pos="567"/>
          <w:tab w:val="left" w:pos="709"/>
          <w:tab w:val="left" w:pos="851"/>
        </w:tabs>
        <w:spacing w:before="60" w:line="360" w:lineRule="auto"/>
        <w:ind w:firstLine="0"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说明：</w:t>
      </w:r>
      <w:r>
        <w:rPr>
          <w:rFonts w:ascii="宋体" w:hAnsi="宋体"/>
          <w:b/>
          <w:color w:val="000000" w:themeColor="text1"/>
          <w:sz w:val="28"/>
          <w:szCs w:val="28"/>
          <w14:textFill>
            <w14:solidFill>
              <w14:schemeClr w14:val="tx1"/>
            </w14:solidFill>
          </w14:textFill>
        </w:rPr>
        <w:t>从业人员、营业收入、资产总额填报上</w:t>
      </w:r>
      <w:r>
        <w:rPr>
          <w:rFonts w:hint="eastAsia" w:ascii="宋体" w:hAnsi="宋体"/>
          <w:b/>
          <w:color w:val="000000" w:themeColor="text1"/>
          <w:sz w:val="28"/>
          <w:szCs w:val="28"/>
          <w14:textFill>
            <w14:solidFill>
              <w14:schemeClr w14:val="tx1"/>
            </w14:solidFill>
          </w14:textFill>
        </w:rPr>
        <w:t>一</w:t>
      </w:r>
      <w:r>
        <w:rPr>
          <w:rFonts w:ascii="宋体" w:hAnsi="宋体"/>
          <w:b/>
          <w:color w:val="000000" w:themeColor="text1"/>
          <w:sz w:val="28"/>
          <w:szCs w:val="28"/>
          <w14:textFill>
            <w14:solidFill>
              <w14:schemeClr w14:val="tx1"/>
            </w14:solidFill>
          </w14:textFill>
        </w:rPr>
        <w:t>年度数据，无上一年度</w:t>
      </w:r>
      <w:r>
        <w:rPr>
          <w:rFonts w:hint="eastAsia" w:ascii="宋体" w:hAnsi="宋体"/>
          <w:b/>
          <w:color w:val="000000" w:themeColor="text1"/>
          <w:sz w:val="28"/>
          <w:szCs w:val="28"/>
          <w14:textFill>
            <w14:solidFill>
              <w14:schemeClr w14:val="tx1"/>
            </w14:solidFill>
          </w14:textFill>
        </w:rPr>
        <w:t>数据</w:t>
      </w:r>
      <w:r>
        <w:rPr>
          <w:rFonts w:ascii="宋体" w:hAnsi="宋体"/>
          <w:b/>
          <w:color w:val="000000" w:themeColor="text1"/>
          <w:sz w:val="28"/>
          <w:szCs w:val="28"/>
          <w14:textFill>
            <w14:solidFill>
              <w14:schemeClr w14:val="tx1"/>
            </w14:solidFill>
          </w14:textFill>
        </w:rPr>
        <w:t>的新成立企业可不填报。</w:t>
      </w: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残疾人福利性单位声明函</w:t>
      </w:r>
    </w:p>
    <w:p>
      <w:pPr>
        <w:spacing w:line="588" w:lineRule="exact"/>
        <w:ind w:firstLine="562" w:firstLineChars="200"/>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残疾人福利性单位声明函</w:t>
      </w:r>
    </w:p>
    <w:p>
      <w:pPr>
        <w:spacing w:line="360" w:lineRule="auto"/>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olor w:val="000000" w:themeColor="text1"/>
          <w:spacing w:val="6"/>
          <w:sz w:val="28"/>
          <w:szCs w:val="28"/>
          <w:u w:val="single"/>
          <w14:textFill>
            <w14:solidFill>
              <w14:schemeClr w14:val="tx1"/>
            </w14:solidFill>
          </w14:textFill>
        </w:rPr>
        <w:t>XXXX单位的XXXX项目</w:t>
      </w:r>
      <w:r>
        <w:rPr>
          <w:rFonts w:hint="eastAsia" w:ascii="宋体" w:hAnsi="宋体"/>
          <w:color w:val="000000" w:themeColor="text1"/>
          <w:spacing w:val="6"/>
          <w:sz w:val="28"/>
          <w:szCs w:val="28"/>
          <w14:textFill>
            <w14:solidFill>
              <w14:schemeClr w14:val="tx1"/>
            </w14:solidFill>
          </w14:textFill>
        </w:rPr>
        <w:t>采购活动提供本单位制造的货物，或者提供其他残疾人福利性单位制造的货物（不包括使用非残疾人福利性单位注册商标的货物）。</w:t>
      </w:r>
    </w:p>
    <w:p>
      <w:pPr>
        <w:spacing w:line="360" w:lineRule="auto"/>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本单位对上述声明的真实性负责。如有虚假，将依法承担相应责任。</w:t>
      </w:r>
    </w:p>
    <w:p>
      <w:pPr>
        <w:spacing w:line="360" w:lineRule="auto"/>
        <w:ind w:firstLine="584" w:firstLineChars="200"/>
        <w:rPr>
          <w:rFonts w:ascii="宋体" w:hAnsi="宋体"/>
          <w:color w:val="000000" w:themeColor="text1"/>
          <w:spacing w:val="6"/>
          <w:sz w:val="28"/>
          <w:szCs w:val="28"/>
          <w14:textFill>
            <w14:solidFill>
              <w14:schemeClr w14:val="tx1"/>
            </w14:solidFill>
          </w14:textFill>
        </w:rPr>
      </w:pPr>
    </w:p>
    <w:p>
      <w:pPr>
        <w:spacing w:line="588" w:lineRule="exact"/>
        <w:rPr>
          <w:rFonts w:ascii="宋体" w:hAnsi="宋体"/>
          <w:color w:val="000000" w:themeColor="text1"/>
          <w:spacing w:val="6"/>
          <w:sz w:val="28"/>
          <w:szCs w:val="28"/>
          <w14:textFill>
            <w14:solidFill>
              <w14:schemeClr w14:val="tx1"/>
            </w14:solidFill>
          </w14:textFill>
        </w:rPr>
      </w:pPr>
    </w:p>
    <w:p>
      <w:pPr>
        <w:spacing w:line="588" w:lineRule="exact"/>
        <w:ind w:firstLine="584" w:firstLineChars="200"/>
        <w:rPr>
          <w:rFonts w:ascii="宋体" w:hAnsi="宋体"/>
          <w:color w:val="000000" w:themeColor="text1"/>
          <w:spacing w:val="6"/>
          <w:sz w:val="28"/>
          <w:szCs w:val="28"/>
          <w14:textFill>
            <w14:solidFill>
              <w14:schemeClr w14:val="tx1"/>
            </w14:solidFill>
          </w14:textFill>
        </w:rPr>
      </w:pPr>
    </w:p>
    <w:p>
      <w:pPr>
        <w:spacing w:line="588" w:lineRule="exact"/>
        <w:ind w:firstLine="584" w:firstLineChars="200"/>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单位名称：</w:t>
      </w:r>
      <w:r>
        <w:rPr>
          <w:rFonts w:hint="eastAsia" w:ascii="宋体" w:hAnsi="宋体"/>
          <w:color w:val="000000" w:themeColor="text1"/>
          <w:spacing w:val="6"/>
          <w:sz w:val="28"/>
          <w:szCs w:val="28"/>
          <w:u w:val="single"/>
          <w14:textFill>
            <w14:solidFill>
              <w14:schemeClr w14:val="tx1"/>
            </w14:solidFill>
          </w14:textFill>
        </w:rPr>
        <w:t>XXXX</w:t>
      </w: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spacing w:line="588" w:lineRule="exact"/>
        <w:ind w:firstLine="563"/>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说明：</w:t>
      </w:r>
      <w:r>
        <w:rPr>
          <w:rFonts w:hint="eastAsia" w:ascii="宋体" w:hAnsi="宋体"/>
          <w:b/>
          <w:color w:val="000000" w:themeColor="text1"/>
          <w:sz w:val="28"/>
          <w:szCs w:val="28"/>
          <w14:textFill>
            <w14:solidFill>
              <w14:schemeClr w14:val="tx1"/>
            </w14:solidFill>
          </w14:textFill>
        </w:rPr>
        <w:t>如未提供残疾人福利性单位声明函的，不能享受招标文件规定的价格扣除，但不影响投标人投标文件的有效性。</w:t>
      </w:r>
    </w:p>
    <w:p>
      <w:pPr>
        <w:spacing w:line="588" w:lineRule="exact"/>
        <w:ind w:firstLine="563"/>
        <w:rPr>
          <w:rFonts w:ascii="宋体" w:hAnsi="宋体"/>
          <w:b/>
          <w:color w:val="000000" w:themeColor="text1"/>
          <w:sz w:val="28"/>
          <w:szCs w:val="28"/>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keepNext/>
        <w:keepLines/>
        <w:numPr>
          <w:ilvl w:val="2"/>
          <w:numId w:val="1"/>
        </w:numPr>
        <w:spacing w:line="360" w:lineRule="auto"/>
        <w:ind w:left="3119" w:hanging="3119"/>
        <w:outlineLvl w:val="2"/>
        <w:rPr>
          <w:rFonts w:ascii="宋体" w:hAnsi="宋体"/>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投标产品</w:t>
      </w:r>
      <w:r>
        <w:rPr>
          <w:rFonts w:ascii="宋体" w:hAnsi="宋体"/>
          <w:b/>
          <w:color w:val="000000" w:themeColor="text1"/>
          <w:sz w:val="28"/>
          <w:szCs w:val="28"/>
          <w14:textFill>
            <w14:solidFill>
              <w14:schemeClr w14:val="tx1"/>
            </w14:solidFill>
          </w14:textFill>
        </w:rPr>
        <w:t>制造商属于监狱企业的证明文件复印件</w:t>
      </w: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firstLine="708" w:firstLineChars="253"/>
        <w:rPr>
          <w:rFonts w:ascii="宋体" w:hAnsi="宋体"/>
          <w:color w:val="000000" w:themeColor="text1"/>
          <w:spacing w:val="6"/>
          <w:sz w:val="28"/>
          <w:szCs w:val="28"/>
          <w14:textFill>
            <w14:solidFill>
              <w14:schemeClr w14:val="tx1"/>
            </w14:solidFill>
          </w14:textFill>
        </w:rPr>
      </w:pPr>
      <w:r>
        <w:rPr>
          <w:rFonts w:hint="eastAsia"/>
          <w:color w:val="000000" w:themeColor="text1"/>
          <w:sz w:val="28"/>
          <w:szCs w:val="28"/>
          <w14:textFill>
            <w14:solidFill>
              <w14:schemeClr w14:val="tx1"/>
            </w14:solidFill>
          </w14:textFill>
        </w:rPr>
        <w:t>投标</w:t>
      </w:r>
      <w:r>
        <w:rPr>
          <w:color w:val="000000" w:themeColor="text1"/>
          <w:sz w:val="28"/>
          <w:szCs w:val="28"/>
          <w14:textFill>
            <w14:solidFill>
              <w14:schemeClr w14:val="tx1"/>
            </w14:solidFill>
          </w14:textFill>
        </w:rPr>
        <w:t>投标产品中为监狱企业制造的货物应提供由省级以上监狱管理局、戒毒管理局（含新疆生产建设兵团）出具的制造商属于监狱企业的证明文件复印件</w:t>
      </w:r>
      <w:r>
        <w:rPr>
          <w:rFonts w:hint="eastAsia"/>
          <w:color w:val="000000" w:themeColor="text1"/>
          <w:sz w:val="28"/>
          <w:szCs w:val="28"/>
          <w14:textFill>
            <w14:solidFill>
              <w14:schemeClr w14:val="tx1"/>
            </w14:solidFill>
          </w14:textFill>
        </w:rPr>
        <w:t>。</w:t>
      </w: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spacing w:line="588" w:lineRule="exact"/>
        <w:ind w:firstLine="563"/>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说明：</w:t>
      </w:r>
      <w:r>
        <w:rPr>
          <w:rFonts w:hint="eastAsia" w:ascii="宋体" w:hAnsi="宋体"/>
          <w:b/>
          <w:color w:val="000000" w:themeColor="text1"/>
          <w:sz w:val="28"/>
          <w:szCs w:val="28"/>
          <w14:textFill>
            <w14:solidFill>
              <w14:schemeClr w14:val="tx1"/>
            </w14:solidFill>
          </w14:textFill>
        </w:rPr>
        <w:t>如未提供投标产品</w:t>
      </w:r>
      <w:r>
        <w:rPr>
          <w:rFonts w:ascii="宋体" w:hAnsi="宋体"/>
          <w:b/>
          <w:color w:val="000000" w:themeColor="text1"/>
          <w:sz w:val="28"/>
          <w:szCs w:val="28"/>
          <w14:textFill>
            <w14:solidFill>
              <w14:schemeClr w14:val="tx1"/>
            </w14:solidFill>
          </w14:textFill>
        </w:rPr>
        <w:t>制造商属于监狱企业的证明文件</w:t>
      </w:r>
      <w:r>
        <w:rPr>
          <w:rFonts w:hint="eastAsia" w:ascii="宋体" w:hAnsi="宋体"/>
          <w:b/>
          <w:color w:val="000000" w:themeColor="text1"/>
          <w:sz w:val="28"/>
          <w:szCs w:val="28"/>
          <w14:textFill>
            <w14:solidFill>
              <w14:schemeClr w14:val="tx1"/>
            </w14:solidFill>
          </w14:textFill>
        </w:rPr>
        <w:t>复印件的，不能享受招标文件规定的价格扣除，但不影响投标人投标文件的有效性。</w:t>
      </w:r>
    </w:p>
    <w:p>
      <w:pPr>
        <w:rPr>
          <w:rFonts w:ascii="宋体" w:hAnsi="宋体"/>
          <w:bCs/>
          <w:color w:val="000000" w:themeColor="text1"/>
          <w:sz w:val="28"/>
          <w14:textFill>
            <w14:solidFill>
              <w14:schemeClr w14:val="tx1"/>
            </w14:solidFill>
          </w14:textFill>
        </w:rPr>
      </w:pPr>
    </w:p>
    <w:bookmarkEnd w:id="146"/>
    <w:p>
      <w:pPr>
        <w:keepNext/>
        <w:keepLines/>
        <w:numPr>
          <w:ilvl w:val="0"/>
          <w:numId w:val="1"/>
        </w:numPr>
        <w:spacing w:line="360" w:lineRule="auto"/>
        <w:ind w:left="0" w:firstLine="0"/>
        <w:jc w:val="center"/>
        <w:outlineLvl w:val="0"/>
        <w:rPr>
          <w:rFonts w:ascii="宋体" w:hAnsi="宋体"/>
          <w:b/>
          <w:bCs/>
          <w:color w:val="000000" w:themeColor="text1"/>
          <w:spacing w:val="-20"/>
          <w:kern w:val="44"/>
          <w:sz w:val="32"/>
          <w:szCs w:val="32"/>
          <w14:textFill>
            <w14:solidFill>
              <w14:schemeClr w14:val="tx1"/>
            </w14:solidFill>
          </w14:textFill>
        </w:rPr>
      </w:pPr>
      <w:bookmarkStart w:id="149" w:name="_Toc76541360"/>
      <w:bookmarkStart w:id="150" w:name="_Toc217446093"/>
      <w:bookmarkStart w:id="151" w:name="_Toc321382057"/>
      <w:bookmarkStart w:id="152" w:name="_Toc316292231"/>
      <w:r>
        <w:rPr>
          <w:rFonts w:hint="eastAsia" w:ascii="宋体" w:hAnsi="宋体"/>
          <w:b/>
          <w:bCs/>
          <w:color w:val="000000" w:themeColor="text1"/>
          <w:spacing w:val="-20"/>
          <w:kern w:val="44"/>
          <w:sz w:val="32"/>
          <w:szCs w:val="32"/>
          <w14:textFill>
            <w14:solidFill>
              <w14:schemeClr w14:val="tx1"/>
            </w14:solidFill>
          </w14:textFill>
        </w:rPr>
        <w:t>招标项目技术、服务、商务及其他要求</w:t>
      </w:r>
      <w:bookmarkEnd w:id="149"/>
      <w:bookmarkEnd w:id="150"/>
    </w:p>
    <w:p>
      <w:pPr>
        <w:pStyle w:val="2"/>
        <w:tabs>
          <w:tab w:val="left" w:pos="0"/>
          <w:tab w:val="left" w:pos="426"/>
          <w:tab w:val="left" w:pos="576"/>
          <w:tab w:val="left" w:pos="786"/>
        </w:tabs>
        <w:spacing w:before="0" w:after="0" w:line="500" w:lineRule="exact"/>
        <w:ind w:left="0" w:firstLine="0"/>
        <w:jc w:val="both"/>
        <w:rPr>
          <w:color w:val="000000" w:themeColor="text1"/>
          <w14:textFill>
            <w14:solidFill>
              <w14:schemeClr w14:val="tx1"/>
            </w14:solidFill>
          </w14:textFill>
        </w:rPr>
      </w:pPr>
      <w:bookmarkStart w:id="153" w:name="_Toc76541362"/>
      <w:bookmarkStart w:id="154" w:name="_Toc533672602"/>
      <w:bookmarkStart w:id="155" w:name="_Toc529173741"/>
      <w:r>
        <w:rPr>
          <w:rFonts w:hint="eastAsia"/>
          <w:color w:val="000000" w:themeColor="text1"/>
          <w14:textFill>
            <w14:solidFill>
              <w14:schemeClr w14:val="tx1"/>
            </w14:solidFill>
          </w14:textFill>
        </w:rPr>
        <w:t>项目概况</w:t>
      </w:r>
    </w:p>
    <w:p>
      <w:pPr>
        <w:ind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本项目为成都市青羊区人民法院</w:t>
      </w:r>
      <w:r>
        <w:rPr>
          <w:rFonts w:hint="eastAsia" w:ascii="宋体" w:hAnsi="宋体"/>
          <w:color w:val="000000" w:themeColor="text1"/>
          <w:sz w:val="28"/>
          <w:szCs w:val="28"/>
          <w:lang w:eastAsia="zh-CN"/>
          <w14:textFill>
            <w14:solidFill>
              <w14:schemeClr w14:val="tx1"/>
            </w14:solidFill>
          </w14:textFill>
        </w:rPr>
        <w:t>金融法庭信息化系统</w:t>
      </w:r>
      <w:r>
        <w:rPr>
          <w:rFonts w:hint="eastAsia" w:ascii="宋体" w:hAnsi="宋体"/>
          <w:color w:val="000000" w:themeColor="text1"/>
          <w:sz w:val="28"/>
          <w:szCs w:val="28"/>
          <w14:textFill>
            <w14:solidFill>
              <w14:schemeClr w14:val="tx1"/>
            </w14:solidFill>
          </w14:textFill>
        </w:rPr>
        <w:t>配套设备采购项目。项目总预算</w:t>
      </w:r>
      <w:r>
        <w:rPr>
          <w:rFonts w:ascii="宋体" w:hAnsi="宋体"/>
          <w:color w:val="000000" w:themeColor="text1"/>
          <w:sz w:val="28"/>
          <w:szCs w:val="28"/>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6</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万元</w:t>
      </w:r>
    </w:p>
    <w:p>
      <w:pPr>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核心设备：</w:t>
      </w:r>
      <w:r>
        <w:rPr>
          <w:rFonts w:hint="eastAsia" w:ascii="宋体" w:hAnsi="宋体"/>
          <w:color w:val="000000" w:themeColor="text1"/>
          <w:sz w:val="28"/>
          <w:szCs w:val="28"/>
          <w14:textFill>
            <w14:solidFill>
              <w14:schemeClr w14:val="tx1"/>
            </w14:solidFill>
          </w14:textFill>
        </w:rPr>
        <w:t>UPS主机、服务器、高清液晶显示单元、全彩LED</w:t>
      </w:r>
      <w:r>
        <w:rPr>
          <w:rFonts w:hint="eastAsia" w:ascii="宋体" w:hAnsi="宋体"/>
          <w:color w:val="000000" w:themeColor="text1"/>
          <w:sz w:val="28"/>
          <w:szCs w:val="28"/>
          <w:lang w:eastAsia="zh-CN"/>
          <w14:textFill>
            <w14:solidFill>
              <w14:schemeClr w14:val="tx1"/>
            </w14:solidFill>
          </w14:textFill>
        </w:rPr>
        <w:t>。</w:t>
      </w:r>
    </w:p>
    <w:p>
      <w:pPr>
        <w:ind w:firstLine="562" w:firstLineChars="200"/>
        <w:rPr>
          <w:rFonts w:hint="eastAsia" w:ascii="Times New Roman" w:hAnsi="Times New Roman" w:eastAsia="仿宋_GB2312"/>
          <w:sz w:val="32"/>
          <w:szCs w:val="32"/>
        </w:rPr>
      </w:pPr>
      <w:r>
        <w:rPr>
          <w:rFonts w:hint="eastAsia" w:ascii="宋体" w:hAnsi="宋体" w:cs="宋体"/>
          <w:b/>
          <w:bCs/>
          <w:color w:val="000000" w:themeColor="text1"/>
          <w:sz w:val="28"/>
          <w:szCs w:val="28"/>
          <w14:textFill>
            <w14:solidFill>
              <w14:schemeClr w14:val="tx1"/>
            </w14:solidFill>
          </w14:textFill>
        </w:rPr>
        <w:t>技术参数及要求</w:t>
      </w:r>
      <w:bookmarkEnd w:id="153"/>
      <w:r>
        <w:rPr>
          <w:rFonts w:hint="eastAsia" w:ascii="宋体" w:hAnsi="宋体"/>
          <w:color w:val="000000" w:themeColor="text1"/>
          <w:sz w:val="28"/>
          <w:szCs w:val="28"/>
          <w14:textFill>
            <w14:solidFill>
              <w14:schemeClr w14:val="tx1"/>
            </w14:solidFill>
          </w14:textFill>
        </w:rPr>
        <w:t>：</w:t>
      </w:r>
      <w:r>
        <w:rPr>
          <w:rFonts w:hint="eastAsia" w:ascii="Times New Roman" w:hAnsi="Times New Roman" w:eastAsia="仿宋_GB2312"/>
          <w:sz w:val="32"/>
          <w:szCs w:val="32"/>
        </w:rPr>
        <w:t>*说明：参数中的尺寸未标明偏差值的，偏差值均为±5%</w:t>
      </w:r>
    </w:p>
    <w:tbl>
      <w:tblPr>
        <w:tblStyle w:val="43"/>
        <w:tblW w:w="8648" w:type="dxa"/>
        <w:jc w:val="center"/>
        <w:tblLayout w:type="fixed"/>
        <w:tblCellMar>
          <w:top w:w="0" w:type="dxa"/>
          <w:left w:w="108" w:type="dxa"/>
          <w:bottom w:w="0" w:type="dxa"/>
          <w:right w:w="108" w:type="dxa"/>
        </w:tblCellMar>
      </w:tblPr>
      <w:tblGrid>
        <w:gridCol w:w="722"/>
        <w:gridCol w:w="1352"/>
        <w:gridCol w:w="4980"/>
        <w:gridCol w:w="777"/>
        <w:gridCol w:w="817"/>
      </w:tblGrid>
      <w:tr>
        <w:tblPrEx>
          <w:tblCellMar>
            <w:top w:w="0" w:type="dxa"/>
            <w:left w:w="108" w:type="dxa"/>
            <w:bottom w:w="0" w:type="dxa"/>
            <w:right w:w="108" w:type="dxa"/>
          </w:tblCellMar>
        </w:tblPrEx>
        <w:trPr>
          <w:trHeight w:val="285" w:hRule="atLeast"/>
          <w:jc w:val="center"/>
        </w:trPr>
        <w:tc>
          <w:tcPr>
            <w:tcW w:w="8648" w:type="dxa"/>
            <w:gridSpan w:val="5"/>
            <w:tcBorders>
              <w:top w:val="single" w:color="auto" w:sz="4" w:space="0"/>
              <w:left w:val="single" w:color="auto" w:sz="4" w:space="0"/>
              <w:bottom w:val="nil"/>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一、信息化基础建设配套</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（一）中心机房系统建设配套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653"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UPS主</w:t>
            </w:r>
            <w:r>
              <w:rPr>
                <w:rFonts w:hint="eastAsia" w:ascii="宋体" w:hAnsi="宋体" w:cs="宋体"/>
                <w:i w:val="0"/>
                <w:iCs w:val="0"/>
                <w:color w:val="auto"/>
                <w:kern w:val="0"/>
                <w:sz w:val="20"/>
                <w:szCs w:val="20"/>
                <w:highlight w:val="none"/>
                <w:u w:val="none"/>
                <w:lang w:val="en-US" w:eastAsia="zh-CN" w:bidi="ar"/>
              </w:rPr>
              <w:t>机</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w:t>
            </w:r>
            <w:r>
              <w:rPr>
                <w:rFonts w:hint="eastAsia" w:ascii="宋体" w:hAnsi="宋体" w:eastAsia="宋体" w:cs="宋体"/>
                <w:kern w:val="0"/>
                <w:szCs w:val="21"/>
                <w:highlight w:val="none"/>
              </w:rPr>
              <w:t>UPS</w:t>
            </w:r>
            <w:r>
              <w:rPr>
                <w:rFonts w:hint="eastAsia" w:ascii="宋体" w:hAnsi="宋体" w:eastAsia="宋体" w:cs="宋体"/>
                <w:color w:val="000000"/>
                <w:kern w:val="0"/>
                <w:szCs w:val="21"/>
                <w:highlight w:val="none"/>
              </w:rPr>
              <w:t>系统总功率≥40KVA，三进三出高频在线式UPS，纯双变换式切换，输入功率因数≥0.99，输出功率因数≥1；</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▲UPS内置防雷；</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xml:space="preserve">输入电压范围:110V~300VAC；负载；176-276VAC @负载频率范围:40至70Hz； </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输出额定电压380/400/415 VAC(3PH+N)，且满足±1%的稳压精度；</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同步状态输出频率跟踪旁路输入46~ 54 Hz 或 56 ~ 64 Hz，电池模式下输出频率满足 50 Hz±0.1Hz或60Hz±0.1Hz；</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过载能力：市电模式100-110% 60分钟，111-125% 10分钟，126%-150% 1分钟；&gt;150% 400ms；</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电池模式：100-110% 60分钟，111-125% 10分钟，126%-150% 1分钟；&gt;150% 400ms；</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UPS效率: 交流模式96%，电池模式96%；ECO模式99%；</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电池数量32~40(可调)；</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color w:val="000000"/>
                <w:kern w:val="0"/>
                <w:szCs w:val="21"/>
                <w:highlight w:val="none"/>
              </w:rPr>
              <w:t>★UPS、蓄电池系统为同一品牌或统一售后服务(提供承诺函</w:t>
            </w:r>
            <w:r>
              <w:rPr>
                <w:rFonts w:hint="eastAsia" w:ascii="宋体" w:hAnsi="宋体" w:eastAsia="宋体" w:cs="宋体"/>
                <w:color w:val="000000"/>
                <w:kern w:val="0"/>
                <w:szCs w:val="21"/>
                <w:highlight w:val="none"/>
                <w:lang w:val="en-US" w:eastAsia="zh-CN"/>
              </w:rPr>
              <w:t>)</w:t>
            </w:r>
            <w:r>
              <w:rPr>
                <w:rFonts w:hint="eastAsia" w:ascii="宋体" w:hAnsi="宋体" w:eastAsia="宋体" w:cs="宋体"/>
                <w:color w:val="000000"/>
                <w:kern w:val="0"/>
                <w:szCs w:val="21"/>
                <w:highlight w:val="none"/>
              </w:rPr>
              <w:t>。</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蓄电池</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▲单个蓄电池电压为12V，容量为100AH蓄电池在环境温度20℃~25℃时的浮充运行寿命≥10年；</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10h率容量（单体放电终止电压1.8V）第一次循环应达到0.95C10；在第三次循环之前，10h率容量（单体放电终止电压1.8V）应达到C10，3h率容量（放电终止电压1.8V）应达到0.75C10，1h率容量（单体放电终止电压1.75V）应达到0.55C10。进行10h率放电容量测试时，蓄电池实测容量与标称额定容量不允许出现负偏差；</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阻燃性能：蓄电池壳、盖、连接条保护罩应符合《塑料燃烧性能的测定 水平法和垂直法》（GB/T 2408-2008）中的第8.4节HB（水平级）和第9.4节V-0（垂直级）的要求；</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蓄电池采用全密封防泄露结构，在使用寿命期间不得渗漏电解夜，无需补加电解液。并从结构的设计原理和选材上说明如何保证蓄电池的密封性；</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蓄电池应能承受≥50kPa的正压或负压而不破裂、不开胶，压力释放后壳体无残余变形；</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防酸雾性能：蓄电池在正常工作中无酸雾逸出；防爆性能：蓄电池在充电过程中遇有明火内部不会引爆；</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容量保存率：在温度为25℃时蓄电池静置≥28天后，容量保存率不低于该电池实际容量（25℃时的C10）的97%；</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蓄电池的密封反应效率≥99%；蓄电池过度放电后，容量恢复值≥90%；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完全充电的蓄电池以0.3I10(A)电流再充电160h，过充完毕后静置1h，其外观应无明显变形和渗液；</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▲需提供泰尔认证中心出具的检测报告（提供复印件并加盖供应商公章）；</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color w:val="000000"/>
                <w:kern w:val="0"/>
                <w:szCs w:val="21"/>
                <w:highlight w:val="none"/>
              </w:rPr>
              <w:t>★UPS、蓄电池系统为同一品牌或统一售后服务提供承诺函。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128</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电池柜</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满足装12V100AH电池32只铁皮柜。</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电池分组空开</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3P/100A</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直流汇流盒</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3P200A</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直流连接线</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ZRBV 25mm2</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米</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安装辅材</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电池连接线(含空开)</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96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综合显示器</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≥55 英寸，LED 背光源。16：9，≥1080P，1920*1080，亮度 ≥800(cd/m2)，可视角度≥178 度。动态对比度≥40000:1，响应时间≤ 4ms；</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输入接口≥1个HDMI，≥1个VGA。</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12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服务器</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▲服务器管理系统支持国产自研管理芯片；</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配置≥2颗Intel处理器，核心数量≥8核、主频≥1.9GHz；配置2*32GB DDR4内存，内存插槽数≥16个插槽，支持高级ECC、内存在线热备、内存镜像技术，支持NVDIMM；</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配置2*600GB 10K SAS硬盘；硬盘支持热插拔SAS/SATA/SSD硬盘，最大可扩展到31个热插拔2.5''硬盘槽位；</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配置独立RAID卡，支持RAID 0/1/10；PCI-E I/O插槽总数≥10个；配置冗余热插拔电源，并提供配套的电源连接线；配置冗余风扇,支持单风扇失效，风扇支持热插拔；支持工作温度 5℃－45℃；</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具备带外故障检测功能：能够对主机CPU/内存/硬盘/网卡/风扇/温度/电源等关键部件的故障诊断报警；配置机箱上盖安全锁扣，如发生硬件入侵时，提供后台报警功能，可以同时部署多台主机或按照计划时间进行特定部署，可监控服务器CPU、内存等资源使用率，批量日志收集等（需要提供说明书、技术文档和官网证明材料），支持同品牌或第三方品牌《国产服务器安全运维管理系统软件》以上软件必须提供计算机软件著作权登记证书（提供复印件并加盖供应商公章），提供版权查询链接；</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rPr>
              <w:t>★配置正版操作系统。</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（二）云桌面配套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9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桌面云服务器</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★品牌要求：国产服务器品牌，非OEM产品，自主研发，2U机架式服务器，机箱深度小于800mm，含上架导轨，配置≥2颗CPU，最大可支持2颗，每颗CPU核心数≥16核，每颗CPU主频≥2.5GHz；</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▲国产处理器证明：提供国产x86处理器原厂证明函；</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内存：配置≥256GB DDR4 2933MHz RDIMM内存，支持≥16个内存插槽，最大可支持2TB内存容量，支持内存ECC保护、内存镜像、内存热备；</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▲硬盘：支持≥8个前置热插拔3.5硬盘，可支持2*后置SAS/SATA/SSD硬盘;板载支持≥1个NVMe U.2 SSD；板载可支持1个内置M.2 SSD，兼容PCIe和SATA接口，本次配置≥1块240G M.2硬盘，配置≥2块960G 2.5寸SATA SSD，配置≥4块6TB 3.5寸SATA盘；</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服务器配备存储虚拟化软件模块，限制存储容量，提供低成本、高可靠的存储方案；</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支持SSD缓存加速，采用SSD+HDD混合模式，SSD用于缓存热点数据，HDD用于存储个人数据，SSD缓存命中率不低于60%（提供截图）；</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支持数据冗余副本技术，每份数据同时写入多台服务器，每次数据变化时自动实时同步；</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支持集群冗余技术，当硬盘故障时，HA机制就会自动触发虚机迁移动作，实现毫秒级切换，对用户来讲基本是无感知的；主机或者网络故障，虚拟桌面可以快速切换到另一台服务器拉起，约3-5分钟（提供第三方检测报告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▲产品可靠性≥1万小时，并提供第三方MTBF证书及报告（提供复印件并加盖供应商公章）；</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color w:val="000000"/>
                <w:kern w:val="0"/>
                <w:szCs w:val="21"/>
                <w:highlight w:val="none"/>
              </w:rPr>
              <w:t>▲具备国家强制性CCC认证及中国质量认证中心出具的中国节能产品认证证书（提供证书复印件并加盖供应商公章）。</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9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桌面云瘦终端</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ARM架构，CPU≥4核1.6Ghz、内存≥1G、存储≥4G、USB≥6个、1个VGA或HDMI、1个以太网口、1对音频口；</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云终端权限管理：支持配置是否允许显示本地桌面和是否允许安装应用、支持开启“修改云终端配置和登录信息需要密码”功能、支持配置是否允许新的云终端接入或者接入需要密码；</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云终端易用性管理：支持配置自定义开机画面、支持云终端分组管理、支持配置云终端定时开关机计划、支持开启“云终端加电自启”功能、支持配置是否自动下载并安装更新、支持批量移动/删除/关闭云终端、支持配置是否允许自动登录和保存密码（提供功能截图加盖供应商公章）；</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★桌面云瘦终端、桌面云接入软件为同一品牌或统一售后服务提供承诺函。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80</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9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3</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桌面云接入软件</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桌面云后台采用BS架构，所有组件完全集成化，后台导入一个镜像就可以完成部署；桌面控制器内置DHCP功能，部署时无需额外搭建DHCP服务器，可实现终端和虚拟机IP的动态分配。支持Windows XP/7/10、Windows Server，支持≥2个的Linux虚拟桌面操作系统，其中要包含国产Linux操作系统；支持临时权限，管理员为部分用户临时在某个时间段内放通usb和pc剪切板等权限，并在到期后自动回收该权限，保证数据安全；支持USB黑白名单技术，能够精准识别每一款不同类型的外设（包括高拍仪、摄像头、USB光驱、认证key等），并设置放通或者限制策略，提高管控粒度和安全性；支持PC、笔记本（含Windows操作系统和MAC笔记本）、云终端（含ARM和X86）、iPad、iPhone、Android移动终端等设备接入访问虚拟桌面；</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为方便日后进行文化建设，可以支持设置相关的主题（如春节，国庆等），后台管理员可在主题商城中下载主题，并将主题应用到瘦终端（ARM、X86）、PC客户端等终端设备；为不影响终端正常使用，桌面云系统支持USB外设映射，能够兼容高拍仪、扫描仪、扫描枪、密码小键盘、摄像头、指纹收集器、手写板、打印机、USB-key等不同外设；为方便资料共享，支持云盘存储方案，包括个人云盘和公共云盘，可设置读写权限和配额，其中个人云盘绑定用户，只允许一部分用户访问（比如管理员），公共云盘允许所有人访问；为保证使用体验，支持SSD缓存加速，采用SSD+HDD混合模式，HDD用于存储个人数据，SSD用于缓存热点数据，SSD缓存命中率不低于60%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为了保证用户的使用与原有使用习惯相同，桌面云系统可以进行联动关机，用户可以如使用PC一样，打开操作系统“开始”菜单、点击“关机”按钮，云终端和操作系统将会一体化关闭（提供相关功能截图证明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桌面云控制器自带高可用性技术方案，在不增加第三方负载均衡工具的情况下，支持集群（主主）模式，支持桌面云控制器宕机切换会话不中断；为方便运维管理，管理员可以批量完成如下配置：创建用户、禁止/踢除用户、删除用户、导入导出用户、关联虚拟机、用户分组；</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为减少运维人员工作量，桌面云支持软件分发，通过创建软件库并关联给虚拟机，实现驱动程序、应用软件的增量式更新，不需要在每个虚拟机执行安装过程，整个分发过程秒级完成，且分发后不会覆盖原虚拟机的个性化配置和自主安装的软件，用户个人的本地数据不会丢失，本项目要求支持USB打印机和网络打印机驱动、应用软件、网页快捷方式和办公文件页面控件的分发（提供相关功能截图证明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★桌面云瘦终端、桌面云接入软件为同一品牌或统一售后服务提供承诺函。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80</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4</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桌面显示器</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lang w:val="en-US" w:eastAsia="zh-CN"/>
              </w:rPr>
              <w:t>显示尺寸≥23寸，采用IPS面板，屏幕分辨率：1920*1080P，屏幕比例：16:9，支持VGA和HDMI接口输入。</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72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5</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桌面显示器</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lang w:val="en-US" w:eastAsia="zh-CN"/>
              </w:rPr>
              <w:t>显示尺寸≥32寸，采用IPS面板，屏幕分辨率：1920*1080P，屏幕比例：16:9，支持VGA和HDMI接口输入,颜色：白色或者黑色。</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（三）智能安防系统配套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26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拼接大屏</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★≥55 英寸，显示比例 16:9； 物理拼缝：≤1.7mm；面板物理分辨率 1920×1080 LED 背光；双向视角≥178°；亮度不低于 500cd/㎡；</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▲达到IP65六级防尘五级防水；达到10级抗震；（国家认可的第三方检测机构的检测报告证明并加盖公章证明）；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具备接口隔离保护电路；MTBF 平均无故障时间≥50000小时；通过可蘸水擦拭试验。</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前维护架</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与显示单元配套；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▲拼接结构架节省维护空间采用前维护结构，屏体通过导轨从框架抽出后能够绕轴旋转，其旋转角度最大可达25度；</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★不可采用钢材现场焊接。</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底座</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与显示单元配套；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铝合金结构，防腐防锈；</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标准化模块化设计，便于安装及维护；</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★不可采用钢材现场焊接。</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val="en-US" w:eastAsia="zh-CN" w:bidi="ar"/>
              </w:rPr>
              <w:t>4</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多屏处理器</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支持≥8路HDMI输入，≥12路HDMI输出；</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支持插卡式高清网络视频解码；</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单屏支持开十六窗口功能，每个窗口支持漫游，叠加、缩放。支持至少16个窗口的群组同时拖动、同时放大。可实现所有信号源的接入管理、上屏显示，任一信号源可实现在大屏幕墙以任意大小在任意位置进行开窗，可实现窗口的任意跨屏、漫游、叠加显示；每个单元可同时开启16 个任意实时活动视窗；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▲具备数字化网络视频图像合成功能、具备接口隔离保护电路（提供国家认可的第三方检测机构的检测报告证明并加盖供应商公章证明）；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▲平均无故障时间（MTBF）≥180000小时（提供国家认可的第三方检测机构的检测报告证明并加盖供应商公章证明）。</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套</w:t>
            </w:r>
          </w:p>
        </w:tc>
      </w:tr>
      <w:tr>
        <w:tblPrEx>
          <w:tblCellMar>
            <w:top w:w="0" w:type="dxa"/>
            <w:left w:w="108" w:type="dxa"/>
            <w:bottom w:w="0" w:type="dxa"/>
            <w:right w:w="108" w:type="dxa"/>
          </w:tblCellMar>
        </w:tblPrEx>
        <w:trPr>
          <w:trHeight w:val="144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5</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拼接大屏</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★≥46 英寸，显示比例16:9；物理拼缝：≤3.5mm；</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面板物理分辨率 1920×1080 LED 背光；双向视角≥178°；亮度不低于 500cd/㎡；</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▲达到IP65六级防尘五级防水；达到10级抗震；取得节能认证（提供国家认可的的第三方检测机构检测机构的检测报告复印件并加盖供应商公章证明）；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具备接口隔离保护电路；MTBF平均无故障时间≥50000小时；通过可蘸水擦拭试验。</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6</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简易壁挂架</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≥46英寸超薄壁挂支架。</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宋体" w:hAnsi="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val="en-US" w:eastAsia="zh-CN" w:bidi="ar"/>
              </w:rPr>
              <w:t>7</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视频拼接器</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支持≥4路HDMI输入，≥4路HDMI输出；支持插卡式高清网络视频解码；</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单屏支持开≥16窗口功能，每个窗口支持漫游，叠加、缩放。支持≥16个窗口的群组同时拖动、同时放大。可实现所有信号源的接入管理、上屏显示，任一信号源可实现在大屏幕墙以任意大小在任意位置进行开窗，可实现窗口的任意跨屏、漫游、叠加显示；每个单元可同时开启≥16个任意实时活动视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▲具备数字化网络视频图像合成功能、具备接口隔离保护电路（提供国家认可的第三方检测机构的检测报告证明并加盖供应商公章证明）；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▲平均无故障时间（MTBF）≥180000小时（提供国家认可的第三方检测机构的检测报告证明并加盖供应商公章证明）。</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台</w:t>
            </w:r>
          </w:p>
        </w:tc>
      </w:tr>
      <w:tr>
        <w:tblPrEx>
          <w:tblCellMar>
            <w:top w:w="0" w:type="dxa"/>
            <w:left w:w="108" w:type="dxa"/>
            <w:bottom w:w="0" w:type="dxa"/>
            <w:right w:w="108" w:type="dxa"/>
          </w:tblCellMar>
        </w:tblPrEx>
        <w:trPr>
          <w:trHeight w:val="9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8</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视频服务一体机</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 xml:space="preserve">2U双路标准机架式服务器，CPU：≥2颗 10核 2.2GHz ；内存：≥16G*4 DDR4，16根内存插槽，最大支持扩展至2TB内存；硬盘：≥2块600G 10K 2.5寸 SAS硬盘，最高可支持12块3.5寸（兼容2.5寸）热插拔SAS/SATA硬盘；阵列卡：SAS_HBA卡，支持RAID 0/1/10；PCIE扩展：最大可支持6个PCIE扩展插槽；网口：≥2个千兆电口,≥2个万兆光口；其他接口：≥1个RJ45管理接口，≥4个USB 3.0接口，≥1个VGA接口；电源：标配550W（1+1）高效铂金CRPS冗余电源； </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★配置原厂正版操作系统。</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72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9</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安防控制电脑</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CPU:I5 以上（含 I5，64 位）；≥1T 硬盘，7200 转；内存 8G 以上（含 8G）；支持双输出；带DVD 刻录光驱；含≥21.5显示器。</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★配置原厂正版操作系统。</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（四）法院司法行政信息管理系统配套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216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管理服务一体机</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2U双路标准机架式服务器，CPU：≥2颗Xeon® Silver 10核，≥2.2GHz；内存：≥16G*4 DDR4，16根内存插槽，最大支持扩展至2TB内存；硬盘：≥2块600G 10K 2.5寸 SAS硬盘，最高可支持12块3.5寸（兼容2.5寸）热插拔SAS/SATA硬盘；阵列卡：SAS_HBA卡，支持RAID 0/1/10；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 xml:space="preserve">PCIE扩展：最大可支持6个PCIE扩展插槽；网口：≥2个千兆电口,≥2个万兆光口；其他接口：≥1个RJ45管理接口，≥4个USB 3.0接口，≥1个VGA接口；电源：标配550W（1+1）高效铂金CRPS冗余电源 </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color w:val="000000"/>
                <w:kern w:val="0"/>
                <w:szCs w:val="21"/>
                <w:highlight w:val="none"/>
                <w:lang w:val="en-US" w:eastAsia="zh-CN"/>
              </w:rPr>
              <w:t>★配置原厂正版操作系统。</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（五）数字文化建设配套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29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电子翻书</w:t>
            </w:r>
            <w:r>
              <w:rPr>
                <w:rFonts w:hint="eastAsia" w:ascii="宋体" w:hAnsi="宋体" w:cs="宋体"/>
                <w:i w:val="0"/>
                <w:iCs w:val="0"/>
                <w:color w:val="000000"/>
                <w:kern w:val="0"/>
                <w:sz w:val="20"/>
                <w:szCs w:val="20"/>
                <w:highlight w:val="none"/>
                <w:u w:val="none"/>
                <w:lang w:val="en-US" w:eastAsia="zh-CN" w:bidi="ar"/>
              </w:rPr>
              <w:t>系统</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≥55英寸电子翻书一体机，分辨率：≥4096＊4096，符合人体工程学设计，采用冷轧钢板；</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55英寸多点红外触摸屏；触摸≥5千万次，任何不透光的介质，透光率：≥90%，表面硬度：8H，触摸寿命：无限次，反应速度：≤15ms，语音系统；标准RJ45网络接口、ATX开关，带散热口，电压：AC220V±10%、50Hz±1Hz；红外感应，挥手翻书；</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color w:val="000000"/>
                <w:kern w:val="0"/>
                <w:szCs w:val="21"/>
                <w:highlight w:val="none"/>
                <w:lang w:val="en-US" w:eastAsia="zh-CN"/>
              </w:rPr>
              <w:t xml:space="preserve">主机电脑：≥I5，≥4G，≥120G固态硬盘,专业工控主板XP/windows7/CE/windows8\10。 </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9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电子展板</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≥32寸LED屏，全功能简易遥控操作；</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分辨率：≥1920*1080；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屏幕比例：16:9；</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屏幕亮度：≥280cd/㎡；</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响应时间：≤6毫秒；</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可视角度：≥178°/178°；</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使用寿命：≥30000小时；</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无线：WIFI支持；蓝牙4.0及以上；</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扬声器：9W×2；(10W×2)；</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 xml:space="preserve">操作系统：Android5.1及以上；  </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CPU：≥4核，主频≥1.8GHz，内存≥1GB，闪存≥8GB；</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highlight w:val="none"/>
              </w:rPr>
            </w:pPr>
            <w:r>
              <w:rPr>
                <w:rFonts w:hint="eastAsia" w:ascii="宋体" w:hAnsi="宋体" w:eastAsia="宋体" w:cs="宋体"/>
                <w:color w:val="000000"/>
                <w:kern w:val="0"/>
                <w:szCs w:val="21"/>
                <w:highlight w:val="none"/>
                <w:lang w:val="en-US" w:eastAsia="zh-CN"/>
              </w:rPr>
              <w:t>接口：≥1*RJ45网络接口，≥2*USB3.0，支持无线接入。</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96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高清液晶显示单元</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 xml:space="preserve">★≥55英寸，显示比例 16:9；拼缝：≤0.88mm； </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物理分辨率1920×1080；LED背光；待机功耗≤0.5W；</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▲响应时间：4-8ms；清晰度：≥950TVL；色彩：8Bit/10Bit；屏幕漏光度＜0.01cd/㎡；亮度鉴别等级：≥11级；对比度≥10000: 1；根据CIE1931标准色度系统，液晶显示单元色坐标误差在±0.01以内；达到IP65六级防尘五级防水，可蘸水擦拭；达到10级抗震；内嵌3D数字信号降噪系统；视频接口具有钳位保护电路（提供国家认可的第三方检测机构出具的检测报告证明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i w:val="0"/>
                <w:iCs w:val="0"/>
                <w:color w:val="000000"/>
                <w:sz w:val="20"/>
                <w:szCs w:val="20"/>
                <w:highlight w:val="none"/>
                <w:u w:val="none"/>
                <w:lang w:eastAsia="zh-CN"/>
              </w:rPr>
            </w:pPr>
            <w:r>
              <w:rPr>
                <w:rFonts w:hint="eastAsia" w:ascii="宋体" w:hAnsi="宋体" w:eastAsia="宋体" w:cs="宋体"/>
                <w:color w:val="000000"/>
                <w:kern w:val="0"/>
                <w:szCs w:val="21"/>
                <w:highlight w:val="none"/>
                <w:lang w:val="en-US" w:eastAsia="zh-CN"/>
              </w:rPr>
              <w:t>▲运行寿命：支持7×24h连续开机，寿命≥60000小时；MTBF平均无故障时间≥50000小时；支持U盘直接系统升级。内置拼接处理器具备智能温控系统，可以根据周边环境温度智能调节风扇转动的速度（提供国家认可的第三方检测机构出具的检测报告证明并加盖供应商公章证明）。</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4</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前维护架</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与显示单元配套；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▲拼接结构架节省维护空间采用前维护结构，屏体通过导轨从框架抽出后能够绕轴旋转，其旋转角度最大可达25度；</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★不可采用钢材现场焊接。</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5</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底座</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与显示单元配套；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铝合金结构，防腐防锈；</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标准化模块化设计；</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★不可采用钢材现场焊接。</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6</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箱体连接线缆及接头</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从处理器到大屏成品≥15米HDMI线，输入测试线≥1米HDMI线≥1条（含屏幕控制线缆，环接线缆，电源开关等）</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宋体" w:hAnsi="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val="en-US" w:eastAsia="zh-CN" w:bidi="ar"/>
              </w:rPr>
              <w:t>7</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多屏处理器</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支持≥8路HDMI输入，≥12路HDMI输出；</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支持插卡式高清网络视频解码；</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单屏支持开十六窗口功能，每个窗口支持漫游，叠加、缩放。支持至少16个窗口的群组同时拖动、同时放大。可实现所有信号源的接入管理、上屏显示，任一信号源可实现在大屏幕墙以任意大小在任意位置进行开窗，可实现窗口的任意跨屏、漫游、叠加显示；每个单元可同时开启16个任意实时活动视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▲具备数字化网络视频图像合成功能、具备接口隔离保护电路（提供国家认可的第三方检测机构的检测报告证明并加盖供应商公章证明）；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cs="宋体"/>
                <w:i w:val="0"/>
                <w:iCs w:val="0"/>
                <w:color w:val="000000"/>
                <w:kern w:val="0"/>
                <w:sz w:val="20"/>
                <w:szCs w:val="20"/>
                <w:highlight w:val="none"/>
                <w:u w:val="none"/>
                <w:lang w:val="en-US" w:eastAsia="zh-CN" w:bidi="ar"/>
              </w:rPr>
            </w:pPr>
            <w:r>
              <w:rPr>
                <w:rFonts w:hint="eastAsia" w:ascii="宋体" w:hAnsi="宋体" w:eastAsia="宋体" w:cs="宋体"/>
                <w:color w:val="000000"/>
                <w:kern w:val="0"/>
                <w:szCs w:val="21"/>
                <w:highlight w:val="none"/>
                <w:lang w:val="en-US" w:eastAsia="zh-CN"/>
              </w:rPr>
              <w:t>▲平均无故障时间（MTBF）≥180000小时（提供国家认可的第三方检测机构的检测报告证明并加盖供应商公章证明）。</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台</w:t>
            </w:r>
          </w:p>
        </w:tc>
      </w:tr>
      <w:tr>
        <w:tblPrEx>
          <w:tblCellMar>
            <w:top w:w="0" w:type="dxa"/>
            <w:left w:w="108" w:type="dxa"/>
            <w:bottom w:w="0" w:type="dxa"/>
            <w:right w:w="108" w:type="dxa"/>
          </w:tblCellMar>
        </w:tblPrEx>
        <w:trPr>
          <w:trHeight w:val="72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8</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LED条幅</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室内单色 LED 显示屏屏体，含配电通讯管线、播放软件，同时可由书记员处进行控制直接在线更新显示会议横幅内容；</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像素间距：≤4.75mm；像素密度（dot/m2)：44321；</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LED封装方式：SMD2121；屏幕亮度（cd/m2)：≥300；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模组尺寸（mm）：304*152；模组分辨率：64*32</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视角H≥120°；V≥120°；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最大功率（W/m2)：273；平均功率（W/m2)：136；</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▲灰度等级256；像素失控率≤0.0001；产品抗电强度在承受50Hz、1500V交变电1min，未击穿；组成LED显示屏的显示模组的对地漏电流不超过3.5mA/㎡（提供CNAS标识的检测报告复印件并加盖供应商公章证明）；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▲LED显示屏产品在受到冲击后可靠性及结构完好（提供检测报告复印件并加盖供应商公章证明）；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▲LED显示屏产品无声污染(提供噪音检测报告复印件并加盖供应商公章证明)；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highlight w:val="none"/>
              </w:rPr>
            </w:pPr>
            <w:r>
              <w:rPr>
                <w:rFonts w:hint="eastAsia" w:ascii="宋体" w:hAnsi="宋体" w:eastAsia="宋体" w:cs="宋体"/>
                <w:color w:val="000000"/>
                <w:kern w:val="0"/>
                <w:szCs w:val="21"/>
                <w:highlight w:val="none"/>
                <w:lang w:val="en-US" w:eastAsia="zh-CN"/>
              </w:rPr>
              <w:t>▲中国产品质量安全监督中心和中国国际品牌发展工作委员会颁发的《全国质量检验稳定合格产品》证书（并加盖供应商公章证明）。</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二、智慧诉讼服务系统配套</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（一）诉讼服务大厅建设配套</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1、智慧全功能服务一体化系统</w:t>
            </w:r>
            <w:r>
              <w:rPr>
                <w:rFonts w:hint="eastAsia" w:ascii="宋体" w:hAnsi="宋体" w:cs="宋体"/>
                <w:i w:val="0"/>
                <w:iCs w:val="0"/>
                <w:color w:val="000000"/>
                <w:kern w:val="0"/>
                <w:sz w:val="20"/>
                <w:szCs w:val="20"/>
                <w:highlight w:val="none"/>
                <w:u w:val="none"/>
                <w:lang w:val="en-US" w:eastAsia="zh-CN" w:bidi="ar"/>
              </w:rPr>
              <w:t>配套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智慧全功能服务一体化系统</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CPU≥4核，内存≥8G，硬盘≥480G固态硬盘；≥21.5寸电磁电容屏；配备二代身份证模块、指纹仪模块和摄像头模块；配备打印机模块、高速扫描仪模块和自助装订机模块；配备笔记本嵌入式键盘和电磁笔；</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系统登录：支持人证比对和身份证认证两种登录方式，实现当事人和律师的系统登录；</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自助立案功能不低于：根据二代证模块读取身份信息，包括姓名、性别、身份证号码、地址信息；支持起诉立案材料的自助扫描和录入并生成含二维码信息的起诉立案回执单；</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案件查询功能不低于：支持通过获取身份证信息自动关联查询案件的基本信息，如个案的办案进展、当事人信息、开庭信息、办理期限、电子卷宗的正卷信息，包括执行案件的失信和限高等信息；支持通过当事人身份证号信息申请查询案件电子档案卷并实现在线阅卷；</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材料补充：支持为当事人或律师提供补充材料功能，诉讼参与人可以对已立案但尚未审结的案件提交电子或实体诉讼材料，并可查询相关提交记录并浏览法官反馈信息；</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执行申请：支持当事人或律师可依据生效裁判文书向法院提交执行申请（提交电子化诉讼材料，包括申请执行书、执行依据材料等）的功能，并可查询申请执行案件进展情况；</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执行案件的初次访谈功能不低于：支持申请人到法院申请立案时可通过该系统完成执行的初次访谈信息采集，初次访谈笔录内容包括：案件基本信息、访谈目的、送达地址、立案信息、被执行人状况、财产状况、告知权利、拍卖意见、告知执行风险、告知申请破产权利、征询终本程序意见等；访谈笔录信息填写完毕后，申请人或代理人可直接在笔录上进行电子签名确认；</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执行线索举报功能不低于：系统支持能提交执行线索给对应案件的执行法官，执行线索提交后，系统会告知执行法官尽快核实确认；对于已提交的执行线索，线索提交人可查看执行法官对线索的审核确认情况；</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文书签收功能不低于：支持对送达文书按照已签收和待签收进行分类展示，并展示发送人、材料份数、材料名称等信息；在文书签收（打印）过程中，系统支持通过电子签名和指纹收录完成文书签收人的签名和指纹等信息收集，并自动调用签收文书接口，回传已采集的信息为业务系统自动生成送达回证；系统支持自助装订功能，使用者可以对已打印和签收的文书进行现场装订；</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color w:val="000000"/>
                <w:kern w:val="0"/>
                <w:szCs w:val="21"/>
                <w:highlight w:val="none"/>
                <w:lang w:val="en-US" w:eastAsia="zh-CN"/>
              </w:rPr>
              <w:t>★系统须与法院现有审判系统、执行系统、送达系统、档案系统进行无缝对接（提供承诺函并加盖供应商公章）。</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套</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、排号系统配套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96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液晶触摸屏取票机</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立式现代机柜；</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≥17英寸液晶显示器,1024X768,75Hz,对比度≥400:1；</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≥17英寸表面声波触摸屏;单点触摸≥5千万次；</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语音及功放系统；</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80MM自动切纸打印机；</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触摸屏取票机主机:专业工控主机机箱/≥1.8G双核CPU专业工控电脑/≥2GDDR/PS-200电源/≥32G固态硬盘，带二代证阅读器。</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排队管理系统拥有系统配置、统计分析、报表输出、业务总量限制、微信预约、网络预约等一系列独特的功能。支持打印带有排队号的排队小票，支持刷二代证取号。支持输入身份证号取号，号票打印清晰，速度快，换热敏纸方便快捷。后台根据所办事项、窗口业务等自动分配办理窗口号，并在等待区综合显示屏、窗口显示屏上显示排队办理信息，并可支持通过相关硬件设备实现语音广播、短信进行提醒。</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31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 xml:space="preserve"> 通屏控制器</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双网口千兆网口</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台</w:t>
            </w:r>
          </w:p>
        </w:tc>
      </w:tr>
      <w:tr>
        <w:tblPrEx>
          <w:tblCellMar>
            <w:top w:w="0" w:type="dxa"/>
            <w:left w:w="108" w:type="dxa"/>
            <w:bottom w:w="0" w:type="dxa"/>
            <w:right w:w="108" w:type="dxa"/>
          </w:tblCellMar>
        </w:tblPrEx>
        <w:trPr>
          <w:trHeight w:val="53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3</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触摸评价</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 xml:space="preserve">≥10英寸液晶触摸屏评价器、显示工作人员照片、姓名、工号、能自定义评价按钮（1-6个），能抓拍评价人员照片，能显示暂停服务等 </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7</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套</w:t>
            </w:r>
          </w:p>
        </w:tc>
      </w:tr>
      <w:tr>
        <w:tblPrEx>
          <w:tblCellMar>
            <w:top w:w="0" w:type="dxa"/>
            <w:left w:w="108" w:type="dxa"/>
            <w:bottom w:w="0" w:type="dxa"/>
            <w:right w:w="108" w:type="dxa"/>
          </w:tblCellMar>
        </w:tblPrEx>
        <w:trPr>
          <w:trHeight w:val="24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4</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 xml:space="preserve"> 无线呼叫器</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≥19键多功能键盘；显示呼叫的号码，能查看等待人数。</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7</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台</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5</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无线窗口显示屏</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3.75双基色通屏，尺寸≥11M*0.4M；</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显示业务名称，窗口号，叫号内容，当窗口在呼叫时，显示屏跟随语单自动显示被叫号码，客户办理业务时，显示屏显示正服务的号码，待呼叫下一位时，显示屏排队信息会根据呼叫顺序更新显示。通条屏可任意位置设置显示窗口号信息，业务名称，叫号内容等；可分屏显示文字宣传、通知等信息。支持自定义显示信息内容，可远程修改。</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平米</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2、自助查询系统配套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触控查询机</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≥42英寸液晶显示器,≥1980*1080,75Hz,对比度≥400:1；</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≥42英寸红外多点触摸屏，触摸≥5千万次；语音系统；</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标准RJ45网络接口、ATX开关，带散热口，电压：AC220V±10%、50Hz±1Hz；</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主机电脑：I5处理器，4G内存，≥120G固态硬盘,工控主板XP/windows7/CE/windows8/10。</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打印机</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产品类型：彩色激光打印机；硒鼓寿命：≥2000页；最大打印幅面：A4；分辨率：≥600x600dpi；耗材类型：鼓粉一体。</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自助查询机</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★一体式电脑；</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CPU≥四核4.2GHz，内存≥16GB，硬盘≥256GB SSD+1TB HDD，显卡≥2GB GDDR6；</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屏幕尺寸：≥23.8英寸，显示器分辨率≥1920*1080dpi；</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★配置原厂正版操作系统。</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480"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（二）智能导诉系统</w:t>
            </w:r>
            <w:r>
              <w:rPr>
                <w:rFonts w:hint="eastAsia" w:ascii="宋体" w:hAnsi="宋体" w:cs="宋体"/>
                <w:i w:val="0"/>
                <w:iCs w:val="0"/>
                <w:color w:val="000000"/>
                <w:kern w:val="0"/>
                <w:sz w:val="20"/>
                <w:szCs w:val="20"/>
                <w:highlight w:val="none"/>
                <w:u w:val="none"/>
                <w:lang w:val="en-US" w:eastAsia="zh-CN" w:bidi="ar"/>
              </w:rPr>
              <w:t>配套</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cs="宋体"/>
                <w:color w:val="000000"/>
                <w:kern w:val="0"/>
                <w:sz w:val="20"/>
                <w:szCs w:val="20"/>
                <w:highlight w:val="none"/>
                <w:lang w:bidi="ar"/>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智能导诉模块</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系统拥有寻路地图，可供办事人员熟悉法院审判大楼的布局，并且标有所有诉讼窗口、立案窗口、办案窗口、法庭和办公室的位置，以及从目前位置去往的最佳途径。同时可查看庭审信息；</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为办事人员提供即时的信息查询和导引，办事人员通过触控放大查询位置信息；支持指引寻路；日期、时间展示功能；支持站点查询、图片下载、视频播放功能；可应用手机、PC、ipad查看。 同时该系统可以支持多种语言，可提供当前办案的信息以及法院的其他信息，并具备网络更新及后期开发权限。</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智能虚拟导诉互动模块</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系统功能包括：采用最新虚拟影像技术与法院诉讼服务中心“导诉员”相结合，模仿真人与来访当事人进行语音、形体上的互动，通过简单的人机互答；当事人可直观了解到立案、执行、开庭、信访等各项基本流程功能，方便地找到自己想去的区域和窗口。“虚拟导诉员”有真人尺寸大小，与当事人人机交互问答提高诉讼服务效率 。法院虚拟导诉员系统将虚拟影像技术与诉讼服务中心“导诉员”相结合，模仿真人与来访群众进行语音、形体上的互动，通过人机互答，使群众直观了解到立案、执行、开庭、信访等各项基本信息。</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智能3D寻路互动模块</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系统制定人性化的人机交互及操作逻辑，专业的整体界面美观设计方案2.5D地图展示形式风格多样化选择：2D平面化地图展示形式。3D立体Box展示形式。3D立体实景带贴图展示形式。适用范围广，丰富的信息内容展示，有数据更新功能，后期数据易更新；可以进行放大缩小平移操作；拥有一键式查询功能；通过点击地点名称，即可查询寻路结果；拥有小窗提示功能：显示出目的地相关业务功能及业务办理流程操作说明，或其他信息；</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二维码功能：带有二维码功能，通过手机扫描二维码获取更多相关信息，包括寻路结果下载至手机，关注官方微信微博，下载相关应用等；可嵌入flash和web应用，实现法院所有法庭、楼层、卫生间、调解室及周边配套设施智能寻路指引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视频互动模块</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系统支持多种格式的视频导入，并根据法院业务需要，将录制好的真人场景演示导入该系统，进行专业处理，使办事人员实现与“虚拟导诉员”导诉互动。</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多模块互动控制平台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119.≥55寸液晶显示器,1980*1080,75Hz,对比度400:1，≥55寸红外多点触摸屏，触摸超过5千万次；</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自带语音系统，标准RJ45网络接口、ATX开关，带散热口，电压：AC220V±10%、50Hz±1Hz；</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主机电脑：≥I5处理器，≥4G内存，≥120G固态硬盘,工控主板，XP/windows7/CE/windows8\10；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含操作系统及丰富的应用软件，支持网络功能，将以上各模块封装，在同一台机器上实现整合。</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r>
              <w:rPr>
                <w:rFonts w:hint="eastAsia" w:ascii="宋体" w:hAnsi="宋体" w:cs="宋体"/>
                <w:i w:val="0"/>
                <w:iCs w:val="0"/>
                <w:color w:val="000000"/>
                <w:kern w:val="0"/>
                <w:sz w:val="20"/>
                <w:szCs w:val="20"/>
                <w:highlight w:val="none"/>
                <w:u w:val="none"/>
                <w:lang w:val="en-US" w:eastAsia="zh-CN" w:bidi="ar"/>
              </w:rPr>
              <w:t>三</w:t>
            </w:r>
            <w:r>
              <w:rPr>
                <w:rFonts w:hint="eastAsia" w:ascii="宋体" w:hAnsi="宋体" w:eastAsia="宋体" w:cs="宋体"/>
                <w:i w:val="0"/>
                <w:iCs w:val="0"/>
                <w:color w:val="000000"/>
                <w:kern w:val="0"/>
                <w:sz w:val="20"/>
                <w:szCs w:val="20"/>
                <w:highlight w:val="none"/>
                <w:u w:val="none"/>
                <w:lang w:val="en-US" w:eastAsia="zh-CN" w:bidi="ar"/>
              </w:rPr>
              <w:t>）诉讼信息发布系统配套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72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信息发布服务器</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CPU:I5 以上（含 I5，64 位）；≥1T 硬盘，7200 转；内存 8G 以上（含 8G）；支持双输出；带DVD 刻录光驱；含≥21.5显示器。</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★配置原厂正版操作系统。</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9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网络液晶一体机</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显示屏尺寸：≥32英寸工业级显示屏；外形：16:9；材质：铝边前框、五金后壳；安装：横挂、竖挂；包含标准壁挂架；</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CPU频率：≥1.5GHZ（四核），内存：≥1G，外存：EMMC ≥8GB，系统：Android5.0或以，分辨率：1920×1080，亮度：≥350cd/m²，响应时间：≤8ms，喇叭 8Ω、5W，音频接口：Audio-in/Mic-in/Line-in，Audio-out/Line-out，视频接口： HDMI、VGA，数据接口 ≥USB*2，通信接口 Ethernet: 10/100Mbps；</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支持图片格式 JPEG、BMP、PNG、GIF；音频格式 MP3、WMA、AAC；视频格式 MPEG-1/2/4；WMV、H.264；RM、DivX、FLV。</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72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3</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显示终端</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≥55 英寸LED ，背光源；显示比例16：9，分辨率：≥1920*1080，亮度 ≥800(cd/m2)，可视角度≥178 度。动态对比度≥40000:1，响应时间≤4ms；输入接口 HDMI，VGA。</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r>
              <w:rPr>
                <w:rFonts w:hint="eastAsia" w:ascii="宋体" w:hAnsi="宋体" w:cs="宋体"/>
                <w:i w:val="0"/>
                <w:iCs w:val="0"/>
                <w:color w:val="000000"/>
                <w:kern w:val="0"/>
                <w:sz w:val="20"/>
                <w:szCs w:val="20"/>
                <w:highlight w:val="none"/>
                <w:u w:val="none"/>
                <w:lang w:val="en-US" w:eastAsia="zh-CN" w:bidi="ar"/>
              </w:rPr>
              <w:t>四</w:t>
            </w:r>
            <w:r>
              <w:rPr>
                <w:rFonts w:hint="eastAsia" w:ascii="宋体" w:hAnsi="宋体" w:eastAsia="宋体" w:cs="宋体"/>
                <w:i w:val="0"/>
                <w:iCs w:val="0"/>
                <w:color w:val="000000"/>
                <w:kern w:val="0"/>
                <w:sz w:val="20"/>
                <w:szCs w:val="20"/>
                <w:highlight w:val="none"/>
                <w:u w:val="none"/>
                <w:lang w:val="en-US" w:eastAsia="zh-CN" w:bidi="ar"/>
              </w:rPr>
              <w:t>）金融智审展示系统</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216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立式触摸查询机</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≥55英寸液晶显示器,≥1980*1080,75Hz,对比度≥400:1；≥55英寸红外多点触摸屏；触摸≥过5千万次；语音系统；标准RJ45网络接口、ATX开关，带散热口，电压：AC220V±10%、50Hz±1Hz；</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主机电脑：≥I5处理器，≥4G内存，≥120G固态硬盘，含操作系统及应用软件，支持网络功能；</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★配置正版操作系统。</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96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电子展板</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≥32寸LED屏，全功能简易遥控操作；</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分辨率：≥1920*1080；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屏幕比例：16:9；</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屏幕亮度：≥280cd/㎡；</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响应时间：≤6毫秒；</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可视角度：≥178°/178°；</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使用寿命：≥30000小时；</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无线：WIFI支持；蓝牙4.0及以上；</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扬声器：9W×2；(10W×2)；</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 xml:space="preserve">操作系统：Android5.1及以上；  </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CPU：≥4核，主频≥1.8GHz，内存≥1GB，闪存≥8GB；</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接口：≥1*RJ45网络接口，≥2*USB3.0，支持无线接入。</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三、智慧审判系统</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（一）智慧法庭系统</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1、智慧法庭配套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67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庭审电脑</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CPU:I5 以上（含 I5，64 位）；≥1T 硬盘，7200 转；内存 8G 以上（含 8G）；支持双输出；带DVD 刻录光驱；不含显示器。</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★配置原正版操作系统。</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庭审显示器</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IPS硬屏，≥21.5英寸触摸宽屏，≥10点触控。</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val="en-US" w:eastAsia="zh-CN" w:bidi="ar"/>
              </w:rPr>
              <w:t>3</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庭审公告主机</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≥22英寸公告显示机，安卓系统，用于安装庭审公告系统，含安装支架。</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1</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台</w:t>
            </w:r>
          </w:p>
        </w:tc>
      </w:tr>
      <w:tr>
        <w:tblPrEx>
          <w:tblCellMar>
            <w:top w:w="0" w:type="dxa"/>
            <w:left w:w="108" w:type="dxa"/>
            <w:bottom w:w="0" w:type="dxa"/>
            <w:right w:w="108" w:type="dxa"/>
          </w:tblCellMar>
        </w:tblPrEx>
        <w:trPr>
          <w:trHeight w:val="96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4</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笔录打印机</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产品类型：彩色激光打印机；硒鼓寿命：≥2000页；最大打印幅面：A4；分辨率：≥600x600dpi；耗材类型：鼓粉一体。</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305"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5</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高清液晶电视</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≥65英寸，16：9，≥1920*1080，输入接口：HDMI≥3个，分量端子≥2个，音频接口≥5组,TV输入,AV接口,S端子,分量视频接口，色差分量接口，,USB接口,PC输入。</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119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6</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UPS系统</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UPS主机容量需≥10kVA；</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单进单出在线式产品，含内置16节12V 9AH电池；</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支持110-288VAC, 50/ 60Hz电网体系，输入频率适应范围40～70Hz，提供最佳的供电质量与负载保护；</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输出功率因数1；</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输出电压可设置 200VAC/208VAC/220VAC/230VAC/240VAC；</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▲LED+LCD蓝底液晶显示屏；</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▲采用三电平逆变器，可适应各种半波负载，整机效率不低于95%；</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电池组节数可进行16～24节设置；</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color w:val="000000"/>
                <w:kern w:val="0"/>
                <w:szCs w:val="21"/>
                <w:highlight w:val="none"/>
                <w:lang w:val="en-US" w:eastAsia="zh-CN"/>
              </w:rPr>
              <w:t>▲误操作保护功能，如果UPS工作在逆变状态下，此时如果误将手动旁路闭合或静态旁路短路，将会有反灌电流冲击逆变器损坏逆变器，UPS要求在这种情况下保护逆变器不受损坏。</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2、互联网法庭配套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庭审电脑</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CPU:I5 以上（含 I5，64 位）；≥1T 硬盘，7200 转；内存 8G 以上（含 8G）；支持双输出；带DVD 刻录光驱；不含显示器。</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★配置原厂正版操作系统。</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庭审显示器</w:t>
            </w:r>
          </w:p>
        </w:tc>
        <w:tc>
          <w:tcPr>
            <w:tcW w:w="4980" w:type="dxa"/>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≥21.5 英寸LED显示器。</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720"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打印机</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产品类型：彩色激光打印机；硒鼓寿命：≥2000页；最大打印幅面：A4；分辨率：≥600x600dpi；耗材类型：鼓粉一体。</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720"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庭审显示系统</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≥55 英寸LED ，背光源；显示比例16：9，分辨率：≥1920*1080，亮度 ≥800(cd/m2)，可视角度≥178 度。动态对比度≥40000:1，响应时间≤4ms；输入接口 HDMI，VGA。</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1425"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互联网高清液晶显示单元</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 xml:space="preserve">★≥55英寸，显示比例 16:9；拼缝：≤0.88mm； </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物理分辨率1920×1080；LED背光；待机功耗≤0.5W一级能效；</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▲响应时间：4-8ms；清晰度：≥950TVL；色彩：≥8Bit/10Bit；屏幕漏光度＜0.01cd/㎡；亮度鉴别等级：11级；对比度≥10000: 1；根据CIE1931标准色度系统，液晶显示单元色坐标误差在±0.01以内；达到IP65六级防尘五级防水，可蘸水擦拭；达到10级抗震；内嵌3D数字信号降噪系统； 视频接口具有钳位保护电路（提供国家认可的第三方检测机构出具 的检测报告证明并加盖供应商公章证明）；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运行寿命：支持7×24h连续开机，寿命≥60000小时；MTBF平均无故障时间≥50000小时；支持U盘直接系统升级。内置拼接处理器具备智能温控系统，可以根据周边环境温度智能调节风扇转动的速度（提供国家认可的第三方检测机构出具的检测报告证明并加盖公章证明）。</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前维护架</w:t>
            </w:r>
          </w:p>
        </w:tc>
        <w:tc>
          <w:tcPr>
            <w:tcW w:w="4980" w:type="dxa"/>
            <w:tcBorders>
              <w:top w:val="single" w:color="000000" w:sz="4" w:space="0"/>
              <w:left w:val="single" w:color="000000" w:sz="4" w:space="0"/>
              <w:bottom w:val="single" w:color="000000" w:sz="4" w:space="0"/>
              <w:right w:val="single" w:color="000000" w:sz="4" w:space="0"/>
            </w:tcBorders>
            <w:noWrap/>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与显示单元配套；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▲拼接结构架节省维护空间采用前维护结构，屏体通过导轨从框架抽出后能够绕轴旋转，其旋转角度最大可达25度；</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★不可采用钢材现场焊接。</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箱体连接线缆及接头</w:t>
            </w:r>
          </w:p>
        </w:tc>
        <w:tc>
          <w:tcPr>
            <w:tcW w:w="4980" w:type="dxa"/>
            <w:tcBorders>
              <w:top w:val="single" w:color="000000" w:sz="4" w:space="0"/>
              <w:left w:val="single" w:color="000000" w:sz="4" w:space="0"/>
              <w:bottom w:val="single" w:color="000000" w:sz="4" w:space="0"/>
              <w:right w:val="single" w:color="000000" w:sz="4" w:space="0"/>
            </w:tcBorders>
            <w:noWrap/>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从处理器到大屏成品15米HDMI线，输入测试线1米HDMI线1条（含屏幕控制线缆，环接线缆，电源开关等）。</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val="en-US" w:eastAsia="zh-CN" w:bidi="ar"/>
              </w:rPr>
              <w:t>8</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多屏处理器</w:t>
            </w:r>
          </w:p>
        </w:tc>
        <w:tc>
          <w:tcPr>
            <w:tcW w:w="4980" w:type="dxa"/>
            <w:tcBorders>
              <w:top w:val="single" w:color="000000" w:sz="4" w:space="0"/>
              <w:left w:val="single" w:color="000000" w:sz="4" w:space="0"/>
              <w:bottom w:val="single" w:color="000000" w:sz="4" w:space="0"/>
              <w:right w:val="single" w:color="000000" w:sz="4" w:space="0"/>
            </w:tcBorders>
            <w:noWrap/>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支持≥4</w:t>
            </w:r>
            <w:r>
              <w:rPr>
                <w:rFonts w:hint="default" w:ascii="宋体" w:hAnsi="宋体" w:eastAsia="宋体" w:cs="宋体"/>
                <w:color w:val="000000"/>
                <w:kern w:val="0"/>
                <w:szCs w:val="21"/>
                <w:highlight w:val="none"/>
                <w:lang w:val="en-US" w:eastAsia="zh-CN"/>
              </w:rPr>
              <w:t>路HDMI输入，</w:t>
            </w:r>
            <w:r>
              <w:rPr>
                <w:rFonts w:hint="eastAsia" w:ascii="宋体" w:hAnsi="宋体" w:eastAsia="宋体" w:cs="宋体"/>
                <w:color w:val="000000"/>
                <w:kern w:val="0"/>
                <w:szCs w:val="21"/>
                <w:highlight w:val="none"/>
                <w:lang w:val="en-US" w:eastAsia="zh-CN"/>
              </w:rPr>
              <w:t>≥</w:t>
            </w:r>
            <w:r>
              <w:rPr>
                <w:rFonts w:hint="default" w:ascii="宋体" w:hAnsi="宋体" w:eastAsia="宋体" w:cs="宋体"/>
                <w:color w:val="000000"/>
                <w:kern w:val="0"/>
                <w:szCs w:val="21"/>
                <w:highlight w:val="none"/>
                <w:lang w:val="en-US" w:eastAsia="zh-CN"/>
              </w:rPr>
              <w:t>4路HDMI输出；基于FPGA，高带宽，图像实时，支持任意信号源叠加、分割和漫游，显示方案保存和调用。支持C/S客户端、浏览器和APP控制，支持屏幕分组管理，支持高清底图,字幕，飞鼠控制窗口移动、缩放。</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台</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val="en-US" w:eastAsia="zh-CN" w:bidi="ar"/>
              </w:rPr>
              <w:t>9</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庭审公告主机</w:t>
            </w:r>
          </w:p>
        </w:tc>
        <w:tc>
          <w:tcPr>
            <w:tcW w:w="4980" w:type="dxa"/>
            <w:tcBorders>
              <w:top w:val="single" w:color="000000" w:sz="4" w:space="0"/>
              <w:left w:val="single" w:color="000000" w:sz="4" w:space="0"/>
              <w:bottom w:val="single" w:color="000000" w:sz="4" w:space="0"/>
              <w:right w:val="single" w:color="000000" w:sz="4" w:space="0"/>
            </w:tcBorders>
            <w:noWrap/>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≥22 英寸公告显示机，安卓系统，用于安装庭审公告系统，含安装支架。</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2</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台</w:t>
            </w:r>
          </w:p>
        </w:tc>
      </w:tr>
      <w:tr>
        <w:tblPrEx>
          <w:tblCellMar>
            <w:top w:w="0" w:type="dxa"/>
            <w:left w:w="108" w:type="dxa"/>
            <w:bottom w:w="0" w:type="dxa"/>
            <w:right w:w="108" w:type="dxa"/>
          </w:tblCellMar>
        </w:tblPrEx>
        <w:trPr>
          <w:trHeight w:val="1740"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cs="宋体"/>
                <w:i w:val="0"/>
                <w:iCs w:val="0"/>
                <w:color w:val="000000"/>
                <w:kern w:val="0"/>
                <w:sz w:val="20"/>
                <w:szCs w:val="20"/>
                <w:highlight w:val="none"/>
                <w:u w:val="none"/>
                <w:lang w:val="en-US" w:eastAsia="zh-CN" w:bidi="ar"/>
              </w:rPr>
              <w:t>10</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UPS系统</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UPS主机容量需≥10kVA；</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单进单出在线式产品，含内置16节12V 9AH电池；</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支持110-288VAC, 50/ 60Hz电网体系，输入频率适应范围40～70Hz，提供供电质量与负载保护；</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输出功率因数1；</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输出电压可设置 200VAC/208VAC/ 220VAC/230VAC/240VAC；</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▲LED+LCD蓝底液晶显示屏；</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▲采用三电平逆变器，可适应各种半波负载，整机效率不低于95%；</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电池组节数可进行16～24节设置；</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color w:val="000000"/>
                <w:kern w:val="0"/>
                <w:szCs w:val="21"/>
                <w:highlight w:val="none"/>
                <w:lang w:val="en-US" w:eastAsia="zh-CN"/>
              </w:rPr>
              <w:t>▲误操作保护功能，如果UPS工作在逆变状态下，此时如果误将手动旁路闭合或静态旁路短路，将会有反灌电流冲击逆变器损坏逆变器，UPS要求在这种情况下保护逆变器不受损坏。</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3、科技法庭配套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庭审电脑</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CPU:I5 以上（含 I5，64 位）；≥1T 硬盘，7200 转；内存 8G 以上（含 8G）；支持双输出；带DVD 刻录光驱；不含显示器。</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★配置原厂正版操作系统。</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庭审显示器</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≥21.5英寸 LED 显示器</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155"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打印机</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产品类型：彩色激光打印机；硒鼓寿命：≥2000页；最大打印幅面：A4；分辨率：≥600x600dpi；耗材类型：鼓粉一体。</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720"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庭审显示系统</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≥55 英寸LED ，背光源；显示比例16：9，分辨率：≥1920*1080，亮度 ≥800(cd/m2)，可视角度≥178 度。动态对比度≥40000:1，响应时间≤4ms；输入接口 HDMI，VGA。</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720"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val="en-US" w:eastAsia="zh-CN" w:bidi="ar"/>
              </w:rPr>
              <w:t>5</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庭审公告主机</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≥22英寸公告显示机，安卓系统，用于安装庭审公告系统，含安装支架</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11</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台</w:t>
            </w:r>
          </w:p>
        </w:tc>
      </w:tr>
      <w:tr>
        <w:tblPrEx>
          <w:tblCellMar>
            <w:top w:w="0" w:type="dxa"/>
            <w:left w:w="108" w:type="dxa"/>
            <w:bottom w:w="0" w:type="dxa"/>
            <w:right w:w="108" w:type="dxa"/>
          </w:tblCellMar>
        </w:tblPrEx>
        <w:trPr>
          <w:trHeight w:val="815"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6</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UPS系统</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UPS主机容量需≥10kVA；</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单进单出在线式产品，含内置16节12V 9AH电池；</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支持110-288VAC, 50/ 60Hz电网体系，输入频率适应范围40～70Hz，提供最佳的供电质量与负载保护；</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输出功率因数1；</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输出电压可设置 200VAC/208VAC/ 220VAC/230VAC/240VAC能力；</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▲LED+LCD蓝底液晶显示屏；</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▲采用三电平逆变器，可适应各种半波负载，整机效率不低于95%；</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电池组节数可进行16～24节设置；</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▲误操作保护功能，如果UPS工作在逆变状态下，此时如果误将手动旁路闭合或静态旁路短路，将会有反灌电流冲击逆变器损坏逆变器，UPS要求在这种情况下保护逆变器不受损坏。</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（二）审判公开系统配套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1319"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全彩LED</w:t>
            </w:r>
          </w:p>
        </w:tc>
        <w:tc>
          <w:tcPr>
            <w:tcW w:w="4980" w:type="dxa"/>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滚动播放开庭公告、公众服务信息（天气预报、行车路线）；播放诉讼服务中心服务内容、业务办理流程，自动调用并滚动播放已办理完结的业务，引导当事人到相应窗口领取资料；</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显示尺寸：≥5.76米*2.88米；</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像素密度（dot/m2）≥ 160000；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LED屏幕需采用2121全彩灯珠；</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视角 H≥165°；平整底等级为C；水平相对错位≥3.87%等级为C；垂直相对错位等级为C；使用寿命（小时）≥100000 ；</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▲通过以下检测：耐久性；接地和连接保护措施；设备的互连；保护接地的断开；抗电强度（提供国家认可的第三方检测机构出具的检测报告证明并加盖供应商公章证明）；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▲通过GB/T 2423.22-2012 环境试验的检测依据（提供国家认可的第三方检测机构出具的检测报告证明并加盖公章证明）；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▲通过15.5dB(声压为20μpa)频率范围100Hz～10kHz,1/3倍频程；测试时间≥10s；环境条件≥22.5℃，64.5%RH的检测（提供国家认可的第三方检测机构出具的检测报告证明并加盖公章证明）；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color w:val="000000"/>
                <w:kern w:val="0"/>
                <w:szCs w:val="21"/>
                <w:highlight w:val="none"/>
                <w:lang w:val="en-US" w:eastAsia="zh-CN"/>
              </w:rPr>
              <w:t>控制方式：计算机控制，视频同步，实时显示 。</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16.588</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平米</w:t>
            </w:r>
          </w:p>
        </w:tc>
      </w:tr>
      <w:tr>
        <w:tblPrEx>
          <w:tblCellMar>
            <w:top w:w="0" w:type="dxa"/>
            <w:left w:w="108" w:type="dxa"/>
            <w:bottom w:w="0" w:type="dxa"/>
            <w:right w:w="108" w:type="dxa"/>
          </w:tblCellMar>
        </w:tblPrEx>
        <w:trPr>
          <w:trHeight w:val="3104"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显示屏控制系统</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一键回读所有显示参数配置，备份显示屏参数功能，换卡时无需重新调试；支持常规芯片实现高灰度、高刷新、高亮度，无显示模组设计引起的某行偏暗、低灰偏红、鬼影等细节问题；支持常规恒流芯片、双锁存芯片、PWM芯片等主流LED驱动芯片；支持静态至1/64扫描之间的任意扫描类型；支持任意空点，适配各种规格模组，支持数据偏移实现异形屏幕控制，支持球形屏、立方体屏、各种不规则异形屏和创意显示屏；支持数据对开，支持数据组任意交换；支持接收卡快捷完成参数配置，一卡支持所有芯片，无需切换或升级程序；</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color w:val="000000"/>
                <w:kern w:val="0"/>
                <w:szCs w:val="21"/>
                <w:highlight w:val="none"/>
                <w:lang w:val="en-US" w:eastAsia="zh-CN"/>
              </w:rPr>
              <w:t>提供全彩LED控制软件测试报告；</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2330"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视频图层处理平台</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设备应为纯硬件FPGA架构,CrossPoint全总线交换技术,背板等效带宽,不能内置PC/X86/X64架构硬件，以避免X86/X64架构天然存在的计算可靠性和准确性缺陷以及设备运行不稳定问题；</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开机时间≤10s，启动电源至输出最总画面的时间间隔；</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平均故障时间间隔（MTBF）≥96000小时，保证设备能够稳定运行；</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▲最大单机背板信号处理带宽≥720Gbps，单路信号带宽不少于3Gbps（提供第三方检测机构出具的具有CNAS认证或CMA认证标识的检验报告证明并加盖供应商公章证明，提供产品说明书）；</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输入板卡热插拔恢复时间＜2s，输出板卡热插拔恢复时间＜8s；  </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设备应输出支持DVI、HDMI、VGA、Dual-link DVI、SDI、光、双绞线等信号；  </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支持信号源预监功能，支持浏览所有输入信号源的实时预览画面；</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▲支持输出通道测试，可以输出不少于7种测试颜色及网格图像（提供第三方检测机构出具的具有CNAS认证或CMA认证标识的检验报告证明并加盖供应商公章证明，提供产品说明书）；</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i w:val="0"/>
                <w:iCs w:val="0"/>
                <w:color w:val="000000"/>
                <w:sz w:val="20"/>
                <w:szCs w:val="20"/>
                <w:highlight w:val="none"/>
                <w:u w:val="none"/>
                <w:lang w:eastAsia="zh-CN"/>
              </w:rPr>
            </w:pPr>
            <w:r>
              <w:rPr>
                <w:rFonts w:hint="eastAsia" w:ascii="宋体" w:hAnsi="宋体" w:eastAsia="宋体" w:cs="宋体"/>
                <w:color w:val="000000"/>
                <w:kern w:val="0"/>
                <w:szCs w:val="21"/>
                <w:highlight w:val="none"/>
                <w:lang w:val="en-US" w:eastAsia="zh-CN"/>
              </w:rPr>
              <w:t>支持大屏图像回显，可在控制端显示整面拼接墙的显示图像。</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框架结构</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Q235-B镀锌钢材，高精度焊接，钢架尺寸≥5.86*3.1m。</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18.16</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包边</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不锈钢包边。</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（三）数字会议系统配套</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1、视频会议室配套</w:t>
            </w:r>
          </w:p>
        </w:tc>
      </w:tr>
      <w:tr>
        <w:tblPrEx>
          <w:tblCellMar>
            <w:top w:w="0" w:type="dxa"/>
            <w:left w:w="108" w:type="dxa"/>
            <w:bottom w:w="0" w:type="dxa"/>
            <w:right w:w="108" w:type="dxa"/>
          </w:tblCellMar>
        </w:tblPrEx>
        <w:trPr>
          <w:trHeight w:val="86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高清液晶显示单元</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▲≥55英寸，显示比例 16:9；拼缝：≤0.88mm；</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物理分辨率≥1920×1080；LED背光；待机功耗≤0.5W；可工作高度海拔≥5000米；</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▲响应时间：4-8ms；清晰度：达到950TVL；色彩：8Bit/10Bit；屏幕漏光度＜0.01cd/㎡；亮度鉴别等级：11级；对比度≥10000: 1；根据CIE1931标准色度系统，液晶显示单元色坐标误差在±0.01以内；达到IP65六级防尘五级防水，可蘸水擦拭；达到10级抗震；内嵌3D数字信号降噪系统；视频接口具有钳位保护电路（提供国家认可的第三方检测机构出具的检测报告证明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运行寿命：支持7×24h连续开机，寿命≥60000小时；MTBF平均无故障时间≥50000小时；支持U盘直接系统升级。内置拼接处理器具备智能温控系统，可以根据周边环境温度智能调节风扇转动（提供国家认可的第三方检测机构出具的检测报告证明并加盖供应商公章证明）。</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前维护架</w:t>
            </w:r>
          </w:p>
        </w:tc>
        <w:tc>
          <w:tcPr>
            <w:tcW w:w="4980" w:type="dxa"/>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与显示单元配套；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▲拼接结构架节省维护空间采用前维护结构，屏体通过导轨从框架抽出后能够绕轴旋转，其旋转角度最大可达25度；</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★不可采用钢材现场焊接。</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底座</w:t>
            </w:r>
          </w:p>
        </w:tc>
        <w:tc>
          <w:tcPr>
            <w:tcW w:w="4980" w:type="dxa"/>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与显示单元配套；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铝合金结构，防腐防锈；</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标准化模块化设计；</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★不可采用钢材现场焊接。</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箱体连接线缆及接头</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从处理器到大屏成品15米HDMI线，输入测试线1米HDMI线1条（含屏幕控制线缆，环接线缆，电源开关等）。</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val="en-US" w:eastAsia="zh-CN" w:bidi="ar"/>
              </w:rPr>
              <w:t>5</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多屏处理器</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支持≥8路HDMI输入，≥12路HDMI输出；</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支持插卡式高清网络视频解码；</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单屏支持开十六窗口功能，每个窗口支持漫游，叠加、缩放。支持至少16个窗口的群组同时拖动、同时放大。可实现所有信号源的接入管理、上屏显示，任一信号源可实现在大屏幕墙以任意大小在任意位置进行开窗，可实现窗口的任意跨屏、漫游、叠加显示；每个单元可同时开启16 个任意实时活动视窗；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▲具备数字化网络视频图像合成功能、具备接口隔离保护电路（提供国家认可的第三方检测机构的检测报告证明并加盖公章证明）；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cs="宋体"/>
                <w:i w:val="0"/>
                <w:iCs w:val="0"/>
                <w:color w:val="000000"/>
                <w:kern w:val="0"/>
                <w:sz w:val="20"/>
                <w:szCs w:val="20"/>
                <w:highlight w:val="none"/>
                <w:u w:val="none"/>
                <w:lang w:val="en-US" w:eastAsia="zh-CN" w:bidi="ar"/>
              </w:rPr>
            </w:pPr>
            <w:r>
              <w:rPr>
                <w:rFonts w:hint="eastAsia" w:ascii="宋体" w:hAnsi="宋体" w:eastAsia="宋体" w:cs="宋体"/>
                <w:color w:val="000000"/>
                <w:kern w:val="0"/>
                <w:szCs w:val="21"/>
                <w:highlight w:val="none"/>
                <w:lang w:val="en-US" w:eastAsia="zh-CN"/>
              </w:rPr>
              <w:t>▲平均无故障时间（MTBF）≥180000小时（提供国家认可的第三方检测机构的检测报告证明并加盖公章证明）。</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1</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台</w:t>
            </w:r>
          </w:p>
        </w:tc>
      </w:tr>
      <w:tr>
        <w:tblPrEx>
          <w:tblCellMar>
            <w:top w:w="0" w:type="dxa"/>
            <w:left w:w="108" w:type="dxa"/>
            <w:bottom w:w="0" w:type="dxa"/>
            <w:right w:w="108" w:type="dxa"/>
          </w:tblCellMar>
        </w:tblPrEx>
        <w:trPr>
          <w:trHeight w:val="72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6</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LED条幅</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室内单色 LED 显示屏屏体，含配电通讯管线、播放软件，同时可由书记员处进行控制直接在线更新显示会议横幅内容；</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像素间距：≤4.75mm；像素密度（dot/m2)：44321；</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229.LED封装方式：SMD2121；屏幕亮度（cd/m2)：≥300；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模组尺寸（mm）：304*152；模组分辨率：64*32</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视角H≥120°；V≥120°；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最大功率（W/m2)：273；平均功率（W/m2)：136；</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灰度等级256；像素失控率≤0.0001；产品抗电强度在承受50Hz、1500V交变电1min，未击穿；组成LED显示屏的显示模组的对地漏电流应不超过3.5mA/㎡（提供第三方检测机构出具的检测报告复印件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▲为保证LED显示屏产品在受到冲击后可靠性及结构完好（提供第三方检测机构出具的检测报告复印件并加盖供应商公章证明）；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▲提供噪音检测报告复印件并加盖供应商公章证明；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color w:val="000000"/>
                <w:kern w:val="0"/>
                <w:szCs w:val="21"/>
                <w:highlight w:val="none"/>
                <w:lang w:val="en-US" w:eastAsia="zh-CN"/>
              </w:rPr>
              <w:t>▲具有中国产品质量安全监督中心和中国国际品牌发展工作委员会颁发的《全国质量检验稳定合格产品》证书（并加盖供应商公章证明）。</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2、多媒体会议系统</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1865"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高清液晶显示单元</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 xml:space="preserve">★≥55英寸，显示比例 16:9；拼缝：≤0.88mm； </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物理分辨率1920×1080；LED背光；待机功耗≤0.5W；可工作高度海拔≥5000米；</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▲响应时间：4-8ms；清晰度：≥950TVL；色彩：8Bit/10Bit；屏幕漏光度＜0.01cd/㎡；亮度鉴别等级：11级；对比度≥10000: 1；根据CIE1931标准色度系统，液晶显示单元色坐标误差在±0.01以内；达到IP65六级防尘五级防水，可蘸水擦拭；达到10级抗震；内嵌3D数字信号降噪系统； 视频接口具有钳位保护电路（提供国家认可的第三方检测机构出具的检测报告证明并加盖供应商公章证明）；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运行寿命：支持7×24h连续开机，寿命≥60000小时；MTBF平均无故障时间≥50000小时；支持U盘直接系统升级。内置拼接处理器具备智能温控系统，可以根据周边环境温度智能调节风扇转动的速度（提供国家认可的第三方检测机构出具的检测报告证明并加盖供应商公章证明）。</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前维护架</w:t>
            </w:r>
          </w:p>
        </w:tc>
        <w:tc>
          <w:tcPr>
            <w:tcW w:w="4980" w:type="dxa"/>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与显示单元配套；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▲拼接结构架节省维护空间采用前维护结构，屏体通过导轨从框架抽出后能够绕轴旋转，其旋转角度最大可达25度；</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★不可采用钢材现场焊接。</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底座</w:t>
            </w:r>
          </w:p>
        </w:tc>
        <w:tc>
          <w:tcPr>
            <w:tcW w:w="4980" w:type="dxa"/>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与显示单元配套；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铝合金结构，防腐防锈；</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标准化模块化设计；</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★不可采用钢材现场焊接。</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箱体连接线缆及接头</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从处理器到大屏成品15米HDMI线，输入测试线1米HDMI线1条（含屏幕控制线缆，环接线缆，电源开关等）。</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val="en-US" w:eastAsia="zh-CN" w:bidi="ar"/>
              </w:rPr>
              <w:t>5</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多屏处理器</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支持≥8路HDMI输入，≥12路HDMI输出；</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支持插卡式高清网络视频解码；</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单屏支持开十六窗口功能，每个窗口支持漫游，叠加、缩放。支持至少16个窗口的群组同时拖动、同时放大。可实现所有信号源的接入管理、上屏显示，任一信号源可实现在大屏幕墙以任意大小在任意位置进行开窗，可实现窗口的任意跨屏、漫游、叠加显示；每个单元可同时开启16 个任意实时活动视窗；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▲具备数字化网络视频图像合成功能、具备接口隔离保护电路（提供国家认可的第三方检测机构的检测报告证明并加盖供应商公章证明）；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cs="宋体"/>
                <w:i w:val="0"/>
                <w:iCs w:val="0"/>
                <w:color w:val="000000"/>
                <w:kern w:val="0"/>
                <w:sz w:val="20"/>
                <w:szCs w:val="20"/>
                <w:highlight w:val="none"/>
                <w:u w:val="none"/>
                <w:lang w:val="en-US" w:eastAsia="zh-CN" w:bidi="ar"/>
              </w:rPr>
            </w:pPr>
            <w:r>
              <w:rPr>
                <w:rFonts w:hint="eastAsia" w:ascii="宋体" w:hAnsi="宋体" w:eastAsia="宋体" w:cs="宋体"/>
                <w:color w:val="000000"/>
                <w:kern w:val="0"/>
                <w:szCs w:val="21"/>
                <w:highlight w:val="none"/>
                <w:lang w:val="en-US" w:eastAsia="zh-CN"/>
              </w:rPr>
              <w:t>▲平均无故障时间（MTBF）≥180000小时（提供国家认可的第三方检测机构的检测报告证明并加盖供应商公章证明）。</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1</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台</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val="en-US" w:eastAsia="zh-CN" w:bidi="ar"/>
              </w:rPr>
              <w:t>6</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液晶屏升降器</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cs="宋体"/>
                <w:i w:val="0"/>
                <w:iCs w:val="0"/>
                <w:color w:val="000000"/>
                <w:kern w:val="0"/>
                <w:sz w:val="20"/>
                <w:szCs w:val="20"/>
                <w:highlight w:val="none"/>
                <w:u w:val="none"/>
                <w:lang w:val="en-US" w:eastAsia="zh-CN" w:bidi="ar"/>
              </w:rPr>
            </w:pPr>
            <w:r>
              <w:rPr>
                <w:rFonts w:hint="eastAsia" w:ascii="宋体" w:hAnsi="宋体" w:eastAsia="宋体" w:cs="宋体"/>
                <w:color w:val="000000"/>
                <w:kern w:val="0"/>
                <w:szCs w:val="21"/>
                <w:highlight w:val="none"/>
                <w:lang w:val="en-US" w:eastAsia="zh-CN"/>
              </w:rPr>
              <w:t>超薄一体式设计，主面板采用铝合金表面黑色拉丝处理，带有电脑开关、USB插座、升降停控制按钮；</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cs="宋体"/>
                <w:i w:val="0"/>
                <w:iCs w:val="0"/>
                <w:color w:val="000000"/>
                <w:kern w:val="0"/>
                <w:sz w:val="20"/>
                <w:szCs w:val="20"/>
                <w:highlight w:val="none"/>
                <w:u w:val="none"/>
                <w:lang w:val="en-US" w:eastAsia="zh-CN" w:bidi="ar"/>
              </w:rPr>
            </w:pPr>
            <w:r>
              <w:rPr>
                <w:rFonts w:hint="eastAsia" w:ascii="宋体" w:hAnsi="宋体" w:eastAsia="宋体" w:cs="宋体"/>
                <w:color w:val="000000"/>
                <w:kern w:val="0"/>
                <w:szCs w:val="21"/>
                <w:highlight w:val="none"/>
                <w:lang w:val="en-US" w:eastAsia="zh-CN"/>
              </w:rPr>
              <w:t>升降器背部自带电子桌牌功能，接口独立输入；</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cs="宋体"/>
                <w:i w:val="0"/>
                <w:iCs w:val="0"/>
                <w:color w:val="000000"/>
                <w:kern w:val="0"/>
                <w:sz w:val="20"/>
                <w:szCs w:val="20"/>
                <w:highlight w:val="none"/>
                <w:u w:val="none"/>
                <w:lang w:val="en-US" w:eastAsia="zh-CN" w:bidi="ar"/>
              </w:rPr>
            </w:pPr>
            <w:r>
              <w:rPr>
                <w:rFonts w:hint="eastAsia" w:ascii="宋体" w:hAnsi="宋体" w:eastAsia="宋体" w:cs="宋体"/>
                <w:color w:val="000000"/>
                <w:kern w:val="0"/>
                <w:szCs w:val="21"/>
                <w:highlight w:val="none"/>
                <w:lang w:val="en-US" w:eastAsia="zh-CN"/>
              </w:rPr>
              <w:t>采用电动升降，直线轴承导柱导向齿轮齿条传动原理，低噪音运行；</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cs="宋体"/>
                <w:i w:val="0"/>
                <w:iCs w:val="0"/>
                <w:color w:val="000000"/>
                <w:kern w:val="0"/>
                <w:sz w:val="20"/>
                <w:szCs w:val="20"/>
                <w:highlight w:val="none"/>
                <w:u w:val="none"/>
                <w:lang w:val="en-US" w:eastAsia="zh-CN" w:bidi="ar"/>
              </w:rPr>
            </w:pPr>
            <w:r>
              <w:rPr>
                <w:rFonts w:hint="eastAsia" w:ascii="宋体" w:hAnsi="宋体" w:eastAsia="宋体" w:cs="宋体"/>
                <w:color w:val="000000"/>
                <w:kern w:val="0"/>
                <w:szCs w:val="21"/>
                <w:highlight w:val="none"/>
                <w:lang w:val="en-US" w:eastAsia="zh-CN"/>
              </w:rPr>
              <w:t>具备显示屏自动供电/断电功能，具备自动开关门功能，封闭式设计，防水、防尘；</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cs="宋体"/>
                <w:i w:val="0"/>
                <w:iCs w:val="0"/>
                <w:color w:val="000000"/>
                <w:kern w:val="0"/>
                <w:sz w:val="20"/>
                <w:szCs w:val="20"/>
                <w:highlight w:val="none"/>
                <w:u w:val="none"/>
                <w:lang w:val="en-US" w:eastAsia="zh-CN" w:bidi="ar"/>
              </w:rPr>
            </w:pPr>
            <w:r>
              <w:rPr>
                <w:rFonts w:hint="eastAsia" w:ascii="宋体" w:hAnsi="宋体" w:eastAsia="宋体" w:cs="宋体"/>
                <w:color w:val="000000"/>
                <w:kern w:val="0"/>
                <w:szCs w:val="21"/>
                <w:highlight w:val="none"/>
                <w:lang w:val="en-US" w:eastAsia="zh-CN"/>
              </w:rPr>
              <w:t>内置电脑控制I/O接口、USB接口和2路RS485通讯串口；采用强弱分离供电方式；支持RS485\无线遥控器\按键等控制方式。</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22</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台</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val="en-US" w:eastAsia="zh-CN" w:bidi="ar"/>
              </w:rPr>
              <w:t>7</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电子桌牌显示系统</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架构：A9 ≥1.5Ghz 四核，DDR3：≥1G，Flash：≥8G；可视角度：89/89/89/89 亮度：≥300 流明；双面7寸 IPS电容屏； 屏分辨率：1024*600；触控点数：≥5 点，POE 供电；有线网络 TCP/IP ；USB≥1，RJ45≥1，开关键≥1， 220V 电源口*≥1；</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cs="宋体"/>
                <w:i w:val="0"/>
                <w:iCs w:val="0"/>
                <w:color w:val="000000"/>
                <w:kern w:val="0"/>
                <w:sz w:val="20"/>
                <w:szCs w:val="20"/>
                <w:highlight w:val="none"/>
                <w:u w:val="none"/>
                <w:lang w:val="en-US" w:eastAsia="zh-CN" w:bidi="ar"/>
              </w:rPr>
            </w:pPr>
            <w:r>
              <w:rPr>
                <w:rFonts w:hint="eastAsia" w:ascii="宋体" w:hAnsi="宋体" w:eastAsia="宋体" w:cs="宋体"/>
                <w:color w:val="000000"/>
                <w:kern w:val="0"/>
                <w:szCs w:val="21"/>
                <w:highlight w:val="none"/>
                <w:lang w:val="en-US" w:eastAsia="zh-CN"/>
              </w:rPr>
              <w:t>外屏显示会徽会标、人名职称、支持常用字体、字号和字体颜色调整，可自定义编辑背景模板； 内屏可显示 PPT、word、TXT、DOC、JPG、MPEG 文档等；会议功能：会议签到、会议信息、会议议程，会议资料、呼叫服务、参会者通讯，单机手写改名，资料 U 盘导出，变换会议室。</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22</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套</w:t>
            </w:r>
          </w:p>
        </w:tc>
      </w:tr>
      <w:tr>
        <w:tblPrEx>
          <w:tblCellMar>
            <w:top w:w="0" w:type="dxa"/>
            <w:left w:w="108" w:type="dxa"/>
            <w:bottom w:w="0" w:type="dxa"/>
            <w:right w:w="108" w:type="dxa"/>
          </w:tblCellMar>
        </w:tblPrEx>
        <w:trPr>
          <w:trHeight w:val="192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8</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无纸化服务器</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CPU：≥Intel XeonE3 四核；</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内存：≥DDR3 16G；</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硬盘：≥240G SSD；</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网卡：≥1000M*2以太网卡；</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机箱：4U 机架式机箱；</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★专业无纸化会议系统服务器，主机箱带10寸显示屏、带键盘、触摸板；</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★配置正版操作系统。</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96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9</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无纸化客户端</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处理器：≥Intel I5四核；</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内存：≥DDR3 4G；</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硬盘：≥60G固态硬盘；</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网卡：1000M以太网卡；</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★配置正版操作系统。</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96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cs="宋体"/>
                <w:i w:val="0"/>
                <w:iCs w:val="0"/>
                <w:color w:val="000000"/>
                <w:kern w:val="0"/>
                <w:sz w:val="20"/>
                <w:szCs w:val="20"/>
                <w:highlight w:val="none"/>
                <w:u w:val="none"/>
                <w:lang w:val="en-US" w:eastAsia="zh-CN" w:bidi="ar"/>
              </w:rPr>
              <w:t>10</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大屏显示端</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处理器：≥Intel I5四核；</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内存：≥DDR3 4G；</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硬盘：≥60G固态硬盘；</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网卡：≥1000M以太网卡；</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★配置正版操作系统。</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72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cs="宋体"/>
                <w:i w:val="0"/>
                <w:iCs w:val="0"/>
                <w:color w:val="000000"/>
                <w:kern w:val="0"/>
                <w:sz w:val="20"/>
                <w:szCs w:val="20"/>
                <w:highlight w:val="none"/>
                <w:u w:val="none"/>
                <w:lang w:val="en-US" w:eastAsia="zh-CN" w:bidi="ar"/>
              </w:rPr>
              <w:t>11</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LED条幅</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室内单色 LED 显示屏屏体，含配电通讯管线、播放软件，同时可由书记员处进行控制直接在线更新显示会议横幅内容；</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像素间距：≤4.75mm；像素密度（dot/m2)：44321；</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LED封装方式：SMD2121；屏幕亮度（cd/m2)：≥300；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模组尺寸（mm）：304*152；模组分辨率：64*32</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视角H≥120°；V≥120°；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最大功率（W/m2)：273；平均功率（W/m2)：136；</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灰度等级256；像素失控率≤0.0001；产品抗电强度在承受50Hz、1500V交变电1min，未击穿；组成LED显示屏的显示模组的对地漏电流不超过3.5mA/㎡（提供第三方检测机构出具的检测报告复印件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▲LED显示屏产品在受到冲击后可靠性及结构完好（提供第三方检测机构出具的检测报告复印件并加盖供应商公章证明）；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▲提供噪音检测报告复印件并加盖供应商公章证明；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▲具有中国产品质量安全监督中心和中国国际品牌发展工作委员会颁发的《全国质量检验稳定合格产品》证书（并加盖供应商公章证明）。</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3、金融法学研究实践基地配套</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835"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高清液晶显示单元</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 xml:space="preserve">★≥55英寸，显示比例 16:9；拼缝：≤0.88mm； </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物理分辨率1920×1080；LED背光；待机功耗≤0.5W；可工作高度海拔≥5000米；</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▲响应时间：4-8ms；清晰度：≥950TVL；色彩：8Bit/10Bit；屏幕漏光度＜0.01cd/㎡；亮度鉴别等级：11级；对比度≥10000: 1；根据CIE1931标准色度系统，液晶显示单元色坐标误差在±0.01以内；达到IP65六级防尘五级防水，可蘸水擦拭；达到10级抗震；内嵌3D数字信号降噪系统； 视频接口具有钳位保护电路（提供国家认可的第三方检测机构出具的检测报告证明并加盖供应商公章证明）；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运行寿命：支持7×24h连续开机，寿命≥60000小时；MTBF平均无故障时间≥50000小时；支持U盘直接系统升级。内置拼接处理器具备智能温控系统，可以根据周边环境温度智能调节风扇转动的速度（提供国家认可的第三方检测机构出具的检测报告证明并加盖供应商公章证明）。</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前维护架</w:t>
            </w:r>
          </w:p>
        </w:tc>
        <w:tc>
          <w:tcPr>
            <w:tcW w:w="4980" w:type="dxa"/>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与显示单元配套；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▲拼接结构架节省维护空间采用前维护结构，屏体通过导轨从框架抽出后能够绕轴旋转，其旋转角度最大可达25度；</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★不可采用钢材现场焊接。</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底座</w:t>
            </w:r>
          </w:p>
        </w:tc>
        <w:tc>
          <w:tcPr>
            <w:tcW w:w="4980" w:type="dxa"/>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与显示单元配套；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铝合金结构，防腐防锈；</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标准化模块化设计；</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★不可采用钢材现场焊接。</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箱体连接线缆及接头</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从处理器到大屏成品15米HDMI线，输入测试线1米HDMI线1条（含屏幕控制线缆，环接线缆，电源开关等）。</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val="en-US" w:eastAsia="zh-CN" w:bidi="ar"/>
              </w:rPr>
              <w:t>5</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多屏处理器</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支持≥8路HDMI输入，≥12路HDMI输出；</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支持插卡式高清网络视频解码；</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单屏支持开十六窗口功能，每个窗口支持漫游，叠加、缩放。支持至少16个窗口的群组同时拖动、同时放大。可实现所有信号源的接入管理、上屏显示，任一信号源可实现在大屏幕墙以任意大小在任意位置进行开窗，可实现窗口的任意跨屏、漫游、叠加显示；每个单元可同时开启16 个任意实时活动视窗；</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▲具备数字化网络视频图像合成功能、具备接口隔离保护电路（提供国家认可的第三方检测机构的检测报告证明并加盖公章证明）；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cs="宋体"/>
                <w:i w:val="0"/>
                <w:iCs w:val="0"/>
                <w:color w:val="000000"/>
                <w:kern w:val="0"/>
                <w:sz w:val="20"/>
                <w:szCs w:val="20"/>
                <w:highlight w:val="none"/>
                <w:u w:val="none"/>
                <w:lang w:val="en-US" w:eastAsia="zh-CN" w:bidi="ar"/>
              </w:rPr>
            </w:pPr>
            <w:r>
              <w:rPr>
                <w:rFonts w:hint="eastAsia" w:ascii="宋体" w:hAnsi="宋体" w:eastAsia="宋体" w:cs="宋体"/>
                <w:color w:val="000000"/>
                <w:kern w:val="0"/>
                <w:szCs w:val="21"/>
                <w:highlight w:val="none"/>
                <w:lang w:val="en-US" w:eastAsia="zh-CN"/>
              </w:rPr>
              <w:t>▲平均无故障时间（MTBF）≥180000小时（提供国家认可的第三方检测机构的检测报告证明并加盖公章证明）。</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1</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台</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val="en-US" w:eastAsia="zh-CN" w:bidi="ar"/>
              </w:rPr>
              <w:t>6</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电子白板</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≥65 寸"，标配 Android8.0 系统、UI 桌面 4K 显示，4K 分辨率(≥3840*2160)标准色域值、物理防蓝光，红外≥ 20 点触控，支持手指，笔，不透明物体等书写工具，内置 1080P 摄像头*≥1，内置 15W 扬声器*≥2、拾音麦克风矩阵，拾音距离≥ 8米，内置远程广播、屏幕共享、无线传屏≥4 分屏显示，内置协同白板、录屏、个性化截屏、签到、预约、投票语音助手、文件快传、欢迎词  自动感应环境光；</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cs="宋体"/>
                <w:i w:val="0"/>
                <w:iCs w:val="0"/>
                <w:color w:val="000000"/>
                <w:kern w:val="0"/>
                <w:sz w:val="20"/>
                <w:szCs w:val="20"/>
                <w:highlight w:val="none"/>
                <w:u w:val="none"/>
                <w:lang w:val="en-US" w:eastAsia="zh-CN" w:bidi="ar"/>
              </w:rPr>
            </w:pPr>
            <w:r>
              <w:rPr>
                <w:rFonts w:hint="eastAsia" w:ascii="宋体" w:hAnsi="宋体" w:eastAsia="宋体" w:cs="宋体"/>
                <w:color w:val="000000"/>
                <w:kern w:val="0"/>
                <w:szCs w:val="21"/>
                <w:highlight w:val="none"/>
                <w:lang w:val="en-US" w:eastAsia="zh-CN"/>
              </w:rPr>
              <w:t>安卓应用：书写板、远程会议、预约、签到、投票、文件快传、欢迎词、应用中心、小Hi输入法、截屏、语音助手、会议记录、录音、录屏、文件管理、设置、系统升级、无线投屏、时钟、日历、计算器、浏览器、拍照，移动支架安装。</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1</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台</w:t>
            </w:r>
          </w:p>
        </w:tc>
      </w:tr>
      <w:tr>
        <w:tblPrEx>
          <w:tblCellMar>
            <w:top w:w="0" w:type="dxa"/>
            <w:left w:w="108" w:type="dxa"/>
            <w:bottom w:w="0" w:type="dxa"/>
            <w:right w:w="108" w:type="dxa"/>
          </w:tblCellMar>
        </w:tblPrEx>
        <w:trPr>
          <w:trHeight w:val="720"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7</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LED条幅</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室内单色 LED 显示屏屏体，含配电通讯管线、播放软件，同时可由书记员处进行控制直接在线更新显示会议横幅内容；</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像素间距：≤4.75mm；像素密度（dot/m2)：44321；</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LED封装方式：SMD2121；屏幕亮度（cd/m2)：≥300；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模组尺寸（mm）：304*152；模组分辨率：64*32</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视角H≥120°；V≥120°；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最大功率（W/m2)：273；平均功率（W/m2)：136；</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灰度等级256；像素失控率≤0.0001；产品抗电强度在承受50Hz、1500V交变电1min，未击穿；组成LED显示屏的显示模组的对地漏电流不超过3.5mA/㎡（提供第三方检测机构出具的检测报告复印件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▲LED显示屏产品在受到冲击后可靠性及结构完好（提供第三方检测机构出具的检测报告复印件并加盖供应商公章证明）；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▲提供噪音检测报告复印件并加盖供应商公章证明；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color w:val="000000"/>
                <w:kern w:val="0"/>
                <w:szCs w:val="21"/>
                <w:highlight w:val="none"/>
                <w:lang w:val="en-US" w:eastAsia="zh-CN"/>
              </w:rPr>
              <w:t>▲具有中国产品质量安全监督中心和中国国际品牌发展工作委员会颁发的《全国质量检验稳定合格产品》证书（并加盖供应商公章证明）。</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四、集控中心兼学术报告厅</w:t>
            </w:r>
          </w:p>
        </w:tc>
      </w:tr>
      <w:tr>
        <w:tblPrEx>
          <w:tblCellMar>
            <w:top w:w="0" w:type="dxa"/>
            <w:left w:w="108" w:type="dxa"/>
            <w:bottom w:w="0" w:type="dxa"/>
            <w:right w:w="108" w:type="dxa"/>
          </w:tblCellMar>
        </w:tblPrEx>
        <w:trPr>
          <w:trHeight w:val="285" w:hRule="atLeast"/>
          <w:jc w:val="center"/>
        </w:trPr>
        <w:tc>
          <w:tcPr>
            <w:tcW w:w="86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（一）集控中心兼学术报告厅</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4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性能与功能</w:t>
            </w:r>
          </w:p>
        </w:tc>
        <w:tc>
          <w:tcPr>
            <w:tcW w:w="7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r>
      <w:tr>
        <w:tblPrEx>
          <w:tblCellMar>
            <w:top w:w="0" w:type="dxa"/>
            <w:left w:w="108" w:type="dxa"/>
            <w:bottom w:w="0" w:type="dxa"/>
            <w:right w:w="108" w:type="dxa"/>
          </w:tblCellMar>
        </w:tblPrEx>
        <w:trPr>
          <w:trHeight w:val="1513"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P2.5室内全彩显示屏</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显示尺寸：≥9.28米*3.2米；</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像素密度（dot/m2） 160000 ；</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LED屏幕需采用2121全彩封装方式；</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视角 H≥165°；平整底等级为C；水平相对错位≥3.87%等级为C；垂直相对错位等级为C；使用寿命（小时） ≥100000 ；</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▲通过以下检测：耐久性；接地和连接保护措施；设备的互连；保护接地的断开；抗电强度；（提供国家认可的第三方检测机构出具的检测报告证明并加盖供应商公章证明）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▲通过GB/T 2423.22-2012 环境试验的检测依据（提供国家认可的第三方检测机构出具的检测报告证明并加盖供应商公章证明）；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▲通过15.5dB(声压为20μpa)频率范围100Hz～10kHz,1/3倍频程；测试时间≥10s；环境条件≥22.5℃，64.5%RH的检测（提供国家认可的第三方检测机构出具的检测报告证明并加盖供应商公章证明）；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控制方式：计算机控制，视频同步，实时显示。</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29.7</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CellMar>
            <w:top w:w="0" w:type="dxa"/>
            <w:left w:w="108" w:type="dxa"/>
            <w:bottom w:w="0" w:type="dxa"/>
            <w:right w:w="108" w:type="dxa"/>
          </w:tblCellMar>
        </w:tblPrEx>
        <w:trPr>
          <w:trHeight w:val="1890"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显示屏控制系统</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支持一键回读所有显示参数配置，备份显示屏参数功能，换卡时无需重新调试；支持常规芯片实现高灰度、高刷新、高亮度，无显示模组设计引起的某行偏暗、低灰偏红、鬼影等细节问题；</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常规恒流芯片、双锁存芯片、PWM芯片等主流LED驱动芯片；支持静态至1/64扫描之间的任意扫描类型；支持任意空点，适配各种规格模组，支持数据偏移实现异形屏幕控制，支持球形屏、立方体屏、各种不规则异形屏和创意显示屏；支持数据对开，支持数据组任意交换；支持接收卡快捷完成参数配置，一卡支持所有芯片，无需切换或升级程序；</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▲提供全彩LED控制软件测试报告并加盖供应商公章证明。</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套</w:t>
            </w:r>
          </w:p>
        </w:tc>
      </w:tr>
      <w:tr>
        <w:tblPrEx>
          <w:tblCellMar>
            <w:top w:w="0" w:type="dxa"/>
            <w:left w:w="108" w:type="dxa"/>
            <w:bottom w:w="0" w:type="dxa"/>
            <w:right w:w="108" w:type="dxa"/>
          </w:tblCellMar>
        </w:tblPrEx>
        <w:trPr>
          <w:trHeight w:val="167"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视频图层处理平台</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设备应为纯硬件FPGA架构,CrossPoint全总线交换技术,背板等效带宽,不能内置PC/X86/X64架构硬件；</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开机时间≤10s，启动电源至输出最总画面的时间间隔；</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平均故障时间间隔（MTBF）≥96000小时；</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▲最大单机背板信号处理带宽不小于720Gbps，单路信号带宽不少于3Gbps（提供第三方检测机构出具的具有CNAS认证或CMA认证标识的检验报告证明并加盖供应商公章证明，提供产品说明书）；</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输入板卡热插拔恢复时间＜2s，输出板卡热插拔恢复时间＜8s；  </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设备应输出支持DVI、HDMI、VGA、Dual-link DVI、SDI、光、双绞线等信号；  </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支持信号源预监功能，支持浏览所有输入信号源的实时预览画面；</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▲支持输出通道测试，可以输出不少于7种测试颜色及网格图像（提供第三方检测机构出具的具有CNAS认证或CMA认证标识的检验报告证明并加盖供应商公章证明，提供产品说明书）；</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i w:val="0"/>
                <w:iCs w:val="0"/>
                <w:color w:val="000000"/>
                <w:sz w:val="20"/>
                <w:szCs w:val="20"/>
                <w:highlight w:val="none"/>
                <w:u w:val="none"/>
                <w:lang w:eastAsia="zh-CN"/>
              </w:rPr>
            </w:pPr>
            <w:r>
              <w:rPr>
                <w:rFonts w:hint="eastAsia" w:ascii="宋体" w:hAnsi="宋体" w:eastAsia="宋体" w:cs="宋体"/>
                <w:color w:val="000000"/>
                <w:kern w:val="0"/>
                <w:szCs w:val="21"/>
                <w:highlight w:val="none"/>
                <w:lang w:val="en-US" w:eastAsia="zh-CN"/>
              </w:rPr>
              <w:t>支持大屏图像回显，可在控制端显示整面拼接墙的显示图像。</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台</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框架结构</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Q235-B镀锌钢材，高精度焊接≥ 9.38*3.3m。</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30.95</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包边+背后</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不锈钢包边（只含四周不含背后）+背后PVC板。</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r>
      <w:tr>
        <w:tblPrEx>
          <w:tblCellMar>
            <w:top w:w="0" w:type="dxa"/>
            <w:left w:w="108" w:type="dxa"/>
            <w:bottom w:w="0" w:type="dxa"/>
            <w:right w:w="108" w:type="dxa"/>
          </w:tblCellMar>
        </w:tblPrEx>
        <w:trPr>
          <w:trHeight w:val="285"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配电箱</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分步延时上电。</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综合布线</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根据现场制作放10平方三相电缆线，网线10根在屏体，并裸露5米在外。</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480"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安装调试/现场质保</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含安装调试售后现场质保壹年；运输费用。</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29.7</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r>
      <w:tr>
        <w:tblPrEx>
          <w:tblCellMar>
            <w:top w:w="0" w:type="dxa"/>
            <w:left w:w="108" w:type="dxa"/>
            <w:bottom w:w="0" w:type="dxa"/>
            <w:right w:w="108" w:type="dxa"/>
          </w:tblCellMar>
        </w:tblPrEx>
        <w:trPr>
          <w:trHeight w:val="720"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控制主机</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CPU:I5 以上（含 I5，64 位）；≥1T 硬盘，7200 转；内存 8G 以上（含 8G）；支持双输出；带DVD 刻录光驱；含≥21.5显示器；</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★配置原厂正版操作系统。</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960"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辅助显示</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≥55 英寸LED ，背光源；显示比例16：9，分辨率：≥1920*1080，亮度 ≥800(cd/m2)，可视角度≥178 度。动态对比度≥40000:1，响应时间≤4ms；输入接口 HDMI，VGA。</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960"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val="en-US" w:eastAsia="zh-CN" w:bidi="ar"/>
              </w:rPr>
              <w:t>11</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移动电子座牌</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室内单色 LED 显示屏屏体，含配电通讯管线、播放软件，同时可由书记员处进行控制直接在线更新显示会议横幅内容；</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像素间距：≤4.75mm；像素密度（dot/m2)：44321；</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LED封装方式：SMD2121；屏幕亮度（cd/m2)：≥300；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模组尺寸（mm）：304*152；</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模组分辨率：64*32</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视角H≥120°；V≥120°；</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最大功率（W/m2)：273；平均功率（W/m2)：136；</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灰度等级256；像素失控率≤0.0001；产品抗电强度在承受50Hz、1500V交变电1min，未击穿；组成LED显示屏的显示模组的对地漏电流不超过3.5mA/㎡（提供第三方检测机构出具的检测报告复印件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▲在受到冲击后可靠性及结构完好，并提供IK10的检测报告（提供第三方检测机构出具的检测报告复印件并加盖供应商公章证明）；</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▲提供噪音检测报告复印件并加盖供应商公章证明。</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13</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台</w:t>
            </w:r>
          </w:p>
        </w:tc>
      </w:tr>
      <w:tr>
        <w:tblPrEx>
          <w:tblCellMar>
            <w:top w:w="0" w:type="dxa"/>
            <w:left w:w="108" w:type="dxa"/>
            <w:bottom w:w="0" w:type="dxa"/>
            <w:right w:w="108" w:type="dxa"/>
          </w:tblCellMar>
        </w:tblPrEx>
        <w:trPr>
          <w:trHeight w:val="960"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val="en-US" w:eastAsia="zh-CN" w:bidi="ar"/>
              </w:rPr>
              <w:t>12</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综合平台</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CPU:I5 以上（含 I5，64 位）；≥1T 硬盘，7200 转；内存 8G 以上（含 8G）；支持双输出；带DVD 刻录光驱；含≥21.5显示器；</w:t>
            </w:r>
          </w:p>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★配置原厂正版操作系统。</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1</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kern w:val="0"/>
                <w:sz w:val="20"/>
                <w:szCs w:val="20"/>
                <w:highlight w:val="none"/>
                <w:lang w:bidi="ar"/>
              </w:rPr>
              <w:t>套</w:t>
            </w:r>
          </w:p>
        </w:tc>
      </w:tr>
      <w:tr>
        <w:tblPrEx>
          <w:tblCellMar>
            <w:top w:w="0" w:type="dxa"/>
            <w:left w:w="108" w:type="dxa"/>
            <w:bottom w:w="0" w:type="dxa"/>
            <w:right w:w="108" w:type="dxa"/>
          </w:tblCellMar>
        </w:tblPrEx>
        <w:trPr>
          <w:trHeight w:val="720"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cs="宋体"/>
                <w:i w:val="0"/>
                <w:iCs w:val="0"/>
                <w:color w:val="000000"/>
                <w:kern w:val="0"/>
                <w:sz w:val="20"/>
                <w:szCs w:val="20"/>
                <w:highlight w:val="none"/>
                <w:u w:val="none"/>
                <w:lang w:val="en-US" w:eastAsia="zh-CN" w:bidi="ar"/>
              </w:rPr>
              <w:t>13</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LED条幅</w:t>
            </w:r>
          </w:p>
        </w:tc>
        <w:tc>
          <w:tcPr>
            <w:tcW w:w="4980"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ind w:left="0" w:leftChars="0" w:firstLine="0" w:firstLineChars="0"/>
              <w:jc w:val="left"/>
              <w:textAlignment w:val="center"/>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≥55 英寸LED ，背光源；显示比例16：9，分辨率：≥1920*1080，亮度 ≥800(cd/m2)，可视角度≥178 度。动态对比度≥40000:1，响应时间≤4ms；输入接口 HDMI，VGA。</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套</w:t>
            </w:r>
          </w:p>
        </w:tc>
      </w:tr>
    </w:tbl>
    <w:p>
      <w:pPr>
        <w:pStyle w:val="337"/>
        <w:spacing w:line="360" w:lineRule="auto"/>
        <w:ind w:firstLine="482"/>
        <w:rPr>
          <w:rFonts w:ascii="宋体" w:hAnsi="宋体" w:cs="宋体"/>
          <w:sz w:val="24"/>
        </w:rPr>
      </w:pPr>
      <w:r>
        <w:rPr>
          <w:rFonts w:hint="eastAsia" w:ascii="宋体" w:hAnsi="宋体" w:cs="宋体"/>
          <w:sz w:val="24"/>
        </w:rPr>
        <w:t>备注：①本章“★”号条款为实质性要求，投标人若未满足的，将被视为无效投标(如涉及)。</w:t>
      </w:r>
    </w:p>
    <w:p>
      <w:pPr>
        <w:pStyle w:val="337"/>
        <w:spacing w:line="360" w:lineRule="auto"/>
        <w:ind w:firstLine="482"/>
        <w:rPr>
          <w:rFonts w:ascii="宋体" w:hAnsi="宋体" w:cs="宋体"/>
          <w:sz w:val="24"/>
        </w:rPr>
      </w:pPr>
      <w:r>
        <w:rPr>
          <w:rFonts w:hint="eastAsia" w:ascii="宋体" w:hAnsi="宋体" w:cs="宋体"/>
          <w:sz w:val="24"/>
        </w:rPr>
        <w:t>②技术参数中带▲部分为重要技术参数，有一项不满足或负偏离扣</w:t>
      </w:r>
      <w:r>
        <w:rPr>
          <w:rFonts w:hint="eastAsia" w:ascii="宋体" w:hAnsi="宋体" w:cs="宋体"/>
          <w:sz w:val="24"/>
          <w:lang w:val="en-US" w:eastAsia="zh-CN"/>
        </w:rPr>
        <w:t>0.25</w:t>
      </w:r>
      <w:r>
        <w:rPr>
          <w:rFonts w:hint="eastAsia" w:ascii="宋体" w:hAnsi="宋体" w:cs="宋体"/>
          <w:sz w:val="24"/>
        </w:rPr>
        <w:t>分，在评分标准中予以体现。</w:t>
      </w:r>
    </w:p>
    <w:p>
      <w:pPr>
        <w:pStyle w:val="337"/>
        <w:spacing w:line="360" w:lineRule="auto"/>
        <w:ind w:firstLine="482"/>
        <w:rPr>
          <w:color w:val="000000" w:themeColor="text1"/>
          <w14:textFill>
            <w14:solidFill>
              <w14:schemeClr w14:val="tx1"/>
            </w14:solidFill>
          </w14:textFill>
        </w:rPr>
      </w:pPr>
      <w:r>
        <w:rPr>
          <w:rFonts w:hint="eastAsia" w:ascii="宋体" w:hAnsi="宋体" w:cs="宋体"/>
          <w:sz w:val="24"/>
        </w:rPr>
        <w:t>③根据《财政部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本项目采购的产品属于品目清单强制采购范围(节能产品政府采购品目清单中带星号产品)的，供应商应按上述要求提供产品认证证书复印件并加盖供应商单位公章，否则投标无效。</w:t>
      </w:r>
    </w:p>
    <w:p>
      <w:pPr>
        <w:rPr>
          <w:rFonts w:ascii="宋体" w:hAnsi="宋体"/>
          <w:b/>
          <w:color w:val="000000" w:themeColor="text1"/>
          <w:sz w:val="28"/>
          <w:szCs w:val="28"/>
          <w14:textFill>
            <w14:solidFill>
              <w14:schemeClr w14:val="tx1"/>
            </w14:solidFill>
          </w14:textFill>
        </w:rPr>
      </w:pPr>
      <w:r>
        <w:rPr>
          <w:rFonts w:ascii="宋体" w:hAnsi="宋体"/>
          <w:b/>
          <w:color w:val="000000" w:themeColor="text1"/>
          <w:sz w:val="28"/>
          <w:szCs w:val="28"/>
          <w14:textFill>
            <w14:solidFill>
              <w14:schemeClr w14:val="tx1"/>
            </w14:solidFill>
          </w14:textFill>
        </w:rPr>
        <w:t>4.</w:t>
      </w:r>
      <w:r>
        <w:rPr>
          <w:rFonts w:hint="eastAsia" w:ascii="宋体" w:hAnsi="宋体"/>
          <w:b/>
          <w:color w:val="000000" w:themeColor="text1"/>
          <w:sz w:val="28"/>
          <w:szCs w:val="28"/>
          <w14:textFill>
            <w14:solidFill>
              <w14:schemeClr w14:val="tx1"/>
            </w14:solidFill>
          </w14:textFill>
        </w:rPr>
        <w:t>3商务要求</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★1.交付及安装时间</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合同签订后90个工作日内完成所有设备交付及安装。</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★2.交付地点</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成都市青羊区</w:t>
      </w:r>
      <w:r>
        <w:rPr>
          <w:rFonts w:hint="eastAsia" w:ascii="宋体" w:hAnsi="宋体"/>
          <w:color w:val="000000" w:themeColor="text1"/>
          <w:sz w:val="28"/>
          <w:szCs w:val="28"/>
          <w14:textFill>
            <w14:solidFill>
              <w14:schemeClr w14:val="tx1"/>
            </w14:solidFill>
          </w14:textFill>
        </w:rPr>
        <w:t>鼓楼北三街2号，青羊法院金融法庭施工现场。</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★3.质量要求</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3.1供应商须提供全新的货物(含零部件、配件、使用说明书等)，表面无划伤、无碰撞痕迹，且权属清楚，不得侵害他人的知识产权，并按照相关要求包装完好。</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3.2投标产品必须符合或优于国家(行业)标准、地方标准或者其他标准、规范要求。</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3.3交货验收时须提供产品质检部门从同类产品中抽样检查合格的检测报告。</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3.4送交货物时，每台货物上均应有产品质量检验合格标志。</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3.5投标产品制造质量出现问题，供应商应负责三包(包修、包换、包退)，费用由供应商负担。</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3.6项目设备材料均包含运输、保险、税费、人工、安全及施工和涉及的打墙、钻孔、挖沟及复原等费用，深化设计由中标人完成，本项目采用总价包干，投标人自行考察现场施工环境以确定报价(应在其他投标文件中提供承诺函，格式自拟)。</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3.7投标人应充分理解采购人应用需求，须提供本项目建设实施过程中所必须的所有设备和材料(投标人中标后须无条件实现采购人的需求调整，以及为响应最新政策、文件要求所进行的需求调整，如线缆、底盒、面板、支架、模块、扎带、标签及开槽、暗敷、恢复及相关配套设备)，确保设备配齐、系统正常运行，如有任何遗漏，投标人无偿补齐，并提供承诺函(应在其他投标文件中提供承诺函，格式自拟)。</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★4.验收标准和方法</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4.1中标供应商应根据行业惯例和规定的相关国家标准(包括但不限于信息产业部)在中标后需提供一份详细的系统的检验测试办法和测试标准，以及相应的测试和检验时间计划。</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4.2采购人在接到供应商系统检验测试的申请后，采购人负责提供操作人员参加检验和测试，其它任何与检验和测试系统的费用由供应商负担。</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4.3项目验收包括货物验收和安装验收2个阶段。</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4.4其他未尽事宜应严格按照《财政部关于进一步加强政府采购需求和履约验收管理的指导意见》(财库〔2016〕205号)的要求进行验收。</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★5.售后服务及质量保证期</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5.1供应商在完成项目验收后1年内，派驻至少1名工程师现场驻点免费维护。1年后供应商须指派专人负责与采购人联系售后服务事宜。</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5.2供应商提供全套软硬件操作手册，以保证采购人及维护人员能熟练掌握及操作该系统。</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5.3项目整体质保期为验收合格后3年。项目验收合格后1年内出现任何质量问题，供应商负责更换设备，不再收取额外费用；1年后的质保期内出现质量问题，供应商接到通知后1小时内响应，4小时内到达现场，完成维修或更换，并承担修理调换的费用。若现场无法完成维修，供应商负责将损坏设备送修及送回厂商，运费及交通费由供应商承担，维修费由供应商承担，无法修复的，供应商提供对应的备件设备。</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5.4质保期内，供应商每半年对软硬件系统性能进行分析评估，并提供升级优化服务，提供六次优化报告。</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★6.付款方式</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6.1签订合同后，供应商向采购人开具正式发票，采购人在收到发票后三十个工作日内支付合同总金额30%的合同首付款；</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6.2主要设备进场并经采购人和项目监理清点签收后五个工作日内成交供应商向采购人开具正式发票，采购人在收到发票后三十个工作日内支付合同总金额20%的合同款；</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6.3项目完成并经采购人和项目监理验收合格后五个工作日内成交供应商向采购人开具正式发票，采购人在收到发票后三十个工作日内支付合同总金额40%的合同款；</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6.4项目验收完成并成功运行1年后五个工作日内成交供应商向采购人开具正式发票，采购人在收到发票后三十个工作日内支付合同总金额10%的合同款。</w:t>
      </w:r>
    </w:p>
    <w:p>
      <w:pPr>
        <w:pStyle w:val="2"/>
        <w:numPr>
          <w:ilvl w:val="-1"/>
          <w:numId w:val="0"/>
        </w:numPr>
        <w:ind w:left="0" w:firstLine="0"/>
        <w:rPr>
          <w:lang w:val="zh-CN"/>
        </w:rPr>
      </w:pPr>
    </w:p>
    <w:p>
      <w:pPr>
        <w:rPr>
          <w:lang w:val="zh-CN"/>
        </w:rPr>
      </w:pPr>
    </w:p>
    <w:bookmarkEnd w:id="154"/>
    <w:bookmarkEnd w:id="155"/>
    <w:p>
      <w:pPr>
        <w:keepNext/>
        <w:keepLines/>
        <w:numPr>
          <w:ilvl w:val="0"/>
          <w:numId w:val="1"/>
        </w:numPr>
        <w:spacing w:before="340" w:after="330" w:line="400" w:lineRule="exact"/>
        <w:jc w:val="center"/>
        <w:outlineLvl w:val="0"/>
        <w:rPr>
          <w:rFonts w:ascii="宋体" w:hAnsi="宋体"/>
          <w:b/>
          <w:bCs/>
          <w:color w:val="000000" w:themeColor="text1"/>
          <w:spacing w:val="-20"/>
          <w:kern w:val="44"/>
          <w:sz w:val="32"/>
          <w:szCs w:val="32"/>
          <w14:textFill>
            <w14:solidFill>
              <w14:schemeClr w14:val="tx1"/>
            </w14:solidFill>
          </w14:textFill>
        </w:rPr>
      </w:pPr>
      <w:bookmarkStart w:id="156" w:name="_Toc76541365"/>
      <w:r>
        <w:rPr>
          <w:rFonts w:hint="eastAsia" w:ascii="宋体" w:hAnsi="宋体"/>
          <w:b/>
          <w:bCs/>
          <w:color w:val="000000" w:themeColor="text1"/>
          <w:spacing w:val="-20"/>
          <w:kern w:val="44"/>
          <w:sz w:val="32"/>
          <w:szCs w:val="32"/>
          <w14:textFill>
            <w14:solidFill>
              <w14:schemeClr w14:val="tx1"/>
            </w14:solidFill>
          </w14:textFill>
        </w:rPr>
        <w:t>资格性审查</w:t>
      </w:r>
      <w:bookmarkEnd w:id="156"/>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成都市青羊区政府采购服务中心将以电子邮件形式通知各投标人。资格性审查标准见下表：</w:t>
      </w:r>
    </w:p>
    <w:tbl>
      <w:tblPr>
        <w:tblStyle w:val="43"/>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426"/>
        <w:gridCol w:w="1623"/>
        <w:gridCol w:w="5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34"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资格性审查项</w:t>
            </w:r>
          </w:p>
        </w:tc>
        <w:tc>
          <w:tcPr>
            <w:tcW w:w="5566"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color w:val="000000" w:themeColor="text1"/>
                <w:sz w:val="20"/>
                <w14:textFill>
                  <w14:solidFill>
                    <w14:schemeClr w14:val="tx1"/>
                  </w14:solidFill>
                </w14:textFill>
              </w:rPr>
              <w:t>1</w:t>
            </w:r>
          </w:p>
        </w:tc>
        <w:tc>
          <w:tcPr>
            <w:tcW w:w="2049" w:type="dxa"/>
            <w:gridSpan w:val="2"/>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在中华人民共和国境内依法登记注册，并有效存续具有独立法人资格的供应商</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营业执照复印件（正本或副本）或法人证书复印件（正本或副本）。【说明：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营业执照或法人证书载明有期限的，应在有效期限内；</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color w:val="000000" w:themeColor="text1"/>
                <w:sz w:val="20"/>
                <w14:textFill>
                  <w14:solidFill>
                    <w14:schemeClr w14:val="tx1"/>
                  </w14:solidFill>
                </w14:textFill>
              </w:rPr>
              <w:t>2</w:t>
            </w:r>
          </w:p>
        </w:tc>
        <w:tc>
          <w:tcPr>
            <w:tcW w:w="42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书面声明材料</w:t>
            </w: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具有良好的商业信誉的证明材料</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投标人具有良好的商业信誉的书面声明材料。【说明：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.2.2声明的内容提供书面声明材料</w:t>
            </w:r>
            <w:r>
              <w:rPr>
                <w:rFonts w:hint="eastAsia" w:ascii="宋体" w:hAnsi="宋体"/>
                <w:color w:val="000000" w:themeColor="text1"/>
                <w:sz w:val="20"/>
                <w:szCs w:val="28"/>
                <w14:textFill>
                  <w14:solidFill>
                    <w14:schemeClr w14:val="tx1"/>
                  </w14:solidFill>
                </w14:textFill>
              </w:rPr>
              <w:t>；②供应商具有良好的商业信誉</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参加政府采购活动前三年内，在经营活动中没有重大违法记录</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投标人参加政府采购活动前三年内，在经营活动中没有重大违法记录的书面声明材料。【说明：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.2.2声明的内容提供书面声明材料；</w:t>
            </w:r>
            <w:r>
              <w:rPr>
                <w:rFonts w:hint="eastAsia" w:ascii="宋体" w:hAnsi="宋体"/>
                <w:color w:val="000000" w:themeColor="text1"/>
                <w:sz w:val="20"/>
                <w:szCs w:val="28"/>
                <w14:textFill>
                  <w14:solidFill>
                    <w14:schemeClr w14:val="tx1"/>
                  </w14:solidFill>
                </w14:textFill>
              </w:rPr>
              <w:t>②供应商参加政府采购活动前三年内，在经营活动中没有重大违法记录</w:t>
            </w:r>
            <w:r>
              <w:rPr>
                <w:rFonts w:hint="eastAsia"/>
                <w:color w:val="000000" w:themeColor="text1"/>
                <w:sz w:val="20"/>
                <w14:textFill>
                  <w14:solidFill>
                    <w14:schemeClr w14:val="tx1"/>
                  </w14:solidFill>
                </w14:textFill>
              </w:rPr>
              <w:t>。】</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未被列入失信被执行人、重大税收违法案件当事人名单、政府采购严重违法失信行为记录名单</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.2.2声明内容提供书面声明材料。】</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未处于被行政部门禁止参与政府采购活动的期限内</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投标人未处于被行政部门禁止参与政府采购活动的期限内。【说明：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.2.2声明内容提供书面声明材料</w:t>
            </w:r>
            <w:r>
              <w:rPr>
                <w:rFonts w:hint="eastAsia" w:ascii="宋体" w:hAnsi="宋体"/>
                <w:color w:val="000000" w:themeColor="text1"/>
                <w:sz w:val="20"/>
                <w:szCs w:val="28"/>
                <w14:textFill>
                  <w14:solidFill>
                    <w14:schemeClr w14:val="tx1"/>
                  </w14:solidFill>
                </w14:textFill>
              </w:rPr>
              <w:t>；②供应商未处于被行政部门禁止参与政府采购活动的期限内。</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行贿犯罪记录</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在行贿犯罪信息查询期限内，投标人及其现任法定代表人、主要负责人没有行贿犯罪记录的书面声明材料。【说明：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.2.2声明内容提供书面声明材料，投标文件中不需提供中国裁判文书网（</w:t>
            </w:r>
            <w:r>
              <w:rPr>
                <w:color w:val="000000" w:themeColor="text1"/>
                <w:sz w:val="20"/>
                <w14:textFill>
                  <w14:solidFill>
                    <w14:schemeClr w14:val="tx1"/>
                  </w14:solidFill>
                </w14:textFill>
              </w:rPr>
              <w:t>https://wenshu.court.gov.cn</w:t>
            </w:r>
            <w:r>
              <w:rPr>
                <w:rFonts w:hint="eastAsia"/>
                <w:color w:val="000000" w:themeColor="text1"/>
                <w:sz w:val="20"/>
                <w14:textFill>
                  <w14:solidFill>
                    <w14:schemeClr w14:val="tx1"/>
                  </w14:solidFill>
                </w14:textFill>
              </w:rPr>
              <w:t>）查询结果的证明材料；</w:t>
            </w:r>
            <w:r>
              <w:rPr>
                <w:rFonts w:hint="eastAsia" w:ascii="宋体" w:hAnsi="宋体"/>
                <w:color w:val="000000" w:themeColor="text1"/>
                <w:sz w:val="20"/>
                <w:szCs w:val="28"/>
                <w14:textFill>
                  <w14:solidFill>
                    <w14:schemeClr w14:val="tx1"/>
                  </w14:solidFill>
                </w14:textFill>
              </w:rPr>
              <w:t>②在行贿犯罪信息查询期限内，供应商及其现任法定代表人、主要负责人没有行贿犯罪记录</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单位负责人为同一人或者存在直接控股、管理关系的不同供应商，不得参加同一项目的投标</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与投标人负责人为同一人或者存在直接控股、管理关系的相关供应商的书面声明材料。【说明：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.2.2声明内容提供书面声明材料</w:t>
            </w:r>
            <w:r>
              <w:rPr>
                <w:rFonts w:hint="eastAsia" w:ascii="宋体" w:hAnsi="宋体"/>
                <w:color w:val="000000" w:themeColor="text1"/>
                <w:sz w:val="20"/>
                <w:szCs w:val="28"/>
                <w14:textFill>
                  <w14:solidFill>
                    <w14:schemeClr w14:val="tx1"/>
                  </w14:solidFill>
                </w14:textFill>
              </w:rPr>
              <w:t>；②参加投标的供应商中无与投标人的负责人为同一人或者存在直接控股、管理关系的供应商。</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tcBorders>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3</w:t>
            </w:r>
          </w:p>
        </w:tc>
        <w:tc>
          <w:tcPr>
            <w:tcW w:w="426" w:type="dxa"/>
            <w:vMerge w:val="restart"/>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其他</w:t>
            </w: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具有履行合同所必须的设备和专业技术能力</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采购人对投标人履行合同所必须的设备和专业技术能力无其他特殊要求，投标人具有有效的营业执照或法人证书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法律、行政法规规定的其他条件</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采购人对法律、行政法规规定的其他条件无其他特殊要求，投标人具有有效的营业执照或法人证书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不属于其他国家相关法律法规规定的禁止参加投标的供应商</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、根据招标文件的要求不属于禁止参加投标或投标无效的供应商；</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w:t>
            </w:r>
            <w:r>
              <w:rPr>
                <w:rFonts w:hint="eastAsia"/>
                <w:color w:val="000000" w:themeColor="text1"/>
                <w:sz w:val="20"/>
                <w14:textFill>
                  <w14:solidFill>
                    <w14:schemeClr w14:val="tx1"/>
                  </w14:solidFill>
                </w14:textFill>
              </w:rPr>
              <w:t>、资格审查小组未发现或者未知晓投标人存在属于国家相关法律法规规定的禁止参加投标或投标无效的供应商。</w:t>
            </w:r>
          </w:p>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联合体投标</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资质要求</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投标保证金</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投标文件解密情况</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除因断电、断网、系统故障或其他不可抗力等因素，导致系统无法使用外，投标文件已成功解密。</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投标文件签章</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投标文件资格性审查部分的语言</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left w:val="single" w:color="auto" w:sz="2" w:space="0"/>
              <w:bottom w:val="single" w:color="auto" w:sz="2" w:space="0"/>
              <w:right w:val="single" w:color="auto" w:sz="2" w:space="0"/>
            </w:tcBorders>
            <w:vAlign w:val="center"/>
          </w:tcPr>
          <w:p>
            <w:pPr>
              <w:tabs>
                <w:tab w:val="left" w:pos="851"/>
              </w:tabs>
              <w:spacing w:line="360" w:lineRule="auto"/>
              <w:ind w:firstLine="200" w:firstLineChars="100"/>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4</w:t>
            </w:r>
          </w:p>
        </w:tc>
        <w:tc>
          <w:tcPr>
            <w:tcW w:w="2049" w:type="dxa"/>
            <w:gridSpan w:val="2"/>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投标文件资格性审查部分组成</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符合资格预审文件“</w:t>
            </w:r>
            <w:r>
              <w:rPr>
                <w:rFonts w:ascii="宋体" w:hAnsi="宋体"/>
                <w:color w:val="000000" w:themeColor="text1"/>
                <w:sz w:val="20"/>
                <w:szCs w:val="28"/>
                <w14:textFill>
                  <w14:solidFill>
                    <w14:schemeClr w14:val="tx1"/>
                  </w14:solidFill>
                </w14:textFill>
              </w:rPr>
              <w:t>2.4.</w:t>
            </w:r>
            <w:r>
              <w:rPr>
                <w:rFonts w:hint="eastAsia" w:ascii="宋体" w:hAnsi="宋体"/>
                <w:color w:val="000000" w:themeColor="text1"/>
                <w:sz w:val="20"/>
                <w:szCs w:val="28"/>
                <w14:textFill>
                  <w14:solidFill>
                    <w14:schemeClr w14:val="tx1"/>
                  </w14:solidFill>
                </w14:textFill>
              </w:rPr>
              <w:t>6投标</w:t>
            </w:r>
            <w:r>
              <w:rPr>
                <w:rFonts w:ascii="宋体" w:hAnsi="宋体"/>
                <w:color w:val="000000" w:themeColor="text1"/>
                <w:sz w:val="20"/>
                <w:szCs w:val="28"/>
                <w14:textFill>
                  <w14:solidFill>
                    <w14:schemeClr w14:val="tx1"/>
                  </w14:solidFill>
                </w14:textFill>
              </w:rPr>
              <w:t>文件的组成”规定要求。</w:t>
            </w:r>
            <w:r>
              <w:rPr>
                <w:rFonts w:hint="eastAsia" w:ascii="宋体" w:hAnsi="宋体"/>
                <w:color w:val="000000" w:themeColor="text1"/>
                <w:sz w:val="20"/>
                <w:szCs w:val="28"/>
                <w14:textFill>
                  <w14:solidFill>
                    <w14:schemeClr w14:val="tx1"/>
                  </w14:solidFill>
                </w14:textFill>
              </w:rPr>
              <w:t>【说明：投标人按招标文件3.2.1关于投标人资格资格申明的</w:t>
            </w:r>
            <w:r>
              <w:rPr>
                <w:rFonts w:hint="eastAsia"/>
                <w:color w:val="000000" w:themeColor="text1"/>
                <w:sz w:val="20"/>
                <w14:textFill>
                  <w14:solidFill>
                    <w14:schemeClr w14:val="tx1"/>
                  </w14:solidFill>
                </w14:textFill>
              </w:rPr>
              <w:t>内容</w:t>
            </w:r>
            <w:r>
              <w:rPr>
                <w:rFonts w:hint="eastAsia" w:ascii="宋体" w:hAnsi="宋体"/>
                <w:color w:val="000000" w:themeColor="text1"/>
                <w:sz w:val="20"/>
                <w:szCs w:val="28"/>
                <w14:textFill>
                  <w14:solidFill>
                    <w14:schemeClr w14:val="tx1"/>
                  </w14:solidFill>
                </w14:textFill>
              </w:rPr>
              <w:t>提供关于投标人资格资格申明的函。】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5</w:t>
            </w:r>
          </w:p>
        </w:tc>
        <w:tc>
          <w:tcPr>
            <w:tcW w:w="204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具有健全的财务会计制度的证明材料</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2019</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6</w:t>
            </w:r>
          </w:p>
        </w:tc>
        <w:tc>
          <w:tcPr>
            <w:tcW w:w="204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缴纳社会保障资金的证明材料</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2021</w:t>
            </w:r>
            <w:r>
              <w:rPr>
                <w:rFonts w:hint="eastAsia"/>
                <w:color w:val="000000" w:themeColor="text1"/>
                <w:sz w:val="20"/>
                <w14:textFill>
                  <w14:solidFill>
                    <w14:schemeClr w14:val="tx1"/>
                  </w14:solidFill>
                </w14:textFill>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7</w:t>
            </w:r>
          </w:p>
        </w:tc>
        <w:tc>
          <w:tcPr>
            <w:tcW w:w="204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缴纳税收的证明材料</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2021</w:t>
            </w:r>
            <w:r>
              <w:rPr>
                <w:rFonts w:hint="eastAsia"/>
                <w:color w:val="000000" w:themeColor="text1"/>
                <w:sz w:val="20"/>
                <w14:textFill>
                  <w14:solidFill>
                    <w14:schemeClr w14:val="tx1"/>
                  </w14:solidFill>
                </w14:textFill>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人的投标文件资格性审查时被判定为无效的，成都市青羊区政府采购服务中心将通知投标人（以短信、现场公示、电话、“政府采购云平台”等任一方式）。投标人如对资格审查结论有异议的，应及时向成都市青羊区政府采购服务中心反馈意见。成都市青羊区政府采购服务中心将及时告知资格审查小组。（说明：无论投标人是否收到通知或提供反馈意见，均不影响资格审查和评标工作，且成都市青羊区政府采购服务中心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四、通过资格性审查的供应商＜3名，采购失败。</w:t>
      </w:r>
    </w:p>
    <w:p>
      <w:pPr>
        <w:tabs>
          <w:tab w:val="left" w:pos="851"/>
        </w:tabs>
        <w:spacing w:line="360" w:lineRule="auto"/>
        <w:rPr>
          <w:rFonts w:ascii="宋体"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keepNext/>
        <w:keepLines/>
        <w:numPr>
          <w:ilvl w:val="0"/>
          <w:numId w:val="1"/>
        </w:numPr>
        <w:spacing w:line="360" w:lineRule="auto"/>
        <w:ind w:left="0" w:firstLine="0"/>
        <w:jc w:val="center"/>
        <w:outlineLvl w:val="0"/>
        <w:rPr>
          <w:rFonts w:ascii="宋体" w:hAnsi="宋体"/>
          <w:b/>
          <w:bCs/>
          <w:color w:val="000000" w:themeColor="text1"/>
          <w:spacing w:val="-20"/>
          <w:kern w:val="44"/>
          <w:sz w:val="32"/>
          <w:szCs w:val="32"/>
          <w14:textFill>
            <w14:solidFill>
              <w14:schemeClr w14:val="tx1"/>
            </w14:solidFill>
          </w14:textFill>
        </w:rPr>
      </w:pPr>
      <w:bookmarkStart w:id="157" w:name="_Toc76541366"/>
      <w:r>
        <w:rPr>
          <w:rFonts w:hint="eastAsia" w:ascii="宋体" w:hAnsi="宋体"/>
          <w:b/>
          <w:bCs/>
          <w:color w:val="000000" w:themeColor="text1"/>
          <w:spacing w:val="-20"/>
          <w:kern w:val="44"/>
          <w:sz w:val="32"/>
          <w:szCs w:val="32"/>
          <w14:textFill>
            <w14:solidFill>
              <w14:schemeClr w14:val="tx1"/>
            </w14:solidFill>
          </w14:textFill>
        </w:rPr>
        <w:t>评标办法</w:t>
      </w:r>
      <w:bookmarkEnd w:id="157"/>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58" w:name="_Toc76541367"/>
      <w:r>
        <w:rPr>
          <w:rFonts w:hint="eastAsia" w:ascii="宋体" w:hAnsi="宋体"/>
          <w:b/>
          <w:bCs/>
          <w:color w:val="000000" w:themeColor="text1"/>
          <w:sz w:val="28"/>
          <w:szCs w:val="28"/>
          <w14:textFill>
            <w14:solidFill>
              <w14:schemeClr w14:val="tx1"/>
            </w14:solidFill>
          </w14:textFill>
        </w:rPr>
        <w:t>总则</w:t>
      </w:r>
      <w:bookmarkEnd w:id="158"/>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根据《中华人民共和国政府采购法》、《中华人民共和国政府采购法实施条例》和《政府采购货物和服务招标投标管理办法》等法律规章，结合采购项目特点制定本评标办法。</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评标工作由</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负责组织，具体评标事务由采购人或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依法组建的评标委员会负责。评标委员会由采购人代表和评审专家组成。</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评标工作应遵循公平、公正、科学及择优的原则，并以相同的评标程序和标准对待所有的投标人。</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评标委员会按照招标文件规定的评标程序、评标方法和标准进行独立评审，并独立履行下列职责：</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熟悉和理解招标文件；</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审查、评价投标文件是否符合招标文件的商务、技术等实质性要求；</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对投标文件进行比较和评价；</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根据需要要求采购人对招标文件作出解释；根据需要要求投标人对投标文件有关事项作出解释或者澄清；</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确定中标候选人名单，以及根据采购人委托直接确定中标人；</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起草评标报告并进行签署；</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向采购人、成都市青羊区政府采购服务中心或者财政、监察等有关部门报告或举报非法干预评标工作的行为；</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或者有关部门报告评标中发现的违法行为。</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法律、法规和规章规定的其他职责。</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评标过程独立、保密。投标人非法干预评标过程的行为将导致其投标文件作为无效处理。</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评标委员会决定投标文件的响应性依据投标文件本身的内容，而不寻求外部的证据，招标文件有明确约定的除外。</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评标委员会发现招标文件表述不明确或需要说明的事项，可提请采购人和成都市青羊区政府采购服务中心书面解释说明。</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59" w:name="_Toc76541368"/>
      <w:r>
        <w:rPr>
          <w:rFonts w:hint="eastAsia" w:ascii="宋体" w:hAnsi="宋体"/>
          <w:b/>
          <w:bCs/>
          <w:color w:val="000000" w:themeColor="text1"/>
          <w:sz w:val="28"/>
          <w:szCs w:val="28"/>
          <w14:textFill>
            <w14:solidFill>
              <w14:schemeClr w14:val="tx1"/>
            </w14:solidFill>
          </w14:textFill>
        </w:rPr>
        <w:t>评标方法</w:t>
      </w:r>
      <w:bookmarkEnd w:id="159"/>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综合评标法。</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60" w:name="_Toc76541369"/>
      <w:r>
        <w:rPr>
          <w:rFonts w:hint="eastAsia" w:ascii="宋体" w:hAnsi="宋体"/>
          <w:b/>
          <w:bCs/>
          <w:color w:val="000000" w:themeColor="text1"/>
          <w:sz w:val="28"/>
          <w:szCs w:val="28"/>
          <w14:textFill>
            <w14:solidFill>
              <w14:schemeClr w14:val="tx1"/>
            </w14:solidFill>
          </w14:textFill>
        </w:rPr>
        <w:t>评标程序</w:t>
      </w:r>
      <w:bookmarkEnd w:id="160"/>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符合性审查</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符合性审查标准见下表（按以下顺序审查）： </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p>
    <w:tbl>
      <w:tblPr>
        <w:tblStyle w:val="43"/>
        <w:tblW w:w="859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022"/>
        <w:gridCol w:w="5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序号</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符合性审查项</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投标文件商务技术响应文件、报价要求响应文件组成</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投标文件商务技术响应文件、报价要求响应文件的计量单位、语言、报价货币、投标有效期</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3</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投标文件签章</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投标文件加盖有投标人（法定名称）电子签章。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4</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第4章打★号的技术、服务、商务及其他要求</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投标文件均实质性响应招标文件中加★号的技术、服务、商务及其他要求。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5</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不属于禁止参加投标或投标无效的供应商</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（1）根据招标文件的要求不属于禁止参加投标或投标无效的供应商；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6</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法定代表人身份证复印件或护照复印件</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7</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除资格性审查要求的证明材料外，招标文件要求提供的其他证明材料</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cs="仿宋_GB2312" w:asciiTheme="minorEastAsia" w:hAnsiTheme="minorEastAsia" w:eastAsiaTheme="minorEastAsia"/>
                <w:color w:val="000000" w:themeColor="text1"/>
                <w:sz w:val="24"/>
                <w:szCs w:val="24"/>
                <w14:textFill>
                  <w14:solidFill>
                    <w14:schemeClr w14:val="tx1"/>
                  </w14:solidFill>
                </w14:textFill>
              </w:rPr>
              <w:t>1、承诺函【说明：①按3.3.</w:t>
            </w:r>
            <w:r>
              <w:rPr>
                <w:rFonts w:hint="eastAsia" w:cs="仿宋_GB2312" w:asciiTheme="minorEastAsia" w:hAnsiTheme="minorEastAsia" w:eastAsiaTheme="minorEastAsia"/>
                <w:color w:val="000000" w:themeColor="text1"/>
                <w:sz w:val="24"/>
                <w:szCs w:val="24"/>
                <w14:textFill>
                  <w14:solidFill>
                    <w14:schemeClr w14:val="tx1"/>
                  </w14:solidFill>
                </w14:textFill>
              </w:rPr>
              <w:t>5</w:t>
            </w:r>
            <w:r>
              <w:rPr>
                <w:rFonts w:cs="仿宋_GB2312" w:asciiTheme="minorEastAsia" w:hAnsiTheme="minorEastAsia" w:eastAsiaTheme="minorEastAsia"/>
                <w:color w:val="000000" w:themeColor="text1"/>
                <w:sz w:val="24"/>
                <w:szCs w:val="24"/>
                <w14:textFill>
                  <w14:solidFill>
                    <w14:schemeClr w14:val="tx1"/>
                  </w14:solidFill>
                </w14:textFill>
              </w:rPr>
              <w:t>承诺函</w:t>
            </w:r>
            <w:r>
              <w:rPr>
                <w:rFonts w:hint="eastAsia" w:cs="仿宋_GB2312" w:asciiTheme="minorEastAsia" w:hAnsiTheme="minorEastAsia" w:eastAsiaTheme="minorEastAsia"/>
                <w:color w:val="000000" w:themeColor="text1"/>
                <w:sz w:val="24"/>
                <w:szCs w:val="24"/>
                <w14:textFill>
                  <w14:solidFill>
                    <w14:schemeClr w14:val="tx1"/>
                  </w14:solidFill>
                </w14:textFill>
              </w:rPr>
              <w:t>内容</w:t>
            </w:r>
            <w:r>
              <w:rPr>
                <w:rFonts w:cs="仿宋_GB2312" w:asciiTheme="minorEastAsia" w:hAnsiTheme="minorEastAsia" w:eastAsiaTheme="minorEastAsia"/>
                <w:color w:val="000000" w:themeColor="text1"/>
                <w:sz w:val="24"/>
                <w:szCs w:val="24"/>
                <w14:textFill>
                  <w14:solidFill>
                    <w14:schemeClr w14:val="tx1"/>
                  </w14:solidFill>
                </w14:textFill>
              </w:rPr>
              <w:t>提供承诺函；②承诺的内容满足招标文件的要求。】。</w:t>
            </w:r>
          </w:p>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cs="仿宋_GB2312" w:asciiTheme="minorEastAsia" w:hAnsiTheme="minorEastAsia" w:eastAsiaTheme="minorEastAsia"/>
                <w:color w:val="000000" w:themeColor="text1"/>
                <w:sz w:val="24"/>
                <w:szCs w:val="24"/>
                <w14:textFill>
                  <w14:solidFill>
                    <w14:schemeClr w14:val="tx1"/>
                  </w14:solidFill>
                </w14:textFill>
              </w:rPr>
              <w:t>说明：投标产品具有国家确定的认证机构出具的有效的节能产品认证证书。】。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8</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投标报价</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000000" w:themeColor="text1"/>
                <w:sz w:val="24"/>
                <w:szCs w:val="28"/>
                <w14:textFill>
                  <w14:solidFill>
                    <w14:schemeClr w14:val="tx1"/>
                  </w14:solidFill>
                </w14:textFill>
              </w:rPr>
              <w:t>②</w:t>
            </w:r>
            <w:r>
              <w:rPr>
                <w:rFonts w:hint="eastAsia" w:ascii="宋体" w:hAnsi="宋体"/>
                <w:color w:val="000000" w:themeColor="text1"/>
                <w:sz w:val="24"/>
                <w:szCs w:val="28"/>
                <w14:textFill>
                  <w14:solidFill>
                    <w14:schemeClr w14:val="tx1"/>
                  </w14:solidFill>
                </w14:textFill>
              </w:rPr>
              <w:t>单价金额小数点或者百分比有明显错位的，以总价为准，并修改单价；</w:t>
            </w:r>
            <w:r>
              <w:rPr>
                <w:rFonts w:hint="eastAsia" w:ascii="宋体" w:hAnsi="宋体" w:cs="宋体"/>
                <w:color w:val="000000" w:themeColor="text1"/>
                <w:sz w:val="24"/>
                <w:szCs w:val="28"/>
                <w14:textFill>
                  <w14:solidFill>
                    <w14:schemeClr w14:val="tx1"/>
                  </w14:solidFill>
                </w14:textFill>
              </w:rPr>
              <w:t>③</w:t>
            </w:r>
            <w:r>
              <w:rPr>
                <w:rFonts w:hint="eastAsia" w:ascii="宋体" w:hAnsi="宋体"/>
                <w:color w:val="000000" w:themeColor="text1"/>
                <w:sz w:val="24"/>
                <w:szCs w:val="28"/>
                <w14:textFill>
                  <w14:solidFill>
                    <w14:schemeClr w14:val="tx1"/>
                  </w14:solidFill>
                </w14:textFill>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000000" w:themeColor="text1"/>
                <w:sz w:val="24"/>
                <w:szCs w:val="28"/>
                <w14:textFill>
                  <w14:solidFill>
                    <w14:schemeClr w14:val="tx1"/>
                  </w14:solidFill>
                </w14:textFill>
              </w:rPr>
              <w:t>5）如因断电、断网、系统故障或其他不可抗力等因素，导致系统无法使用的，由投标人按评标委员会的要求进行澄清或者说明</w:t>
            </w:r>
            <w:r>
              <w:rPr>
                <w:rFonts w:hint="eastAsia" w:ascii="宋体" w:hAnsi="宋体"/>
                <w:color w:val="000000" w:themeColor="text1"/>
                <w:sz w:val="24"/>
                <w:szCs w:val="28"/>
                <w14:textFill>
                  <w14:solidFill>
                    <w14:schemeClr w14:val="tx1"/>
                  </w14:solidFill>
                </w14:textFill>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9</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进口产品</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招标文件中未载明“允许采购进口产品”的产品，投标产品为国产产品。</w:t>
            </w:r>
          </w:p>
        </w:tc>
      </w:tr>
    </w:tbl>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人的投标文件符合性审查时被判定为无效投标文件的，成都市青羊区政府采购服务中心将通知投标人（以短信、现场公示、电话、“政府采购云平台”等任一方式）。投标人如对评审结论有异议的，应及时向成都市青羊区政府采购服务中心反馈意见。成都市青羊区政府采购服务中心在评审结束前将收到的反馈意见及时告知评标委员会。（说明：无论投标人是否收到通知或提供反馈意见，均不影响评标委员会的评标工作，且成都市青羊区政府采购服务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三、通过符合性审查的供应商＜3名，本项目采购失败。</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解释、澄清有关问题</w:t>
      </w:r>
    </w:p>
    <w:p>
      <w:pPr>
        <w:numPr>
          <w:ilvl w:val="0"/>
          <w:numId w:val="41"/>
        </w:numPr>
        <w:tabs>
          <w:tab w:val="left" w:pos="1134"/>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中，评标委员会认为招标文件有关事项表述不明确或需要说明的，可以提请成都市青羊区政府采购服务中心书面解释。成都市青羊区政府采购服务中心的解释不得改变招标文件的原义或者影响公平、公正，解释事项如果涉及投标人权益的以有利于投标人的原则进行解释。</w:t>
      </w:r>
    </w:p>
    <w:p>
      <w:pPr>
        <w:numPr>
          <w:ilvl w:val="0"/>
          <w:numId w:val="41"/>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1"/>
        </w:numPr>
        <w:tabs>
          <w:tab w:val="left" w:pos="1134"/>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澄清应当不超出投标文件的范围、不实质性改变投标文件的内容、不影响投标人的公平竞争、不导致投标文件从不响应招标文件变为响应招标文件的条件。下列内容不得澄清：</w:t>
      </w:r>
    </w:p>
    <w:p>
      <w:pPr>
        <w:numPr>
          <w:ilvl w:val="0"/>
          <w:numId w:val="42"/>
        </w:numPr>
        <w:tabs>
          <w:tab w:val="left" w:pos="1260"/>
        </w:tabs>
        <w:spacing w:line="560" w:lineRule="exact"/>
        <w:ind w:left="0" w:firstLine="525"/>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投标人投标文件中不响应招标文件规定的技术参数指标和商务应答；</w:t>
      </w:r>
    </w:p>
    <w:p>
      <w:pPr>
        <w:numPr>
          <w:ilvl w:val="0"/>
          <w:numId w:val="42"/>
        </w:numPr>
        <w:tabs>
          <w:tab w:val="left" w:pos="1260"/>
        </w:tabs>
        <w:spacing w:line="560" w:lineRule="exact"/>
        <w:ind w:left="0" w:firstLine="525"/>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投标人投标文件中未提供的证明其是否符合招标文件资格性、符合性规定要求的相关材料。</w:t>
      </w:r>
    </w:p>
    <w:p>
      <w:pPr>
        <w:numPr>
          <w:ilvl w:val="0"/>
          <w:numId w:val="42"/>
        </w:numPr>
        <w:tabs>
          <w:tab w:val="left" w:pos="993"/>
          <w:tab w:val="left" w:pos="1260"/>
        </w:tabs>
        <w:spacing w:line="560" w:lineRule="exact"/>
        <w:ind w:left="0" w:firstLine="525"/>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投标人投标文件中的材料因印刷、影印等不清晰而难以辨认的。</w:t>
      </w:r>
    </w:p>
    <w:p>
      <w:pPr>
        <w:numPr>
          <w:ilvl w:val="0"/>
          <w:numId w:val="41"/>
        </w:numPr>
        <w:tabs>
          <w:tab w:val="left" w:pos="1134"/>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投标文件报价出现下列情况的，不需要投标人澄清，按以下原则处理：</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（二）单价金额小数点或者百分比有明显错位的，以总价为准，并修改单价；</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（三）总价金额与按单价汇总金额不一致的，以单价金额计算结果为准。</w:t>
      </w:r>
    </w:p>
    <w:p>
      <w:pPr>
        <w:spacing w:line="560" w:lineRule="exact"/>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五、对不同语言文本投标文件的解释发生异议的，以中文文本为准。</w:t>
      </w:r>
    </w:p>
    <w:p>
      <w:pPr>
        <w:tabs>
          <w:tab w:val="left" w:pos="720"/>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评标委员会应当积极履行澄清、说明或者更正的职责，不得滥用权力。</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比较与评价</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按招标文件中规定的评标细则及标准，对符合性检查合格的投标文件进行商务和技术评估，综合比较和评价。</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评标结果汇总完成后，评标委员会拟出具评审报告前，</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评标结果汇总完成后，除下列情形外，任何人不得修改评标结果：</w:t>
      </w:r>
    </w:p>
    <w:p>
      <w:pPr>
        <w:numPr>
          <w:ilvl w:val="0"/>
          <w:numId w:val="43"/>
        </w:numPr>
        <w:tabs>
          <w:tab w:val="left" w:pos="851"/>
          <w:tab w:val="left" w:pos="1276"/>
        </w:tabs>
        <w:spacing w:line="560" w:lineRule="exact"/>
        <w:ind w:left="0" w:firstLine="424"/>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分值汇总计算错误的；</w:t>
      </w:r>
    </w:p>
    <w:p>
      <w:pPr>
        <w:numPr>
          <w:ilvl w:val="0"/>
          <w:numId w:val="43"/>
        </w:numPr>
        <w:tabs>
          <w:tab w:val="left" w:pos="851"/>
          <w:tab w:val="left" w:pos="1276"/>
        </w:tabs>
        <w:spacing w:line="560" w:lineRule="exact"/>
        <w:ind w:left="0" w:firstLine="424"/>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分项评分超出评分标准范围的；</w:t>
      </w:r>
    </w:p>
    <w:p>
      <w:pPr>
        <w:numPr>
          <w:ilvl w:val="0"/>
          <w:numId w:val="43"/>
        </w:numPr>
        <w:tabs>
          <w:tab w:val="left" w:pos="851"/>
          <w:tab w:val="left" w:pos="1276"/>
          <w:tab w:val="left" w:pos="1560"/>
        </w:tabs>
        <w:spacing w:line="560" w:lineRule="exact"/>
        <w:ind w:left="0" w:firstLine="424"/>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评标委员会成员对客观评审因素评分不一致的；</w:t>
      </w:r>
    </w:p>
    <w:p>
      <w:pPr>
        <w:numPr>
          <w:ilvl w:val="0"/>
          <w:numId w:val="43"/>
        </w:numPr>
        <w:tabs>
          <w:tab w:val="left" w:pos="851"/>
          <w:tab w:val="left" w:pos="1276"/>
        </w:tabs>
        <w:spacing w:line="560" w:lineRule="exact"/>
        <w:ind w:left="0" w:firstLine="426"/>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经评标委员会认定评分畸高、畸低的。</w:t>
      </w: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确定中标候选人名单</w:t>
      </w:r>
    </w:p>
    <w:p>
      <w:pPr>
        <w:tabs>
          <w:tab w:val="left" w:pos="851"/>
        </w:tabs>
        <w:spacing w:line="560" w:lineRule="exact"/>
        <w:ind w:firstLine="565" w:firstLineChars="202"/>
        <w:rPr>
          <w:rFonts w:ascii="Helvetica" w:hAnsi="Helvetica" w:cs="Helvetica"/>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按供应商综合得分从高到低进行排序，确定1至3名成交候选人。综合得分相同的，按报价由低到高顺序排列，得分且报价相同的并列。</w:t>
      </w:r>
      <w:r>
        <w:rPr>
          <w:rFonts w:hint="eastAsia" w:ascii="Helvetica" w:hAnsi="Helvetica" w:cs="Helvetica"/>
          <w:color w:val="000000" w:themeColor="text1"/>
          <w:kern w:val="0"/>
          <w:sz w:val="28"/>
          <w:szCs w:val="28"/>
          <w14:textFill>
            <w14:solidFill>
              <w14:schemeClr w14:val="tx1"/>
            </w14:solidFill>
          </w14:textFill>
        </w:rPr>
        <w:t>响应文件满足采购文件全部实质性要求，且按照评审因素的量化指标评审得分最高的供应商为排名第一的成交候选人。</w:t>
      </w:r>
    </w:p>
    <w:p>
      <w:pPr>
        <w:tabs>
          <w:tab w:val="left" w:pos="851"/>
        </w:tabs>
        <w:spacing w:line="560" w:lineRule="exact"/>
        <w:ind w:firstLine="565" w:firstLineChars="202"/>
        <w:rPr>
          <w:rFonts w:ascii="Helvetica" w:hAnsi="Helvetica" w:cs="Helvetica"/>
          <w:color w:val="000000" w:themeColor="text1"/>
          <w:kern w:val="0"/>
          <w:sz w:val="28"/>
          <w:szCs w:val="28"/>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提供核心产品品牌相同且通过资格检查和符合性检查的不同供应商参加同一项目的，按一家供应商计算，评审后得分最高的供应商获得成交候选人推荐资格；评审得分相同的，报价最低的供应商获得成交候选人推荐资格；评审得分相同且报价相同的，由评审委员会采取随机抽取的方式确定一个供应商获得成交候选人推荐资格。</w:t>
      </w:r>
    </w:p>
    <w:p>
      <w:pPr>
        <w:keepNext/>
        <w:keepLines/>
        <w:numPr>
          <w:ilvl w:val="2"/>
          <w:numId w:val="1"/>
        </w:numPr>
        <w:spacing w:before="240"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编写评标报告</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评标报告是评标委员会根据全体评标成员签字的原始评标记录和评标结果编写的报告，其主要内容包括：</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招标公告刊登的媒体名称、开标日期和地点；</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投标人名单和评标委员会成员名单；</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评标方法和标准；</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开标记录和评标情况及说明，包括投标无效投标人名单及原因；</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评标结果，确定的中标候选人名单或者经采购人委托直接确定的中标人；</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其他需要说明的情况，包括评标过程中投标人根据评标委员会要求进行的澄清、说明或者补正，评标委员会成员的更换等；</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61" w:name="_Toc76541370"/>
      <w:r>
        <w:rPr>
          <w:rFonts w:hint="eastAsia" w:ascii="宋体" w:hAnsi="宋体"/>
          <w:b/>
          <w:bCs/>
          <w:color w:val="000000" w:themeColor="text1"/>
          <w:sz w:val="28"/>
          <w:szCs w:val="28"/>
          <w14:textFill>
            <w14:solidFill>
              <w14:schemeClr w14:val="tx1"/>
            </w14:solidFill>
          </w14:textFill>
        </w:rPr>
        <w:t>评标争议处理规则</w:t>
      </w:r>
      <w:bookmarkEnd w:id="161"/>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000000" w:themeColor="text1"/>
          <w:sz w:val="28"/>
          <w:szCs w:val="28"/>
          <w14:textFill>
            <w14:solidFill>
              <w14:schemeClr w14:val="tx1"/>
            </w14:solidFill>
          </w14:textFill>
        </w:rPr>
        <w:t>持不同意见的评标委员会成员应当在评标报告上签署不同意见及理由，否则视为同意评标报告。</w:t>
      </w:r>
      <w:r>
        <w:rPr>
          <w:rFonts w:hint="eastAsia" w:ascii="宋体" w:hAnsi="宋体"/>
          <w:color w:val="000000" w:themeColor="text1"/>
          <w:sz w:val="28"/>
          <w:szCs w:val="28"/>
          <w14:textFill>
            <w14:solidFill>
              <w14:schemeClr w14:val="tx1"/>
            </w14:solidFill>
          </w14:textFill>
        </w:rPr>
        <w:t>持不同意见的评标委员会成员认为认定过程和结果不符合法律法规或者招标文件规定的，应当及时向采购人或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书面反映。采购人或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收到书面反映后，应当书面报告采购项目同级财政部门依法处理。</w:t>
      </w:r>
    </w:p>
    <w:p>
      <w:pPr>
        <w:rPr>
          <w:rFonts w:ascii="宋体" w:hAnsi="宋体"/>
          <w:b/>
          <w:color w:val="000000" w:themeColor="text1"/>
          <w:sz w:val="28"/>
          <w:szCs w:val="28"/>
          <w14:textFill>
            <w14:solidFill>
              <w14:schemeClr w14:val="tx1"/>
            </w14:solidFill>
          </w14:textFill>
        </w:rPr>
      </w:pPr>
      <w:bookmarkStart w:id="162" w:name="_Toc76541371"/>
      <w:r>
        <w:rPr>
          <w:rFonts w:hint="eastAsia" w:ascii="宋体" w:hAnsi="宋体"/>
          <w:b/>
          <w:color w:val="000000" w:themeColor="text1"/>
          <w:sz w:val="28"/>
          <w:szCs w:val="28"/>
          <w14:textFill>
            <w14:solidFill>
              <w14:schemeClr w14:val="tx1"/>
            </w14:solidFill>
          </w14:textFill>
        </w:rPr>
        <w:t>6</w:t>
      </w:r>
      <w:r>
        <w:rPr>
          <w:rFonts w:ascii="宋体" w:hAnsi="宋体"/>
          <w:b/>
          <w:color w:val="000000" w:themeColor="text1"/>
          <w:sz w:val="28"/>
          <w:szCs w:val="28"/>
          <w14:textFill>
            <w14:solidFill>
              <w14:schemeClr w14:val="tx1"/>
            </w14:solidFill>
          </w14:textFill>
        </w:rPr>
        <w:t>.</w:t>
      </w:r>
      <w:r>
        <w:rPr>
          <w:rFonts w:ascii="宋体" w:hAnsi="宋体"/>
          <w:b/>
          <w:bCs/>
          <w:color w:val="000000" w:themeColor="text1"/>
          <w:sz w:val="28"/>
          <w:szCs w:val="28"/>
          <w14:textFill>
            <w14:solidFill>
              <w14:schemeClr w14:val="tx1"/>
            </w14:solidFill>
          </w14:textFill>
        </w:rPr>
        <w:t>5</w:t>
      </w:r>
      <w:r>
        <w:rPr>
          <w:rFonts w:hint="eastAsia" w:ascii="宋体" w:hAnsi="宋体"/>
          <w:b/>
          <w:bCs/>
          <w:color w:val="000000" w:themeColor="text1"/>
          <w:sz w:val="28"/>
          <w:szCs w:val="28"/>
          <w14:textFill>
            <w14:solidFill>
              <w14:schemeClr w14:val="tx1"/>
            </w14:solidFill>
          </w14:textFill>
        </w:rPr>
        <w:t>评标细则及标准</w:t>
      </w:r>
      <w:bookmarkEnd w:id="162"/>
    </w:p>
    <w:p>
      <w:pPr>
        <w:numPr>
          <w:ilvl w:val="0"/>
          <w:numId w:val="45"/>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评标委员会只对通过资格和符合性审查的投标文件，根据招标文件的要求采用相同的评标程序、评标办法及标准进行评价和比较。</w:t>
      </w:r>
    </w:p>
    <w:p>
      <w:pPr>
        <w:numPr>
          <w:ilvl w:val="0"/>
          <w:numId w:val="45"/>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招标文件第4章技术、服务、商务要求及其他要求中加“★”号的条款为招标文件的实质性要求。</w:t>
      </w:r>
    </w:p>
    <w:p>
      <w:pPr>
        <w:numPr>
          <w:ilvl w:val="0"/>
          <w:numId w:val="45"/>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价格扣除</w:t>
      </w:r>
    </w:p>
    <w:p>
      <w:pPr>
        <w:tabs>
          <w:tab w:val="left" w:pos="1155"/>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对小型和微型企业、监狱企业或残疾人福利性单位制造的产品的价格（如涉及）给予10%的价格扣除，按扣除后的价格参与评审。</w:t>
      </w:r>
    </w:p>
    <w:p>
      <w:pP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6</w:t>
      </w:r>
      <w:r>
        <w:rPr>
          <w:rFonts w:ascii="宋体" w:hAnsi="宋体"/>
          <w:b/>
          <w:color w:val="000000" w:themeColor="text1"/>
          <w:sz w:val="28"/>
          <w:szCs w:val="28"/>
          <w14:textFill>
            <w14:solidFill>
              <w14:schemeClr w14:val="tx1"/>
            </w14:solidFill>
          </w14:textFill>
        </w:rPr>
        <w:t>.5.1</w:t>
      </w:r>
      <w:r>
        <w:rPr>
          <w:rFonts w:hint="eastAsia" w:ascii="宋体" w:hAnsi="宋体"/>
          <w:b/>
          <w:color w:val="000000" w:themeColor="text1"/>
          <w:sz w:val="28"/>
          <w:szCs w:val="28"/>
          <w14:textFill>
            <w14:solidFill>
              <w14:schemeClr w14:val="tx1"/>
            </w14:solidFill>
          </w14:textFill>
        </w:rPr>
        <w:t>评标办法</w:t>
      </w:r>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本次评审采用综合评分法，由评审委员会各成员独立对通过初审（资格检查和符合性检查）的供应商的响应文件进行评审和打分，    </w:t>
      </w:r>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评审得分＝（A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3</w:t>
      </w:r>
    </w:p>
    <w:p>
      <w:pPr>
        <w:spacing w:line="360" w:lineRule="auto"/>
        <w:ind w:firstLine="560" w:firstLineChars="200"/>
        <w:rPr>
          <w:rFonts w:ascii="宋体" w:hAnsi="宋体"/>
          <w:b/>
          <w:bCs/>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分别为每个</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评委的打分，n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评委人数；B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分别为每个技术类评委（含采购人代表）的打分，n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技术类</w:t>
      </w:r>
      <w:r>
        <w:rPr>
          <w:rFonts w:hint="eastAsia" w:ascii="宋体" w:hAnsi="宋体"/>
          <w:color w:val="000000" w:themeColor="text1"/>
          <w:sz w:val="28"/>
          <w:szCs w:val="28"/>
          <w14:textFill>
            <w14:solidFill>
              <w14:schemeClr w14:val="tx1"/>
            </w14:solidFill>
          </w14:textFill>
        </w:rPr>
        <w:t>评委（含采购人代表）人数；C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分别为评审委员会每个成员的打分，n</w:t>
      </w:r>
      <w:r>
        <w:rPr>
          <w:rFonts w:hint="eastAsia" w:ascii="宋体" w:hAnsi="宋体"/>
          <w:color w:val="000000" w:themeColor="text1"/>
          <w:sz w:val="28"/>
          <w:szCs w:val="28"/>
          <w:vertAlign w:val="sub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为评委人数。</w:t>
      </w:r>
    </w:p>
    <w:p>
      <w:pP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6</w:t>
      </w:r>
      <w:r>
        <w:rPr>
          <w:rFonts w:ascii="宋体" w:hAnsi="宋体"/>
          <w:b/>
          <w:color w:val="000000" w:themeColor="text1"/>
          <w:sz w:val="28"/>
          <w:szCs w:val="28"/>
          <w14:textFill>
            <w14:solidFill>
              <w14:schemeClr w14:val="tx1"/>
            </w14:solidFill>
          </w14:textFill>
        </w:rPr>
        <w:t>.5.2</w:t>
      </w:r>
      <w:r>
        <w:rPr>
          <w:rFonts w:hint="eastAsia" w:ascii="宋体" w:hAnsi="宋体"/>
          <w:b/>
          <w:color w:val="000000" w:themeColor="text1"/>
          <w:sz w:val="28"/>
          <w:szCs w:val="28"/>
          <w14:textFill>
            <w14:solidFill>
              <w14:schemeClr w14:val="tx1"/>
            </w14:solidFill>
          </w14:textFill>
        </w:rPr>
        <w:t>评标标准</w:t>
      </w:r>
    </w:p>
    <w:tbl>
      <w:tblPr>
        <w:tblStyle w:val="43"/>
        <w:tblW w:w="8336" w:type="dxa"/>
        <w:tblInd w:w="0" w:type="dxa"/>
        <w:tblLayout w:type="fixed"/>
        <w:tblCellMar>
          <w:top w:w="0" w:type="dxa"/>
          <w:left w:w="0" w:type="dxa"/>
          <w:bottom w:w="0" w:type="dxa"/>
          <w:right w:w="0" w:type="dxa"/>
        </w:tblCellMar>
      </w:tblPr>
      <w:tblGrid>
        <w:gridCol w:w="1207"/>
        <w:gridCol w:w="1338"/>
        <w:gridCol w:w="4773"/>
        <w:gridCol w:w="1018"/>
      </w:tblGrid>
      <w:tr>
        <w:tblPrEx>
          <w:tblCellMar>
            <w:top w:w="0" w:type="dxa"/>
            <w:left w:w="0" w:type="dxa"/>
            <w:bottom w:w="0" w:type="dxa"/>
            <w:right w:w="0" w:type="dxa"/>
          </w:tblCellMar>
        </w:tblPrEx>
        <w:trPr>
          <w:trHeight w:val="620" w:hRule="atLeast"/>
        </w:trPr>
        <w:tc>
          <w:tcPr>
            <w:tcW w:w="12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b/>
                <w:szCs w:val="21"/>
              </w:rPr>
            </w:pPr>
            <w:r>
              <w:rPr>
                <w:rFonts w:hint="eastAsia" w:ascii="宋体" w:hAnsi="宋体" w:eastAsia="宋体" w:cs="宋体"/>
                <w:b/>
                <w:kern w:val="0"/>
                <w:szCs w:val="21"/>
              </w:rPr>
              <w:t>评分因素及权重</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b/>
                <w:szCs w:val="21"/>
              </w:rPr>
            </w:pPr>
            <w:r>
              <w:rPr>
                <w:rFonts w:hint="eastAsia" w:ascii="宋体" w:hAnsi="宋体" w:eastAsia="宋体" w:cs="宋体"/>
                <w:b/>
                <w:kern w:val="0"/>
                <w:szCs w:val="21"/>
              </w:rPr>
              <w:t>分值</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b/>
                <w:szCs w:val="21"/>
              </w:rPr>
            </w:pPr>
            <w:r>
              <w:rPr>
                <w:rFonts w:hint="eastAsia" w:ascii="宋体" w:hAnsi="宋体" w:eastAsia="宋体" w:cs="宋体"/>
                <w:b/>
                <w:kern w:val="0"/>
                <w:szCs w:val="21"/>
              </w:rPr>
              <w:t>评分标准</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b/>
                <w:szCs w:val="21"/>
              </w:rPr>
            </w:pPr>
            <w:r>
              <w:rPr>
                <w:rFonts w:hint="eastAsia" w:ascii="宋体" w:hAnsi="宋体" w:eastAsia="宋体" w:cs="宋体"/>
                <w:b/>
                <w:kern w:val="0"/>
                <w:szCs w:val="21"/>
              </w:rPr>
              <w:t>说明</w:t>
            </w:r>
          </w:p>
        </w:tc>
      </w:tr>
      <w:tr>
        <w:tblPrEx>
          <w:tblCellMar>
            <w:top w:w="0" w:type="dxa"/>
            <w:left w:w="0" w:type="dxa"/>
            <w:bottom w:w="0" w:type="dxa"/>
            <w:right w:w="0" w:type="dxa"/>
          </w:tblCellMar>
        </w:tblPrEx>
        <w:trPr>
          <w:trHeight w:val="540" w:hRule="atLeast"/>
        </w:trPr>
        <w:tc>
          <w:tcPr>
            <w:tcW w:w="12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报价30%</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30分</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kern w:val="0"/>
                <w:szCs w:val="21"/>
              </w:rPr>
            </w:pPr>
            <w:r>
              <w:rPr>
                <w:rFonts w:hint="eastAsia" w:ascii="宋体" w:hAnsi="宋体" w:eastAsia="宋体" w:cs="宋体"/>
                <w:kern w:val="0"/>
                <w:szCs w:val="21"/>
              </w:rPr>
              <w:t>满足招标文件要求且投标价格最低的投标报价为评标基准价，其价格分为满分。其他投标人的价格分统一按照下列公式计算：投标报价得分=(评标基准价／投标报价)×30%×100；</w:t>
            </w:r>
          </w:p>
          <w:p>
            <w:pPr>
              <w:widowControl/>
              <w:textAlignment w:val="center"/>
              <w:rPr>
                <w:rFonts w:hint="eastAsia" w:ascii="宋体" w:hAnsi="宋体" w:eastAsia="宋体" w:cs="宋体"/>
                <w:kern w:val="0"/>
                <w:szCs w:val="21"/>
              </w:rPr>
            </w:pPr>
            <w:r>
              <w:rPr>
                <w:rFonts w:hint="eastAsia" w:ascii="宋体" w:hAnsi="宋体" w:eastAsia="宋体" w:cs="宋体"/>
                <w:kern w:val="0"/>
                <w:szCs w:val="21"/>
              </w:rPr>
              <w:t>注：1.（1）根据《政府采购促进中小企业发展</w:t>
            </w:r>
            <w:r>
              <w:rPr>
                <w:rFonts w:hint="eastAsia" w:ascii="宋体" w:hAnsi="宋体" w:cs="宋体"/>
                <w:kern w:val="0"/>
                <w:szCs w:val="21"/>
                <w:lang w:val="en-US" w:eastAsia="zh-CN"/>
              </w:rPr>
              <w:t>管理</w:t>
            </w:r>
            <w:r>
              <w:rPr>
                <w:rFonts w:hint="eastAsia" w:ascii="宋体" w:hAnsi="宋体" w:eastAsia="宋体" w:cs="宋体"/>
                <w:kern w:val="0"/>
                <w:szCs w:val="21"/>
              </w:rPr>
              <w:t>办法》相关规定，给予小型和微型企业报价给予 10%的优惠（须提供规定的《中小企业声明函》； 监狱企业、残疾人福利性企业提供行业主管部门认定文件的，视同小微企业》（见附件，提供虚假《中小企业声明函》的，以提供虚假材料谋取中标、成交予以认定处理）。</w:t>
            </w:r>
          </w:p>
          <w:p>
            <w:pPr>
              <w:widowControl/>
              <w:textAlignment w:val="center"/>
              <w:rPr>
                <w:rFonts w:hint="eastAsia" w:ascii="宋体" w:hAnsi="宋体" w:eastAsia="宋体" w:cs="宋体"/>
                <w:kern w:val="0"/>
                <w:szCs w:val="21"/>
              </w:rPr>
            </w:pPr>
            <w:r>
              <w:rPr>
                <w:rFonts w:hint="eastAsia" w:ascii="宋体" w:hAnsi="宋体" w:eastAsia="宋体" w:cs="宋体"/>
                <w:kern w:val="0"/>
                <w:szCs w:val="21"/>
              </w:rPr>
              <w:t>2.评标过程中，不得去掉报价中的最高报价和最低报价。</w:t>
            </w:r>
          </w:p>
          <w:p>
            <w:pPr>
              <w:widowControl/>
              <w:textAlignment w:val="center"/>
              <w:rPr>
                <w:rFonts w:hint="eastAsia" w:ascii="宋体" w:hAnsi="宋体" w:eastAsia="宋体" w:cs="宋体"/>
                <w:kern w:val="0"/>
                <w:szCs w:val="21"/>
              </w:rPr>
            </w:pPr>
            <w:r>
              <w:rPr>
                <w:rFonts w:hint="eastAsia" w:ascii="宋体" w:hAnsi="宋体" w:eastAsia="宋体" w:cs="宋体"/>
                <w:kern w:val="0"/>
                <w:szCs w:val="21"/>
              </w:rPr>
              <w:t>3.因落实政府采购政策进行价格调整的，以调整后的价格计算评标基准价和投标报价。</w:t>
            </w:r>
          </w:p>
          <w:p>
            <w:pPr>
              <w:widowControl/>
              <w:textAlignment w:val="center"/>
              <w:rPr>
                <w:rFonts w:ascii="宋体" w:hAnsi="宋体" w:eastAsia="宋体" w:cs="宋体"/>
                <w:szCs w:val="21"/>
              </w:rPr>
            </w:pPr>
            <w:r>
              <w:rPr>
                <w:rFonts w:hint="eastAsia" w:ascii="宋体" w:hAnsi="宋体" w:eastAsia="宋体" w:cs="宋体"/>
                <w:kern w:val="0"/>
                <w:szCs w:val="21"/>
              </w:rPr>
              <w:t>4.报价评分的取值按四舍五入法，保留小数点后两位。</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共同评审</w:t>
            </w:r>
          </w:p>
        </w:tc>
      </w:tr>
      <w:tr>
        <w:tblPrEx>
          <w:tblCellMar>
            <w:top w:w="0" w:type="dxa"/>
            <w:left w:w="0" w:type="dxa"/>
            <w:bottom w:w="0" w:type="dxa"/>
            <w:right w:w="0" w:type="dxa"/>
          </w:tblCellMar>
        </w:tblPrEx>
        <w:trPr>
          <w:trHeight w:val="1785" w:hRule="atLeast"/>
        </w:trPr>
        <w:tc>
          <w:tcPr>
            <w:tcW w:w="12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技术性能35%</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35分</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eastAsia="宋体" w:cs="宋体"/>
                <w:kern w:val="0"/>
                <w:szCs w:val="21"/>
                <w:highlight w:val="none"/>
              </w:rPr>
            </w:pPr>
            <w:r>
              <w:rPr>
                <w:rFonts w:hint="eastAsia" w:ascii="宋体" w:hAnsi="宋体" w:eastAsia="宋体" w:cs="宋体"/>
                <w:kern w:val="0"/>
                <w:szCs w:val="21"/>
              </w:rPr>
              <w:t>投</w:t>
            </w:r>
            <w:r>
              <w:rPr>
                <w:rFonts w:hint="eastAsia" w:ascii="宋体" w:hAnsi="宋体" w:eastAsia="宋体" w:cs="宋体"/>
                <w:kern w:val="0"/>
                <w:szCs w:val="21"/>
                <w:highlight w:val="none"/>
              </w:rPr>
              <w:t>标人完全响应招标文件第</w:t>
            </w:r>
            <w:r>
              <w:rPr>
                <w:rFonts w:hint="eastAsia" w:ascii="宋体" w:hAnsi="宋体" w:cs="宋体"/>
                <w:kern w:val="0"/>
                <w:szCs w:val="21"/>
                <w:highlight w:val="none"/>
                <w:lang w:val="en-US" w:eastAsia="zh-CN"/>
              </w:rPr>
              <w:t>四</w:t>
            </w:r>
            <w:r>
              <w:rPr>
                <w:rFonts w:hint="eastAsia" w:ascii="宋体" w:hAnsi="宋体" w:eastAsia="宋体" w:cs="宋体"/>
                <w:kern w:val="0"/>
                <w:szCs w:val="21"/>
                <w:highlight w:val="none"/>
              </w:rPr>
              <w:t>章“技术参数及功能要求”(实质性要求除外</w:t>
            </w:r>
            <w:r>
              <w:rPr>
                <w:rFonts w:hint="eastAsia" w:ascii="宋体" w:hAnsi="宋体" w:eastAsia="宋体" w:cs="宋体"/>
                <w:kern w:val="0"/>
                <w:szCs w:val="21"/>
                <w:highlight w:val="none"/>
              </w:rPr>
              <w:t>共</w:t>
            </w:r>
            <w:r>
              <w:rPr>
                <w:rFonts w:hint="eastAsia" w:ascii="宋体" w:hAnsi="宋体" w:eastAsia="宋体" w:cs="宋体"/>
                <w:kern w:val="0"/>
                <w:szCs w:val="21"/>
                <w:highlight w:val="none"/>
              </w:rPr>
              <w:t>3</w:t>
            </w:r>
            <w:r>
              <w:rPr>
                <w:rFonts w:hint="eastAsia" w:ascii="宋体" w:hAnsi="宋体" w:eastAsia="宋体" w:cs="宋体"/>
                <w:kern w:val="0"/>
                <w:szCs w:val="21"/>
                <w:highlight w:val="none"/>
                <w:lang w:val="en-US" w:eastAsia="zh-CN"/>
              </w:rPr>
              <w:t>75</w:t>
            </w:r>
            <w:r>
              <w:rPr>
                <w:rFonts w:hint="eastAsia" w:ascii="宋体" w:hAnsi="宋体" w:eastAsia="宋体" w:cs="宋体"/>
                <w:kern w:val="0"/>
                <w:szCs w:val="21"/>
                <w:highlight w:val="none"/>
              </w:rPr>
              <w:t>项)的得35分。每有一项非带“▲”号的参数（共</w:t>
            </w:r>
            <w:r>
              <w:rPr>
                <w:rFonts w:hint="eastAsia" w:ascii="宋体" w:hAnsi="宋体" w:eastAsia="宋体" w:cs="宋体"/>
                <w:kern w:val="0"/>
                <w:szCs w:val="21"/>
                <w:highlight w:val="none"/>
              </w:rPr>
              <w:t>2</w:t>
            </w:r>
            <w:r>
              <w:rPr>
                <w:rFonts w:hint="eastAsia" w:ascii="宋体" w:hAnsi="宋体" w:cs="宋体"/>
                <w:kern w:val="0"/>
                <w:szCs w:val="21"/>
                <w:highlight w:val="none"/>
                <w:lang w:val="en-US" w:eastAsia="zh-CN"/>
              </w:rPr>
              <w:t>90</w:t>
            </w:r>
            <w:r>
              <w:rPr>
                <w:rFonts w:hint="eastAsia" w:ascii="宋体" w:hAnsi="宋体" w:eastAsia="宋体" w:cs="宋体"/>
                <w:kern w:val="0"/>
                <w:szCs w:val="21"/>
                <w:highlight w:val="none"/>
              </w:rPr>
              <w:t>项）有负偏离的扣</w:t>
            </w:r>
            <w:r>
              <w:rPr>
                <w:rFonts w:hint="eastAsia" w:ascii="宋体" w:hAnsi="宋体" w:eastAsia="宋体" w:cs="宋体"/>
                <w:kern w:val="0"/>
                <w:szCs w:val="21"/>
                <w:highlight w:val="none"/>
              </w:rPr>
              <w:t>0.0</w:t>
            </w:r>
            <w:r>
              <w:rPr>
                <w:rFonts w:hint="eastAsia" w:ascii="宋体" w:hAnsi="宋体" w:eastAsia="宋体" w:cs="宋体"/>
                <w:kern w:val="0"/>
                <w:szCs w:val="21"/>
                <w:highlight w:val="none"/>
                <w:lang w:val="en-US" w:eastAsia="zh-CN"/>
              </w:rPr>
              <w:t>6</w:t>
            </w:r>
            <w:r>
              <w:rPr>
                <w:rFonts w:hint="eastAsia" w:ascii="宋体" w:hAnsi="宋体" w:eastAsia="宋体" w:cs="宋体"/>
                <w:kern w:val="0"/>
                <w:szCs w:val="21"/>
                <w:highlight w:val="none"/>
              </w:rPr>
              <w:t>5</w:t>
            </w:r>
            <w:r>
              <w:rPr>
                <w:rFonts w:hint="eastAsia" w:ascii="宋体" w:hAnsi="宋体" w:eastAsia="宋体" w:cs="宋体"/>
                <w:kern w:val="0"/>
                <w:szCs w:val="21"/>
                <w:highlight w:val="none"/>
              </w:rPr>
              <w:t>分，扣完为止；每有一项“▲”号的参数（共</w:t>
            </w:r>
            <w:r>
              <w:rPr>
                <w:rFonts w:hint="eastAsia" w:ascii="宋体" w:hAnsi="宋体" w:eastAsia="宋体" w:cs="宋体"/>
                <w:kern w:val="0"/>
                <w:szCs w:val="21"/>
                <w:highlight w:val="none"/>
                <w:lang w:val="en-US" w:eastAsia="zh-CN"/>
              </w:rPr>
              <w:t>85</w:t>
            </w:r>
            <w:r>
              <w:rPr>
                <w:rFonts w:hint="eastAsia" w:ascii="宋体" w:hAnsi="宋体" w:eastAsia="宋体" w:cs="宋体"/>
                <w:kern w:val="0"/>
                <w:szCs w:val="21"/>
                <w:highlight w:val="none"/>
              </w:rPr>
              <w:t>项）有负偏离的扣</w:t>
            </w:r>
            <w:r>
              <w:rPr>
                <w:rFonts w:hint="eastAsia" w:ascii="宋体" w:hAnsi="宋体" w:eastAsia="宋体" w:cs="宋体"/>
                <w:color w:val="auto"/>
                <w:kern w:val="0"/>
                <w:szCs w:val="21"/>
                <w:highlight w:val="none"/>
              </w:rPr>
              <w:t>0.</w:t>
            </w:r>
            <w:r>
              <w:rPr>
                <w:rFonts w:hint="eastAsia" w:ascii="宋体" w:hAnsi="宋体" w:eastAsia="宋体" w:cs="宋体"/>
                <w:color w:val="auto"/>
                <w:kern w:val="0"/>
                <w:szCs w:val="21"/>
                <w:highlight w:val="none"/>
                <w:lang w:val="en-US" w:eastAsia="zh-CN"/>
              </w:rPr>
              <w:t>19</w:t>
            </w:r>
            <w:r>
              <w:rPr>
                <w:rFonts w:hint="eastAsia" w:ascii="宋体" w:hAnsi="宋体" w:eastAsia="宋体" w:cs="宋体"/>
                <w:kern w:val="0"/>
                <w:szCs w:val="21"/>
                <w:highlight w:val="none"/>
              </w:rPr>
              <w:t>分，扣完为止。</w:t>
            </w:r>
          </w:p>
          <w:p>
            <w:pPr>
              <w:widowControl/>
              <w:textAlignment w:val="center"/>
              <w:rPr>
                <w:rFonts w:ascii="宋体" w:hAnsi="宋体" w:eastAsia="宋体" w:cs="宋体"/>
                <w:szCs w:val="21"/>
              </w:rPr>
            </w:pPr>
            <w:r>
              <w:rPr>
                <w:rFonts w:hint="eastAsia" w:ascii="宋体" w:hAnsi="宋体" w:eastAsia="宋体" w:cs="宋体"/>
                <w:kern w:val="0"/>
                <w:szCs w:val="21"/>
                <w:highlight w:val="none"/>
              </w:rPr>
              <w:t>注：技术参数及功能要求中参数共计</w:t>
            </w:r>
            <w:r>
              <w:rPr>
                <w:rFonts w:hint="eastAsia" w:ascii="宋体" w:hAnsi="宋体" w:eastAsia="宋体" w:cs="宋体"/>
                <w:kern w:val="0"/>
                <w:szCs w:val="21"/>
                <w:highlight w:val="none"/>
                <w:lang w:val="en-US" w:eastAsia="zh-CN"/>
              </w:rPr>
              <w:t>415</w:t>
            </w:r>
            <w:r>
              <w:rPr>
                <w:rFonts w:hint="eastAsia" w:ascii="宋体" w:hAnsi="宋体" w:eastAsia="宋体" w:cs="宋体"/>
                <w:kern w:val="0"/>
                <w:szCs w:val="21"/>
                <w:highlight w:val="none"/>
              </w:rPr>
              <w:t>项，其中非带“▲”号的参数评分项</w:t>
            </w:r>
            <w:r>
              <w:rPr>
                <w:rFonts w:hint="eastAsia" w:ascii="宋体" w:hAnsi="宋体" w:eastAsia="宋体" w:cs="宋体"/>
                <w:kern w:val="0"/>
                <w:szCs w:val="21"/>
                <w:highlight w:val="none"/>
                <w:lang w:val="en-US" w:eastAsia="zh-CN"/>
              </w:rPr>
              <w:t>290</w:t>
            </w:r>
            <w:r>
              <w:rPr>
                <w:rFonts w:hint="eastAsia" w:ascii="宋体" w:hAnsi="宋体" w:eastAsia="宋体" w:cs="宋体"/>
                <w:kern w:val="0"/>
                <w:szCs w:val="21"/>
                <w:highlight w:val="none"/>
              </w:rPr>
              <w:t>项；带“▲”号的参数</w:t>
            </w:r>
            <w:r>
              <w:rPr>
                <w:rFonts w:hint="eastAsia" w:ascii="宋体" w:hAnsi="宋体" w:eastAsia="宋体" w:cs="宋体"/>
                <w:kern w:val="0"/>
                <w:szCs w:val="21"/>
                <w:highlight w:val="none"/>
                <w:lang w:val="en-US" w:eastAsia="zh-CN"/>
              </w:rPr>
              <w:t>85</w:t>
            </w:r>
            <w:r>
              <w:rPr>
                <w:rFonts w:hint="eastAsia" w:ascii="宋体" w:hAnsi="宋体" w:eastAsia="宋体" w:cs="宋体"/>
                <w:kern w:val="0"/>
                <w:szCs w:val="21"/>
                <w:highlight w:val="none"/>
              </w:rPr>
              <w:t>项。</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技术类</w:t>
            </w:r>
            <w:r>
              <w:rPr>
                <w:rFonts w:hint="eastAsia" w:ascii="宋体" w:hAnsi="宋体" w:cs="宋体"/>
                <w:kern w:val="0"/>
                <w:szCs w:val="21"/>
                <w:lang w:val="en-US" w:eastAsia="zh-CN"/>
              </w:rPr>
              <w:t xml:space="preserve">  </w:t>
            </w:r>
            <w:r>
              <w:rPr>
                <w:rFonts w:hint="eastAsia" w:ascii="宋体" w:hAnsi="宋体" w:eastAsia="宋体" w:cs="宋体"/>
                <w:kern w:val="0"/>
                <w:szCs w:val="21"/>
              </w:rPr>
              <w:t>评审</w:t>
            </w:r>
          </w:p>
        </w:tc>
      </w:tr>
      <w:tr>
        <w:tblPrEx>
          <w:tblCellMar>
            <w:top w:w="0" w:type="dxa"/>
            <w:left w:w="0" w:type="dxa"/>
            <w:bottom w:w="0" w:type="dxa"/>
            <w:right w:w="0" w:type="dxa"/>
          </w:tblCellMar>
        </w:tblPrEx>
        <w:trPr>
          <w:trHeight w:val="1495" w:hRule="atLeast"/>
        </w:trPr>
        <w:tc>
          <w:tcPr>
            <w:tcW w:w="12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质量信誉</w:t>
            </w:r>
            <w:r>
              <w:rPr>
                <w:rFonts w:hint="eastAsia" w:ascii="宋体" w:hAnsi="宋体" w:cs="宋体"/>
                <w:kern w:val="0"/>
                <w:szCs w:val="21"/>
                <w:lang w:val="en-US" w:eastAsia="zh-CN"/>
              </w:rPr>
              <w:t>9</w:t>
            </w:r>
            <w:r>
              <w:rPr>
                <w:rFonts w:ascii="宋体" w:hAnsi="宋体" w:eastAsia="宋体" w:cs="宋体"/>
                <w:kern w:val="0"/>
                <w:szCs w:val="21"/>
              </w:rPr>
              <w:t>%</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cs="宋体"/>
                <w:kern w:val="0"/>
                <w:szCs w:val="21"/>
                <w:lang w:val="en-US" w:eastAsia="zh-CN"/>
              </w:rPr>
              <w:t>9</w:t>
            </w:r>
            <w:r>
              <w:rPr>
                <w:rStyle w:val="283"/>
                <w:rFonts w:hint="default" w:ascii="宋体" w:hAnsi="宋体" w:eastAsia="宋体"/>
                <w:color w:val="auto"/>
              </w:rPr>
              <w:t>分</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.投标人或</w:t>
            </w:r>
            <w:r>
              <w:rPr>
                <w:rFonts w:hint="eastAsia" w:ascii="宋体" w:hAnsi="宋体" w:eastAsia="宋体" w:cs="宋体"/>
                <w:color w:val="auto"/>
                <w:kern w:val="0"/>
                <w:sz w:val="21"/>
                <w:szCs w:val="21"/>
                <w:highlight w:val="none"/>
                <w:lang w:val="en-US" w:eastAsia="zh-CN" w:bidi="ar"/>
              </w:rPr>
              <w:t>核心产品UPS主机生产厂家具备质量管理体系认证</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得</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分</w:t>
            </w:r>
            <w:bookmarkStart w:id="171" w:name="_GoBack"/>
            <w:bookmarkEnd w:id="171"/>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不</w:t>
            </w:r>
            <w:r>
              <w:rPr>
                <w:rFonts w:hint="eastAsia" w:ascii="宋体" w:hAnsi="宋体" w:eastAsia="宋体" w:cs="宋体"/>
                <w:color w:val="auto"/>
                <w:kern w:val="0"/>
                <w:sz w:val="21"/>
                <w:szCs w:val="21"/>
                <w:highlight w:val="none"/>
                <w:lang w:val="en-US" w:eastAsia="zh-CN" w:bidi="ar"/>
              </w:rPr>
              <w:t>具备</w:t>
            </w:r>
            <w:r>
              <w:rPr>
                <w:rFonts w:hint="eastAsia" w:ascii="宋体" w:hAnsi="宋体" w:cs="宋体"/>
                <w:color w:val="auto"/>
                <w:kern w:val="0"/>
                <w:sz w:val="21"/>
                <w:szCs w:val="21"/>
                <w:highlight w:val="none"/>
                <w:lang w:val="en-US" w:eastAsia="zh-CN" w:bidi="ar"/>
              </w:rPr>
              <w:t>不得分</w:t>
            </w:r>
            <w:r>
              <w:rPr>
                <w:rFonts w:hint="eastAsia" w:ascii="宋体" w:hAnsi="宋体" w:eastAsia="宋体" w:cs="宋体"/>
                <w:color w:val="auto"/>
                <w:kern w:val="0"/>
                <w:sz w:val="21"/>
                <w:szCs w:val="21"/>
                <w:highlight w:val="none"/>
                <w:lang w:val="en-US" w:eastAsia="zh-CN" w:bidi="ar"/>
              </w:rPr>
              <w:t>。</w:t>
            </w:r>
          </w:p>
          <w:p>
            <w:pPr>
              <w:pStyle w:val="50"/>
              <w:rPr>
                <w:rFonts w:hint="default" w:ascii="宋体" w:hAnsi="宋体" w:eastAsia="宋体" w:cs="宋体"/>
                <w:strike w:val="0"/>
                <w:dstrike w:val="0"/>
                <w:color w:val="auto"/>
                <w:kern w:val="0"/>
                <w:sz w:val="21"/>
                <w:szCs w:val="21"/>
                <w:highlight w:val="none"/>
                <w:lang w:val="en-US" w:eastAsia="zh-CN" w:bidi="ar"/>
              </w:rPr>
            </w:pPr>
            <w:r>
              <w:rPr>
                <w:rFonts w:hint="eastAsia" w:ascii="宋体" w:hAnsi="宋体" w:eastAsia="宋体" w:cs="宋体"/>
                <w:strike w:val="0"/>
                <w:dstrike w:val="0"/>
                <w:color w:val="auto"/>
                <w:kern w:val="0"/>
                <w:sz w:val="21"/>
                <w:szCs w:val="21"/>
                <w:highlight w:val="none"/>
                <w:lang w:val="en-US" w:eastAsia="zh-CN" w:bidi="ar"/>
              </w:rPr>
              <w:t>2.投标人或核心产品服务器生产厂家拥有服务器存储类硬件类研发实验室，国家级实验室得3分；省级实验室得1分；否则不得分。</w:t>
            </w:r>
          </w:p>
          <w:p>
            <w:pPr>
              <w:widowControl/>
              <w:textAlignment w:val="center"/>
              <w:rPr>
                <w:rFonts w:hint="eastAsia" w:ascii="宋体" w:hAnsi="宋体" w:eastAsia="宋体" w:cs="宋体"/>
                <w:szCs w:val="21"/>
              </w:rPr>
            </w:pP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strike w:val="0"/>
                <w:dstrike w:val="0"/>
                <w:color w:val="auto"/>
                <w:kern w:val="0"/>
                <w:sz w:val="21"/>
                <w:szCs w:val="21"/>
                <w:highlight w:val="none"/>
                <w:lang w:val="en-US" w:eastAsia="zh-CN" w:bidi="ar"/>
              </w:rPr>
              <w:t>投标人或核心产品高清液晶显示单元生产厂家具备售后服务认证证书五星级的得3分；四星级的2分；三星级及以下的得1分。</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共同评审</w:t>
            </w:r>
            <w:r>
              <w:rPr>
                <w:rFonts w:hint="eastAsia" w:ascii="宋体" w:hAnsi="宋体" w:eastAsia="宋体" w:cs="宋体"/>
                <w:kern w:val="0"/>
                <w:szCs w:val="21"/>
              </w:rPr>
              <w:br w:type="textWrapping"/>
            </w:r>
            <w:r>
              <w:rPr>
                <w:rFonts w:hint="eastAsia" w:ascii="宋体" w:hAnsi="宋体" w:eastAsia="宋体" w:cs="宋体"/>
                <w:kern w:val="0"/>
                <w:szCs w:val="21"/>
              </w:rPr>
              <w:t>（提供证明材料复印件并加盖投标人鲜章证明）</w:t>
            </w:r>
          </w:p>
        </w:tc>
      </w:tr>
      <w:tr>
        <w:tblPrEx>
          <w:tblCellMar>
            <w:top w:w="0" w:type="dxa"/>
            <w:left w:w="0" w:type="dxa"/>
            <w:bottom w:w="0" w:type="dxa"/>
            <w:right w:w="0" w:type="dxa"/>
          </w:tblCellMar>
        </w:tblPrEx>
        <w:trPr>
          <w:trHeight w:val="765" w:hRule="atLeast"/>
        </w:trPr>
        <w:tc>
          <w:tcPr>
            <w:tcW w:w="12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履约经验3%</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3分</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kern w:val="0"/>
                <w:szCs w:val="21"/>
              </w:rPr>
            </w:pPr>
            <w:r>
              <w:rPr>
                <w:rFonts w:hint="eastAsia" w:ascii="宋体" w:hAnsi="宋体" w:eastAsia="宋体" w:cs="宋体"/>
                <w:kern w:val="0"/>
                <w:szCs w:val="21"/>
              </w:rPr>
              <w:t>投标人具有类似履约经验，每具有一个得0.5分，最多得3分；</w:t>
            </w:r>
          </w:p>
          <w:p>
            <w:pPr>
              <w:widowControl/>
              <w:textAlignment w:val="center"/>
              <w:rPr>
                <w:rFonts w:ascii="宋体" w:hAnsi="宋体" w:eastAsia="宋体" w:cs="宋体"/>
                <w:szCs w:val="21"/>
              </w:rPr>
            </w:pPr>
            <w:r>
              <w:rPr>
                <w:rFonts w:hint="eastAsia" w:ascii="宋体" w:hAnsi="宋体" w:eastAsia="宋体" w:cs="宋体"/>
                <w:kern w:val="0"/>
                <w:szCs w:val="21"/>
              </w:rPr>
              <w:t>注：提供项目合同复印件或对应履约证明材料。</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共同评审</w:t>
            </w:r>
          </w:p>
        </w:tc>
      </w:tr>
      <w:tr>
        <w:tblPrEx>
          <w:tblCellMar>
            <w:top w:w="0" w:type="dxa"/>
            <w:left w:w="0" w:type="dxa"/>
            <w:bottom w:w="0" w:type="dxa"/>
            <w:right w:w="0" w:type="dxa"/>
          </w:tblCellMar>
        </w:tblPrEx>
        <w:trPr>
          <w:trHeight w:val="1200" w:hRule="atLeast"/>
        </w:trPr>
        <w:tc>
          <w:tcPr>
            <w:tcW w:w="120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项目需求分析及项目实施方案</w:t>
            </w:r>
            <w:r>
              <w:rPr>
                <w:rFonts w:hint="eastAsia" w:ascii="宋体" w:hAnsi="宋体" w:cs="宋体"/>
                <w:kern w:val="0"/>
                <w:szCs w:val="21"/>
                <w:lang w:val="en-US" w:eastAsia="zh-CN"/>
              </w:rPr>
              <w:t>1</w:t>
            </w:r>
            <w:r>
              <w:rPr>
                <w:rFonts w:hint="eastAsia" w:ascii="宋体" w:hAnsi="宋体" w:eastAsia="宋体" w:cs="宋体"/>
                <w:kern w:val="0"/>
                <w:szCs w:val="21"/>
              </w:rPr>
              <w:t>6%</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kern w:val="0"/>
                <w:szCs w:val="21"/>
              </w:rPr>
            </w:pPr>
            <w:r>
              <w:rPr>
                <w:rFonts w:hint="eastAsia" w:ascii="宋体" w:hAnsi="宋体" w:eastAsia="宋体" w:cs="宋体"/>
                <w:kern w:val="0"/>
                <w:szCs w:val="21"/>
              </w:rPr>
              <w:t>项目需求分析</w:t>
            </w:r>
            <w:r>
              <w:rPr>
                <w:rFonts w:hint="eastAsia" w:ascii="宋体" w:hAnsi="宋体" w:eastAsia="宋体" w:cs="宋体"/>
                <w:kern w:val="0"/>
                <w:szCs w:val="21"/>
                <w:lang w:val="en-US" w:eastAsia="zh-CN"/>
              </w:rPr>
              <w:t>12</w:t>
            </w:r>
            <w:r>
              <w:rPr>
                <w:rFonts w:hint="eastAsia" w:ascii="宋体" w:hAnsi="宋体" w:eastAsia="宋体" w:cs="宋体"/>
                <w:kern w:val="0"/>
                <w:szCs w:val="21"/>
              </w:rPr>
              <w:t>分</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根据投标人针对本项目提供的需求分析(包含①项目基本情况；②项目重难点划分；③项目遵循的规范、标准；④应对措施)</w:t>
            </w:r>
            <w:r>
              <w:rPr>
                <w:rFonts w:hint="eastAsia" w:ascii="宋体" w:hAnsi="宋体" w:cs="宋体"/>
                <w:kern w:val="0"/>
                <w:szCs w:val="21"/>
                <w:highlight w:val="none"/>
                <w:lang w:eastAsia="zh-CN"/>
              </w:rPr>
              <w:t>，</w:t>
            </w:r>
            <w:r>
              <w:rPr>
                <w:rFonts w:hint="eastAsia" w:ascii="宋体" w:hAnsi="宋体" w:eastAsia="宋体" w:cs="宋体"/>
                <w:color w:val="auto"/>
                <w:kern w:val="2"/>
                <w:sz w:val="21"/>
                <w:szCs w:val="21"/>
                <w:highlight w:val="none"/>
                <w:lang w:val="en-US" w:eastAsia="zh-CN" w:bidi="ar-SA"/>
              </w:rPr>
              <w:t>上述内容无缺项、符合实际</w:t>
            </w:r>
            <w:r>
              <w:rPr>
                <w:rFonts w:hint="eastAsia" w:ascii="宋体" w:hAnsi="宋体" w:cs="宋体"/>
                <w:color w:val="auto"/>
                <w:kern w:val="2"/>
                <w:sz w:val="21"/>
                <w:szCs w:val="21"/>
                <w:highlight w:val="none"/>
                <w:lang w:val="en-US" w:eastAsia="zh-CN" w:bidi="ar-SA"/>
              </w:rPr>
              <w:t>要求</w:t>
            </w:r>
            <w:r>
              <w:rPr>
                <w:rFonts w:hint="eastAsia" w:ascii="宋体" w:hAnsi="宋体" w:eastAsia="宋体" w:cs="宋体"/>
                <w:color w:val="auto"/>
                <w:kern w:val="0"/>
                <w:sz w:val="21"/>
                <w:szCs w:val="21"/>
                <w:highlight w:val="none"/>
                <w:lang w:val="en-US" w:eastAsia="zh-CN"/>
              </w:rPr>
              <w:t>得12分，</w:t>
            </w:r>
            <w:r>
              <w:rPr>
                <w:rFonts w:hint="eastAsia" w:ascii="宋体" w:hAnsi="宋体" w:eastAsia="宋体" w:cs="宋体"/>
                <w:color w:val="auto"/>
                <w:kern w:val="2"/>
                <w:sz w:val="21"/>
                <w:szCs w:val="21"/>
                <w:highlight w:val="none"/>
                <w:lang w:val="en-US" w:eastAsia="zh-CN" w:bidi="ar-SA"/>
              </w:rPr>
              <w:t>每有一项</w:t>
            </w:r>
            <w:r>
              <w:rPr>
                <w:rFonts w:hint="eastAsia" w:ascii="宋体" w:hAnsi="宋体" w:eastAsia="宋体" w:cs="宋体"/>
                <w:color w:val="auto"/>
                <w:kern w:val="0"/>
                <w:sz w:val="21"/>
                <w:szCs w:val="21"/>
                <w:highlight w:val="none"/>
                <w:lang w:val="en-US" w:eastAsia="zh-CN"/>
              </w:rPr>
              <w:t>（共4项）</w:t>
            </w:r>
            <w:r>
              <w:rPr>
                <w:rFonts w:hint="eastAsia" w:ascii="宋体" w:hAnsi="宋体" w:eastAsia="宋体" w:cs="宋体"/>
                <w:color w:val="auto"/>
                <w:kern w:val="2"/>
                <w:sz w:val="21"/>
                <w:szCs w:val="21"/>
                <w:highlight w:val="none"/>
                <w:lang w:val="en-US" w:eastAsia="zh-CN" w:bidi="ar-SA"/>
              </w:rPr>
              <w:t>内容缺项扣</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分；</w:t>
            </w:r>
            <w:r>
              <w:rPr>
                <w:rFonts w:hint="eastAsia" w:ascii="宋体" w:hAnsi="宋体" w:eastAsia="宋体" w:cs="宋体"/>
                <w:color w:val="auto"/>
                <w:kern w:val="0"/>
                <w:sz w:val="21"/>
                <w:szCs w:val="21"/>
                <w:highlight w:val="none"/>
                <w:lang w:val="en-US" w:eastAsia="zh-CN"/>
              </w:rPr>
              <w:t>每有一处具有缺陷（缺陷是指：存在不适用项目实际情况的情形、凭空编造、内容前后不一致、前后逻辑错误、涉及的规范及标准错误、内容缺失等）的扣</w:t>
            </w:r>
            <w:r>
              <w:rPr>
                <w:rFonts w:hint="eastAsia" w:ascii="宋体" w:hAnsi="宋体" w:cs="宋体"/>
                <w:color w:val="auto"/>
                <w:kern w:val="0"/>
                <w:sz w:val="21"/>
                <w:szCs w:val="21"/>
                <w:highlight w:val="none"/>
                <w:lang w:val="en-US" w:eastAsia="zh-CN"/>
              </w:rPr>
              <w:t>1.5</w:t>
            </w:r>
            <w:r>
              <w:rPr>
                <w:rFonts w:hint="eastAsia" w:ascii="宋体" w:hAnsi="宋体" w:eastAsia="宋体" w:cs="宋体"/>
                <w:color w:val="auto"/>
                <w:kern w:val="0"/>
                <w:sz w:val="21"/>
                <w:szCs w:val="21"/>
                <w:highlight w:val="none"/>
                <w:lang w:val="en-US" w:eastAsia="zh-CN"/>
              </w:rPr>
              <w:t>分，扣完为止。</w:t>
            </w:r>
          </w:p>
          <w:p>
            <w:pPr>
              <w:widowControl/>
              <w:textAlignment w:val="center"/>
              <w:rPr>
                <w:rFonts w:hint="eastAsia" w:ascii="宋体" w:hAnsi="宋体" w:eastAsia="宋体" w:cs="宋体"/>
                <w:kern w:val="0"/>
                <w:szCs w:val="21"/>
              </w:rPr>
            </w:pPr>
            <w:r>
              <w:rPr>
                <w:rFonts w:hint="eastAsia" w:ascii="宋体" w:hAnsi="宋体" w:eastAsia="宋体" w:cs="宋体"/>
                <w:kern w:val="0"/>
                <w:szCs w:val="21"/>
                <w:highlight w:val="none"/>
              </w:rPr>
              <w:t>注：以评审专家结合项目实际情况和投标文件响应独立评审为准。</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共同评审</w:t>
            </w:r>
          </w:p>
        </w:tc>
      </w:tr>
      <w:tr>
        <w:tblPrEx>
          <w:tblCellMar>
            <w:top w:w="0" w:type="dxa"/>
            <w:left w:w="0" w:type="dxa"/>
            <w:bottom w:w="0" w:type="dxa"/>
            <w:right w:w="0" w:type="dxa"/>
          </w:tblCellMar>
        </w:tblPrEx>
        <w:trPr>
          <w:trHeight w:val="2295" w:hRule="atLeast"/>
        </w:trPr>
        <w:tc>
          <w:tcPr>
            <w:tcW w:w="120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szCs w:val="21"/>
              </w:rPr>
            </w:pP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安装组织设计方案</w:t>
            </w:r>
            <w:r>
              <w:rPr>
                <w:rFonts w:hint="eastAsia" w:ascii="宋体" w:hAnsi="宋体" w:cs="宋体"/>
                <w:kern w:val="0"/>
                <w:szCs w:val="21"/>
                <w:lang w:val="en-US" w:eastAsia="zh-CN"/>
              </w:rPr>
              <w:t>4</w:t>
            </w:r>
            <w:r>
              <w:rPr>
                <w:rFonts w:hint="eastAsia" w:ascii="宋体" w:hAnsi="宋体" w:eastAsia="宋体" w:cs="宋体"/>
                <w:kern w:val="0"/>
                <w:szCs w:val="21"/>
              </w:rPr>
              <w:t>分</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根据投标人提供的项目</w:t>
            </w:r>
            <w:r>
              <w:rPr>
                <w:rFonts w:hint="eastAsia" w:ascii="宋体" w:hAnsi="宋体" w:cs="宋体"/>
                <w:kern w:val="0"/>
                <w:szCs w:val="21"/>
                <w:highlight w:val="none"/>
                <w:lang w:val="en-US" w:eastAsia="zh-CN"/>
              </w:rPr>
              <w:t>安装部署（包括组织机构、部署计划）</w:t>
            </w:r>
            <w:r>
              <w:rPr>
                <w:rFonts w:hint="eastAsia" w:ascii="宋体" w:hAnsi="宋体" w:cs="宋体"/>
                <w:kern w:val="0"/>
                <w:szCs w:val="21"/>
                <w:highlight w:val="none"/>
                <w:lang w:eastAsia="zh-CN"/>
              </w:rPr>
              <w:t>、</w:t>
            </w:r>
            <w:r>
              <w:rPr>
                <w:rFonts w:hint="eastAsia" w:ascii="宋体" w:hAnsi="宋体" w:eastAsia="宋体" w:cs="宋体"/>
                <w:kern w:val="0"/>
                <w:szCs w:val="21"/>
                <w:highlight w:val="none"/>
              </w:rPr>
              <w:t xml:space="preserve">安装方案与技术措施(包括安装的方法及工艺、 安装用电)、质量管理体系与措施(包括质量保障、质量方针和质量目标)、安全管理体系与措施(包括安全生产管理目标、安全管理制度)进行评分：每具备以上 </w:t>
            </w:r>
            <w:r>
              <w:rPr>
                <w:rFonts w:hint="eastAsia" w:ascii="宋体" w:hAnsi="宋体" w:cs="宋体"/>
                <w:kern w:val="0"/>
                <w:szCs w:val="21"/>
                <w:highlight w:val="none"/>
                <w:lang w:val="en-US" w:eastAsia="zh-CN"/>
              </w:rPr>
              <w:t>4</w:t>
            </w:r>
            <w:r>
              <w:rPr>
                <w:rFonts w:hint="eastAsia" w:ascii="宋体" w:hAnsi="宋体" w:eastAsia="宋体" w:cs="宋体"/>
                <w:kern w:val="0"/>
                <w:szCs w:val="21"/>
                <w:highlight w:val="none"/>
              </w:rPr>
              <w:t xml:space="preserve">大项括号中的一小项,得 0.5 分,最多得 </w:t>
            </w:r>
            <w:r>
              <w:rPr>
                <w:rFonts w:hint="eastAsia" w:ascii="宋体" w:hAnsi="宋体" w:cs="宋体"/>
                <w:kern w:val="0"/>
                <w:szCs w:val="21"/>
                <w:highlight w:val="none"/>
                <w:lang w:val="en-US" w:eastAsia="zh-CN"/>
              </w:rPr>
              <w:t>4</w:t>
            </w:r>
            <w:r>
              <w:rPr>
                <w:rFonts w:hint="eastAsia" w:ascii="宋体" w:hAnsi="宋体" w:eastAsia="宋体" w:cs="宋体"/>
                <w:kern w:val="0"/>
                <w:szCs w:val="21"/>
                <w:highlight w:val="none"/>
              </w:rPr>
              <w:t xml:space="preserve"> 分。</w:t>
            </w:r>
          </w:p>
          <w:p>
            <w:pPr>
              <w:widowControl/>
              <w:textAlignment w:val="center"/>
              <w:rPr>
                <w:rFonts w:ascii="宋体" w:hAnsi="宋体" w:eastAsia="宋体" w:cs="宋体"/>
                <w:szCs w:val="21"/>
              </w:rPr>
            </w:pPr>
            <w:r>
              <w:rPr>
                <w:rFonts w:hint="eastAsia" w:ascii="宋体" w:hAnsi="宋体" w:eastAsia="宋体" w:cs="宋体"/>
                <w:kern w:val="0"/>
                <w:szCs w:val="21"/>
                <w:highlight w:val="none"/>
              </w:rPr>
              <w:t>注：以评标专家结合项目实际情况和投标文件响应情况独立评审为准。</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技术类评审</w:t>
            </w:r>
          </w:p>
        </w:tc>
      </w:tr>
      <w:tr>
        <w:tblPrEx>
          <w:tblCellMar>
            <w:top w:w="0" w:type="dxa"/>
            <w:left w:w="0" w:type="dxa"/>
            <w:bottom w:w="0" w:type="dxa"/>
            <w:right w:w="0" w:type="dxa"/>
          </w:tblCellMar>
        </w:tblPrEx>
        <w:trPr>
          <w:trHeight w:val="1985" w:hRule="atLeast"/>
        </w:trPr>
        <w:tc>
          <w:tcPr>
            <w:tcW w:w="12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售后服务5%</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5分</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38"/>
              <w:keepNext w:val="0"/>
              <w:keepLines w:val="0"/>
              <w:pageBreakBefore w:val="0"/>
              <w:kinsoku/>
              <w:wordWrap w:val="0"/>
              <w:overflowPunct/>
              <w:autoSpaceDE/>
              <w:autoSpaceDN/>
              <w:bidi w:val="0"/>
              <w:adjustRightInd w:val="0"/>
              <w:snapToGrid w:val="0"/>
              <w:spacing w:line="320" w:lineRule="exact"/>
              <w:ind w:left="28" w:leftChars="0" w:right="10" w:rightChars="5"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根据投标人针对本项目</w:t>
            </w:r>
            <w:r>
              <w:rPr>
                <w:rFonts w:hint="eastAsia" w:ascii="宋体" w:hAnsi="宋体" w:eastAsia="宋体" w:cs="宋体"/>
                <w:color w:val="auto"/>
                <w:sz w:val="21"/>
                <w:szCs w:val="21"/>
                <w:highlight w:val="none"/>
                <w:lang w:val="en-US" w:eastAsia="zh-CN"/>
              </w:rPr>
              <w:t>提供的售后服务方案{(</w:t>
            </w:r>
            <w:r>
              <w:rPr>
                <w:rFonts w:hint="eastAsia" w:ascii="宋体" w:hAnsi="宋体" w:eastAsia="宋体" w:cs="宋体"/>
                <w:color w:val="auto"/>
                <w:sz w:val="21"/>
                <w:szCs w:val="21"/>
                <w:highlight w:val="none"/>
              </w:rPr>
              <w:t>包含</w:t>
            </w:r>
            <w:r>
              <w:rPr>
                <w:rFonts w:hint="eastAsia" w:ascii="宋体" w:hAnsi="宋体" w:eastAsia="宋体" w:cs="宋体"/>
                <w:color w:val="auto"/>
                <w:kern w:val="0"/>
                <w:sz w:val="21"/>
                <w:szCs w:val="21"/>
                <w:highlight w:val="none"/>
              </w:rPr>
              <w:t>①服务组织架构和服务体系；②服务计划；③</w:t>
            </w:r>
            <w:r>
              <w:rPr>
                <w:rFonts w:hint="eastAsia" w:ascii="宋体" w:hAnsi="宋体" w:eastAsia="宋体" w:cs="宋体"/>
                <w:color w:val="auto"/>
                <w:kern w:val="0"/>
                <w:sz w:val="21"/>
                <w:szCs w:val="21"/>
                <w:highlight w:val="none"/>
                <w:lang w:val="en-US" w:eastAsia="zh-CN"/>
              </w:rPr>
              <w:t>备品</w:t>
            </w:r>
            <w:r>
              <w:rPr>
                <w:rFonts w:hint="eastAsia" w:ascii="宋体" w:hAnsi="宋体" w:eastAsia="宋体" w:cs="宋体"/>
                <w:color w:val="auto"/>
                <w:kern w:val="0"/>
                <w:sz w:val="21"/>
                <w:szCs w:val="21"/>
                <w:highlight w:val="none"/>
              </w:rPr>
              <w:t>运输方案；④验收方案；⑤配送流程及保障措施(含地理因素及配送路线</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eastAsia="zh-CN"/>
              </w:rPr>
              <w:t>，</w:t>
            </w:r>
            <w:r>
              <w:rPr>
                <w:rFonts w:hint="eastAsia" w:ascii="宋体" w:hAnsi="宋体" w:eastAsia="宋体" w:cs="宋体"/>
                <w:color w:val="auto"/>
                <w:kern w:val="2"/>
                <w:sz w:val="21"/>
                <w:szCs w:val="21"/>
                <w:highlight w:val="none"/>
                <w:lang w:val="en-US" w:eastAsia="zh-CN" w:bidi="ar-SA"/>
              </w:rPr>
              <w:t>上述内容无缺项、符合实际要求得 5分；上述内容每有一项内容缺项扣 1 分；上述内容每有一</w:t>
            </w:r>
            <w:r>
              <w:rPr>
                <w:rFonts w:hint="eastAsia" w:cs="宋体"/>
                <w:color w:val="auto"/>
                <w:kern w:val="2"/>
                <w:sz w:val="21"/>
                <w:szCs w:val="21"/>
                <w:highlight w:val="none"/>
                <w:lang w:val="en-US" w:eastAsia="zh-CN" w:bidi="ar-SA"/>
              </w:rPr>
              <w:t>处</w:t>
            </w:r>
            <w:r>
              <w:rPr>
                <w:rFonts w:hint="eastAsia" w:ascii="宋体" w:hAnsi="宋体" w:eastAsia="宋体" w:cs="宋体"/>
                <w:color w:val="auto"/>
                <w:kern w:val="2"/>
                <w:sz w:val="21"/>
                <w:szCs w:val="21"/>
                <w:highlight w:val="none"/>
                <w:lang w:val="en-US" w:eastAsia="zh-CN" w:bidi="ar-SA"/>
              </w:rPr>
              <w:t>有瑕疵扣 0.5分；直至本项扣完为止。</w:t>
            </w:r>
          </w:p>
          <w:p>
            <w:pPr>
              <w:pStyle w:val="238"/>
              <w:keepNext w:val="0"/>
              <w:keepLines w:val="0"/>
              <w:pageBreakBefore w:val="0"/>
              <w:kinsoku/>
              <w:wordWrap w:val="0"/>
              <w:overflowPunct/>
              <w:autoSpaceDE/>
              <w:autoSpaceDN/>
              <w:bidi w:val="0"/>
              <w:adjustRightInd w:val="0"/>
              <w:snapToGrid w:val="0"/>
              <w:spacing w:line="320" w:lineRule="exact"/>
              <w:ind w:left="28" w:leftChars="0" w:right="10" w:rightChars="5"/>
              <w:textAlignment w:val="auto"/>
              <w:rPr>
                <w:rFonts w:hint="eastAsia" w:ascii="宋体" w:hAnsi="宋体" w:eastAsia="宋体" w:cs="宋体"/>
                <w:szCs w:val="21"/>
                <w:lang w:eastAsia="zh-CN"/>
              </w:rPr>
            </w:pPr>
            <w:r>
              <w:rPr>
                <w:rFonts w:hint="eastAsia" w:ascii="宋体" w:hAnsi="宋体" w:eastAsia="宋体" w:cs="宋体"/>
                <w:color w:val="auto"/>
                <w:kern w:val="2"/>
                <w:sz w:val="21"/>
                <w:szCs w:val="21"/>
                <w:highlight w:val="none"/>
                <w:lang w:val="en-US" w:eastAsia="zh-CN" w:bidi="ar-SA"/>
              </w:rPr>
              <w:t>注：瑕疵是指方案中存在①不适用项目实际情况的情形②凭空编造③逻辑漏洞④科学原理错误⑤不可能实现的夸大情形等。</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技术类评审</w:t>
            </w:r>
          </w:p>
        </w:tc>
      </w:tr>
      <w:tr>
        <w:tblPrEx>
          <w:tblCellMar>
            <w:top w:w="0" w:type="dxa"/>
            <w:left w:w="0" w:type="dxa"/>
            <w:bottom w:w="0" w:type="dxa"/>
            <w:right w:w="0" w:type="dxa"/>
          </w:tblCellMar>
        </w:tblPrEx>
        <w:trPr>
          <w:trHeight w:val="1785" w:hRule="atLeast"/>
        </w:trPr>
        <w:tc>
          <w:tcPr>
            <w:tcW w:w="12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eastAsia="宋体" w:cs="宋体"/>
                <w:szCs w:val="21"/>
              </w:rPr>
            </w:pPr>
            <w:r>
              <w:rPr>
                <w:rFonts w:hint="eastAsia" w:ascii="宋体" w:hAnsi="宋体" w:eastAsia="宋体" w:cs="宋体"/>
                <w:kern w:val="0"/>
                <w:szCs w:val="21"/>
              </w:rPr>
              <w:t>节能、环境标志产品2%</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2分</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eastAsia="宋体" w:cs="宋体"/>
                <w:szCs w:val="21"/>
              </w:rPr>
            </w:pPr>
            <w:r>
              <w:rPr>
                <w:rFonts w:hint="eastAsia" w:ascii="宋体" w:hAnsi="宋体" w:eastAsia="宋体" w:cs="宋体"/>
                <w:kern w:val="0"/>
                <w:szCs w:val="21"/>
              </w:rPr>
              <w:t>投标人所投产品中每有一项为节能产品政府采购清单中的产品的得0.5分，每有一项为环境标志产品政府采购清单中的产品的得0.5分，投标人投标产品中每有一项产品同时为节能产品政府采购清单和环境标志产品政府采购清单中的产品的得1分，最多得2分。（提供清单复印件证明，以《中国政府采购网》最新颁布清单为准）</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共同评审</w:t>
            </w:r>
          </w:p>
        </w:tc>
      </w:tr>
    </w:tbl>
    <w:p>
      <w:pPr>
        <w:keepNext/>
        <w:keepLines/>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63" w:name="_Toc76541372"/>
      <w:r>
        <w:rPr>
          <w:rFonts w:ascii="宋体" w:hAnsi="宋体"/>
          <w:b/>
          <w:bCs/>
          <w:color w:val="000000" w:themeColor="text1"/>
          <w:sz w:val="28"/>
          <w:szCs w:val="28"/>
          <w14:textFill>
            <w14:solidFill>
              <w14:schemeClr w14:val="tx1"/>
            </w14:solidFill>
          </w14:textFill>
        </w:rPr>
        <w:br w:type="textWrapping" w:clear="all"/>
      </w:r>
      <w:r>
        <w:rPr>
          <w:rFonts w:ascii="宋体" w:hAnsi="宋体"/>
          <w:b/>
          <w:bCs/>
          <w:color w:val="000000" w:themeColor="text1"/>
          <w:sz w:val="28"/>
          <w:szCs w:val="28"/>
          <w14:textFill>
            <w14:solidFill>
              <w14:schemeClr w14:val="tx1"/>
            </w14:solidFill>
          </w14:textFill>
        </w:rPr>
        <w:t>6.6</w:t>
      </w:r>
      <w:r>
        <w:rPr>
          <w:rFonts w:hint="eastAsia" w:ascii="宋体" w:hAnsi="宋体"/>
          <w:b/>
          <w:bCs/>
          <w:color w:val="000000" w:themeColor="text1"/>
          <w:sz w:val="28"/>
          <w:szCs w:val="28"/>
          <w14:textFill>
            <w14:solidFill>
              <w14:schemeClr w14:val="tx1"/>
            </w14:solidFill>
          </w14:textFill>
        </w:rPr>
        <w:t>废标</w:t>
      </w:r>
      <w:bookmarkEnd w:id="163"/>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本次政府采购活动中，出现下列情形之一的，予以废标：</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符合专业条件的投标人或者对招标文件作实质响应的投标人不足三家的；</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出现影响采购公正的违法、违规行为的；</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投标人的报价均超过了采购预算，采购人不能支付的；</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因重大变故，采购任务取消的；</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废标后，成都市青羊区政府采购服务中心将在“四川政府采购网”和“成都市青羊区政府采购服务中心”网站上公告。</w:t>
      </w:r>
    </w:p>
    <w:p>
      <w:pPr>
        <w:keepNext/>
        <w:keepLines/>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64" w:name="_Toc76541373"/>
      <w:r>
        <w:rPr>
          <w:rFonts w:hint="eastAsia" w:ascii="宋体" w:hAnsi="宋体"/>
          <w:b/>
          <w:bCs/>
          <w:color w:val="000000" w:themeColor="text1"/>
          <w:sz w:val="28"/>
          <w:szCs w:val="28"/>
          <w14:textFill>
            <w14:solidFill>
              <w14:schemeClr w14:val="tx1"/>
            </w14:solidFill>
          </w14:textFill>
        </w:rPr>
        <w:t>6</w:t>
      </w:r>
      <w:r>
        <w:rPr>
          <w:rFonts w:ascii="宋体" w:hAnsi="宋体"/>
          <w:b/>
          <w:bCs/>
          <w:color w:val="000000" w:themeColor="text1"/>
          <w:sz w:val="28"/>
          <w:szCs w:val="28"/>
          <w14:textFill>
            <w14:solidFill>
              <w14:schemeClr w14:val="tx1"/>
            </w14:solidFill>
          </w14:textFill>
        </w:rPr>
        <w:t>.7</w:t>
      </w:r>
      <w:r>
        <w:rPr>
          <w:rFonts w:hint="eastAsia" w:ascii="宋体" w:hAnsi="宋体"/>
          <w:b/>
          <w:bCs/>
          <w:color w:val="000000" w:themeColor="text1"/>
          <w:sz w:val="28"/>
          <w:szCs w:val="28"/>
          <w14:textFill>
            <w14:solidFill>
              <w14:schemeClr w14:val="tx1"/>
            </w14:solidFill>
          </w14:textFill>
        </w:rPr>
        <w:t>定标</w:t>
      </w:r>
      <w:bookmarkEnd w:id="164"/>
    </w:p>
    <w:p>
      <w:pPr>
        <w:keepNext/>
        <w:keepLines/>
        <w:spacing w:line="360" w:lineRule="auto"/>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6</w:t>
      </w:r>
      <w:r>
        <w:rPr>
          <w:rFonts w:ascii="宋体" w:hAnsi="宋体"/>
          <w:b/>
          <w:bCs/>
          <w:color w:val="000000" w:themeColor="text1"/>
          <w:sz w:val="28"/>
          <w:szCs w:val="28"/>
          <w14:textFill>
            <w14:solidFill>
              <w14:schemeClr w14:val="tx1"/>
            </w14:solidFill>
          </w14:textFill>
        </w:rPr>
        <w:t>.7.1</w:t>
      </w:r>
      <w:r>
        <w:rPr>
          <w:rFonts w:hint="eastAsia" w:ascii="宋体" w:hAnsi="宋体"/>
          <w:b/>
          <w:bCs/>
          <w:color w:val="000000" w:themeColor="text1"/>
          <w:sz w:val="28"/>
          <w:szCs w:val="28"/>
          <w14:textFill>
            <w14:solidFill>
              <w14:schemeClr w14:val="tx1"/>
            </w14:solidFill>
          </w14:textFill>
        </w:rPr>
        <w:t>定标原则</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本项目根据评审委员会确定的成交候选人名单，采购人按顺序确定1名成交供应商。成交候选供应商并列的，由采购人采取随机抽取的方式确定成交供应商。</w:t>
      </w:r>
    </w:p>
    <w:p>
      <w:pPr>
        <w:keepNext/>
        <w:keepLines/>
        <w:spacing w:line="360" w:lineRule="auto"/>
        <w:outlineLvl w:val="2"/>
        <w:rPr>
          <w:rFonts w:ascii="宋体" w:hAnsi="宋体"/>
          <w:b/>
          <w:bCs/>
          <w:color w:val="000000" w:themeColor="text1"/>
          <w:sz w:val="28"/>
          <w:szCs w:val="28"/>
          <w14:textFill>
            <w14:solidFill>
              <w14:schemeClr w14:val="tx1"/>
            </w14:solidFill>
          </w14:textFill>
        </w:rPr>
      </w:pPr>
      <w:r>
        <w:rPr>
          <w:rFonts w:hint="eastAsia" w:ascii="宋体" w:hAnsi="宋体" w:cs="Helvetica"/>
          <w:color w:val="000000" w:themeColor="text1"/>
          <w:kern w:val="0"/>
          <w:sz w:val="28"/>
          <w:szCs w:val="28"/>
          <w14:textFill>
            <w14:solidFill>
              <w14:schemeClr w14:val="tx1"/>
            </w14:solidFill>
          </w14:textFill>
        </w:rPr>
        <w:t xml:space="preserve">    采购人在收到评审报告</w:t>
      </w:r>
      <w:r>
        <w:rPr>
          <w:rFonts w:hint="eastAsia" w:ascii="宋体" w:hAnsi="宋体" w:cs="宋体"/>
          <w:color w:val="000000" w:themeColor="text1"/>
          <w:kern w:val="0"/>
          <w:sz w:val="28"/>
          <w:szCs w:val="28"/>
          <w14:textFill>
            <w14:solidFill>
              <w14:schemeClr w14:val="tx1"/>
            </w14:solidFill>
          </w14:textFill>
        </w:rPr>
        <w:t>5</w:t>
      </w:r>
      <w:r>
        <w:rPr>
          <w:rFonts w:hint="eastAsia" w:ascii="宋体" w:hAnsi="宋体" w:cs="Helvetica"/>
          <w:color w:val="000000" w:themeColor="text1"/>
          <w:kern w:val="0"/>
          <w:sz w:val="28"/>
          <w:szCs w:val="28"/>
          <w14:textFill>
            <w14:solidFill>
              <w14:schemeClr w14:val="tx1"/>
            </w14:solidFill>
          </w14:textFill>
        </w:rPr>
        <w:t>个工作日内未按评审报告推荐的成交候选人顺序确定成交供应商，又不能说明合法理由的，视同按评审报告推荐的顺序确定排名第一的成交候选人为成交供应商。</w:t>
      </w:r>
    </w:p>
    <w:p>
      <w:pPr>
        <w:keepNext/>
        <w:keepLines/>
        <w:spacing w:line="360" w:lineRule="auto"/>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6</w:t>
      </w:r>
      <w:r>
        <w:rPr>
          <w:rFonts w:ascii="宋体" w:hAnsi="宋体"/>
          <w:b/>
          <w:bCs/>
          <w:color w:val="000000" w:themeColor="text1"/>
          <w:sz w:val="28"/>
          <w:szCs w:val="28"/>
          <w14:textFill>
            <w14:solidFill>
              <w14:schemeClr w14:val="tx1"/>
            </w14:solidFill>
          </w14:textFill>
        </w:rPr>
        <w:t>.7.2</w:t>
      </w:r>
      <w:r>
        <w:rPr>
          <w:rFonts w:hint="eastAsia" w:ascii="宋体" w:hAnsi="宋体"/>
          <w:b/>
          <w:bCs/>
          <w:color w:val="000000" w:themeColor="text1"/>
          <w:sz w:val="28"/>
          <w:szCs w:val="28"/>
          <w14:textFill>
            <w14:solidFill>
              <w14:schemeClr w14:val="tx1"/>
            </w14:solidFill>
          </w14:textFill>
        </w:rPr>
        <w:t>定标程序</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一、评审委员会将评审情况写出书面报告。</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二、成都市青羊区政府采购服务中心在评审结束之日起2个工作日内将评审报告送采购人。</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四、根据采购人确定的中标（成交）人，成都市青羊区政府采购服务中心在“四川政府采购网”和“成都市青羊区政府采购服务中心”网站上发布中标（成交）公告，同时向中标（成交）人发出中标（成交）通知书。</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五、采购人、成都市青羊区政府采购服务中心不解释中标（成交）或未中标（成交）原因，不退回投标文件和其他投标资料。</w:t>
      </w:r>
    </w:p>
    <w:p>
      <w:pPr>
        <w:keepNext/>
        <w:keepLines/>
        <w:spacing w:line="360" w:lineRule="auto"/>
        <w:jc w:val="left"/>
        <w:outlineLvl w:val="1"/>
        <w:rPr>
          <w:rFonts w:ascii="宋体" w:hAnsi="宋体"/>
          <w:b/>
          <w:bCs/>
          <w:color w:val="000000" w:themeColor="text1"/>
          <w:sz w:val="28"/>
          <w:szCs w:val="28"/>
          <w14:textFill>
            <w14:solidFill>
              <w14:schemeClr w14:val="tx1"/>
            </w14:solidFill>
          </w14:textFill>
        </w:rPr>
      </w:pPr>
      <w:bookmarkStart w:id="165" w:name="_Toc76541374"/>
      <w:r>
        <w:rPr>
          <w:rFonts w:ascii="宋体" w:hAnsi="宋体"/>
          <w:b/>
          <w:bCs/>
          <w:color w:val="000000" w:themeColor="text1"/>
          <w:sz w:val="28"/>
          <w:szCs w:val="28"/>
          <w14:textFill>
            <w14:solidFill>
              <w14:schemeClr w14:val="tx1"/>
            </w14:solidFill>
          </w14:textFill>
        </w:rPr>
        <w:t>6.8</w:t>
      </w:r>
      <w:r>
        <w:rPr>
          <w:rFonts w:hint="eastAsia" w:ascii="宋体" w:hAnsi="宋体"/>
          <w:b/>
          <w:bCs/>
          <w:color w:val="000000" w:themeColor="text1"/>
          <w:sz w:val="28"/>
          <w:szCs w:val="28"/>
          <w14:textFill>
            <w14:solidFill>
              <w14:schemeClr w14:val="tx1"/>
            </w14:solidFill>
          </w14:textFill>
        </w:rPr>
        <w:t>评标专家在政府采购活动中承担以下义务</w:t>
      </w:r>
      <w:bookmarkEnd w:id="165"/>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遵纪守法，客观、公正、廉洁地履行职责。</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保守秘密。不得泄漏投标人的投标文件及知悉的商业秘密，不得向投标人透露评审情况。</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发现投标人在政府采购活动中有不正当竞争或恶意串通等违规行为，及时向政府采购评审工作的组织者或财政部门报告并加以制止。</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发现采购人、成都市青羊区政府采购服务中心及其工作人员在政府采购活动中有干预评审、发表倾向性和歧视性言论、受贿或者接受投标人的其他好处及其他违法违规行为，及时向财政部门报告。</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解答有关方面对政府采购评审工作中有关问题的询问，配合采购人或者成都市青羊区政府采购服务中心答复投标人的询问、质疑，配合财政部门的投诉处理工作等事宜。</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法律、法规和规章规定的其他义务。</w:t>
      </w:r>
    </w:p>
    <w:p>
      <w:pPr>
        <w:keepNext/>
        <w:keepLines/>
        <w:spacing w:line="360" w:lineRule="auto"/>
        <w:jc w:val="left"/>
        <w:outlineLvl w:val="1"/>
        <w:rPr>
          <w:rFonts w:ascii="宋体" w:hAnsi="宋体"/>
          <w:b/>
          <w:bCs/>
          <w:color w:val="000000" w:themeColor="text1"/>
          <w:sz w:val="28"/>
          <w:szCs w:val="28"/>
          <w14:textFill>
            <w14:solidFill>
              <w14:schemeClr w14:val="tx1"/>
            </w14:solidFill>
          </w14:textFill>
        </w:rPr>
      </w:pPr>
      <w:bookmarkStart w:id="166" w:name="_Toc76541375"/>
      <w:r>
        <w:rPr>
          <w:rFonts w:ascii="宋体" w:hAnsi="宋体"/>
          <w:b/>
          <w:bCs/>
          <w:color w:val="000000" w:themeColor="text1"/>
          <w:sz w:val="28"/>
          <w:szCs w:val="28"/>
          <w14:textFill>
            <w14:solidFill>
              <w14:schemeClr w14:val="tx1"/>
            </w14:solidFill>
          </w14:textFill>
        </w:rPr>
        <w:t>6.9</w:t>
      </w:r>
      <w:r>
        <w:rPr>
          <w:rFonts w:hint="eastAsia" w:ascii="宋体" w:hAnsi="宋体"/>
          <w:b/>
          <w:bCs/>
          <w:color w:val="000000" w:themeColor="text1"/>
          <w:sz w:val="28"/>
          <w:szCs w:val="28"/>
          <w14:textFill>
            <w14:solidFill>
              <w14:schemeClr w14:val="tx1"/>
            </w14:solidFill>
          </w14:textFill>
        </w:rPr>
        <w:t>评标委员会及其成员不得有下列行为</w:t>
      </w:r>
      <w:bookmarkEnd w:id="166"/>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确定参与评标至评标结束前私自接触投标人；</w:t>
      </w:r>
    </w:p>
    <w:p>
      <w:pPr>
        <w:numPr>
          <w:ilvl w:val="0"/>
          <w:numId w:val="48"/>
        </w:numPr>
        <w:tabs>
          <w:tab w:val="left" w:pos="1155"/>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接受投标人提出的与投标文件不一致的澄清或者说明，除招标文件明确可以澄清的除外；</w:t>
      </w:r>
    </w:p>
    <w:p>
      <w:pPr>
        <w:numPr>
          <w:ilvl w:val="0"/>
          <w:numId w:val="48"/>
        </w:numPr>
        <w:tabs>
          <w:tab w:val="left" w:pos="1155"/>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违反评标纪律发表倾向性意见或者征询采购人的倾向性意见；</w:t>
      </w:r>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对需要专业判断的主观评审因素协商评分；</w:t>
      </w:r>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在评标过程中擅离职守，影响评标程序正常进行的；</w:t>
      </w:r>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记录、复制或者带走任何评标资料；</w:t>
      </w:r>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其他不遵守评标纪律的行为。</w:t>
      </w:r>
    </w:p>
    <w:p>
      <w:pPr>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评标委员会成员有前款第一至五项行为之一的，其评审意见无效，并不得获取评审劳务报酬和报销异地评审差旅费。</w:t>
      </w:r>
    </w:p>
    <w:p>
      <w:pPr>
        <w:keepNext/>
        <w:keepLines/>
        <w:spacing w:before="240" w:line="360" w:lineRule="auto"/>
        <w:jc w:val="left"/>
        <w:outlineLvl w:val="1"/>
        <w:rPr>
          <w:rFonts w:ascii="宋体" w:hAnsi="宋体"/>
          <w:b/>
          <w:bCs/>
          <w:color w:val="000000" w:themeColor="text1"/>
          <w:sz w:val="28"/>
          <w:szCs w:val="28"/>
          <w14:textFill>
            <w14:solidFill>
              <w14:schemeClr w14:val="tx1"/>
            </w14:solidFill>
          </w14:textFill>
        </w:rPr>
      </w:pPr>
      <w:bookmarkStart w:id="167" w:name="_Toc76541376"/>
      <w:r>
        <w:rPr>
          <w:rFonts w:hint="eastAsia" w:ascii="宋体" w:hAnsi="宋体"/>
          <w:b/>
          <w:bCs/>
          <w:color w:val="000000" w:themeColor="text1"/>
          <w:sz w:val="28"/>
          <w:szCs w:val="28"/>
          <w14:textFill>
            <w14:solidFill>
              <w14:schemeClr w14:val="tx1"/>
            </w14:solidFill>
          </w14:textFill>
        </w:rPr>
        <w:t>6</w:t>
      </w:r>
      <w:r>
        <w:rPr>
          <w:rFonts w:ascii="宋体" w:hAnsi="宋体"/>
          <w:b/>
          <w:bCs/>
          <w:color w:val="000000" w:themeColor="text1"/>
          <w:sz w:val="28"/>
          <w:szCs w:val="28"/>
          <w14:textFill>
            <w14:solidFill>
              <w14:schemeClr w14:val="tx1"/>
            </w14:solidFill>
          </w14:textFill>
        </w:rPr>
        <w:t>.10</w:t>
      </w:r>
      <w:r>
        <w:rPr>
          <w:rFonts w:hint="eastAsia" w:ascii="宋体" w:hAnsi="宋体"/>
          <w:b/>
          <w:bCs/>
          <w:color w:val="000000" w:themeColor="text1"/>
          <w:sz w:val="28"/>
          <w:szCs w:val="28"/>
          <w14:textFill>
            <w14:solidFill>
              <w14:schemeClr w14:val="tx1"/>
            </w14:solidFill>
          </w14:textFill>
        </w:rPr>
        <w:t>评审专家在政府采购活动中应当遵守以下工作纪律</w:t>
      </w:r>
      <w:bookmarkEnd w:id="167"/>
    </w:p>
    <w:p>
      <w:pPr>
        <w:numPr>
          <w:ilvl w:val="0"/>
          <w:numId w:val="49"/>
        </w:numPr>
        <w:tabs>
          <w:tab w:val="left" w:pos="1155"/>
        </w:tabs>
        <w:spacing w:line="360" w:lineRule="auto"/>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遵行《政府采购法》第十二条和《政府采购法实施条例》第九条及政府采购相关法律法规关于回避的规定。</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应邀按时参加评审和咨询活动，遵守评标区管理规定。</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评标区之前应将所有的通信设备存入公共资源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，不得私自转托他人。</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不得参加与自己有利害关系的政府采购项目的评审活动。对与自己有利害关系的评审项目，如受到邀请，应主动提出回避。财政部门、采购人或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也可要求该评审专家回避。</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评审过程中关闭通讯设备，不得与外界联系。因发生不可预见情况，确实需要与外界联系的，应告知评标区值守人员，使用评标区内由公共资源交易中心提供的通信设备，在监督人员监督之下办理。</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在评标过程中和评标结束后，不得记录、复制或带走任何评标资料，除因规定的义务外，不得向外界透露评标内容。</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服从评标现场</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的现场秩序管理，接受评标现场监督人员的合法监督。</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遵守有关廉洁自律规定，不得私下接触投标人，不得收受投标人及有关业务单位和个人的财物或好处，不得接受采购组织单位的请托。</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在咨询工作中，严格执行国家产业政策和产品标准，认真听取咨询方的合理要求，提出科学合理的、无倾向性和歧视性的咨询方案，并对所提出的意见和建议承担个人责任。</w:t>
      </w:r>
    </w:p>
    <w:p>
      <w:pPr>
        <w:numPr>
          <w:ilvl w:val="0"/>
          <w:numId w:val="49"/>
        </w:numPr>
        <w:tabs>
          <w:tab w:val="left" w:pos="1155"/>
          <w:tab w:val="left" w:pos="1276"/>
          <w:tab w:val="left" w:pos="1418"/>
        </w:tabs>
        <w:spacing w:line="580" w:lineRule="exact"/>
        <w:ind w:left="527" w:firstLine="4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有关部门（机构）制定的其他评审工作纪律。</w:t>
      </w: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bookmarkEnd w:id="0"/>
    <w:bookmarkEnd w:id="1"/>
    <w:bookmarkEnd w:id="2"/>
    <w:bookmarkEnd w:id="3"/>
    <w:bookmarkEnd w:id="151"/>
    <w:bookmarkEnd w:id="152"/>
    <w:p>
      <w:pPr>
        <w:ind w:firstLine="640" w:firstLineChars="200"/>
        <w:jc w:val="center"/>
        <w:rPr>
          <w:rFonts w:eastAsia="黑体"/>
          <w:sz w:val="32"/>
          <w:szCs w:val="32"/>
        </w:rPr>
      </w:pPr>
      <w:bookmarkStart w:id="168" w:name="_Toc8573798"/>
      <w:bookmarkStart w:id="169" w:name="_Toc34729074"/>
      <w:bookmarkStart w:id="170" w:name="_Toc217446108"/>
      <w:r>
        <w:rPr>
          <w:rFonts w:eastAsia="黑体"/>
          <w:sz w:val="32"/>
          <w:szCs w:val="32"/>
        </w:rPr>
        <w:t>合同范本</w:t>
      </w:r>
    </w:p>
    <w:p>
      <w:pPr>
        <w:pStyle w:val="50"/>
        <w:spacing w:line="360" w:lineRule="auto"/>
        <w:rPr>
          <w:rFonts w:ascii="仿宋" w:hAnsi="仿宋" w:eastAsia="仿宋" w:cs="仿宋"/>
          <w:sz w:val="32"/>
          <w:szCs w:val="32"/>
        </w:rPr>
      </w:pPr>
      <w:r>
        <w:rPr>
          <w:rFonts w:hint="eastAsia" w:ascii="仿宋" w:hAnsi="仿宋" w:eastAsia="仿宋" w:cs="仿宋"/>
          <w:b/>
          <w:bCs/>
          <w:color w:val="auto"/>
          <w:sz w:val="32"/>
          <w:szCs w:val="32"/>
        </w:rPr>
        <w:t>说明：此合同为格式模板合同，仅作为采购人与成交人签订合同之时的参考，采购人有权根据实际情况（供应商的响应情况，及磋商过程中的实质性变动等）对合同进行调整。</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合同编号：XXX</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签订地点：XXX</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签订时间：XXX年XXX月XXX日</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采购人（甲方）：XXX</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供应商（乙方）：XXX</w:t>
      </w:r>
    </w:p>
    <w:p>
      <w:pPr>
        <w:pStyle w:val="103"/>
        <w:spacing w:line="360" w:lineRule="auto"/>
        <w:ind w:firstLine="640" w:firstLineChars="200"/>
        <w:rPr>
          <w:rFonts w:hint="eastAsia" w:ascii="仿宋" w:hAnsi="仿宋" w:eastAsia="仿宋" w:cs="仿宋"/>
          <w:b/>
          <w:color w:val="000000"/>
          <w:sz w:val="32"/>
          <w:szCs w:val="32"/>
        </w:rPr>
      </w:pPr>
      <w:r>
        <w:rPr>
          <w:rFonts w:hint="eastAsia" w:ascii="仿宋" w:hAnsi="仿宋" w:eastAsia="仿宋" w:cs="仿宋"/>
          <w:color w:val="000000"/>
          <w:sz w:val="32"/>
          <w:szCs w:val="32"/>
        </w:rPr>
        <w:t>根据《中华人民共和国民法典》及          （项目编号： ）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spacing w:line="360" w:lineRule="auto"/>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一、合同货物</w:t>
      </w:r>
    </w:p>
    <w:tbl>
      <w:tblPr>
        <w:tblStyle w:val="43"/>
        <w:tblW w:w="631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905"/>
        <w:gridCol w:w="675"/>
        <w:gridCol w:w="645"/>
        <w:gridCol w:w="825"/>
        <w:gridCol w:w="1064"/>
        <w:gridCol w:w="91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货物品名</w:t>
            </w:r>
          </w:p>
        </w:tc>
        <w:tc>
          <w:tcPr>
            <w:tcW w:w="905"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规格</w:t>
            </w:r>
          </w:p>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型号</w:t>
            </w:r>
          </w:p>
        </w:tc>
        <w:tc>
          <w:tcPr>
            <w:tcW w:w="675"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单位</w:t>
            </w:r>
          </w:p>
        </w:tc>
        <w:tc>
          <w:tcPr>
            <w:tcW w:w="645"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数量</w:t>
            </w:r>
          </w:p>
        </w:tc>
        <w:tc>
          <w:tcPr>
            <w:tcW w:w="825"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单价</w:t>
            </w:r>
          </w:p>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（元）</w:t>
            </w:r>
          </w:p>
        </w:tc>
        <w:tc>
          <w:tcPr>
            <w:tcW w:w="1064" w:type="dxa"/>
            <w:vMerge w:val="restart"/>
            <w:tcBorders>
              <w:top w:val="single" w:color="auto" w:sz="4" w:space="0"/>
              <w:left w:val="single" w:color="auto" w:sz="4" w:space="0"/>
              <w:right w:val="single" w:color="auto" w:sz="4" w:space="0"/>
            </w:tcBorders>
            <w:vAlign w:val="center"/>
          </w:tcPr>
          <w:p>
            <w:pPr>
              <w:spacing w:line="360" w:lineRule="auto"/>
              <w:ind w:left="1" w:leftChars="-1" w:right="-88" w:rightChars="-42" w:hanging="3" w:hangingChars="1"/>
              <w:jc w:val="center"/>
              <w:rPr>
                <w:rFonts w:ascii="仿宋" w:hAnsi="仿宋" w:eastAsia="仿宋" w:cs="仿宋"/>
                <w:color w:val="000000"/>
                <w:sz w:val="32"/>
                <w:szCs w:val="32"/>
              </w:rPr>
            </w:pPr>
            <w:r>
              <w:rPr>
                <w:rFonts w:hint="eastAsia" w:ascii="仿宋" w:hAnsi="仿宋" w:eastAsia="仿宋" w:cs="仿宋"/>
                <w:color w:val="000000"/>
                <w:sz w:val="32"/>
                <w:szCs w:val="32"/>
              </w:rPr>
              <w:t>总价</w:t>
            </w:r>
          </w:p>
          <w:p>
            <w:pPr>
              <w:spacing w:line="360" w:lineRule="auto"/>
              <w:ind w:left="1" w:leftChars="-1" w:right="-88" w:rightChars="-42" w:hanging="3" w:hangingChars="1"/>
              <w:jc w:val="center"/>
              <w:rPr>
                <w:rFonts w:ascii="仿宋" w:hAnsi="仿宋" w:eastAsia="仿宋" w:cs="仿宋"/>
                <w:color w:val="000000"/>
                <w:sz w:val="32"/>
                <w:szCs w:val="32"/>
              </w:rPr>
            </w:pPr>
            <w:r>
              <w:rPr>
                <w:rFonts w:hint="eastAsia" w:ascii="仿宋" w:hAnsi="仿宋" w:eastAsia="仿宋" w:cs="仿宋"/>
                <w:color w:val="000000"/>
                <w:sz w:val="32"/>
                <w:szCs w:val="32"/>
              </w:rPr>
              <w:t>（元）</w:t>
            </w:r>
          </w:p>
        </w:tc>
        <w:tc>
          <w:tcPr>
            <w:tcW w:w="917"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随机</w:t>
            </w:r>
          </w:p>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配件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285" w:type="dxa"/>
            <w:vMerge w:val="continue"/>
            <w:tcBorders>
              <w:left w:val="single" w:color="auto" w:sz="4" w:space="0"/>
              <w:bottom w:val="single" w:color="auto" w:sz="4" w:space="0"/>
              <w:right w:val="single" w:color="auto" w:sz="4" w:space="0"/>
            </w:tcBorders>
            <w:vAlign w:val="center"/>
          </w:tcPr>
          <w:p>
            <w:pPr>
              <w:spacing w:line="360" w:lineRule="auto"/>
              <w:ind w:firstLine="320" w:firstLineChars="100"/>
              <w:rPr>
                <w:rFonts w:ascii="仿宋" w:hAnsi="仿宋" w:eastAsia="仿宋" w:cs="仿宋"/>
                <w:color w:val="000000"/>
                <w:sz w:val="32"/>
                <w:szCs w:val="32"/>
              </w:rPr>
            </w:pPr>
          </w:p>
        </w:tc>
        <w:tc>
          <w:tcPr>
            <w:tcW w:w="905" w:type="dxa"/>
            <w:vMerge w:val="continue"/>
            <w:tcBorders>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p>
        </w:tc>
        <w:tc>
          <w:tcPr>
            <w:tcW w:w="675" w:type="dxa"/>
            <w:vMerge w:val="continue"/>
            <w:tcBorders>
              <w:left w:val="single" w:color="auto" w:sz="4" w:space="0"/>
              <w:bottom w:val="single" w:color="auto" w:sz="4" w:space="0"/>
              <w:right w:val="single" w:color="auto" w:sz="4" w:space="0"/>
            </w:tcBorders>
            <w:vAlign w:val="center"/>
          </w:tcPr>
          <w:p>
            <w:pPr>
              <w:spacing w:line="360" w:lineRule="auto"/>
              <w:rPr>
                <w:rFonts w:ascii="仿宋" w:hAnsi="仿宋" w:eastAsia="仿宋" w:cs="仿宋"/>
                <w:color w:val="000000"/>
                <w:sz w:val="32"/>
                <w:szCs w:val="32"/>
              </w:rPr>
            </w:pPr>
          </w:p>
        </w:tc>
        <w:tc>
          <w:tcPr>
            <w:tcW w:w="645" w:type="dxa"/>
            <w:vMerge w:val="continue"/>
            <w:tcBorders>
              <w:left w:val="single" w:color="auto" w:sz="4" w:space="0"/>
              <w:bottom w:val="single" w:color="auto" w:sz="4" w:space="0"/>
              <w:right w:val="single" w:color="auto" w:sz="4" w:space="0"/>
            </w:tcBorders>
            <w:vAlign w:val="center"/>
          </w:tcPr>
          <w:p>
            <w:pPr>
              <w:spacing w:line="360" w:lineRule="auto"/>
              <w:ind w:firstLine="160" w:firstLineChars="50"/>
              <w:rPr>
                <w:rFonts w:ascii="仿宋" w:hAnsi="仿宋" w:eastAsia="仿宋" w:cs="仿宋"/>
                <w:color w:val="000000"/>
                <w:sz w:val="32"/>
                <w:szCs w:val="32"/>
              </w:rPr>
            </w:pPr>
          </w:p>
        </w:tc>
        <w:tc>
          <w:tcPr>
            <w:tcW w:w="825" w:type="dxa"/>
            <w:vMerge w:val="continue"/>
            <w:tcBorders>
              <w:left w:val="single" w:color="auto" w:sz="4" w:space="0"/>
              <w:bottom w:val="single" w:color="auto" w:sz="4" w:space="0"/>
              <w:right w:val="single" w:color="auto" w:sz="4" w:space="0"/>
            </w:tcBorders>
            <w:vAlign w:val="center"/>
          </w:tcPr>
          <w:p>
            <w:pPr>
              <w:spacing w:line="360" w:lineRule="auto"/>
              <w:ind w:firstLine="160" w:firstLineChars="50"/>
              <w:jc w:val="center"/>
              <w:rPr>
                <w:rFonts w:ascii="仿宋" w:hAnsi="仿宋" w:eastAsia="仿宋" w:cs="仿宋"/>
                <w:color w:val="000000"/>
                <w:sz w:val="32"/>
                <w:szCs w:val="32"/>
              </w:rPr>
            </w:pPr>
          </w:p>
        </w:tc>
        <w:tc>
          <w:tcPr>
            <w:tcW w:w="1064" w:type="dxa"/>
            <w:vMerge w:val="continue"/>
            <w:tcBorders>
              <w:left w:val="single" w:color="auto" w:sz="4" w:space="0"/>
              <w:bottom w:val="single" w:color="auto" w:sz="4" w:space="0"/>
              <w:right w:val="single" w:color="auto" w:sz="4" w:space="0"/>
            </w:tcBorders>
            <w:vAlign w:val="center"/>
          </w:tcPr>
          <w:p>
            <w:pPr>
              <w:spacing w:line="360" w:lineRule="auto"/>
              <w:ind w:firstLine="320" w:firstLineChars="100"/>
              <w:rPr>
                <w:rFonts w:ascii="仿宋" w:hAnsi="仿宋" w:eastAsia="仿宋" w:cs="仿宋"/>
                <w:color w:val="000000"/>
                <w:sz w:val="32"/>
                <w:szCs w:val="32"/>
              </w:rPr>
            </w:pPr>
          </w:p>
        </w:tc>
        <w:tc>
          <w:tcPr>
            <w:tcW w:w="917" w:type="dxa"/>
            <w:vMerge w:val="continue"/>
            <w:tcBorders>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9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6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6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9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6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6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r>
    </w:tbl>
    <w:p>
      <w:pPr>
        <w:spacing w:line="360" w:lineRule="auto"/>
        <w:rPr>
          <w:rFonts w:ascii="仿宋" w:hAnsi="仿宋" w:eastAsia="仿宋" w:cs="仿宋"/>
          <w:b/>
          <w:color w:val="000000"/>
          <w:sz w:val="32"/>
          <w:szCs w:val="32"/>
        </w:rPr>
      </w:pPr>
    </w:p>
    <w:p>
      <w:pPr>
        <w:spacing w:line="360" w:lineRule="auto"/>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二、合同总价</w:t>
      </w:r>
    </w:p>
    <w:p>
      <w:pPr>
        <w:pStyle w:val="12"/>
        <w:spacing w:line="360" w:lineRule="auto"/>
        <w:ind w:firstLine="480"/>
        <w:rPr>
          <w:rFonts w:ascii="仿宋" w:hAnsi="仿宋" w:eastAsia="仿宋" w:cs="仿宋"/>
          <w:b/>
          <w:color w:val="000000"/>
          <w:sz w:val="32"/>
          <w:szCs w:val="32"/>
        </w:rPr>
      </w:pPr>
      <w:r>
        <w:rPr>
          <w:rFonts w:hint="eastAsia" w:ascii="仿宋" w:hAnsi="仿宋" w:eastAsia="仿宋" w:cs="仿宋"/>
          <w:color w:val="000000"/>
          <w:sz w:val="32"/>
          <w:szCs w:val="32"/>
        </w:rPr>
        <w:t>合同总价为人民币大写：XXX元，即RMB￥XXX元；该合同总价已包括货物设计、材料、制造、包装、运输、检测、验收合格交付使用之前及</w:t>
      </w:r>
      <w:r>
        <w:rPr>
          <w:rFonts w:hint="eastAsia" w:ascii="仿宋" w:hAnsi="仿宋" w:eastAsia="仿宋" w:cs="仿宋"/>
          <w:color w:val="000000"/>
          <w:sz w:val="32"/>
          <w:szCs w:val="32"/>
          <w:lang w:eastAsia="zh-CN"/>
        </w:rPr>
        <w:t>质保期</w:t>
      </w:r>
      <w:r>
        <w:rPr>
          <w:rFonts w:hint="eastAsia" w:ascii="仿宋" w:hAnsi="仿宋" w:eastAsia="仿宋" w:cs="仿宋"/>
          <w:color w:val="000000"/>
          <w:sz w:val="32"/>
          <w:szCs w:val="32"/>
        </w:rPr>
        <w:t>内</w:t>
      </w:r>
      <w:r>
        <w:rPr>
          <w:rFonts w:hint="eastAsia" w:ascii="仿宋" w:hAnsi="仿宋" w:eastAsia="仿宋" w:cs="仿宋"/>
          <w:color w:val="000000"/>
          <w:sz w:val="32"/>
          <w:szCs w:val="32"/>
          <w:lang w:eastAsia="zh-CN"/>
        </w:rPr>
        <w:t>更换、</w:t>
      </w:r>
      <w:r>
        <w:rPr>
          <w:rFonts w:hint="eastAsia" w:ascii="仿宋" w:hAnsi="仿宋" w:eastAsia="仿宋" w:cs="仿宋"/>
          <w:color w:val="000000"/>
          <w:sz w:val="32"/>
          <w:szCs w:val="32"/>
        </w:rPr>
        <w:t>保修服务与备用物件等所有其他有关各项的含税费用。本合同执行期间合同总价不变，甲方无需另向乙方支付本合同规定之外的其他任何费用。</w:t>
      </w:r>
    </w:p>
    <w:p>
      <w:pPr>
        <w:tabs>
          <w:tab w:val="left" w:pos="2145"/>
        </w:tabs>
        <w:spacing w:line="360" w:lineRule="auto"/>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三、质量要求</w:t>
      </w:r>
      <w:r>
        <w:rPr>
          <w:rFonts w:hint="eastAsia" w:ascii="仿宋" w:hAnsi="仿宋" w:eastAsia="仿宋" w:cs="仿宋"/>
          <w:b/>
          <w:color w:val="000000"/>
          <w:sz w:val="32"/>
          <w:szCs w:val="32"/>
        </w:rPr>
        <w:tab/>
      </w:r>
    </w:p>
    <w:p>
      <w:pPr>
        <w:pStyle w:val="12"/>
        <w:spacing w:line="360" w:lineRule="auto"/>
        <w:ind w:firstLine="480"/>
        <w:rPr>
          <w:rFonts w:ascii="仿宋" w:hAnsi="仿宋" w:eastAsia="仿宋" w:cs="仿宋"/>
          <w:color w:val="000000"/>
          <w:sz w:val="32"/>
          <w:szCs w:val="32"/>
        </w:rPr>
      </w:pP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须提供全新的货物(含零部件、配件、使用说明书等)，表面无划伤、无碰撞痕迹，且权属清楚，不得侵害他人的知识产权，并按照相关要求包装完好。</w:t>
      </w:r>
    </w:p>
    <w:p>
      <w:pPr>
        <w:pStyle w:val="12"/>
        <w:spacing w:line="360" w:lineRule="auto"/>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投标产品必须符合或优于国家(行业)标准、地方标准或者其他标准、规范要求</w:t>
      </w:r>
      <w:r>
        <w:rPr>
          <w:rFonts w:hint="eastAsia" w:ascii="仿宋" w:hAnsi="仿宋" w:eastAsia="仿宋" w:cs="仿宋"/>
          <w:color w:val="000000"/>
          <w:sz w:val="32"/>
          <w:szCs w:val="32"/>
          <w:lang w:eastAsia="zh-CN"/>
        </w:rPr>
        <w:t>并符合招标文件中甲方对于本次采购项目的要求</w:t>
      </w:r>
      <w:r>
        <w:rPr>
          <w:rFonts w:hint="eastAsia" w:ascii="仿宋" w:hAnsi="仿宋" w:eastAsia="仿宋" w:cs="仿宋"/>
          <w:color w:val="000000"/>
          <w:sz w:val="32"/>
          <w:szCs w:val="32"/>
        </w:rPr>
        <w:t>。</w:t>
      </w:r>
    </w:p>
    <w:p>
      <w:pPr>
        <w:pStyle w:val="12"/>
        <w:spacing w:line="360" w:lineRule="auto"/>
        <w:ind w:firstLine="480"/>
        <w:rPr>
          <w:rFonts w:ascii="仿宋" w:hAnsi="仿宋" w:eastAsia="仿宋" w:cs="仿宋"/>
          <w:color w:val="000000"/>
          <w:sz w:val="32"/>
          <w:szCs w:val="32"/>
        </w:rPr>
      </w:pPr>
      <w:r>
        <w:rPr>
          <w:rFonts w:hint="eastAsia" w:ascii="仿宋" w:hAnsi="仿宋" w:eastAsia="仿宋" w:cs="仿宋"/>
          <w:color w:val="000000"/>
          <w:sz w:val="32"/>
          <w:szCs w:val="32"/>
        </w:rPr>
        <w:t>交货验收时须提供产品质检部门从同类产品中抽样检查合格的检测报告。</w:t>
      </w:r>
    </w:p>
    <w:p>
      <w:pPr>
        <w:pStyle w:val="12"/>
        <w:spacing w:line="360" w:lineRule="auto"/>
        <w:ind w:firstLine="480"/>
        <w:rPr>
          <w:rFonts w:ascii="仿宋" w:hAnsi="仿宋" w:eastAsia="仿宋" w:cs="仿宋"/>
          <w:color w:val="000000"/>
          <w:sz w:val="32"/>
          <w:szCs w:val="32"/>
        </w:rPr>
      </w:pPr>
      <w:r>
        <w:rPr>
          <w:rFonts w:hint="eastAsia" w:ascii="仿宋" w:hAnsi="仿宋" w:eastAsia="仿宋" w:cs="仿宋"/>
          <w:color w:val="000000"/>
          <w:sz w:val="32"/>
          <w:szCs w:val="32"/>
        </w:rPr>
        <w:t>送交货物时，每台货物上均应有产品质量检验合格标志。</w:t>
      </w:r>
    </w:p>
    <w:p>
      <w:pPr>
        <w:pStyle w:val="12"/>
        <w:spacing w:line="360" w:lineRule="auto"/>
        <w:ind w:firstLine="480"/>
        <w:rPr>
          <w:rFonts w:ascii="仿宋" w:hAnsi="仿宋" w:eastAsia="仿宋" w:cs="仿宋"/>
          <w:color w:val="000000"/>
          <w:sz w:val="32"/>
          <w:szCs w:val="32"/>
        </w:rPr>
      </w:pPr>
      <w:r>
        <w:rPr>
          <w:rFonts w:hint="eastAsia" w:ascii="仿宋" w:hAnsi="仿宋" w:eastAsia="仿宋" w:cs="仿宋"/>
          <w:color w:val="000000"/>
          <w:sz w:val="32"/>
          <w:szCs w:val="32"/>
        </w:rPr>
        <w:t>产品制造质量出现问题，</w:t>
      </w:r>
      <w:r>
        <w:rPr>
          <w:rFonts w:hint="eastAsia" w:ascii="仿宋" w:hAnsi="仿宋" w:eastAsia="仿宋" w:cs="仿宋"/>
          <w:color w:val="000000" w:themeColor="text1"/>
          <w:sz w:val="32"/>
          <w:szCs w:val="32"/>
          <w:lang w:eastAsia="zh-CN"/>
          <w14:textFill>
            <w14:solidFill>
              <w14:schemeClr w14:val="tx1"/>
            </w14:solidFill>
          </w14:textFill>
        </w:rPr>
        <w:t>乙方</w:t>
      </w:r>
      <w:r>
        <w:rPr>
          <w:rFonts w:hint="eastAsia" w:ascii="仿宋" w:hAnsi="仿宋" w:eastAsia="仿宋" w:cs="仿宋"/>
          <w:color w:val="000000"/>
          <w:sz w:val="32"/>
          <w:szCs w:val="32"/>
        </w:rPr>
        <w:t>应负责三包(包修、包换、包退)，费用由</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负担。</w:t>
      </w:r>
    </w:p>
    <w:p>
      <w:pPr>
        <w:spacing w:line="360" w:lineRule="auto"/>
        <w:ind w:firstLine="630" w:firstLineChars="196"/>
        <w:rPr>
          <w:rFonts w:ascii="仿宋" w:hAnsi="仿宋" w:eastAsia="仿宋" w:cs="仿宋"/>
          <w:b/>
          <w:color w:val="000000"/>
          <w:sz w:val="32"/>
          <w:szCs w:val="32"/>
        </w:rPr>
      </w:pPr>
      <w:r>
        <w:rPr>
          <w:rFonts w:hint="eastAsia" w:ascii="仿宋" w:hAnsi="仿宋" w:eastAsia="仿宋" w:cs="仿宋"/>
          <w:b/>
          <w:color w:val="000000"/>
          <w:sz w:val="32"/>
          <w:szCs w:val="32"/>
        </w:rPr>
        <w:t>四、交货及验收</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1.乙方交货期限为合同签订生效后的</w:t>
      </w:r>
      <w:r>
        <w:rPr>
          <w:rFonts w:hint="eastAsia" w:ascii="仿宋" w:hAnsi="仿宋" w:eastAsia="仿宋" w:cs="仿宋"/>
          <w:color w:val="000000"/>
          <w:sz w:val="32"/>
          <w:szCs w:val="32"/>
          <w:u w:val="single"/>
        </w:rPr>
        <w:t xml:space="preserve">     </w:t>
      </w:r>
      <w:r>
        <w:rPr>
          <w:rFonts w:hint="eastAsia" w:ascii="仿宋" w:hAnsi="仿宋" w:eastAsia="仿宋" w:cs="仿宋"/>
          <w:color w:val="000000"/>
          <w:sz w:val="32"/>
          <w:szCs w:val="32"/>
        </w:rPr>
        <w:t>日内，在合同签订生效之日起</w:t>
      </w:r>
      <w:r>
        <w:rPr>
          <w:rFonts w:hint="eastAsia" w:ascii="仿宋" w:hAnsi="仿宋" w:eastAsia="仿宋" w:cs="仿宋"/>
          <w:sz w:val="32"/>
          <w:szCs w:val="32"/>
          <w:u w:val="single"/>
        </w:rPr>
        <w:t xml:space="preserve">   </w:t>
      </w:r>
      <w:r>
        <w:rPr>
          <w:rFonts w:hint="eastAsia" w:ascii="仿宋" w:hAnsi="仿宋" w:eastAsia="仿宋" w:cs="仿宋"/>
          <w:color w:val="000000"/>
          <w:sz w:val="32"/>
          <w:szCs w:val="32"/>
        </w:rPr>
        <w:t>天内交货到甲方指定地点，随即在</w:t>
      </w:r>
      <w:r>
        <w:rPr>
          <w:rFonts w:hint="eastAsia" w:ascii="仿宋" w:hAnsi="仿宋" w:eastAsia="仿宋" w:cs="仿宋"/>
          <w:color w:val="000000"/>
          <w:sz w:val="32"/>
          <w:szCs w:val="32"/>
          <w:u w:val="single"/>
        </w:rPr>
        <w:t>90</w:t>
      </w:r>
      <w:r>
        <w:rPr>
          <w:rFonts w:hint="eastAsia" w:ascii="仿宋" w:hAnsi="仿宋" w:eastAsia="仿宋" w:cs="仿宋"/>
          <w:color w:val="000000"/>
          <w:sz w:val="32"/>
          <w:szCs w:val="32"/>
        </w:rPr>
        <w:t>日内全部完成安装调试验收合格交付使用(如由于</w:t>
      </w:r>
      <w:r>
        <w:rPr>
          <w:rFonts w:hint="eastAsia" w:ascii="仿宋" w:hAnsi="仿宋" w:eastAsia="仿宋" w:cs="仿宋"/>
          <w:color w:val="000000" w:themeColor="text1"/>
          <w:sz w:val="32"/>
          <w:szCs w:val="32"/>
          <w:lang w:eastAsia="zh-CN"/>
          <w14:textFill>
            <w14:solidFill>
              <w14:schemeClr w14:val="tx1"/>
            </w14:solidFill>
          </w14:textFill>
        </w:rPr>
        <w:t>甲方</w:t>
      </w:r>
      <w:r>
        <w:rPr>
          <w:rFonts w:hint="eastAsia" w:ascii="仿宋" w:hAnsi="仿宋" w:eastAsia="仿宋" w:cs="仿宋"/>
          <w:color w:val="000000"/>
          <w:sz w:val="32"/>
          <w:szCs w:val="32"/>
        </w:rPr>
        <w:t>的原因造成合同延迟签订或验收的，时间顺延)。交货验收时须提供产品质检部门从同类产品中抽样检查合格的检测报告</w:t>
      </w:r>
      <w:r>
        <w:rPr>
          <w:rFonts w:hint="eastAsia" w:ascii="仿宋" w:hAnsi="仿宋" w:eastAsia="仿宋" w:cs="仿宋"/>
          <w:color w:val="000000"/>
          <w:sz w:val="32"/>
          <w:szCs w:val="32"/>
          <w:lang w:eastAsia="zh-CN"/>
        </w:rPr>
        <w:t>。</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2.验收由甲方组织，乙方配合进行：</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（1）</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应根据行业惯例和规定的相关国家标准(包括但不限于信息产业部)在中标后需提供一份详细的系统的检验测试办法和测试标准，以及相应的测试和检验时间计划。</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（2）</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在接到</w:t>
      </w:r>
      <w:r>
        <w:rPr>
          <w:rFonts w:hint="eastAsia" w:ascii="仿宋" w:hAnsi="仿宋" w:eastAsia="仿宋" w:cs="仿宋"/>
          <w:color w:val="000000" w:themeColor="text1"/>
          <w:sz w:val="32"/>
          <w:szCs w:val="32"/>
          <w:lang w:eastAsia="zh-CN"/>
          <w14:textFill>
            <w14:solidFill>
              <w14:schemeClr w14:val="tx1"/>
            </w14:solidFill>
          </w14:textFill>
        </w:rPr>
        <w:t>乙方</w:t>
      </w:r>
      <w:r>
        <w:rPr>
          <w:rFonts w:hint="eastAsia" w:ascii="仿宋" w:hAnsi="仿宋" w:eastAsia="仿宋" w:cs="仿宋"/>
          <w:color w:val="000000"/>
          <w:sz w:val="32"/>
          <w:szCs w:val="32"/>
        </w:rPr>
        <w:t>系统检验测试的申请后负责提供操作人员参加检验和测试，其它任何与检验和测试系统的费用由</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负担。</w:t>
      </w:r>
    </w:p>
    <w:p>
      <w:pPr>
        <w:pStyle w:val="103"/>
        <w:spacing w:line="360" w:lineRule="auto"/>
        <w:ind w:firstLine="640"/>
        <w:rPr>
          <w:rFonts w:hint="eastAsia" w:ascii="仿宋" w:hAnsi="仿宋" w:eastAsia="仿宋" w:cs="仿宋"/>
          <w:color w:val="000000"/>
          <w:sz w:val="32"/>
          <w:szCs w:val="32"/>
        </w:rPr>
      </w:pPr>
      <w:r>
        <w:rPr>
          <w:rFonts w:hint="eastAsia" w:ascii="仿宋" w:hAnsi="仿宋" w:eastAsia="仿宋" w:cs="仿宋"/>
          <w:color w:val="000000"/>
          <w:sz w:val="32"/>
          <w:szCs w:val="32"/>
        </w:rPr>
        <w:t>（3）项目验收包括货物验收和安装验收2个阶段</w:t>
      </w:r>
      <w:r>
        <w:rPr>
          <w:rFonts w:hint="eastAsia" w:ascii="仿宋" w:hAnsi="仿宋" w:eastAsia="仿宋" w:cs="仿宋"/>
          <w:color w:val="000000"/>
          <w:sz w:val="32"/>
          <w:szCs w:val="32"/>
          <w:lang w:eastAsia="zh-CN"/>
        </w:rPr>
        <w:t>，两个阶段皆验收合格，作为该合同项目整体验收合格的条件：</w:t>
      </w:r>
    </w:p>
    <w:p>
      <w:pPr>
        <w:pStyle w:val="103"/>
        <w:spacing w:line="360" w:lineRule="auto"/>
        <w:ind w:firstLine="64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交货验收阶段：乙方将货物运送至甲方指定的交付地点，乙方需通知甲方对货物的外观、型号、数量等进行开箱检验，双方就上述内容情况制作开箱检验记录。在开箱检验中如发现设备、应该附带的配件、文件资料等有缺失、错误、损坏的，由乙方在甲方规定时间内更换或者补足。</w:t>
      </w:r>
      <w:r>
        <w:rPr>
          <w:rFonts w:hint="eastAsia" w:ascii="仿宋" w:hAnsi="仿宋" w:eastAsia="仿宋" w:cs="仿宋"/>
          <w:color w:val="000000"/>
          <w:sz w:val="32"/>
          <w:szCs w:val="32"/>
        </w:rPr>
        <w:t>乙方应将所提供货物的装箱清单、配件、随机工具、用户使用手册、原厂保修卡等资料交付给甲方；乙方不能完整交付货物及本款规定的单证和工具的，必须负责补齐，否则视为未按合同约定交货。</w:t>
      </w:r>
      <w:r>
        <w:rPr>
          <w:rFonts w:hint="eastAsia" w:ascii="仿宋" w:hAnsi="仿宋" w:eastAsia="仿宋" w:cs="仿宋"/>
          <w:color w:val="000000"/>
          <w:sz w:val="32"/>
          <w:szCs w:val="32"/>
          <w:lang w:eastAsia="zh-CN"/>
        </w:rPr>
        <w:t>开箱检验不作为最终质量验收合格的依据。</w:t>
      </w:r>
    </w:p>
    <w:p>
      <w:pPr>
        <w:pStyle w:val="103"/>
        <w:spacing w:line="360" w:lineRule="auto"/>
        <w:ind w:firstLine="64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安装验收阶段：乙方根据招标要求进行设备安装、调试、测试后，甲方进行使用性能方面的验收：试运行时性能满足要求；验收及试运行时出现问题的</w:t>
      </w:r>
      <w:r>
        <w:rPr>
          <w:rFonts w:hint="eastAsia" w:ascii="仿宋" w:hAnsi="仿宋" w:eastAsia="仿宋" w:cs="仿宋"/>
          <w:color w:val="000000" w:themeColor="text1"/>
          <w:sz w:val="32"/>
          <w:szCs w:val="32"/>
          <w:lang w:eastAsia="zh-CN"/>
          <w14:textFill>
            <w14:solidFill>
              <w14:schemeClr w14:val="tx1"/>
            </w14:solidFill>
          </w14:textFill>
        </w:rPr>
        <w:t>乙方</w:t>
      </w:r>
      <w:r>
        <w:rPr>
          <w:rFonts w:hint="eastAsia" w:ascii="仿宋" w:hAnsi="仿宋" w:eastAsia="仿宋" w:cs="仿宋"/>
          <w:color w:val="000000"/>
          <w:sz w:val="32"/>
          <w:szCs w:val="32"/>
          <w:lang w:eastAsia="zh-CN"/>
        </w:rPr>
        <w:t>已及时解决至甲方满意；乙方的安装标准技术规范等符合国家标准、行业规范要求，由具有相关资质的单位出具验收报告。</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（4）其他未尽事宜应参照《财政部关于进一步加强政府采购需求和履约验收管理的指导意见》(财库〔2016〕205号)的要求进行验收。</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3.货物安装调试完毕后XXX日内，甲方无故不进行</w:t>
      </w:r>
      <w:r>
        <w:rPr>
          <w:rFonts w:hint="eastAsia" w:ascii="仿宋" w:hAnsi="仿宋" w:eastAsia="仿宋" w:cs="仿宋"/>
          <w:color w:val="000000"/>
          <w:sz w:val="32"/>
          <w:szCs w:val="32"/>
          <w:lang w:eastAsia="zh-CN"/>
        </w:rPr>
        <w:t>安装</w:t>
      </w:r>
      <w:r>
        <w:rPr>
          <w:rFonts w:hint="eastAsia" w:ascii="仿宋" w:hAnsi="仿宋" w:eastAsia="仿宋" w:cs="仿宋"/>
          <w:color w:val="000000"/>
          <w:sz w:val="32"/>
          <w:szCs w:val="32"/>
        </w:rPr>
        <w:t>验收工作并已使用货物的，视同验收合格。</w:t>
      </w:r>
    </w:p>
    <w:p>
      <w:pPr>
        <w:pStyle w:val="103"/>
        <w:spacing w:line="360" w:lineRule="auto"/>
        <w:ind w:firstLine="640"/>
        <w:rPr>
          <w:rFonts w:ascii="仿宋" w:hAnsi="仿宋" w:eastAsia="仿宋" w:cs="仿宋"/>
          <w:color w:val="000000"/>
          <w:sz w:val="32"/>
          <w:szCs w:val="32"/>
        </w:rPr>
      </w:pPr>
    </w:p>
    <w:p>
      <w:pPr>
        <w:spacing w:line="360" w:lineRule="auto"/>
        <w:ind w:firstLine="630" w:firstLineChars="196"/>
        <w:rPr>
          <w:rFonts w:ascii="仿宋" w:hAnsi="仿宋" w:eastAsia="仿宋" w:cs="仿宋"/>
          <w:b/>
          <w:sz w:val="32"/>
          <w:szCs w:val="32"/>
        </w:rPr>
      </w:pPr>
      <w:r>
        <w:rPr>
          <w:rFonts w:hint="eastAsia" w:ascii="仿宋" w:hAnsi="仿宋" w:eastAsia="仿宋" w:cs="仿宋"/>
          <w:b/>
          <w:sz w:val="32"/>
          <w:szCs w:val="32"/>
        </w:rPr>
        <w:t>五、付款方式</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签订合同后，</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向</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开具</w:t>
      </w:r>
      <w:r>
        <w:rPr>
          <w:rFonts w:hint="eastAsia" w:ascii="仿宋" w:hAnsi="仿宋" w:eastAsia="仿宋" w:cs="仿宋"/>
          <w:color w:val="000000"/>
          <w:sz w:val="32"/>
          <w:szCs w:val="32"/>
          <w:lang w:eastAsia="zh-CN"/>
        </w:rPr>
        <w:t>票面为</w:t>
      </w:r>
      <w:r>
        <w:rPr>
          <w:rFonts w:hint="eastAsia" w:ascii="仿宋" w:hAnsi="仿宋" w:eastAsia="仿宋" w:cs="仿宋"/>
          <w:color w:val="000000"/>
          <w:sz w:val="32"/>
          <w:szCs w:val="32"/>
        </w:rPr>
        <w:t>合同总金额30%</w:t>
      </w:r>
      <w:r>
        <w:rPr>
          <w:rFonts w:hint="eastAsia" w:ascii="仿宋" w:hAnsi="仿宋" w:eastAsia="仿宋" w:cs="仿宋"/>
          <w:color w:val="000000"/>
          <w:sz w:val="32"/>
          <w:szCs w:val="32"/>
          <w:lang w:eastAsia="zh-CN"/>
        </w:rPr>
        <w:t>的</w:t>
      </w:r>
      <w:r>
        <w:rPr>
          <w:rFonts w:hint="eastAsia" w:ascii="仿宋" w:hAnsi="仿宋" w:eastAsia="仿宋" w:cs="仿宋"/>
          <w:color w:val="000000"/>
          <w:sz w:val="32"/>
          <w:szCs w:val="32"/>
        </w:rPr>
        <w:t>正式发票，</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在收到发票后三十个工作日内支付合同总金额30%的合同</w:t>
      </w:r>
      <w:r>
        <w:rPr>
          <w:rFonts w:hint="eastAsia" w:ascii="仿宋" w:hAnsi="仿宋" w:eastAsia="仿宋" w:cs="仿宋"/>
          <w:color w:val="000000"/>
          <w:sz w:val="32"/>
          <w:szCs w:val="32"/>
          <w:lang w:eastAsia="zh-CN"/>
        </w:rPr>
        <w:t>款</w:t>
      </w:r>
      <w:r>
        <w:rPr>
          <w:rFonts w:hint="eastAsia" w:ascii="仿宋" w:hAnsi="仿宋" w:eastAsia="仿宋" w:cs="仿宋"/>
          <w:color w:val="000000"/>
          <w:sz w:val="32"/>
          <w:szCs w:val="32"/>
        </w:rPr>
        <w:t>；</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主要设备进场并经</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和项目监理清点签收后五个工作日内</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向</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开具</w:t>
      </w:r>
      <w:r>
        <w:rPr>
          <w:rFonts w:hint="eastAsia" w:ascii="仿宋" w:hAnsi="仿宋" w:eastAsia="仿宋" w:cs="仿宋"/>
          <w:color w:val="000000"/>
          <w:sz w:val="32"/>
          <w:szCs w:val="32"/>
          <w:lang w:eastAsia="zh-CN"/>
        </w:rPr>
        <w:t>票面金额为</w:t>
      </w:r>
      <w:r>
        <w:rPr>
          <w:rFonts w:hint="eastAsia" w:ascii="仿宋" w:hAnsi="仿宋" w:eastAsia="仿宋" w:cs="仿宋"/>
          <w:color w:val="000000"/>
          <w:sz w:val="32"/>
          <w:szCs w:val="32"/>
        </w:rPr>
        <w:t>合同总金额20%</w:t>
      </w:r>
      <w:r>
        <w:rPr>
          <w:rFonts w:hint="eastAsia" w:ascii="仿宋" w:hAnsi="仿宋" w:eastAsia="仿宋" w:cs="仿宋"/>
          <w:color w:val="000000"/>
          <w:sz w:val="32"/>
          <w:szCs w:val="32"/>
          <w:lang w:eastAsia="zh-CN"/>
        </w:rPr>
        <w:t>的</w:t>
      </w:r>
      <w:r>
        <w:rPr>
          <w:rFonts w:hint="eastAsia" w:ascii="仿宋" w:hAnsi="仿宋" w:eastAsia="仿宋" w:cs="仿宋"/>
          <w:color w:val="000000"/>
          <w:sz w:val="32"/>
          <w:szCs w:val="32"/>
        </w:rPr>
        <w:t>正式发票，</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在收到发票后三十个工作日内支付合同总金额20%的合同</w:t>
      </w:r>
      <w:r>
        <w:rPr>
          <w:rFonts w:hint="eastAsia" w:ascii="仿宋" w:hAnsi="仿宋" w:eastAsia="仿宋" w:cs="仿宋"/>
          <w:color w:val="000000"/>
          <w:sz w:val="32"/>
          <w:szCs w:val="32"/>
          <w:lang w:eastAsia="zh-CN"/>
        </w:rPr>
        <w:t>款</w:t>
      </w:r>
      <w:r>
        <w:rPr>
          <w:rFonts w:hint="eastAsia" w:ascii="仿宋" w:hAnsi="仿宋" w:eastAsia="仿宋" w:cs="仿宋"/>
          <w:color w:val="000000"/>
          <w:sz w:val="32"/>
          <w:szCs w:val="32"/>
        </w:rPr>
        <w:t>；</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项目完成并经</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和项目监理验收合格后五个工作日内</w:t>
      </w:r>
      <w:r>
        <w:rPr>
          <w:rFonts w:hint="eastAsia" w:ascii="仿宋" w:hAnsi="仿宋" w:eastAsia="仿宋" w:cs="仿宋"/>
          <w:color w:val="000000"/>
          <w:sz w:val="32"/>
          <w:szCs w:val="32"/>
          <w:lang w:eastAsia="zh-CN"/>
        </w:rPr>
        <w:t>乙方向甲方</w:t>
      </w:r>
      <w:r>
        <w:rPr>
          <w:rFonts w:hint="eastAsia" w:ascii="仿宋" w:hAnsi="仿宋" w:eastAsia="仿宋" w:cs="仿宋"/>
          <w:color w:val="000000"/>
          <w:sz w:val="32"/>
          <w:szCs w:val="32"/>
        </w:rPr>
        <w:t>开具</w:t>
      </w:r>
      <w:r>
        <w:rPr>
          <w:rFonts w:hint="eastAsia" w:ascii="仿宋" w:hAnsi="仿宋" w:eastAsia="仿宋" w:cs="仿宋"/>
          <w:color w:val="000000"/>
          <w:sz w:val="32"/>
          <w:szCs w:val="32"/>
          <w:lang w:eastAsia="zh-CN"/>
        </w:rPr>
        <w:t>票面金额为</w:t>
      </w:r>
      <w:r>
        <w:rPr>
          <w:rFonts w:hint="eastAsia" w:ascii="仿宋" w:hAnsi="仿宋" w:eastAsia="仿宋" w:cs="仿宋"/>
          <w:color w:val="000000"/>
          <w:sz w:val="32"/>
          <w:szCs w:val="32"/>
        </w:rPr>
        <w:t>合同总金额</w:t>
      </w:r>
      <w:r>
        <w:rPr>
          <w:rFonts w:hint="eastAsia" w:ascii="仿宋" w:hAnsi="仿宋" w:eastAsia="仿宋" w:cs="仿宋"/>
          <w:color w:val="000000"/>
          <w:sz w:val="32"/>
          <w:szCs w:val="32"/>
          <w:lang w:val="en-US" w:eastAsia="zh-CN"/>
        </w:rPr>
        <w:t>4</w:t>
      </w:r>
      <w:r>
        <w:rPr>
          <w:rFonts w:hint="eastAsia" w:ascii="仿宋" w:hAnsi="仿宋" w:eastAsia="仿宋" w:cs="仿宋"/>
          <w:color w:val="000000"/>
          <w:sz w:val="32"/>
          <w:szCs w:val="32"/>
        </w:rPr>
        <w:t>0%</w:t>
      </w:r>
      <w:r>
        <w:rPr>
          <w:rFonts w:hint="eastAsia" w:ascii="仿宋" w:hAnsi="仿宋" w:eastAsia="仿宋" w:cs="仿宋"/>
          <w:color w:val="000000"/>
          <w:sz w:val="32"/>
          <w:szCs w:val="32"/>
          <w:lang w:eastAsia="zh-CN"/>
        </w:rPr>
        <w:t>的</w:t>
      </w:r>
      <w:r>
        <w:rPr>
          <w:rFonts w:hint="eastAsia" w:ascii="仿宋" w:hAnsi="仿宋" w:eastAsia="仿宋" w:cs="仿宋"/>
          <w:color w:val="000000"/>
          <w:sz w:val="32"/>
          <w:szCs w:val="32"/>
        </w:rPr>
        <w:t>正式发票，</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在收到发票后三十个工作日内支付合同总金额40%的合同款；</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项目验收完成并成功运行</w:t>
      </w:r>
      <w:r>
        <w:rPr>
          <w:rFonts w:hint="eastAsia" w:ascii="仿宋" w:hAnsi="仿宋" w:eastAsia="仿宋" w:cs="仿宋"/>
          <w:color w:val="000000"/>
          <w:sz w:val="32"/>
          <w:szCs w:val="32"/>
          <w:lang w:eastAsia="zh-CN"/>
        </w:rPr>
        <w:t>一</w:t>
      </w:r>
      <w:r>
        <w:rPr>
          <w:rFonts w:hint="eastAsia" w:ascii="仿宋" w:hAnsi="仿宋" w:eastAsia="仿宋" w:cs="仿宋"/>
          <w:color w:val="000000"/>
          <w:sz w:val="32"/>
          <w:szCs w:val="32"/>
        </w:rPr>
        <w:t>年后五个工作日内</w:t>
      </w:r>
      <w:r>
        <w:rPr>
          <w:rFonts w:hint="eastAsia" w:ascii="仿宋" w:hAnsi="仿宋" w:eastAsia="仿宋" w:cs="仿宋"/>
          <w:color w:val="000000"/>
          <w:sz w:val="32"/>
          <w:szCs w:val="32"/>
          <w:lang w:eastAsia="zh-CN"/>
        </w:rPr>
        <w:t>乙方向甲方</w:t>
      </w:r>
      <w:r>
        <w:rPr>
          <w:rFonts w:hint="eastAsia" w:ascii="仿宋" w:hAnsi="仿宋" w:eastAsia="仿宋" w:cs="仿宋"/>
          <w:color w:val="000000"/>
          <w:sz w:val="32"/>
          <w:szCs w:val="32"/>
        </w:rPr>
        <w:t>开具</w:t>
      </w:r>
      <w:r>
        <w:rPr>
          <w:rFonts w:hint="eastAsia" w:ascii="仿宋" w:hAnsi="仿宋" w:eastAsia="仿宋" w:cs="仿宋"/>
          <w:color w:val="000000"/>
          <w:sz w:val="32"/>
          <w:szCs w:val="32"/>
          <w:lang w:eastAsia="zh-CN"/>
        </w:rPr>
        <w:t>票面金额为</w:t>
      </w:r>
      <w:r>
        <w:rPr>
          <w:rFonts w:hint="eastAsia" w:ascii="仿宋" w:hAnsi="仿宋" w:eastAsia="仿宋" w:cs="仿宋"/>
          <w:color w:val="000000"/>
          <w:sz w:val="32"/>
          <w:szCs w:val="32"/>
        </w:rPr>
        <w:t>合同总金额</w:t>
      </w: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rPr>
        <w:t>0%</w:t>
      </w:r>
      <w:r>
        <w:rPr>
          <w:rFonts w:hint="eastAsia" w:ascii="仿宋" w:hAnsi="仿宋" w:eastAsia="仿宋" w:cs="仿宋"/>
          <w:color w:val="000000"/>
          <w:sz w:val="32"/>
          <w:szCs w:val="32"/>
          <w:lang w:eastAsia="zh-CN"/>
        </w:rPr>
        <w:t>的</w:t>
      </w:r>
      <w:r>
        <w:rPr>
          <w:rFonts w:hint="eastAsia" w:ascii="仿宋" w:hAnsi="仿宋" w:eastAsia="仿宋" w:cs="仿宋"/>
          <w:color w:val="000000"/>
          <w:sz w:val="32"/>
          <w:szCs w:val="32"/>
        </w:rPr>
        <w:t>正式发票，</w:t>
      </w:r>
      <w:r>
        <w:rPr>
          <w:rFonts w:hint="eastAsia" w:ascii="仿宋" w:hAnsi="仿宋" w:eastAsia="仿宋" w:cs="仿宋"/>
          <w:color w:val="000000" w:themeColor="text1"/>
          <w:sz w:val="32"/>
          <w:szCs w:val="32"/>
          <w:lang w:eastAsia="zh-CN"/>
          <w14:textFill>
            <w14:solidFill>
              <w14:schemeClr w14:val="tx1"/>
            </w14:solidFill>
          </w14:textFill>
        </w:rPr>
        <w:t>甲方</w:t>
      </w:r>
      <w:r>
        <w:rPr>
          <w:rFonts w:hint="eastAsia" w:ascii="仿宋" w:hAnsi="仿宋" w:eastAsia="仿宋" w:cs="仿宋"/>
          <w:color w:val="000000"/>
          <w:sz w:val="32"/>
          <w:szCs w:val="32"/>
        </w:rPr>
        <w:t>在收到发票后三十个工作日内支付合同总金额10%的合同款。</w:t>
      </w:r>
    </w:p>
    <w:p>
      <w:pPr>
        <w:pStyle w:val="103"/>
        <w:spacing w:line="360" w:lineRule="auto"/>
        <w:ind w:firstLine="643"/>
        <w:rPr>
          <w:rFonts w:ascii="仿宋" w:hAnsi="仿宋" w:eastAsia="仿宋" w:cs="仿宋"/>
          <w:b/>
          <w:sz w:val="32"/>
          <w:szCs w:val="32"/>
        </w:rPr>
      </w:pPr>
      <w:r>
        <w:rPr>
          <w:rFonts w:hint="eastAsia" w:ascii="仿宋" w:hAnsi="仿宋" w:eastAsia="仿宋" w:cs="仿宋"/>
          <w:b/>
          <w:sz w:val="32"/>
          <w:szCs w:val="32"/>
        </w:rPr>
        <w:t>六、售后服务</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在完成项目验收后1年内，派驻至少1名工程师现场驻点免费维护。1年后</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须指派专人负责与</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联系售后服务事宜。</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提供全套软硬件操作手册，以保证</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及维护人员能熟练掌握及操作该系统。</w:t>
      </w:r>
    </w:p>
    <w:p>
      <w:pPr>
        <w:pStyle w:val="103"/>
        <w:spacing w:line="360" w:lineRule="auto"/>
        <w:ind w:firstLine="640"/>
        <w:rPr>
          <w:rFonts w:hint="eastAsia" w:ascii="仿宋" w:hAnsi="仿宋" w:eastAsia="仿宋" w:cs="仿宋"/>
          <w:color w:val="000000"/>
          <w:sz w:val="32"/>
          <w:szCs w:val="32"/>
        </w:rPr>
      </w:pPr>
      <w:r>
        <w:rPr>
          <w:rFonts w:hint="eastAsia" w:ascii="仿宋" w:hAnsi="仿宋" w:eastAsia="仿宋" w:cs="仿宋"/>
          <w:color w:val="000000"/>
          <w:sz w:val="32"/>
          <w:szCs w:val="32"/>
        </w:rPr>
        <w:t>项目整体质保期为验收合格后3年。质保期内出现质量问题，</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接到通知后1小时内响应，4小时内到达现场</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项目验收合格后1年内出现任何质量问题，</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负责更换设备，不再收取额外费用；1年后</w:t>
      </w:r>
      <w:r>
        <w:rPr>
          <w:rFonts w:hint="eastAsia" w:ascii="仿宋" w:hAnsi="仿宋" w:eastAsia="仿宋" w:cs="仿宋"/>
          <w:color w:val="000000"/>
          <w:sz w:val="32"/>
          <w:szCs w:val="32"/>
          <w:lang w:eastAsia="zh-CN"/>
        </w:rPr>
        <w:t>出现质量问题，乙方</w:t>
      </w:r>
      <w:r>
        <w:rPr>
          <w:rFonts w:hint="eastAsia" w:ascii="仿宋" w:hAnsi="仿宋" w:eastAsia="仿宋" w:cs="仿宋"/>
          <w:color w:val="000000"/>
          <w:sz w:val="32"/>
          <w:szCs w:val="32"/>
        </w:rPr>
        <w:t>完成维修或更换，并承担修理调换的费用。若现场无法完成维修，</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负责将损坏设备送修及送回厂商，运费及交通费由</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承担，维修费由</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承担，无法修复的，</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提供对应的备件设备。</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质保期内，</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每半年对软硬件系统性能进行分析评估，并提供升级优化服务，提供六次优化报告。</w:t>
      </w:r>
    </w:p>
    <w:p>
      <w:pPr>
        <w:spacing w:line="360" w:lineRule="auto"/>
        <w:ind w:firstLine="630" w:firstLineChars="196"/>
        <w:rPr>
          <w:rFonts w:ascii="仿宋" w:hAnsi="仿宋" w:eastAsia="仿宋" w:cs="仿宋"/>
          <w:b/>
          <w:color w:val="000000"/>
          <w:sz w:val="32"/>
          <w:szCs w:val="32"/>
        </w:rPr>
      </w:pPr>
      <w:r>
        <w:rPr>
          <w:rFonts w:hint="eastAsia" w:ascii="仿宋" w:hAnsi="仿宋" w:eastAsia="仿宋" w:cs="仿宋"/>
          <w:b/>
          <w:color w:val="000000"/>
          <w:sz w:val="32"/>
          <w:szCs w:val="32"/>
        </w:rPr>
        <w:t>七、违约责任</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1.甲方违约责任</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（1）甲方无正当理由拒收货物的，甲方应偿付合同总价百分之XXX的违约金；</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（2）甲方逾期支付货款的，除应及时付足货款外，应向乙方偿付</w:t>
      </w:r>
      <w:r>
        <w:rPr>
          <w:rFonts w:hint="eastAsia" w:ascii="仿宋" w:hAnsi="仿宋" w:eastAsia="仿宋" w:cs="仿宋"/>
          <w:sz w:val="32"/>
          <w:szCs w:val="32"/>
          <w:lang w:eastAsia="zh-CN"/>
        </w:rPr>
        <w:t>当期支付货款</w:t>
      </w:r>
      <w:r>
        <w:rPr>
          <w:rFonts w:hint="eastAsia" w:ascii="仿宋" w:hAnsi="仿宋" w:eastAsia="仿宋" w:cs="仿宋"/>
          <w:sz w:val="32"/>
          <w:szCs w:val="32"/>
        </w:rPr>
        <w:t>总额万分之XXX/天的违约金；逾期付款超过XXX天的，乙方有权终止合同；</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（3）甲方偿付的违约金不足以弥补乙方损失的，还应按乙方损失尚未弥补的部分，支付赔偿金给乙方。</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2.乙方违约责任</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1）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（2）乙方不能交付货物或逾期交付货物而违约的，除应及时交足货物外，应向甲方偿付逾期交货部分货款总额的万分之XXX/天的违约金；逾期交货超过XX天，甲方有权终止合同，乙方</w:t>
      </w:r>
      <w:r>
        <w:rPr>
          <w:rFonts w:hint="eastAsia" w:ascii="仿宋" w:hAnsi="仿宋" w:eastAsia="仿宋" w:cs="仿宋"/>
          <w:sz w:val="32"/>
          <w:szCs w:val="32"/>
          <w:lang w:eastAsia="zh-CN"/>
        </w:rPr>
        <w:t>还</w:t>
      </w:r>
      <w:r>
        <w:rPr>
          <w:rFonts w:hint="eastAsia" w:ascii="仿宋" w:hAnsi="仿宋" w:eastAsia="仿宋" w:cs="仿宋"/>
          <w:sz w:val="32"/>
          <w:szCs w:val="32"/>
        </w:rPr>
        <w:t>应按合同总价的百分之XXX的款额向甲方偿付赔偿金，并须全额退还甲方已经付给乙方的货款及其利息。</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3）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pPr>
        <w:pStyle w:val="103"/>
        <w:spacing w:line="360" w:lineRule="auto"/>
        <w:ind w:firstLine="640"/>
        <w:rPr>
          <w:rFonts w:ascii="仿宋" w:hAnsi="仿宋" w:eastAsia="仿宋" w:cs="仿宋"/>
          <w:b/>
          <w:sz w:val="32"/>
          <w:szCs w:val="32"/>
        </w:rPr>
      </w:pPr>
      <w:r>
        <w:rPr>
          <w:rFonts w:hint="eastAsia" w:ascii="仿宋" w:hAnsi="仿宋" w:eastAsia="仿宋" w:cs="仿宋"/>
          <w:sz w:val="32"/>
          <w:szCs w:val="32"/>
        </w:rPr>
        <w:t>（5）乙方偿付的违约金不足以弥补甲方损失的，还应按甲方损失尚未弥补的部分，支付赔偿金给甲方。</w:t>
      </w:r>
    </w:p>
    <w:p>
      <w:pPr>
        <w:spacing w:line="360" w:lineRule="auto"/>
        <w:ind w:firstLine="639" w:firstLineChars="199"/>
        <w:rPr>
          <w:rFonts w:ascii="仿宋" w:hAnsi="仿宋" w:eastAsia="仿宋" w:cs="仿宋"/>
          <w:b/>
          <w:sz w:val="32"/>
          <w:szCs w:val="32"/>
        </w:rPr>
      </w:pPr>
      <w:r>
        <w:rPr>
          <w:rFonts w:hint="eastAsia" w:ascii="仿宋" w:hAnsi="仿宋" w:eastAsia="仿宋" w:cs="仿宋"/>
          <w:b/>
          <w:sz w:val="32"/>
          <w:szCs w:val="32"/>
        </w:rPr>
        <w:t>八、争议解决办法</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1.因货物的质量问题发生争议，由质量技术监督部门或其指定的质量鉴定机构进行质量鉴定。货物符合标准的，鉴定费由甲方承担；货物不符合质量标准的，鉴定费由乙方承担。</w:t>
      </w:r>
    </w:p>
    <w:p>
      <w:pPr>
        <w:pStyle w:val="103"/>
        <w:spacing w:line="360" w:lineRule="auto"/>
        <w:ind w:firstLine="640"/>
        <w:rPr>
          <w:rFonts w:ascii="仿宋" w:hAnsi="仿宋" w:eastAsia="仿宋" w:cs="仿宋"/>
          <w:b/>
          <w:sz w:val="32"/>
          <w:szCs w:val="32"/>
        </w:rPr>
      </w:pPr>
      <w:r>
        <w:rPr>
          <w:rFonts w:hint="eastAsia" w:ascii="仿宋" w:hAnsi="仿宋" w:eastAsia="仿宋" w:cs="仿宋"/>
          <w:sz w:val="32"/>
          <w:szCs w:val="32"/>
        </w:rPr>
        <w:t>2.合同履行期间,若双方发生争议，可协商或由有关部门调解解决，协商或调解不成的，由当事人依法维护其合法权益。</w:t>
      </w:r>
    </w:p>
    <w:p>
      <w:pPr>
        <w:spacing w:line="360" w:lineRule="auto"/>
        <w:ind w:firstLine="639" w:firstLineChars="199"/>
        <w:rPr>
          <w:rFonts w:ascii="仿宋" w:hAnsi="仿宋" w:eastAsia="仿宋" w:cs="仿宋"/>
          <w:b/>
          <w:sz w:val="32"/>
          <w:szCs w:val="32"/>
        </w:rPr>
      </w:pPr>
      <w:r>
        <w:rPr>
          <w:rFonts w:hint="eastAsia" w:ascii="仿宋" w:hAnsi="仿宋" w:eastAsia="仿宋" w:cs="仿宋"/>
          <w:b/>
          <w:sz w:val="32"/>
          <w:szCs w:val="32"/>
        </w:rPr>
        <w:t>九、其他</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1.如有未尽事宜，由双方依法订立补充合同。</w:t>
      </w:r>
    </w:p>
    <w:p>
      <w:pPr>
        <w:pStyle w:val="103"/>
        <w:spacing w:line="360" w:lineRule="auto"/>
        <w:ind w:firstLine="640"/>
        <w:rPr>
          <w:rFonts w:hint="eastAsia" w:ascii="仿宋" w:hAnsi="仿宋" w:eastAsia="仿宋" w:cs="仿宋"/>
          <w:sz w:val="32"/>
          <w:szCs w:val="32"/>
        </w:rPr>
      </w:pPr>
      <w:r>
        <w:rPr>
          <w:rFonts w:hint="eastAsia" w:ascii="仿宋" w:hAnsi="仿宋" w:eastAsia="仿宋" w:cs="仿宋"/>
          <w:sz w:val="32"/>
          <w:szCs w:val="32"/>
        </w:rPr>
        <w:t>2.本合同一式五份，自双方签章后生效。甲方三份，乙方、采购代理机构各一份。</w:t>
      </w:r>
    </w:p>
    <w:p>
      <w:pPr>
        <w:pStyle w:val="103"/>
        <w:spacing w:line="360" w:lineRule="auto"/>
        <w:ind w:firstLine="640"/>
        <w:rPr>
          <w:rFonts w:hint="eastAsia" w:ascii="仿宋" w:hAnsi="仿宋" w:eastAsia="仿宋" w:cs="仿宋"/>
          <w:sz w:val="32"/>
          <w:szCs w:val="32"/>
          <w:lang w:val="en-US" w:eastAsia="zh-CN"/>
        </w:rPr>
      </w:pP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 xml:space="preserve">甲方：   （盖公章）   </w:t>
      </w:r>
      <w:r>
        <w:rPr>
          <w:rFonts w:hint="eastAsia" w:ascii="仿宋" w:hAnsi="仿宋" w:eastAsia="仿宋" w:cs="仿宋"/>
          <w:sz w:val="32"/>
          <w:szCs w:val="32"/>
        </w:rPr>
        <w:tab/>
      </w:r>
      <w:r>
        <w:rPr>
          <w:rFonts w:hint="eastAsia" w:ascii="仿宋" w:hAnsi="仿宋" w:eastAsia="仿宋" w:cs="仿宋"/>
          <w:sz w:val="32"/>
          <w:szCs w:val="32"/>
        </w:rPr>
        <w:tab/>
      </w:r>
      <w:r>
        <w:rPr>
          <w:rFonts w:hint="eastAsia" w:ascii="仿宋" w:hAnsi="仿宋" w:eastAsia="仿宋" w:cs="仿宋"/>
          <w:sz w:val="32"/>
          <w:szCs w:val="32"/>
        </w:rPr>
        <w:t xml:space="preserve">     乙方：   （盖公章）</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法定代表人（授权代表）：         法定代表人（授权代表）：</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地    址：                     地    址：</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开户银行：                     开户银行：</w:t>
      </w:r>
    </w:p>
    <w:p>
      <w:pPr>
        <w:spacing w:line="360" w:lineRule="auto"/>
        <w:ind w:firstLine="640" w:firstLineChars="200"/>
        <w:rPr>
          <w:rFonts w:ascii="仿宋" w:hAnsi="仿宋" w:eastAsia="仿宋" w:cs="仿宋"/>
          <w:color w:val="000000"/>
          <w:sz w:val="32"/>
          <w:szCs w:val="32"/>
        </w:rPr>
      </w:pPr>
      <w:r>
        <w:rPr>
          <w:rFonts w:hint="eastAsia" w:ascii="仿宋" w:hAnsi="仿宋" w:eastAsia="仿宋" w:cs="仿宋"/>
          <w:sz w:val="32"/>
          <w:szCs w:val="32"/>
        </w:rPr>
        <w:t>账号：                         账号</w:t>
      </w:r>
      <w:r>
        <w:rPr>
          <w:rFonts w:hint="eastAsia" w:ascii="仿宋" w:hAnsi="仿宋" w:eastAsia="仿宋" w:cs="仿宋"/>
          <w:color w:val="000000"/>
          <w:sz w:val="32"/>
          <w:szCs w:val="32"/>
        </w:rPr>
        <w:t>：</w:t>
      </w:r>
    </w:p>
    <w:p>
      <w:pPr>
        <w:spacing w:line="360" w:lineRule="auto"/>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电    话：                     电    话：</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传    真：                     传    真：</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 xml:space="preserve">签约日期：XX年XX月XX日 </w:t>
      </w:r>
      <w:r>
        <w:rPr>
          <w:rFonts w:hint="eastAsia" w:ascii="仿宋" w:hAnsi="仿宋" w:eastAsia="仿宋" w:cs="仿宋"/>
          <w:sz w:val="32"/>
          <w:szCs w:val="32"/>
        </w:rPr>
        <w:tab/>
      </w:r>
      <w:r>
        <w:rPr>
          <w:rFonts w:hint="eastAsia" w:ascii="仿宋" w:hAnsi="仿宋" w:eastAsia="仿宋" w:cs="仿宋"/>
          <w:sz w:val="32"/>
          <w:szCs w:val="32"/>
        </w:rPr>
        <w:t>签约日期：XX年XX月XX日</w:t>
      </w:r>
    </w:p>
    <w:p>
      <w:pPr>
        <w:spacing w:line="400" w:lineRule="exact"/>
        <w:ind w:firstLine="420" w:firstLineChars="200"/>
        <w:rPr>
          <w:rFonts w:ascii="宋体" w:hAnsi="宋体"/>
          <w:color w:val="000000" w:themeColor="text1"/>
          <w:szCs w:val="21"/>
          <w14:textFill>
            <w14:solidFill>
              <w14:schemeClr w14:val="tx1"/>
            </w14:solidFill>
          </w14:textFill>
        </w:rPr>
      </w:pPr>
    </w:p>
    <w:p>
      <w:pPr>
        <w:spacing w:line="400" w:lineRule="exact"/>
        <w:ind w:firstLine="420" w:firstLineChars="200"/>
        <w:rPr>
          <w:rFonts w:ascii="宋体" w:hAnsi="宋体"/>
          <w:color w:val="000000" w:themeColor="text1"/>
          <w:szCs w:val="21"/>
          <w14:textFill>
            <w14:solidFill>
              <w14:schemeClr w14:val="tx1"/>
            </w14:solidFill>
          </w14:textFill>
        </w:rPr>
      </w:pPr>
    </w:p>
    <w:bookmarkEnd w:id="168"/>
    <w:bookmarkEnd w:id="169"/>
    <w:bookmarkEnd w:id="170"/>
    <w:p>
      <w:pPr>
        <w:rPr>
          <w:rFonts w:ascii="宋体" w:hAnsi="宋体" w:cs="Tahoma"/>
          <w:b/>
          <w:color w:val="000000" w:themeColor="text1"/>
          <w:sz w:val="30"/>
          <w:szCs w:val="30"/>
          <w14:textFill>
            <w14:solidFill>
              <w14:schemeClr w14:val="tx1"/>
            </w14:solidFill>
          </w14:textFill>
        </w:rPr>
      </w:pPr>
      <w:r>
        <w:rPr>
          <w:rFonts w:hint="eastAsia" w:ascii="宋体" w:hAnsi="宋体" w:cs="Tahoma"/>
          <w:b/>
          <w:color w:val="000000" w:themeColor="text1"/>
          <w:sz w:val="30"/>
          <w:szCs w:val="30"/>
          <w14:textFill>
            <w14:solidFill>
              <w14:schemeClr w14:val="tx1"/>
            </w14:solidFill>
          </w14:textFill>
        </w:rPr>
        <w:t>附件</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W1)">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roman"/>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roman"/>
    <w:pitch w:val="default"/>
    <w:sig w:usb0="00000000" w:usb1="00000000" w:usb2="00000008" w:usb3="00000000" w:csb0="000001F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28B8A8"/>
    <w:multiLevelType w:val="singleLevel"/>
    <w:tmpl w:val="BC28B8A8"/>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1">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1"/>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2">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7"/>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3">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2"/>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4"/>
      <w:suff w:val="space"/>
      <w:lvlText w:val="%1.%2.%3"/>
      <w:lvlJc w:val="left"/>
      <w:pPr>
        <w:ind w:left="992" w:hanging="567"/>
      </w:pPr>
      <w:rPr>
        <w:rFonts w:hint="default" w:ascii="Times New Roman" w:hAnsi="Times New Roman" w:eastAsia="宋体" w:cs="Times New Roman"/>
        <w:b/>
        <w:i w:val="0"/>
        <w:sz w:val="28"/>
      </w:rPr>
    </w:lvl>
    <w:lvl w:ilvl="3" w:tentative="0">
      <w:start w:val="1"/>
      <w:numFmt w:val="decimal"/>
      <w:pStyle w:val="5"/>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4">
    <w:nsid w:val="1B246E06"/>
    <w:multiLevelType w:val="multilevel"/>
    <w:tmpl w:val="1B246E06"/>
    <w:lvl w:ilvl="0" w:tentative="0">
      <w:start w:val="1"/>
      <w:numFmt w:val="japaneseCounting"/>
      <w:lvlText w:val="%1、"/>
      <w:lvlJc w:val="left"/>
      <w:pPr>
        <w:ind w:left="6391" w:hanging="720"/>
      </w:pPr>
      <w:rPr>
        <w:rFonts w:hint="eastAsia"/>
        <w:b w:val="0"/>
        <w:color w:val="auto"/>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5">
    <w:nsid w:val="27B0359A"/>
    <w:multiLevelType w:val="multilevel"/>
    <w:tmpl w:val="27B0359A"/>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C5917C3"/>
    <w:multiLevelType w:val="multilevel"/>
    <w:tmpl w:val="2C5917C3"/>
    <w:lvl w:ilvl="0" w:tentative="0">
      <w:start w:val="1"/>
      <w:numFmt w:val="none"/>
      <w:pStyle w:val="156"/>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7">
    <w:nsid w:val="35B81AEB"/>
    <w:multiLevelType w:val="singleLevel"/>
    <w:tmpl w:val="35B81AEB"/>
    <w:lvl w:ilvl="0" w:tentative="0">
      <w:start w:val="2"/>
      <w:numFmt w:val="chineseCounting"/>
      <w:suff w:val="nothing"/>
      <w:lvlText w:val="%1、"/>
      <w:lvlJc w:val="left"/>
      <w:rPr>
        <w:rFonts w:hint="eastAsia"/>
      </w:rPr>
    </w:lvl>
  </w:abstractNum>
  <w:abstractNum w:abstractNumId="8">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9">
    <w:nsid w:val="4D2540F1"/>
    <w:multiLevelType w:val="multilevel"/>
    <w:tmpl w:val="4D2540F1"/>
    <w:lvl w:ilvl="0" w:tentative="0">
      <w:start w:val="5"/>
      <w:numFmt w:val="japaneseCounting"/>
      <w:lvlText w:val="%1、"/>
      <w:lvlJc w:val="left"/>
      <w:pPr>
        <w:ind w:left="1429" w:hanging="72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0">
    <w:nsid w:val="6107B084"/>
    <w:multiLevelType w:val="multilevel"/>
    <w:tmpl w:val="6107B084"/>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6107B08F"/>
    <w:multiLevelType w:val="multilevel"/>
    <w:tmpl w:val="6107B08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12">
    <w:nsid w:val="6107B09A"/>
    <w:multiLevelType w:val="multilevel"/>
    <w:tmpl w:val="6107B09A"/>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107B0A5"/>
    <w:multiLevelType w:val="multilevel"/>
    <w:tmpl w:val="6107B0A5"/>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107B0B0"/>
    <w:multiLevelType w:val="multilevel"/>
    <w:tmpl w:val="6107B0B0"/>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5">
    <w:nsid w:val="6107B0BB"/>
    <w:multiLevelType w:val="multilevel"/>
    <w:tmpl w:val="6107B0BB"/>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abstractNum w:abstractNumId="16">
    <w:nsid w:val="6107B0C6"/>
    <w:multiLevelType w:val="multilevel"/>
    <w:tmpl w:val="6107B0C6"/>
    <w:lvl w:ilvl="0" w:tentative="0">
      <w:start w:val="1"/>
      <w:numFmt w:val="chineseCountingThousand"/>
      <w:lvlText w:val="%1、"/>
      <w:lvlJc w:val="left"/>
      <w:pPr>
        <w:ind w:left="986" w:hanging="420"/>
      </w:pPr>
      <w:rPr>
        <w:rFonts w:hint="eastAsia"/>
        <w:sz w:val="28"/>
        <w:highlight w:val="none"/>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7">
    <w:nsid w:val="6107B0D1"/>
    <w:multiLevelType w:val="multilevel"/>
    <w:tmpl w:val="6107B0D1"/>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8">
    <w:nsid w:val="6107B0DC"/>
    <w:multiLevelType w:val="multilevel"/>
    <w:tmpl w:val="6107B0DC"/>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9">
    <w:nsid w:val="6107B0E7"/>
    <w:multiLevelType w:val="multilevel"/>
    <w:tmpl w:val="6107B0E7"/>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0">
    <w:nsid w:val="6107B0F2"/>
    <w:multiLevelType w:val="multilevel"/>
    <w:tmpl w:val="6107B0F2"/>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21">
    <w:nsid w:val="6107B0FD"/>
    <w:multiLevelType w:val="multilevel"/>
    <w:tmpl w:val="6107B0FD"/>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6107B108"/>
    <w:multiLevelType w:val="multilevel"/>
    <w:tmpl w:val="6107B108"/>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6107B113"/>
    <w:multiLevelType w:val="multilevel"/>
    <w:tmpl w:val="6107B113"/>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4">
    <w:nsid w:val="6107B11E"/>
    <w:multiLevelType w:val="multilevel"/>
    <w:tmpl w:val="6107B11E"/>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5">
    <w:nsid w:val="6107B129"/>
    <w:multiLevelType w:val="multilevel"/>
    <w:tmpl w:val="6107B129"/>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26">
    <w:nsid w:val="6107B134"/>
    <w:multiLevelType w:val="multilevel"/>
    <w:tmpl w:val="6107B134"/>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6107B13F"/>
    <w:multiLevelType w:val="multilevel"/>
    <w:tmpl w:val="6107B13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8">
    <w:nsid w:val="6107B14A"/>
    <w:multiLevelType w:val="multilevel"/>
    <w:tmpl w:val="6107B14A"/>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9">
    <w:nsid w:val="6107B155"/>
    <w:multiLevelType w:val="multilevel"/>
    <w:tmpl w:val="6107B155"/>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0">
    <w:nsid w:val="6107B160"/>
    <w:multiLevelType w:val="multilevel"/>
    <w:tmpl w:val="6107B160"/>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31">
    <w:nsid w:val="6107B16B"/>
    <w:multiLevelType w:val="multilevel"/>
    <w:tmpl w:val="6107B16B"/>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
    <w:nsid w:val="6107B176"/>
    <w:multiLevelType w:val="multilevel"/>
    <w:tmpl w:val="6107B176"/>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3">
    <w:nsid w:val="6107B181"/>
    <w:multiLevelType w:val="multilevel"/>
    <w:tmpl w:val="6107B181"/>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34">
    <w:nsid w:val="6107B18C"/>
    <w:multiLevelType w:val="multilevel"/>
    <w:tmpl w:val="6107B18C"/>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5">
    <w:nsid w:val="6107B197"/>
    <w:multiLevelType w:val="multilevel"/>
    <w:tmpl w:val="6107B197"/>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6">
    <w:nsid w:val="6107B1A2"/>
    <w:multiLevelType w:val="multilevel"/>
    <w:tmpl w:val="6107B1A2"/>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7">
    <w:nsid w:val="6107B1AD"/>
    <w:multiLevelType w:val="multilevel"/>
    <w:tmpl w:val="6107B1AD"/>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6107B1B8"/>
    <w:multiLevelType w:val="multilevel"/>
    <w:tmpl w:val="6107B1B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6107B1C3"/>
    <w:multiLevelType w:val="multilevel"/>
    <w:tmpl w:val="6107B1C3"/>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6107B1CE"/>
    <w:multiLevelType w:val="multilevel"/>
    <w:tmpl w:val="6107B1CE"/>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6107B1D9"/>
    <w:multiLevelType w:val="multilevel"/>
    <w:tmpl w:val="6107B1D9"/>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6107B1E4"/>
    <w:multiLevelType w:val="multilevel"/>
    <w:tmpl w:val="6107B1E4"/>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3">
    <w:nsid w:val="6107B1EF"/>
    <w:multiLevelType w:val="multilevel"/>
    <w:tmpl w:val="6107B1EF"/>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44">
    <w:nsid w:val="6107B1FA"/>
    <w:multiLevelType w:val="multilevel"/>
    <w:tmpl w:val="6107B1FA"/>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5">
    <w:nsid w:val="6107B205"/>
    <w:multiLevelType w:val="multilevel"/>
    <w:tmpl w:val="6107B2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6">
    <w:nsid w:val="6107B210"/>
    <w:multiLevelType w:val="multilevel"/>
    <w:tmpl w:val="6107B210"/>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6107B21B"/>
    <w:multiLevelType w:val="multilevel"/>
    <w:tmpl w:val="6107B21B"/>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8">
    <w:nsid w:val="6107B226"/>
    <w:multiLevelType w:val="multilevel"/>
    <w:tmpl w:val="6107B226"/>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num w:numId="1">
    <w:abstractNumId w:val="3"/>
  </w:num>
  <w:num w:numId="2">
    <w:abstractNumId w:val="2"/>
  </w:num>
  <w:num w:numId="3">
    <w:abstractNumId w:val="1"/>
  </w:num>
  <w:num w:numId="4">
    <w:abstractNumId w:val="6"/>
  </w:num>
  <w:num w:numId="5">
    <w:abstractNumId w:val="7"/>
  </w:num>
  <w:num w:numId="6">
    <w:abstractNumId w:val="9"/>
  </w:num>
  <w:num w:numId="7">
    <w:abstractNumId w:val="10"/>
    <w:lvlOverride w:ilvl="1">
      <w:startOverride w:val="1"/>
    </w:lvlOverride>
  </w:num>
  <w:num w:numId="8">
    <w:abstractNumId w:val="11"/>
    <w:lvlOverride w:ilvl="0">
      <w:startOverride w:val="1"/>
    </w:lvlOverride>
  </w:num>
  <w:num w:numId="9">
    <w:abstractNumId w:val="12"/>
    <w:lvlOverride w:ilvl="0">
      <w:startOverride w:val="1"/>
    </w:lvlOverride>
  </w:num>
  <w:num w:numId="10">
    <w:abstractNumId w:val="13"/>
    <w:lvlOverride w:ilvl="0">
      <w:startOverride w:val="1"/>
    </w:lvlOverride>
  </w:num>
  <w:num w:numId="11">
    <w:abstractNumId w:val="14"/>
    <w:lvlOverride w:ilvl="0">
      <w:startOverride w:val="1"/>
    </w:lvlOverride>
  </w:num>
  <w:num w:numId="12">
    <w:abstractNumId w:val="15"/>
    <w:lvlOverride w:ilvl="0">
      <w:startOverride w:val="1"/>
    </w:lvlOverride>
  </w:num>
  <w:num w:numId="13">
    <w:abstractNumId w:val="16"/>
    <w:lvlOverride w:ilvl="0">
      <w:startOverride w:val="1"/>
    </w:lvlOverride>
  </w:num>
  <w:num w:numId="14">
    <w:abstractNumId w:val="17"/>
    <w:lvlOverride w:ilvl="0">
      <w:startOverride w:val="1"/>
    </w:lvlOverride>
  </w:num>
  <w:num w:numId="15">
    <w:abstractNumId w:val="18"/>
    <w:lvlOverride w:ilvl="1">
      <w:startOverride w:val="1"/>
    </w:lvlOverride>
  </w:num>
  <w:num w:numId="16">
    <w:abstractNumId w:val="19"/>
    <w:lvlOverride w:ilvl="0">
      <w:startOverride w:val="1"/>
    </w:lvlOverride>
  </w:num>
  <w:num w:numId="17">
    <w:abstractNumId w:val="20"/>
    <w:lvlOverride w:ilvl="0">
      <w:startOverride w:val="1"/>
    </w:lvlOverride>
  </w:num>
  <w:num w:numId="18">
    <w:abstractNumId w:val="21"/>
    <w:lvlOverride w:ilvl="0">
      <w:startOverride w:val="1"/>
    </w:lvlOverride>
  </w:num>
  <w:num w:numId="19">
    <w:abstractNumId w:val="22"/>
    <w:lvlOverride w:ilvl="0">
      <w:startOverride w:val="1"/>
    </w:lvlOverride>
  </w:num>
  <w:num w:numId="20">
    <w:abstractNumId w:val="23"/>
    <w:lvlOverride w:ilvl="0">
      <w:startOverride w:val="1"/>
    </w:lvlOverride>
  </w:num>
  <w:num w:numId="21">
    <w:abstractNumId w:val="24"/>
    <w:lvlOverride w:ilvl="0">
      <w:startOverride w:val="1"/>
    </w:lvlOverride>
  </w:num>
  <w:num w:numId="22">
    <w:abstractNumId w:val="8"/>
  </w:num>
  <w:num w:numId="23">
    <w:abstractNumId w:val="25"/>
    <w:lvlOverride w:ilvl="0">
      <w:startOverride w:val="1"/>
    </w:lvlOverride>
  </w:num>
  <w:num w:numId="24">
    <w:abstractNumId w:val="26"/>
    <w:lvlOverride w:ilvl="0">
      <w:startOverride w:val="1"/>
    </w:lvlOverride>
  </w:num>
  <w:num w:numId="25">
    <w:abstractNumId w:val="27"/>
    <w:lvlOverride w:ilvl="0">
      <w:startOverride w:val="1"/>
    </w:lvlOverride>
  </w:num>
  <w:num w:numId="26">
    <w:abstractNumId w:val="28"/>
    <w:lvlOverride w:ilvl="0">
      <w:startOverride w:val="1"/>
    </w:lvlOverride>
  </w:num>
  <w:num w:numId="27">
    <w:abstractNumId w:val="29"/>
    <w:lvlOverride w:ilvl="0">
      <w:startOverride w:val="1"/>
    </w:lvlOverride>
  </w:num>
  <w:num w:numId="28">
    <w:abstractNumId w:val="30"/>
    <w:lvlOverride w:ilvl="1">
      <w:startOverride w:val="1"/>
    </w:lvlOverride>
  </w:num>
  <w:num w:numId="29">
    <w:abstractNumId w:val="31"/>
    <w:lvlOverride w:ilvl="0">
      <w:startOverride w:val="1"/>
    </w:lvlOverride>
  </w:num>
  <w:num w:numId="30">
    <w:abstractNumId w:val="32"/>
    <w:lvlOverride w:ilvl="0">
      <w:startOverride w:val="1"/>
    </w:lvlOverride>
  </w:num>
  <w:num w:numId="31">
    <w:abstractNumId w:val="33"/>
    <w:lvlOverride w:ilvl="1">
      <w:startOverride w:val="1"/>
    </w:lvlOverride>
  </w:num>
  <w:num w:numId="32">
    <w:abstractNumId w:val="34"/>
    <w:lvlOverride w:ilvl="0">
      <w:startOverride w:val="1"/>
    </w:lvlOverride>
  </w:num>
  <w:num w:numId="33">
    <w:abstractNumId w:val="35"/>
    <w:lvlOverride w:ilvl="2">
      <w:startOverride w:val="1"/>
    </w:lvlOverride>
  </w:num>
  <w:num w:numId="34">
    <w:abstractNumId w:val="36"/>
    <w:lvlOverride w:ilvl="0">
      <w:startOverride w:val="1"/>
    </w:lvlOverride>
  </w:num>
  <w:num w:numId="35">
    <w:abstractNumId w:val="37"/>
    <w:lvlOverride w:ilvl="1">
      <w:startOverride w:val="1"/>
    </w:lvlOverride>
  </w:num>
  <w:num w:numId="36">
    <w:abstractNumId w:val="4"/>
  </w:num>
  <w:num w:numId="37">
    <w:abstractNumId w:val="5"/>
  </w:num>
  <w:num w:numId="38">
    <w:abstractNumId w:val="0"/>
  </w:num>
  <w:num w:numId="39">
    <w:abstractNumId w:val="38"/>
    <w:lvlOverride w:ilvl="0">
      <w:startOverride w:val="1"/>
    </w:lvlOverride>
  </w:num>
  <w:num w:numId="40">
    <w:abstractNumId w:val="39"/>
    <w:lvlOverride w:ilvl="1">
      <w:startOverride w:val="1"/>
    </w:lvlOverride>
  </w:num>
  <w:num w:numId="41">
    <w:abstractNumId w:val="40"/>
    <w:lvlOverride w:ilvl="0">
      <w:startOverride w:val="1"/>
    </w:lvlOverride>
  </w:num>
  <w:num w:numId="42">
    <w:abstractNumId w:val="41"/>
    <w:lvlOverride w:ilvl="0">
      <w:startOverride w:val="1"/>
    </w:lvlOverride>
  </w:num>
  <w:num w:numId="43">
    <w:abstractNumId w:val="42"/>
    <w:lvlOverride w:ilvl="0">
      <w:startOverride w:val="1"/>
    </w:lvlOverride>
  </w:num>
  <w:num w:numId="44">
    <w:abstractNumId w:val="43"/>
    <w:lvlOverride w:ilvl="0">
      <w:startOverride w:val="1"/>
    </w:lvlOverride>
  </w:num>
  <w:num w:numId="45">
    <w:abstractNumId w:val="44"/>
    <w:lvlOverride w:ilvl="0">
      <w:startOverride w:val="1"/>
    </w:lvlOverride>
  </w:num>
  <w:num w:numId="46">
    <w:abstractNumId w:val="45"/>
    <w:lvlOverride w:ilvl="0">
      <w:startOverride w:val="1"/>
    </w:lvlOverride>
  </w:num>
  <w:num w:numId="47">
    <w:abstractNumId w:val="46"/>
    <w:lvlOverride w:ilvl="0">
      <w:startOverride w:val="1"/>
    </w:lvlOverride>
  </w:num>
  <w:num w:numId="48">
    <w:abstractNumId w:val="47"/>
    <w:lvlOverride w:ilvl="0">
      <w:startOverride w:val="1"/>
    </w:lvlOverride>
  </w:num>
  <w:num w:numId="49">
    <w:abstractNumId w:val="4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387B"/>
    <w:rsid w:val="000042B8"/>
    <w:rsid w:val="00004B28"/>
    <w:rsid w:val="000101A5"/>
    <w:rsid w:val="00014923"/>
    <w:rsid w:val="000174DF"/>
    <w:rsid w:val="000174E4"/>
    <w:rsid w:val="00020209"/>
    <w:rsid w:val="00026529"/>
    <w:rsid w:val="00026B21"/>
    <w:rsid w:val="00027703"/>
    <w:rsid w:val="0003136B"/>
    <w:rsid w:val="0003676E"/>
    <w:rsid w:val="0005344D"/>
    <w:rsid w:val="0006474F"/>
    <w:rsid w:val="00065981"/>
    <w:rsid w:val="000679F7"/>
    <w:rsid w:val="00070719"/>
    <w:rsid w:val="00070733"/>
    <w:rsid w:val="00072234"/>
    <w:rsid w:val="000777D1"/>
    <w:rsid w:val="0008155B"/>
    <w:rsid w:val="000843CC"/>
    <w:rsid w:val="00086E37"/>
    <w:rsid w:val="00086F3A"/>
    <w:rsid w:val="0009560F"/>
    <w:rsid w:val="000A0B0A"/>
    <w:rsid w:val="000A4B6A"/>
    <w:rsid w:val="000B0144"/>
    <w:rsid w:val="000B310F"/>
    <w:rsid w:val="000B33FA"/>
    <w:rsid w:val="000B3D82"/>
    <w:rsid w:val="000B43E4"/>
    <w:rsid w:val="000B6789"/>
    <w:rsid w:val="000B687F"/>
    <w:rsid w:val="000C16AE"/>
    <w:rsid w:val="000C51E1"/>
    <w:rsid w:val="000C688A"/>
    <w:rsid w:val="000C7BCC"/>
    <w:rsid w:val="000D7F24"/>
    <w:rsid w:val="000F2F9B"/>
    <w:rsid w:val="000F57CA"/>
    <w:rsid w:val="00101BE9"/>
    <w:rsid w:val="00102646"/>
    <w:rsid w:val="00117367"/>
    <w:rsid w:val="00120CCC"/>
    <w:rsid w:val="001254AD"/>
    <w:rsid w:val="0013048F"/>
    <w:rsid w:val="001346A7"/>
    <w:rsid w:val="0015020F"/>
    <w:rsid w:val="00154224"/>
    <w:rsid w:val="0015495F"/>
    <w:rsid w:val="0015628B"/>
    <w:rsid w:val="001565CC"/>
    <w:rsid w:val="00162002"/>
    <w:rsid w:val="0016758C"/>
    <w:rsid w:val="00173A4F"/>
    <w:rsid w:val="00180441"/>
    <w:rsid w:val="00182C60"/>
    <w:rsid w:val="00183360"/>
    <w:rsid w:val="0019367D"/>
    <w:rsid w:val="001968B4"/>
    <w:rsid w:val="001A025C"/>
    <w:rsid w:val="001A678B"/>
    <w:rsid w:val="001A6D6C"/>
    <w:rsid w:val="001B7C8D"/>
    <w:rsid w:val="001C0579"/>
    <w:rsid w:val="001C1EF9"/>
    <w:rsid w:val="001C7D1E"/>
    <w:rsid w:val="001D348C"/>
    <w:rsid w:val="001D56CD"/>
    <w:rsid w:val="001D631B"/>
    <w:rsid w:val="001E4E60"/>
    <w:rsid w:val="001F4244"/>
    <w:rsid w:val="001F73B0"/>
    <w:rsid w:val="0020005A"/>
    <w:rsid w:val="00202454"/>
    <w:rsid w:val="002040A4"/>
    <w:rsid w:val="0020671B"/>
    <w:rsid w:val="002067B1"/>
    <w:rsid w:val="00207E19"/>
    <w:rsid w:val="00211515"/>
    <w:rsid w:val="00212479"/>
    <w:rsid w:val="0021467A"/>
    <w:rsid w:val="0021701C"/>
    <w:rsid w:val="0022692C"/>
    <w:rsid w:val="00226BF4"/>
    <w:rsid w:val="00243F9D"/>
    <w:rsid w:val="002469B8"/>
    <w:rsid w:val="00250BDE"/>
    <w:rsid w:val="002560C4"/>
    <w:rsid w:val="00261A3C"/>
    <w:rsid w:val="00262433"/>
    <w:rsid w:val="002637AD"/>
    <w:rsid w:val="00266DD3"/>
    <w:rsid w:val="00281E99"/>
    <w:rsid w:val="0028375D"/>
    <w:rsid w:val="00287BC3"/>
    <w:rsid w:val="00291D39"/>
    <w:rsid w:val="002A261C"/>
    <w:rsid w:val="002A3A1C"/>
    <w:rsid w:val="002B0466"/>
    <w:rsid w:val="002B2023"/>
    <w:rsid w:val="002C764F"/>
    <w:rsid w:val="002D760C"/>
    <w:rsid w:val="002E123D"/>
    <w:rsid w:val="002E4801"/>
    <w:rsid w:val="002F6FD2"/>
    <w:rsid w:val="0030284F"/>
    <w:rsid w:val="00303FFE"/>
    <w:rsid w:val="00305097"/>
    <w:rsid w:val="0033555E"/>
    <w:rsid w:val="003420BA"/>
    <w:rsid w:val="003518B7"/>
    <w:rsid w:val="00353263"/>
    <w:rsid w:val="00356B79"/>
    <w:rsid w:val="00364328"/>
    <w:rsid w:val="003646B9"/>
    <w:rsid w:val="00370D4D"/>
    <w:rsid w:val="003710A5"/>
    <w:rsid w:val="00371482"/>
    <w:rsid w:val="00374619"/>
    <w:rsid w:val="00383D6E"/>
    <w:rsid w:val="00390301"/>
    <w:rsid w:val="00390E31"/>
    <w:rsid w:val="003944EB"/>
    <w:rsid w:val="003A1E27"/>
    <w:rsid w:val="003B66BD"/>
    <w:rsid w:val="003D27CA"/>
    <w:rsid w:val="003D2A89"/>
    <w:rsid w:val="003D2F7D"/>
    <w:rsid w:val="003D53E3"/>
    <w:rsid w:val="003D7BD8"/>
    <w:rsid w:val="003E2110"/>
    <w:rsid w:val="003E3793"/>
    <w:rsid w:val="003F0EDE"/>
    <w:rsid w:val="003F53CF"/>
    <w:rsid w:val="0040069B"/>
    <w:rsid w:val="00402344"/>
    <w:rsid w:val="00404442"/>
    <w:rsid w:val="004051C9"/>
    <w:rsid w:val="00405BCD"/>
    <w:rsid w:val="00406FE3"/>
    <w:rsid w:val="004108A4"/>
    <w:rsid w:val="00411516"/>
    <w:rsid w:val="00421832"/>
    <w:rsid w:val="004232E7"/>
    <w:rsid w:val="004323DB"/>
    <w:rsid w:val="004357C7"/>
    <w:rsid w:val="0043700B"/>
    <w:rsid w:val="00437A1A"/>
    <w:rsid w:val="00437E6C"/>
    <w:rsid w:val="0044052B"/>
    <w:rsid w:val="0044346E"/>
    <w:rsid w:val="00445184"/>
    <w:rsid w:val="00445E0E"/>
    <w:rsid w:val="00446126"/>
    <w:rsid w:val="00452ACF"/>
    <w:rsid w:val="00452EF2"/>
    <w:rsid w:val="00463F68"/>
    <w:rsid w:val="00470575"/>
    <w:rsid w:val="00471217"/>
    <w:rsid w:val="0047177D"/>
    <w:rsid w:val="00471B43"/>
    <w:rsid w:val="00473E00"/>
    <w:rsid w:val="00480397"/>
    <w:rsid w:val="004813F1"/>
    <w:rsid w:val="00484CF8"/>
    <w:rsid w:val="004864AB"/>
    <w:rsid w:val="00495010"/>
    <w:rsid w:val="00497555"/>
    <w:rsid w:val="004A07CA"/>
    <w:rsid w:val="004A1910"/>
    <w:rsid w:val="004B06E4"/>
    <w:rsid w:val="004B26F4"/>
    <w:rsid w:val="004E030D"/>
    <w:rsid w:val="004E43EA"/>
    <w:rsid w:val="004F4893"/>
    <w:rsid w:val="004F5599"/>
    <w:rsid w:val="00504133"/>
    <w:rsid w:val="005100C9"/>
    <w:rsid w:val="005205B5"/>
    <w:rsid w:val="0052113C"/>
    <w:rsid w:val="00523498"/>
    <w:rsid w:val="00523994"/>
    <w:rsid w:val="00526794"/>
    <w:rsid w:val="00527B0B"/>
    <w:rsid w:val="00531A79"/>
    <w:rsid w:val="00531B44"/>
    <w:rsid w:val="00532E8C"/>
    <w:rsid w:val="00536BA7"/>
    <w:rsid w:val="00540C51"/>
    <w:rsid w:val="00541CA9"/>
    <w:rsid w:val="005446FD"/>
    <w:rsid w:val="00551D24"/>
    <w:rsid w:val="005538C1"/>
    <w:rsid w:val="00553F24"/>
    <w:rsid w:val="005568B2"/>
    <w:rsid w:val="00556F88"/>
    <w:rsid w:val="005570C1"/>
    <w:rsid w:val="0056027F"/>
    <w:rsid w:val="00564FA0"/>
    <w:rsid w:val="00576EE9"/>
    <w:rsid w:val="0057742C"/>
    <w:rsid w:val="005800A8"/>
    <w:rsid w:val="00582B28"/>
    <w:rsid w:val="005830E8"/>
    <w:rsid w:val="005901C0"/>
    <w:rsid w:val="0059249A"/>
    <w:rsid w:val="0059336C"/>
    <w:rsid w:val="005C3C4F"/>
    <w:rsid w:val="005D0E99"/>
    <w:rsid w:val="005D7421"/>
    <w:rsid w:val="005D7B75"/>
    <w:rsid w:val="005E269C"/>
    <w:rsid w:val="005E272D"/>
    <w:rsid w:val="005E43E2"/>
    <w:rsid w:val="005E599B"/>
    <w:rsid w:val="00600114"/>
    <w:rsid w:val="00600E5C"/>
    <w:rsid w:val="006049E3"/>
    <w:rsid w:val="00605E7B"/>
    <w:rsid w:val="00606C63"/>
    <w:rsid w:val="00611A72"/>
    <w:rsid w:val="00611BFE"/>
    <w:rsid w:val="0061315F"/>
    <w:rsid w:val="00615912"/>
    <w:rsid w:val="00623DAD"/>
    <w:rsid w:val="00624151"/>
    <w:rsid w:val="00625DC3"/>
    <w:rsid w:val="006260D7"/>
    <w:rsid w:val="00626714"/>
    <w:rsid w:val="00633F88"/>
    <w:rsid w:val="006406E3"/>
    <w:rsid w:val="006435DE"/>
    <w:rsid w:val="006568E1"/>
    <w:rsid w:val="00662A9F"/>
    <w:rsid w:val="00662EAB"/>
    <w:rsid w:val="006739AA"/>
    <w:rsid w:val="00673C2B"/>
    <w:rsid w:val="0067729F"/>
    <w:rsid w:val="006905BA"/>
    <w:rsid w:val="00691467"/>
    <w:rsid w:val="00693EFC"/>
    <w:rsid w:val="006A167C"/>
    <w:rsid w:val="006A5E19"/>
    <w:rsid w:val="006B54C4"/>
    <w:rsid w:val="006C10D5"/>
    <w:rsid w:val="006C3900"/>
    <w:rsid w:val="006D01EC"/>
    <w:rsid w:val="006D3124"/>
    <w:rsid w:val="006D4AEC"/>
    <w:rsid w:val="006E0195"/>
    <w:rsid w:val="006E4108"/>
    <w:rsid w:val="006F4841"/>
    <w:rsid w:val="00702559"/>
    <w:rsid w:val="007034BC"/>
    <w:rsid w:val="00705295"/>
    <w:rsid w:val="007211D4"/>
    <w:rsid w:val="00730B24"/>
    <w:rsid w:val="00731305"/>
    <w:rsid w:val="00733724"/>
    <w:rsid w:val="007345B7"/>
    <w:rsid w:val="0073713B"/>
    <w:rsid w:val="007407F8"/>
    <w:rsid w:val="00741B84"/>
    <w:rsid w:val="007425A7"/>
    <w:rsid w:val="0075607C"/>
    <w:rsid w:val="00756241"/>
    <w:rsid w:val="00761A8D"/>
    <w:rsid w:val="0076602A"/>
    <w:rsid w:val="0077736E"/>
    <w:rsid w:val="00780DA1"/>
    <w:rsid w:val="00786A79"/>
    <w:rsid w:val="00787DC7"/>
    <w:rsid w:val="007970C5"/>
    <w:rsid w:val="007A48B3"/>
    <w:rsid w:val="007A7E5C"/>
    <w:rsid w:val="007B1592"/>
    <w:rsid w:val="007B3281"/>
    <w:rsid w:val="007B3969"/>
    <w:rsid w:val="007B3BB8"/>
    <w:rsid w:val="007B78D7"/>
    <w:rsid w:val="007C3DA8"/>
    <w:rsid w:val="007C41A7"/>
    <w:rsid w:val="007D0E55"/>
    <w:rsid w:val="007D509C"/>
    <w:rsid w:val="007D6384"/>
    <w:rsid w:val="007D69A9"/>
    <w:rsid w:val="007E017C"/>
    <w:rsid w:val="007E14ED"/>
    <w:rsid w:val="007E1FF4"/>
    <w:rsid w:val="007E2130"/>
    <w:rsid w:val="007E3C07"/>
    <w:rsid w:val="007E563A"/>
    <w:rsid w:val="007F6422"/>
    <w:rsid w:val="007F7ACB"/>
    <w:rsid w:val="008005AD"/>
    <w:rsid w:val="0080079C"/>
    <w:rsid w:val="00801195"/>
    <w:rsid w:val="00802D5E"/>
    <w:rsid w:val="0080702A"/>
    <w:rsid w:val="008073F4"/>
    <w:rsid w:val="00812794"/>
    <w:rsid w:val="00817E69"/>
    <w:rsid w:val="00825CAB"/>
    <w:rsid w:val="00827B20"/>
    <w:rsid w:val="00833D36"/>
    <w:rsid w:val="00834A7F"/>
    <w:rsid w:val="008361D5"/>
    <w:rsid w:val="00847463"/>
    <w:rsid w:val="00860297"/>
    <w:rsid w:val="008617AC"/>
    <w:rsid w:val="00865F44"/>
    <w:rsid w:val="008716D3"/>
    <w:rsid w:val="00872312"/>
    <w:rsid w:val="00872B11"/>
    <w:rsid w:val="00881C3F"/>
    <w:rsid w:val="008835ED"/>
    <w:rsid w:val="00883F4A"/>
    <w:rsid w:val="008900B3"/>
    <w:rsid w:val="00890F59"/>
    <w:rsid w:val="0089574F"/>
    <w:rsid w:val="008A0DF1"/>
    <w:rsid w:val="008A78E9"/>
    <w:rsid w:val="008C03A7"/>
    <w:rsid w:val="008C0FC0"/>
    <w:rsid w:val="008D02F2"/>
    <w:rsid w:val="008E5564"/>
    <w:rsid w:val="008F4D64"/>
    <w:rsid w:val="008F7A66"/>
    <w:rsid w:val="00902F5C"/>
    <w:rsid w:val="00910788"/>
    <w:rsid w:val="00922252"/>
    <w:rsid w:val="00922AAC"/>
    <w:rsid w:val="00927C8C"/>
    <w:rsid w:val="00932889"/>
    <w:rsid w:val="009337EB"/>
    <w:rsid w:val="009358AF"/>
    <w:rsid w:val="009363E2"/>
    <w:rsid w:val="009372FB"/>
    <w:rsid w:val="00944C6B"/>
    <w:rsid w:val="00946C1A"/>
    <w:rsid w:val="009536AA"/>
    <w:rsid w:val="00954AF8"/>
    <w:rsid w:val="00961CD4"/>
    <w:rsid w:val="00962A42"/>
    <w:rsid w:val="0096458D"/>
    <w:rsid w:val="00965A4C"/>
    <w:rsid w:val="00967937"/>
    <w:rsid w:val="00970A58"/>
    <w:rsid w:val="009710C8"/>
    <w:rsid w:val="0097213B"/>
    <w:rsid w:val="00993681"/>
    <w:rsid w:val="00995B59"/>
    <w:rsid w:val="00997227"/>
    <w:rsid w:val="009A0F28"/>
    <w:rsid w:val="009A2E01"/>
    <w:rsid w:val="009A49CE"/>
    <w:rsid w:val="009B3038"/>
    <w:rsid w:val="009B3644"/>
    <w:rsid w:val="009D0A91"/>
    <w:rsid w:val="009D0BEB"/>
    <w:rsid w:val="009D3D25"/>
    <w:rsid w:val="009D62EA"/>
    <w:rsid w:val="009E1266"/>
    <w:rsid w:val="009F3945"/>
    <w:rsid w:val="009F7A93"/>
    <w:rsid w:val="00A0136A"/>
    <w:rsid w:val="00A066E6"/>
    <w:rsid w:val="00A0782A"/>
    <w:rsid w:val="00A13B86"/>
    <w:rsid w:val="00A15156"/>
    <w:rsid w:val="00A35F40"/>
    <w:rsid w:val="00A36339"/>
    <w:rsid w:val="00A366D5"/>
    <w:rsid w:val="00A40674"/>
    <w:rsid w:val="00A4098A"/>
    <w:rsid w:val="00A43C7A"/>
    <w:rsid w:val="00A446EB"/>
    <w:rsid w:val="00A50DC0"/>
    <w:rsid w:val="00A52BFA"/>
    <w:rsid w:val="00A55A80"/>
    <w:rsid w:val="00A6244D"/>
    <w:rsid w:val="00A64D91"/>
    <w:rsid w:val="00A752AC"/>
    <w:rsid w:val="00A829E4"/>
    <w:rsid w:val="00A83EE6"/>
    <w:rsid w:val="00A916FD"/>
    <w:rsid w:val="00A9315A"/>
    <w:rsid w:val="00A94DE0"/>
    <w:rsid w:val="00AA1747"/>
    <w:rsid w:val="00AA3CE3"/>
    <w:rsid w:val="00AA3DA8"/>
    <w:rsid w:val="00AB17B6"/>
    <w:rsid w:val="00AC0572"/>
    <w:rsid w:val="00AC383A"/>
    <w:rsid w:val="00AC41B8"/>
    <w:rsid w:val="00AC6C54"/>
    <w:rsid w:val="00AE029F"/>
    <w:rsid w:val="00AE1EE1"/>
    <w:rsid w:val="00AE7378"/>
    <w:rsid w:val="00AF04F6"/>
    <w:rsid w:val="00B04AFD"/>
    <w:rsid w:val="00B14279"/>
    <w:rsid w:val="00B15863"/>
    <w:rsid w:val="00B172F3"/>
    <w:rsid w:val="00B24328"/>
    <w:rsid w:val="00B25F3F"/>
    <w:rsid w:val="00B412D3"/>
    <w:rsid w:val="00B4316B"/>
    <w:rsid w:val="00B50DB0"/>
    <w:rsid w:val="00B51B2E"/>
    <w:rsid w:val="00B52A9F"/>
    <w:rsid w:val="00B54401"/>
    <w:rsid w:val="00B56BFB"/>
    <w:rsid w:val="00B63F70"/>
    <w:rsid w:val="00B720DA"/>
    <w:rsid w:val="00B80C22"/>
    <w:rsid w:val="00B810C2"/>
    <w:rsid w:val="00B86086"/>
    <w:rsid w:val="00BA0AAC"/>
    <w:rsid w:val="00BB19C9"/>
    <w:rsid w:val="00BB6CC7"/>
    <w:rsid w:val="00BB6FD6"/>
    <w:rsid w:val="00BC320B"/>
    <w:rsid w:val="00BD6DE0"/>
    <w:rsid w:val="00BE5989"/>
    <w:rsid w:val="00BF41C6"/>
    <w:rsid w:val="00C04B81"/>
    <w:rsid w:val="00C04ECC"/>
    <w:rsid w:val="00C160C2"/>
    <w:rsid w:val="00C171D7"/>
    <w:rsid w:val="00C21D8A"/>
    <w:rsid w:val="00C37BC6"/>
    <w:rsid w:val="00C43381"/>
    <w:rsid w:val="00C44CBC"/>
    <w:rsid w:val="00C45D66"/>
    <w:rsid w:val="00C61F50"/>
    <w:rsid w:val="00C65D63"/>
    <w:rsid w:val="00C661DA"/>
    <w:rsid w:val="00C67F06"/>
    <w:rsid w:val="00C70F78"/>
    <w:rsid w:val="00C71725"/>
    <w:rsid w:val="00C74E87"/>
    <w:rsid w:val="00C8207E"/>
    <w:rsid w:val="00C91C1D"/>
    <w:rsid w:val="00CA26DF"/>
    <w:rsid w:val="00CA2CC5"/>
    <w:rsid w:val="00CA62AD"/>
    <w:rsid w:val="00CB2337"/>
    <w:rsid w:val="00CB31CD"/>
    <w:rsid w:val="00CB5A9B"/>
    <w:rsid w:val="00CB719B"/>
    <w:rsid w:val="00CC4F73"/>
    <w:rsid w:val="00CC6F6B"/>
    <w:rsid w:val="00CD54C6"/>
    <w:rsid w:val="00CD5760"/>
    <w:rsid w:val="00CE2477"/>
    <w:rsid w:val="00CE2D49"/>
    <w:rsid w:val="00CE4639"/>
    <w:rsid w:val="00CF3593"/>
    <w:rsid w:val="00CF4A72"/>
    <w:rsid w:val="00CF65EE"/>
    <w:rsid w:val="00D06ABF"/>
    <w:rsid w:val="00D12F0B"/>
    <w:rsid w:val="00D17694"/>
    <w:rsid w:val="00D238E8"/>
    <w:rsid w:val="00D23FF0"/>
    <w:rsid w:val="00D258C2"/>
    <w:rsid w:val="00D3009E"/>
    <w:rsid w:val="00D325E8"/>
    <w:rsid w:val="00D33FF4"/>
    <w:rsid w:val="00D44B46"/>
    <w:rsid w:val="00D559E0"/>
    <w:rsid w:val="00D56AB5"/>
    <w:rsid w:val="00D6455E"/>
    <w:rsid w:val="00D73F70"/>
    <w:rsid w:val="00D76FE3"/>
    <w:rsid w:val="00D80080"/>
    <w:rsid w:val="00D80945"/>
    <w:rsid w:val="00D817FC"/>
    <w:rsid w:val="00D85797"/>
    <w:rsid w:val="00D92BF1"/>
    <w:rsid w:val="00D938A6"/>
    <w:rsid w:val="00DA1AF0"/>
    <w:rsid w:val="00DA2476"/>
    <w:rsid w:val="00DA3E0D"/>
    <w:rsid w:val="00DB01D1"/>
    <w:rsid w:val="00DB0C4D"/>
    <w:rsid w:val="00DB2076"/>
    <w:rsid w:val="00DB3587"/>
    <w:rsid w:val="00DB5AD9"/>
    <w:rsid w:val="00DC1D94"/>
    <w:rsid w:val="00DC434E"/>
    <w:rsid w:val="00DC5C5A"/>
    <w:rsid w:val="00DC617A"/>
    <w:rsid w:val="00DD221C"/>
    <w:rsid w:val="00DD4E54"/>
    <w:rsid w:val="00DE24CD"/>
    <w:rsid w:val="00DE4FDF"/>
    <w:rsid w:val="00DE67AC"/>
    <w:rsid w:val="00DF1FE5"/>
    <w:rsid w:val="00DF6252"/>
    <w:rsid w:val="00E02C00"/>
    <w:rsid w:val="00E13610"/>
    <w:rsid w:val="00E1515C"/>
    <w:rsid w:val="00E15625"/>
    <w:rsid w:val="00E15AA8"/>
    <w:rsid w:val="00E170E6"/>
    <w:rsid w:val="00E22FAC"/>
    <w:rsid w:val="00E26617"/>
    <w:rsid w:val="00E27149"/>
    <w:rsid w:val="00E34D34"/>
    <w:rsid w:val="00E3605F"/>
    <w:rsid w:val="00E36B56"/>
    <w:rsid w:val="00E37998"/>
    <w:rsid w:val="00E518D6"/>
    <w:rsid w:val="00E53F2F"/>
    <w:rsid w:val="00E5426C"/>
    <w:rsid w:val="00E572D4"/>
    <w:rsid w:val="00E57318"/>
    <w:rsid w:val="00E6373B"/>
    <w:rsid w:val="00E744CB"/>
    <w:rsid w:val="00E75525"/>
    <w:rsid w:val="00E8589B"/>
    <w:rsid w:val="00E9019B"/>
    <w:rsid w:val="00E977B7"/>
    <w:rsid w:val="00EA23AA"/>
    <w:rsid w:val="00EA2B43"/>
    <w:rsid w:val="00EA3447"/>
    <w:rsid w:val="00EB7F88"/>
    <w:rsid w:val="00EC0EC8"/>
    <w:rsid w:val="00EC75AF"/>
    <w:rsid w:val="00ED4215"/>
    <w:rsid w:val="00ED469C"/>
    <w:rsid w:val="00EF045D"/>
    <w:rsid w:val="00EF288A"/>
    <w:rsid w:val="00F00A4F"/>
    <w:rsid w:val="00F04B7A"/>
    <w:rsid w:val="00F1011C"/>
    <w:rsid w:val="00F12111"/>
    <w:rsid w:val="00F12B8A"/>
    <w:rsid w:val="00F1447D"/>
    <w:rsid w:val="00F1576F"/>
    <w:rsid w:val="00F2508D"/>
    <w:rsid w:val="00F42C9C"/>
    <w:rsid w:val="00F4485C"/>
    <w:rsid w:val="00F53550"/>
    <w:rsid w:val="00F53B34"/>
    <w:rsid w:val="00F558D2"/>
    <w:rsid w:val="00F61D52"/>
    <w:rsid w:val="00F62EAD"/>
    <w:rsid w:val="00F700D5"/>
    <w:rsid w:val="00F72F70"/>
    <w:rsid w:val="00F7371D"/>
    <w:rsid w:val="00F7503C"/>
    <w:rsid w:val="00F77716"/>
    <w:rsid w:val="00F85A7B"/>
    <w:rsid w:val="00FA318B"/>
    <w:rsid w:val="00FA4A49"/>
    <w:rsid w:val="00FB7100"/>
    <w:rsid w:val="00FC2162"/>
    <w:rsid w:val="00FC2BF8"/>
    <w:rsid w:val="00FD1285"/>
    <w:rsid w:val="00FD3B84"/>
    <w:rsid w:val="052403B3"/>
    <w:rsid w:val="081237BD"/>
    <w:rsid w:val="09EF276F"/>
    <w:rsid w:val="0CEC4FCF"/>
    <w:rsid w:val="10C631B5"/>
    <w:rsid w:val="10E33779"/>
    <w:rsid w:val="115B2DE0"/>
    <w:rsid w:val="12DE2F04"/>
    <w:rsid w:val="130C2561"/>
    <w:rsid w:val="147A357D"/>
    <w:rsid w:val="16256205"/>
    <w:rsid w:val="16D67A9D"/>
    <w:rsid w:val="17861511"/>
    <w:rsid w:val="18816044"/>
    <w:rsid w:val="192B553B"/>
    <w:rsid w:val="1C1B523D"/>
    <w:rsid w:val="1C6B0F40"/>
    <w:rsid w:val="1C6C7BDE"/>
    <w:rsid w:val="1C7E236B"/>
    <w:rsid w:val="1CC23432"/>
    <w:rsid w:val="1CE73AC6"/>
    <w:rsid w:val="1D1B443C"/>
    <w:rsid w:val="1D75539B"/>
    <w:rsid w:val="1DB22424"/>
    <w:rsid w:val="1DDA56B0"/>
    <w:rsid w:val="1FF84698"/>
    <w:rsid w:val="218B6F16"/>
    <w:rsid w:val="21F5316D"/>
    <w:rsid w:val="228934F7"/>
    <w:rsid w:val="23610BD2"/>
    <w:rsid w:val="243A6918"/>
    <w:rsid w:val="25401BCD"/>
    <w:rsid w:val="2767173F"/>
    <w:rsid w:val="28ED44EF"/>
    <w:rsid w:val="293E386E"/>
    <w:rsid w:val="2CE90F6A"/>
    <w:rsid w:val="2FF459A5"/>
    <w:rsid w:val="304C2F14"/>
    <w:rsid w:val="33D95773"/>
    <w:rsid w:val="34161B83"/>
    <w:rsid w:val="353D22A5"/>
    <w:rsid w:val="361B3E10"/>
    <w:rsid w:val="37310DBC"/>
    <w:rsid w:val="37E35BB6"/>
    <w:rsid w:val="38DF2138"/>
    <w:rsid w:val="3DFA2EB5"/>
    <w:rsid w:val="3E6D0FF1"/>
    <w:rsid w:val="3ED90D1D"/>
    <w:rsid w:val="3F041134"/>
    <w:rsid w:val="3FD60E4A"/>
    <w:rsid w:val="41001A24"/>
    <w:rsid w:val="420505D6"/>
    <w:rsid w:val="47281DAF"/>
    <w:rsid w:val="47650999"/>
    <w:rsid w:val="48682EBA"/>
    <w:rsid w:val="490F6C31"/>
    <w:rsid w:val="4A17094B"/>
    <w:rsid w:val="4ACC3E2B"/>
    <w:rsid w:val="4B0210DA"/>
    <w:rsid w:val="4F0F6392"/>
    <w:rsid w:val="4F3D3486"/>
    <w:rsid w:val="4F3F3345"/>
    <w:rsid w:val="500D280C"/>
    <w:rsid w:val="515E688D"/>
    <w:rsid w:val="518E3B5A"/>
    <w:rsid w:val="533A21E3"/>
    <w:rsid w:val="55747599"/>
    <w:rsid w:val="561225EE"/>
    <w:rsid w:val="5A035B60"/>
    <w:rsid w:val="5D3579B1"/>
    <w:rsid w:val="5D7060CC"/>
    <w:rsid w:val="60E317F9"/>
    <w:rsid w:val="61377DF9"/>
    <w:rsid w:val="64176531"/>
    <w:rsid w:val="65EC32C5"/>
    <w:rsid w:val="67B04594"/>
    <w:rsid w:val="6AED0AFA"/>
    <w:rsid w:val="6BC41608"/>
    <w:rsid w:val="6C4433CA"/>
    <w:rsid w:val="6CD35A9A"/>
    <w:rsid w:val="6FBD161D"/>
    <w:rsid w:val="7137233E"/>
    <w:rsid w:val="75C87480"/>
    <w:rsid w:val="76365DFD"/>
    <w:rsid w:val="765E5DB5"/>
    <w:rsid w:val="77377541"/>
    <w:rsid w:val="78F3612C"/>
    <w:rsid w:val="793A1DDD"/>
    <w:rsid w:val="79D8518B"/>
    <w:rsid w:val="7A4C04B1"/>
    <w:rsid w:val="7BD85F6E"/>
    <w:rsid w:val="7DCD26E0"/>
    <w:rsid w:val="7DD27EB7"/>
    <w:rsid w:val="7DEB4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semiHidden="0" w:name="Body Text First Indent"/>
    <w:lsdException w:uiPriority="99" w:name="Body Text First Indent 2"/>
    <w:lsdException w:unhideWhenUsed="0" w:uiPriority="99" w:name="Note Heading"/>
    <w:lsdException w:qFormat="1" w:uiPriority="0" w:semiHidden="0" w:name="Body Text 2"/>
    <w:lsdException w:qFormat="1" w:uiPriority="0" w:semiHidden="0" w:name="Body Text 3"/>
    <w:lsdException w:qFormat="1" w:uiPriority="99"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1"/>
    <w:qFormat/>
    <w:uiPriority w:val="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1"/>
    <w:next w:val="1"/>
    <w:link w:val="52"/>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4">
    <w:name w:val="heading 3"/>
    <w:basedOn w:val="1"/>
    <w:next w:val="1"/>
    <w:link w:val="53"/>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5">
    <w:name w:val="heading 4"/>
    <w:basedOn w:val="1"/>
    <w:next w:val="1"/>
    <w:link w:val="54"/>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6">
    <w:name w:val="heading 5"/>
    <w:basedOn w:val="1"/>
    <w:next w:val="1"/>
    <w:link w:val="55"/>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7">
    <w:name w:val="heading 6"/>
    <w:basedOn w:val="1"/>
    <w:next w:val="1"/>
    <w:link w:val="56"/>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8">
    <w:name w:val="heading 7"/>
    <w:basedOn w:val="1"/>
    <w:next w:val="1"/>
    <w:link w:val="57"/>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9">
    <w:name w:val="heading 8"/>
    <w:basedOn w:val="1"/>
    <w:next w:val="1"/>
    <w:link w:val="58"/>
    <w:unhideWhenUsed/>
    <w:qFormat/>
    <w:uiPriority w:val="0"/>
    <w:pPr>
      <w:keepNext/>
      <w:keepLines/>
      <w:spacing w:before="240" w:after="64" w:line="314" w:lineRule="auto"/>
      <w:outlineLvl w:val="7"/>
    </w:pPr>
    <w:rPr>
      <w:rFonts w:ascii="Arial" w:hAnsi="Arial" w:eastAsia="黑体"/>
      <w:kern w:val="0"/>
      <w:sz w:val="24"/>
      <w:szCs w:val="24"/>
    </w:rPr>
  </w:style>
  <w:style w:type="paragraph" w:styleId="10">
    <w:name w:val="heading 9"/>
    <w:basedOn w:val="1"/>
    <w:next w:val="1"/>
    <w:link w:val="59"/>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0"/>
    <w:pPr>
      <w:ind w:left="2520" w:leftChars="1200"/>
    </w:pPr>
    <w:rPr>
      <w:rFonts w:ascii="Times New Roman" w:hAnsi="Times New Roman"/>
      <w:szCs w:val="24"/>
    </w:rPr>
  </w:style>
  <w:style w:type="paragraph" w:styleId="12">
    <w:name w:val="Normal Indent"/>
    <w:basedOn w:val="1"/>
    <w:link w:val="60"/>
    <w:unhideWhenUsed/>
    <w:qFormat/>
    <w:uiPriority w:val="0"/>
    <w:pPr>
      <w:spacing w:after="180" w:line="307" w:lineRule="auto"/>
      <w:ind w:firstLine="420"/>
    </w:pPr>
    <w:rPr>
      <w:rFonts w:asciiTheme="minorHAnsi" w:hAnsiTheme="minorHAnsi" w:eastAsiaTheme="minorEastAsia" w:cstheme="minorBidi"/>
    </w:rPr>
  </w:style>
  <w:style w:type="paragraph" w:styleId="13">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4">
    <w:name w:val="Document Map"/>
    <w:basedOn w:val="1"/>
    <w:link w:val="74"/>
    <w:unhideWhenUsed/>
    <w:qFormat/>
    <w:uiPriority w:val="99"/>
    <w:pPr>
      <w:shd w:val="clear" w:color="auto" w:fill="000080"/>
    </w:pPr>
    <w:rPr>
      <w:rFonts w:ascii="Times New Roman" w:hAnsi="Times New Roman"/>
      <w:kern w:val="0"/>
      <w:sz w:val="18"/>
      <w:szCs w:val="18"/>
    </w:rPr>
  </w:style>
  <w:style w:type="paragraph" w:styleId="15">
    <w:name w:val="annotation text"/>
    <w:basedOn w:val="1"/>
    <w:link w:val="62"/>
    <w:unhideWhenUsed/>
    <w:qFormat/>
    <w:uiPriority w:val="99"/>
    <w:pPr>
      <w:jc w:val="left"/>
    </w:pPr>
    <w:rPr>
      <w:rFonts w:ascii="Times New Roman" w:hAnsi="Times New Roman"/>
      <w:kern w:val="0"/>
      <w:sz w:val="18"/>
      <w:szCs w:val="18"/>
    </w:rPr>
  </w:style>
  <w:style w:type="paragraph" w:styleId="16">
    <w:name w:val="Body Text 3"/>
    <w:basedOn w:val="1"/>
    <w:link w:val="71"/>
    <w:unhideWhenUsed/>
    <w:qFormat/>
    <w:uiPriority w:val="0"/>
    <w:pPr>
      <w:jc w:val="center"/>
    </w:pPr>
    <w:rPr>
      <w:rFonts w:ascii="Times New Roman" w:hAnsi="Times New Roman" w:eastAsia="黑体"/>
      <w:sz w:val="44"/>
      <w:szCs w:val="24"/>
    </w:rPr>
  </w:style>
  <w:style w:type="paragraph" w:styleId="17">
    <w:name w:val="Body Text"/>
    <w:basedOn w:val="1"/>
    <w:link w:val="185"/>
    <w:unhideWhenUsed/>
    <w:qFormat/>
    <w:uiPriority w:val="99"/>
    <w:pPr>
      <w:spacing w:after="120"/>
    </w:pPr>
  </w:style>
  <w:style w:type="paragraph" w:styleId="18">
    <w:name w:val="Body Text Indent"/>
    <w:basedOn w:val="1"/>
    <w:link w:val="66"/>
    <w:unhideWhenUsed/>
    <w:qFormat/>
    <w:uiPriority w:val="0"/>
    <w:pPr>
      <w:spacing w:after="120"/>
      <w:ind w:left="420" w:leftChars="200"/>
    </w:pPr>
    <w:rPr>
      <w:rFonts w:ascii="Times New Roman" w:hAnsi="Times New Roman"/>
      <w:kern w:val="0"/>
      <w:sz w:val="20"/>
      <w:szCs w:val="24"/>
    </w:rPr>
  </w:style>
  <w:style w:type="paragraph" w:styleId="19">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unhideWhenUsed/>
    <w:qFormat/>
    <w:uiPriority w:val="0"/>
    <w:pPr>
      <w:ind w:left="1680" w:leftChars="800"/>
    </w:pPr>
    <w:rPr>
      <w:rFonts w:ascii="Times New Roman" w:hAnsi="Times New Roman"/>
      <w:sz w:val="18"/>
      <w:szCs w:val="18"/>
    </w:rPr>
  </w:style>
  <w:style w:type="paragraph" w:styleId="21">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190"/>
    <w:unhideWhenUsed/>
    <w:qFormat/>
    <w:uiPriority w:val="99"/>
    <w:rPr>
      <w:rFonts w:ascii="宋体" w:hAnsi="Courier New"/>
      <w:kern w:val="0"/>
      <w:sz w:val="20"/>
      <w:szCs w:val="18"/>
    </w:rPr>
  </w:style>
  <w:style w:type="paragraph" w:styleId="23">
    <w:name w:val="toc 8"/>
    <w:basedOn w:val="1"/>
    <w:next w:val="1"/>
    <w:unhideWhenUsed/>
    <w:qFormat/>
    <w:uiPriority w:val="0"/>
    <w:pPr>
      <w:ind w:left="2940" w:leftChars="1400"/>
    </w:pPr>
    <w:rPr>
      <w:rFonts w:ascii="Times New Roman" w:hAnsi="Times New Roman"/>
      <w:szCs w:val="24"/>
    </w:rPr>
  </w:style>
  <w:style w:type="paragraph" w:styleId="24">
    <w:name w:val="Date"/>
    <w:basedOn w:val="1"/>
    <w:next w:val="1"/>
    <w:link w:val="68"/>
    <w:unhideWhenUsed/>
    <w:qFormat/>
    <w:uiPriority w:val="99"/>
    <w:pPr>
      <w:ind w:left="100" w:leftChars="2500"/>
    </w:pPr>
    <w:rPr>
      <w:rFonts w:ascii="Times New Roman" w:hAnsi="Times New Roman"/>
      <w:kern w:val="0"/>
      <w:sz w:val="24"/>
      <w:szCs w:val="24"/>
    </w:rPr>
  </w:style>
  <w:style w:type="paragraph" w:styleId="25">
    <w:name w:val="Body Text Indent 2"/>
    <w:basedOn w:val="1"/>
    <w:link w:val="72"/>
    <w:unhideWhenUsed/>
    <w:qFormat/>
    <w:uiPriority w:val="99"/>
    <w:pPr>
      <w:spacing w:after="120" w:line="480" w:lineRule="auto"/>
      <w:ind w:left="420" w:leftChars="200"/>
    </w:pPr>
  </w:style>
  <w:style w:type="paragraph" w:styleId="26">
    <w:name w:val="Balloon Text"/>
    <w:basedOn w:val="1"/>
    <w:link w:val="77"/>
    <w:unhideWhenUsed/>
    <w:qFormat/>
    <w:uiPriority w:val="99"/>
    <w:rPr>
      <w:rFonts w:ascii="Times New Roman" w:hAnsi="Times New Roman"/>
      <w:kern w:val="0"/>
      <w:sz w:val="18"/>
      <w:szCs w:val="18"/>
    </w:rPr>
  </w:style>
  <w:style w:type="paragraph" w:styleId="27">
    <w:name w:val="footer"/>
    <w:basedOn w:val="1"/>
    <w:link w:val="64"/>
    <w:unhideWhenUsed/>
    <w:qFormat/>
    <w:uiPriority w:val="99"/>
    <w:pPr>
      <w:tabs>
        <w:tab w:val="center" w:pos="4153"/>
        <w:tab w:val="right" w:pos="8306"/>
      </w:tabs>
      <w:snapToGrid w:val="0"/>
      <w:jc w:val="left"/>
    </w:pPr>
    <w:rPr>
      <w:kern w:val="0"/>
      <w:sz w:val="18"/>
      <w:szCs w:val="18"/>
    </w:rPr>
  </w:style>
  <w:style w:type="paragraph" w:styleId="28">
    <w:name w:val="header"/>
    <w:basedOn w:val="1"/>
    <w:link w:val="6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unhideWhenUsed/>
    <w:qFormat/>
    <w:uiPriority w:val="0"/>
    <w:pPr>
      <w:ind w:left="1260" w:leftChars="600"/>
    </w:pPr>
    <w:rPr>
      <w:rFonts w:ascii="Times New Roman" w:hAnsi="Times New Roman"/>
      <w:sz w:val="18"/>
      <w:szCs w:val="18"/>
    </w:rPr>
  </w:style>
  <w:style w:type="paragraph" w:styleId="31">
    <w:name w:val="Subtitle"/>
    <w:basedOn w:val="1"/>
    <w:next w:val="1"/>
    <w:link w:val="67"/>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1"/>
    <w:unhideWhenUsed/>
    <w:qFormat/>
    <w:uiPriority w:val="0"/>
    <w:pPr>
      <w:snapToGrid w:val="0"/>
      <w:jc w:val="left"/>
    </w:pPr>
    <w:rPr>
      <w:sz w:val="18"/>
      <w:szCs w:val="18"/>
    </w:rPr>
  </w:style>
  <w:style w:type="paragraph" w:styleId="33">
    <w:name w:val="toc 6"/>
    <w:basedOn w:val="1"/>
    <w:next w:val="1"/>
    <w:unhideWhenUsed/>
    <w:qFormat/>
    <w:uiPriority w:val="0"/>
    <w:pPr>
      <w:ind w:left="2100" w:leftChars="1000"/>
    </w:pPr>
    <w:rPr>
      <w:rFonts w:ascii="Times New Roman" w:hAnsi="Times New Roman"/>
      <w:szCs w:val="24"/>
    </w:rPr>
  </w:style>
  <w:style w:type="paragraph" w:styleId="34">
    <w:name w:val="Body Text Indent 3"/>
    <w:basedOn w:val="1"/>
    <w:link w:val="73"/>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unhideWhenUsed/>
    <w:qFormat/>
    <w:uiPriority w:val="0"/>
    <w:pPr>
      <w:ind w:left="3360" w:leftChars="1600"/>
    </w:pPr>
    <w:rPr>
      <w:rFonts w:ascii="Times New Roman" w:hAnsi="Times New Roman"/>
      <w:szCs w:val="24"/>
    </w:rPr>
  </w:style>
  <w:style w:type="paragraph" w:styleId="37">
    <w:name w:val="Body Text 2"/>
    <w:basedOn w:val="1"/>
    <w:link w:val="70"/>
    <w:unhideWhenUsed/>
    <w:qFormat/>
    <w:uiPriority w:val="0"/>
    <w:pPr>
      <w:spacing w:after="120" w:line="480" w:lineRule="auto"/>
    </w:pPr>
    <w:rPr>
      <w:rFonts w:ascii="Times New Roman" w:hAnsi="Times New Roman"/>
      <w:kern w:val="0"/>
      <w:sz w:val="18"/>
      <w:szCs w:val="18"/>
    </w:rPr>
  </w:style>
  <w:style w:type="paragraph" w:styleId="38">
    <w:name w:val="HTML Preformatted"/>
    <w:basedOn w:val="1"/>
    <w:link w:val="201"/>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index 1"/>
    <w:basedOn w:val="1"/>
    <w:next w:val="1"/>
    <w:unhideWhenUsed/>
    <w:qFormat/>
    <w:uiPriority w:val="0"/>
    <w:pPr>
      <w:ind w:firstLine="560" w:firstLineChars="200"/>
    </w:pPr>
    <w:rPr>
      <w:rFonts w:ascii="宋体" w:hAnsi="宋体" w:cs="宋体"/>
      <w:sz w:val="28"/>
      <w:szCs w:val="28"/>
    </w:rPr>
  </w:style>
  <w:style w:type="paragraph" w:styleId="41">
    <w:name w:val="annotation subject"/>
    <w:basedOn w:val="15"/>
    <w:next w:val="15"/>
    <w:link w:val="76"/>
    <w:unhideWhenUsed/>
    <w:qFormat/>
    <w:uiPriority w:val="99"/>
    <w:rPr>
      <w:rFonts w:ascii="Calibri" w:hAnsi="Calibri"/>
      <w:b/>
      <w:bCs/>
      <w:kern w:val="2"/>
      <w:sz w:val="21"/>
      <w:szCs w:val="22"/>
    </w:rPr>
  </w:style>
  <w:style w:type="paragraph" w:styleId="42">
    <w:name w:val="Body Text First Indent"/>
    <w:basedOn w:val="17"/>
    <w:link w:val="69"/>
    <w:unhideWhenUsed/>
    <w:qFormat/>
    <w:uiPriority w:val="0"/>
    <w:pPr>
      <w:ind w:firstLine="420" w:firstLineChars="100"/>
    </w:pPr>
    <w:rPr>
      <w:rFonts w:ascii="Times New Roman" w:hAnsi="Times New Roman"/>
      <w:kern w:val="0"/>
      <w:sz w:val="18"/>
      <w:szCs w:val="18"/>
    </w:rPr>
  </w:style>
  <w:style w:type="table" w:styleId="44">
    <w:name w:val="Table Grid"/>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FollowedHyperlink"/>
    <w:basedOn w:val="45"/>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unhideWhenUsed/>
    <w:qFormat/>
    <w:uiPriority w:val="0"/>
    <w:rPr>
      <w:vertAlign w:val="superscript"/>
    </w:rPr>
  </w:style>
  <w:style w:type="paragraph" w:customStyle="1" w:styleId="5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1">
    <w:name w:val="标题 1 字符"/>
    <w:basedOn w:val="45"/>
    <w:link w:val="3"/>
    <w:qFormat/>
    <w:uiPriority w:val="9"/>
    <w:rPr>
      <w:rFonts w:ascii="宋体" w:hAnsi="宋体" w:eastAsia="宋体" w:cs="宋体"/>
      <w:b/>
      <w:bCs/>
      <w:spacing w:val="-20"/>
      <w:kern w:val="44"/>
      <w:sz w:val="32"/>
      <w:szCs w:val="32"/>
    </w:rPr>
  </w:style>
  <w:style w:type="character" w:customStyle="1" w:styleId="52">
    <w:name w:val="标题 2 字符"/>
    <w:basedOn w:val="45"/>
    <w:link w:val="2"/>
    <w:qFormat/>
    <w:uiPriority w:val="0"/>
    <w:rPr>
      <w:rFonts w:ascii="宋体" w:hAnsi="宋体" w:eastAsia="宋体" w:cs="宋体"/>
      <w:b/>
      <w:bCs/>
      <w:kern w:val="2"/>
      <w:sz w:val="28"/>
      <w:szCs w:val="28"/>
    </w:rPr>
  </w:style>
  <w:style w:type="character" w:customStyle="1" w:styleId="53">
    <w:name w:val="标题 3 字符"/>
    <w:basedOn w:val="45"/>
    <w:link w:val="4"/>
    <w:qFormat/>
    <w:uiPriority w:val="0"/>
    <w:rPr>
      <w:rFonts w:ascii="宋体" w:hAnsi="宋体" w:eastAsia="宋体" w:cs="宋体"/>
      <w:b/>
      <w:bCs/>
      <w:color w:val="000000"/>
      <w:sz w:val="28"/>
      <w:szCs w:val="28"/>
    </w:rPr>
  </w:style>
  <w:style w:type="character" w:customStyle="1" w:styleId="54">
    <w:name w:val="标题 4 字符"/>
    <w:basedOn w:val="45"/>
    <w:link w:val="5"/>
    <w:qFormat/>
    <w:uiPriority w:val="0"/>
    <w:rPr>
      <w:rFonts w:ascii="Arial" w:hAnsi="Arial" w:eastAsia="宋体" w:cs="Times New Roman"/>
      <w:b/>
      <w:bCs/>
      <w:sz w:val="28"/>
      <w:szCs w:val="28"/>
    </w:rPr>
  </w:style>
  <w:style w:type="character" w:customStyle="1" w:styleId="55">
    <w:name w:val="标题 5 字符"/>
    <w:basedOn w:val="45"/>
    <w:link w:val="6"/>
    <w:qFormat/>
    <w:uiPriority w:val="0"/>
    <w:rPr>
      <w:rFonts w:ascii="Calibri" w:hAnsi="Calibri" w:eastAsia="宋体" w:cs="宋体"/>
      <w:b/>
      <w:bCs/>
      <w:sz w:val="28"/>
      <w:szCs w:val="28"/>
    </w:rPr>
  </w:style>
  <w:style w:type="character" w:customStyle="1" w:styleId="56">
    <w:name w:val="标题 6 字符"/>
    <w:basedOn w:val="45"/>
    <w:link w:val="7"/>
    <w:qFormat/>
    <w:uiPriority w:val="0"/>
    <w:rPr>
      <w:rFonts w:ascii="Arial" w:hAnsi="Arial" w:eastAsia="宋体" w:cs="Times New Roman"/>
      <w:b/>
      <w:bCs/>
      <w:sz w:val="28"/>
      <w:szCs w:val="18"/>
    </w:rPr>
  </w:style>
  <w:style w:type="character" w:customStyle="1" w:styleId="57">
    <w:name w:val="标题 7 字符"/>
    <w:basedOn w:val="45"/>
    <w:link w:val="8"/>
    <w:qFormat/>
    <w:uiPriority w:val="0"/>
    <w:rPr>
      <w:rFonts w:ascii="Arial Narrow" w:hAnsi="Arial Narrow" w:eastAsia="宋体" w:cs="Times New Roman"/>
      <w:b/>
      <w:bCs/>
      <w:iCs/>
      <w:kern w:val="0"/>
      <w:sz w:val="20"/>
      <w:szCs w:val="24"/>
      <w:lang w:eastAsia="en-US"/>
    </w:rPr>
  </w:style>
  <w:style w:type="character" w:customStyle="1" w:styleId="58">
    <w:name w:val="标题 8 字符"/>
    <w:basedOn w:val="45"/>
    <w:link w:val="9"/>
    <w:semiHidden/>
    <w:qFormat/>
    <w:uiPriority w:val="0"/>
    <w:rPr>
      <w:rFonts w:ascii="Arial" w:hAnsi="Arial" w:eastAsia="黑体" w:cs="Times New Roman"/>
      <w:kern w:val="0"/>
      <w:sz w:val="24"/>
      <w:szCs w:val="24"/>
    </w:rPr>
  </w:style>
  <w:style w:type="character" w:customStyle="1" w:styleId="59">
    <w:name w:val="标题 9 字符"/>
    <w:basedOn w:val="45"/>
    <w:link w:val="10"/>
    <w:semiHidden/>
    <w:qFormat/>
    <w:uiPriority w:val="0"/>
    <w:rPr>
      <w:rFonts w:ascii="Arial" w:hAnsi="Arial" w:eastAsia="黑体" w:cs="Times New Roman"/>
      <w:kern w:val="0"/>
      <w:sz w:val="20"/>
      <w:szCs w:val="21"/>
    </w:rPr>
  </w:style>
  <w:style w:type="character" w:customStyle="1" w:styleId="60">
    <w:name w:val="正文缩进 字符"/>
    <w:link w:val="12"/>
    <w:qFormat/>
    <w:locked/>
    <w:uiPriority w:val="0"/>
  </w:style>
  <w:style w:type="character" w:customStyle="1" w:styleId="61">
    <w:name w:val="脚注文本 字符"/>
    <w:basedOn w:val="45"/>
    <w:link w:val="32"/>
    <w:semiHidden/>
    <w:qFormat/>
    <w:uiPriority w:val="0"/>
    <w:rPr>
      <w:rFonts w:ascii="Calibri" w:hAnsi="Calibri" w:eastAsia="宋体" w:cs="Times New Roman"/>
      <w:sz w:val="18"/>
      <w:szCs w:val="18"/>
    </w:rPr>
  </w:style>
  <w:style w:type="character" w:customStyle="1" w:styleId="62">
    <w:name w:val="批注文字 字符"/>
    <w:basedOn w:val="45"/>
    <w:link w:val="15"/>
    <w:qFormat/>
    <w:uiPriority w:val="99"/>
    <w:rPr>
      <w:rFonts w:ascii="Times New Roman" w:hAnsi="Times New Roman" w:eastAsia="宋体" w:cs="Times New Roman"/>
      <w:kern w:val="0"/>
      <w:sz w:val="18"/>
      <w:szCs w:val="18"/>
    </w:rPr>
  </w:style>
  <w:style w:type="character" w:customStyle="1" w:styleId="63">
    <w:name w:val="页眉 字符"/>
    <w:basedOn w:val="45"/>
    <w:link w:val="28"/>
    <w:qFormat/>
    <w:uiPriority w:val="99"/>
    <w:rPr>
      <w:rFonts w:ascii="Calibri" w:hAnsi="Calibri" w:eastAsia="宋体" w:cs="Times New Roman"/>
      <w:kern w:val="0"/>
      <w:sz w:val="18"/>
      <w:szCs w:val="18"/>
    </w:rPr>
  </w:style>
  <w:style w:type="character" w:customStyle="1" w:styleId="64">
    <w:name w:val="页脚 字符"/>
    <w:basedOn w:val="45"/>
    <w:link w:val="27"/>
    <w:qFormat/>
    <w:uiPriority w:val="99"/>
    <w:rPr>
      <w:rFonts w:ascii="Calibri" w:hAnsi="Calibri" w:eastAsia="宋体" w:cs="Times New Roman"/>
      <w:kern w:val="0"/>
      <w:sz w:val="18"/>
      <w:szCs w:val="18"/>
    </w:rPr>
  </w:style>
  <w:style w:type="character" w:customStyle="1" w:styleId="65">
    <w:name w:val="正文文本 Char"/>
    <w:basedOn w:val="45"/>
    <w:qFormat/>
    <w:uiPriority w:val="99"/>
    <w:rPr>
      <w:rFonts w:ascii="Calibri" w:hAnsi="Calibri" w:eastAsia="宋体" w:cs="Times New Roman"/>
    </w:rPr>
  </w:style>
  <w:style w:type="character" w:customStyle="1" w:styleId="66">
    <w:name w:val="正文文本缩进 字符"/>
    <w:basedOn w:val="45"/>
    <w:link w:val="18"/>
    <w:semiHidden/>
    <w:qFormat/>
    <w:uiPriority w:val="0"/>
    <w:rPr>
      <w:rFonts w:ascii="Times New Roman" w:hAnsi="Times New Roman" w:eastAsia="宋体" w:cs="Times New Roman"/>
      <w:kern w:val="0"/>
      <w:sz w:val="20"/>
      <w:szCs w:val="24"/>
    </w:rPr>
  </w:style>
  <w:style w:type="character" w:customStyle="1" w:styleId="67">
    <w:name w:val="副标题 字符"/>
    <w:basedOn w:val="45"/>
    <w:link w:val="31"/>
    <w:qFormat/>
    <w:uiPriority w:val="0"/>
    <w:rPr>
      <w:rFonts w:ascii="Cambria" w:hAnsi="Cambria" w:eastAsia="宋体" w:cs="Times New Roman"/>
      <w:b/>
      <w:bCs/>
      <w:kern w:val="28"/>
      <w:sz w:val="32"/>
      <w:szCs w:val="32"/>
    </w:rPr>
  </w:style>
  <w:style w:type="character" w:customStyle="1" w:styleId="68">
    <w:name w:val="日期 字符"/>
    <w:basedOn w:val="45"/>
    <w:link w:val="24"/>
    <w:qFormat/>
    <w:uiPriority w:val="99"/>
    <w:rPr>
      <w:rFonts w:ascii="Times New Roman" w:hAnsi="Times New Roman" w:eastAsia="宋体" w:cs="Times New Roman"/>
      <w:kern w:val="0"/>
      <w:sz w:val="24"/>
      <w:szCs w:val="24"/>
    </w:rPr>
  </w:style>
  <w:style w:type="character" w:customStyle="1" w:styleId="69">
    <w:name w:val="正文首行缩进 字符"/>
    <w:basedOn w:val="65"/>
    <w:link w:val="42"/>
    <w:semiHidden/>
    <w:qFormat/>
    <w:uiPriority w:val="0"/>
    <w:rPr>
      <w:rFonts w:ascii="Times New Roman" w:hAnsi="Times New Roman" w:eastAsia="宋体" w:cs="Times New Roman"/>
      <w:kern w:val="0"/>
      <w:sz w:val="18"/>
      <w:szCs w:val="18"/>
    </w:rPr>
  </w:style>
  <w:style w:type="character" w:customStyle="1" w:styleId="70">
    <w:name w:val="正文文本 2 字符"/>
    <w:basedOn w:val="45"/>
    <w:link w:val="37"/>
    <w:semiHidden/>
    <w:qFormat/>
    <w:uiPriority w:val="0"/>
    <w:rPr>
      <w:rFonts w:ascii="Times New Roman" w:hAnsi="Times New Roman" w:eastAsia="宋体" w:cs="Times New Roman"/>
      <w:kern w:val="0"/>
      <w:sz w:val="18"/>
      <w:szCs w:val="18"/>
    </w:rPr>
  </w:style>
  <w:style w:type="character" w:customStyle="1" w:styleId="71">
    <w:name w:val="正文文本 3 字符"/>
    <w:basedOn w:val="45"/>
    <w:link w:val="16"/>
    <w:semiHidden/>
    <w:qFormat/>
    <w:uiPriority w:val="0"/>
    <w:rPr>
      <w:rFonts w:ascii="Times New Roman" w:hAnsi="Times New Roman" w:eastAsia="黑体" w:cs="Times New Roman"/>
      <w:sz w:val="44"/>
      <w:szCs w:val="24"/>
    </w:rPr>
  </w:style>
  <w:style w:type="character" w:customStyle="1" w:styleId="72">
    <w:name w:val="正文文本缩进 2 字符"/>
    <w:basedOn w:val="45"/>
    <w:link w:val="25"/>
    <w:qFormat/>
    <w:uiPriority w:val="99"/>
    <w:rPr>
      <w:rFonts w:ascii="Calibri" w:hAnsi="Calibri" w:eastAsia="宋体" w:cs="Times New Roman"/>
    </w:rPr>
  </w:style>
  <w:style w:type="character" w:customStyle="1" w:styleId="73">
    <w:name w:val="正文文本缩进 3 字符"/>
    <w:basedOn w:val="45"/>
    <w:link w:val="34"/>
    <w:semiHidden/>
    <w:qFormat/>
    <w:uiPriority w:val="0"/>
    <w:rPr>
      <w:rFonts w:ascii="宋体" w:hAnsi="宋体" w:eastAsia="宋体" w:cs="Times New Roman"/>
      <w:kern w:val="0"/>
      <w:sz w:val="28"/>
      <w:szCs w:val="28"/>
    </w:rPr>
  </w:style>
  <w:style w:type="character" w:customStyle="1" w:styleId="74">
    <w:name w:val="文档结构图 字符"/>
    <w:basedOn w:val="45"/>
    <w:link w:val="14"/>
    <w:qFormat/>
    <w:uiPriority w:val="99"/>
    <w:rPr>
      <w:rFonts w:ascii="Times New Roman" w:hAnsi="Times New Roman" w:eastAsia="宋体" w:cs="Times New Roman"/>
      <w:kern w:val="0"/>
      <w:sz w:val="18"/>
      <w:szCs w:val="18"/>
      <w:shd w:val="clear" w:color="auto" w:fill="000080"/>
    </w:rPr>
  </w:style>
  <w:style w:type="character" w:customStyle="1" w:styleId="75">
    <w:name w:val="纯文本 Char"/>
    <w:basedOn w:val="45"/>
    <w:qFormat/>
    <w:uiPriority w:val="99"/>
    <w:rPr>
      <w:rFonts w:ascii="宋体" w:hAnsi="Courier New" w:eastAsia="宋体" w:cs="Courier New"/>
      <w:szCs w:val="21"/>
    </w:rPr>
  </w:style>
  <w:style w:type="character" w:customStyle="1" w:styleId="76">
    <w:name w:val="批注主题 字符"/>
    <w:basedOn w:val="62"/>
    <w:link w:val="41"/>
    <w:qFormat/>
    <w:uiPriority w:val="99"/>
    <w:rPr>
      <w:rFonts w:ascii="Calibri" w:hAnsi="Calibri" w:eastAsia="宋体" w:cs="Times New Roman"/>
      <w:b/>
      <w:bCs/>
      <w:kern w:val="0"/>
      <w:sz w:val="18"/>
      <w:szCs w:val="18"/>
    </w:rPr>
  </w:style>
  <w:style w:type="character" w:customStyle="1" w:styleId="77">
    <w:name w:val="批注框文本 字符"/>
    <w:basedOn w:val="45"/>
    <w:link w:val="26"/>
    <w:qFormat/>
    <w:uiPriority w:val="99"/>
    <w:rPr>
      <w:rFonts w:ascii="Times New Roman" w:hAnsi="Times New Roman" w:eastAsia="宋体" w:cs="Times New Roman"/>
      <w:kern w:val="0"/>
      <w:sz w:val="18"/>
      <w:szCs w:val="18"/>
    </w:rPr>
  </w:style>
  <w:style w:type="paragraph" w:customStyle="1" w:styleId="78">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9">
    <w:name w:val="列出段落 字符"/>
    <w:link w:val="80"/>
    <w:qFormat/>
    <w:locked/>
    <w:uiPriority w:val="0"/>
    <w:rPr>
      <w:rFonts w:ascii="Calibri" w:hAnsi="Calibri"/>
    </w:rPr>
  </w:style>
  <w:style w:type="paragraph" w:customStyle="1" w:styleId="80">
    <w:name w:val="列出段落1"/>
    <w:basedOn w:val="1"/>
    <w:link w:val="79"/>
    <w:qFormat/>
    <w:uiPriority w:val="34"/>
    <w:pPr>
      <w:ind w:firstLine="420" w:firstLineChars="200"/>
    </w:pPr>
    <w:rPr>
      <w:rFonts w:eastAsiaTheme="minorEastAsia" w:cstheme="minorBidi"/>
    </w:rPr>
  </w:style>
  <w:style w:type="character" w:customStyle="1" w:styleId="81">
    <w:name w:val="彩色列表 - 强调文字颜色 1 Char"/>
    <w:link w:val="82"/>
    <w:qFormat/>
    <w:locked/>
    <w:uiPriority w:val="0"/>
    <w:rPr>
      <w:rFonts w:ascii="Calibri" w:hAnsi="Calibri"/>
    </w:rPr>
  </w:style>
  <w:style w:type="paragraph" w:customStyle="1" w:styleId="82">
    <w:name w:val="彩色列表 - 强调文字颜色 11"/>
    <w:basedOn w:val="1"/>
    <w:link w:val="81"/>
    <w:qFormat/>
    <w:uiPriority w:val="0"/>
    <w:pPr>
      <w:ind w:firstLine="420" w:firstLineChars="200"/>
    </w:pPr>
    <w:rPr>
      <w:rFonts w:eastAsiaTheme="minorEastAsia" w:cstheme="minorBidi"/>
    </w:rPr>
  </w:style>
  <w:style w:type="paragraph" w:customStyle="1" w:styleId="83">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4">
    <w:name w:val="MM Title"/>
    <w:basedOn w:val="1"/>
    <w:qFormat/>
    <w:uiPriority w:val="0"/>
    <w:pPr>
      <w:spacing w:before="240" w:after="60"/>
      <w:jc w:val="center"/>
      <w:outlineLvl w:val="0"/>
    </w:pPr>
    <w:rPr>
      <w:rFonts w:ascii="Arial" w:hAnsi="Arial" w:cs="Arial"/>
      <w:b/>
      <w:bCs/>
      <w:sz w:val="32"/>
      <w:szCs w:val="32"/>
    </w:rPr>
  </w:style>
  <w:style w:type="paragraph" w:customStyle="1" w:styleId="85">
    <w:name w:val="正文格式"/>
    <w:basedOn w:val="1"/>
    <w:qFormat/>
    <w:uiPriority w:val="99"/>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6">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7">
    <w:name w:val="gb_master正文"/>
    <w:basedOn w:val="1"/>
    <w:qFormat/>
    <w:uiPriority w:val="0"/>
    <w:pPr>
      <w:ind w:firstLine="200" w:firstLineChars="200"/>
    </w:pPr>
    <w:rPr>
      <w:rFonts w:ascii="Times New Roman" w:hAnsi="Times New Roman"/>
      <w:szCs w:val="24"/>
    </w:rPr>
  </w:style>
  <w:style w:type="paragraph" w:customStyle="1" w:styleId="88">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9">
    <w:name w:val="无间隔1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0">
    <w:name w:val="Char2 Char Char Char"/>
    <w:basedOn w:val="1"/>
    <w:qFormat/>
    <w:uiPriority w:val="0"/>
    <w:rPr>
      <w:rFonts w:ascii="仿宋_GB2312" w:hAnsi="Times New Roman"/>
      <w:b/>
      <w:sz w:val="30"/>
      <w:szCs w:val="32"/>
    </w:rPr>
  </w:style>
  <w:style w:type="paragraph" w:customStyle="1" w:styleId="91">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2">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3">
    <w:name w:val="默认段落字体 Para Char"/>
    <w:basedOn w:val="1"/>
    <w:qFormat/>
    <w:uiPriority w:val="0"/>
    <w:rPr>
      <w:rFonts w:ascii="Tahoma" w:hAnsi="Tahoma"/>
      <w:sz w:val="24"/>
      <w:szCs w:val="20"/>
    </w:rPr>
  </w:style>
  <w:style w:type="paragraph" w:customStyle="1" w:styleId="94">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5">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6">
    <w:name w:val="样式 正文缩进 + (中文) 仿宋_GB2312 小四 Char"/>
    <w:basedOn w:val="12"/>
    <w:qFormat/>
    <w:uiPriority w:val="0"/>
    <w:pPr>
      <w:spacing w:after="0" w:line="360" w:lineRule="auto"/>
      <w:ind w:firstLine="480" w:firstLineChars="200"/>
    </w:pPr>
    <w:rPr>
      <w:rFonts w:ascii="宋体" w:hAnsi="宋体"/>
      <w:sz w:val="24"/>
      <w:szCs w:val="24"/>
    </w:rPr>
  </w:style>
  <w:style w:type="paragraph" w:customStyle="1" w:styleId="97">
    <w:name w:val="表格文字"/>
    <w:basedOn w:val="1"/>
    <w:link w:val="308"/>
    <w:qFormat/>
    <w:uiPriority w:val="0"/>
    <w:pPr>
      <w:spacing w:beforeLines="25"/>
    </w:pPr>
    <w:rPr>
      <w:rFonts w:ascii="Times New (W1)" w:hAnsi="Times New (W1)"/>
      <w:spacing w:val="10"/>
      <w:szCs w:val="24"/>
    </w:rPr>
  </w:style>
  <w:style w:type="paragraph" w:customStyle="1" w:styleId="98">
    <w:name w:val="文章正文"/>
    <w:basedOn w:val="1"/>
    <w:qFormat/>
    <w:uiPriority w:val="0"/>
    <w:pPr>
      <w:spacing w:line="360" w:lineRule="auto"/>
      <w:ind w:firstLine="420"/>
    </w:pPr>
    <w:rPr>
      <w:rFonts w:ascii="Times New Roman" w:hAnsi="Times New Roman"/>
      <w:sz w:val="24"/>
      <w:szCs w:val="24"/>
    </w:rPr>
  </w:style>
  <w:style w:type="paragraph" w:customStyle="1" w:styleId="99">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0">
    <w:name w:val="默认段落字体 Para Char Char"/>
    <w:basedOn w:val="1"/>
    <w:qFormat/>
    <w:uiPriority w:val="0"/>
    <w:rPr>
      <w:rFonts w:ascii="Times New Roman" w:hAnsi="Times New Roman"/>
      <w:szCs w:val="24"/>
    </w:rPr>
  </w:style>
  <w:style w:type="paragraph" w:customStyle="1" w:styleId="101">
    <w:name w:val="MM Topic 6"/>
    <w:basedOn w:val="7"/>
    <w:qFormat/>
    <w:uiPriority w:val="0"/>
    <w:pPr>
      <w:tabs>
        <w:tab w:val="left" w:pos="3260"/>
        <w:tab w:val="clear" w:pos="1702"/>
      </w:tabs>
      <w:ind w:left="0" w:firstLine="0"/>
    </w:pPr>
    <w:rPr>
      <w:rFonts w:eastAsia="黑体"/>
    </w:rPr>
  </w:style>
  <w:style w:type="paragraph" w:customStyle="1" w:styleId="102">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3">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4">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标题 5 + 首行缩进:  2 字符"/>
    <w:basedOn w:val="6"/>
    <w:next w:val="18"/>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6">
    <w:name w:val="Char2 Char Char Char Char Char Char"/>
    <w:basedOn w:val="1"/>
    <w:qFormat/>
    <w:uiPriority w:val="0"/>
    <w:rPr>
      <w:rFonts w:ascii="仿宋_GB2312" w:hAnsi="Times New Roman"/>
      <w:b/>
      <w:sz w:val="30"/>
      <w:szCs w:val="32"/>
    </w:rPr>
  </w:style>
  <w:style w:type="paragraph" w:customStyle="1" w:styleId="107">
    <w:name w:val="MM Topic 2"/>
    <w:basedOn w:val="2"/>
    <w:qFormat/>
    <w:uiPriority w:val="0"/>
    <w:pPr>
      <w:numPr>
        <w:ilvl w:val="0"/>
        <w:numId w:val="0"/>
      </w:numPr>
      <w:tabs>
        <w:tab w:val="left" w:pos="992"/>
      </w:tabs>
    </w:pPr>
    <w:rPr>
      <w:rFonts w:cs="Times New Roman"/>
    </w:rPr>
  </w:style>
  <w:style w:type="paragraph" w:customStyle="1" w:styleId="108">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9">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0">
    <w:name w:val="MM Topic 8"/>
    <w:basedOn w:val="9"/>
    <w:qFormat/>
    <w:uiPriority w:val="0"/>
    <w:pPr>
      <w:tabs>
        <w:tab w:val="left" w:pos="4394"/>
      </w:tabs>
    </w:pPr>
  </w:style>
  <w:style w:type="paragraph" w:customStyle="1" w:styleId="111">
    <w:name w:val="Char1 Char Char Char Char Char Char"/>
    <w:basedOn w:val="1"/>
    <w:qFormat/>
    <w:uiPriority w:val="0"/>
    <w:rPr>
      <w:rFonts w:ascii="Tahoma" w:hAnsi="Tahoma"/>
      <w:sz w:val="24"/>
      <w:szCs w:val="20"/>
    </w:rPr>
  </w:style>
  <w:style w:type="paragraph" w:customStyle="1" w:styleId="112">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3">
    <w:name w:val="样式 小四2"/>
    <w:basedOn w:val="1"/>
    <w:qFormat/>
    <w:uiPriority w:val="0"/>
    <w:rPr>
      <w:rFonts w:ascii="宋体" w:hAnsi="宋体"/>
      <w:sz w:val="24"/>
      <w:szCs w:val="24"/>
    </w:rPr>
  </w:style>
  <w:style w:type="paragraph" w:customStyle="1" w:styleId="11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5">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6">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8">
    <w:name w:val="文章正文 Char Char1"/>
    <w:basedOn w:val="1"/>
    <w:qFormat/>
    <w:uiPriority w:val="0"/>
    <w:pPr>
      <w:spacing w:line="360" w:lineRule="auto"/>
      <w:ind w:firstLine="420"/>
    </w:pPr>
    <w:rPr>
      <w:rFonts w:ascii="Times New Roman" w:hAnsi="Times New Roman"/>
      <w:sz w:val="24"/>
      <w:szCs w:val="24"/>
    </w:rPr>
  </w:style>
  <w:style w:type="paragraph" w:customStyle="1" w:styleId="119">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0">
    <w:name w:val="样式"/>
    <w:link w:val="203"/>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1">
    <w:name w:val="图"/>
    <w:basedOn w:val="1"/>
    <w:qFormat/>
    <w:uiPriority w:val="0"/>
    <w:pPr>
      <w:widowControl/>
      <w:adjustRightInd w:val="0"/>
      <w:snapToGrid w:val="0"/>
      <w:jc w:val="center"/>
    </w:pPr>
    <w:rPr>
      <w:rFonts w:ascii="宋体" w:hAnsi="宋体"/>
      <w:bCs/>
      <w:szCs w:val="24"/>
    </w:rPr>
  </w:style>
  <w:style w:type="paragraph" w:customStyle="1" w:styleId="122">
    <w:name w:val="Char1 Char Char Char Char Char Char1"/>
    <w:basedOn w:val="1"/>
    <w:qFormat/>
    <w:uiPriority w:val="99"/>
    <w:rPr>
      <w:rFonts w:ascii="Tahoma" w:hAnsi="Tahoma"/>
      <w:sz w:val="24"/>
      <w:szCs w:val="20"/>
    </w:rPr>
  </w:style>
  <w:style w:type="paragraph" w:customStyle="1" w:styleId="123">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4">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5">
    <w:name w:val="MM Topic 1"/>
    <w:basedOn w:val="3"/>
    <w:qFormat/>
    <w:uiPriority w:val="0"/>
    <w:pPr>
      <w:tabs>
        <w:tab w:val="left" w:pos="425"/>
      </w:tabs>
    </w:pPr>
    <w:rPr>
      <w:rFonts w:cs="Times New Roman"/>
      <w:sz w:val="44"/>
    </w:rPr>
  </w:style>
  <w:style w:type="paragraph" w:customStyle="1" w:styleId="126">
    <w:name w:val="样式 标题 5 + 倾斜"/>
    <w:basedOn w:val="6"/>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7">
    <w:name w:val="我的正文"/>
    <w:basedOn w:val="1"/>
    <w:qFormat/>
    <w:uiPriority w:val="0"/>
    <w:pPr>
      <w:spacing w:line="360" w:lineRule="auto"/>
      <w:ind w:firstLine="420" w:firstLineChars="200"/>
    </w:pPr>
    <w:rPr>
      <w:rFonts w:ascii="宋体" w:hAnsi="宋体"/>
      <w:szCs w:val="24"/>
    </w:rPr>
  </w:style>
  <w:style w:type="paragraph" w:customStyle="1" w:styleId="128">
    <w:name w:val="MM Topic 7"/>
    <w:basedOn w:val="8"/>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9">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0">
    <w:name w:val="样式 标题 3 + (西文) 仿宋_GB2312 (中文) 仿宋_GB2312 四号"/>
    <w:basedOn w:val="4"/>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1">
    <w:name w:val="论文正文"/>
    <w:basedOn w:val="1"/>
    <w:qFormat/>
    <w:uiPriority w:val="0"/>
    <w:pPr>
      <w:spacing w:line="360" w:lineRule="auto"/>
      <w:ind w:firstLine="700" w:firstLineChars="250"/>
    </w:pPr>
    <w:rPr>
      <w:rFonts w:ascii="宋体" w:hAnsi="宋体"/>
      <w:bCs/>
      <w:sz w:val="28"/>
      <w:szCs w:val="28"/>
    </w:rPr>
  </w:style>
  <w:style w:type="paragraph" w:customStyle="1" w:styleId="132">
    <w:name w:val="样式1"/>
    <w:basedOn w:val="1"/>
    <w:qFormat/>
    <w:uiPriority w:val="0"/>
    <w:rPr>
      <w:rFonts w:ascii="Times New Roman" w:hAnsi="Times New Roman" w:eastAsia="隶书"/>
      <w:i/>
      <w:dstrike/>
      <w:sz w:val="28"/>
      <w:szCs w:val="18"/>
    </w:rPr>
  </w:style>
  <w:style w:type="paragraph" w:customStyle="1" w:styleId="133">
    <w:name w:val="表格"/>
    <w:basedOn w:val="1"/>
    <w:qFormat/>
    <w:uiPriority w:val="0"/>
    <w:pPr>
      <w:spacing w:line="400" w:lineRule="exact"/>
    </w:pPr>
    <w:rPr>
      <w:rFonts w:ascii="Times New Roman" w:hAnsi="Times New Roman"/>
      <w:sz w:val="24"/>
      <w:szCs w:val="24"/>
    </w:rPr>
  </w:style>
  <w:style w:type="paragraph" w:customStyle="1" w:styleId="134">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5">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6">
    <w:name w:val="Char Char Char Char Char Char Char Char Char Char Char Char Char"/>
    <w:basedOn w:val="14"/>
    <w:qFormat/>
    <w:uiPriority w:val="0"/>
    <w:rPr>
      <w:rFonts w:ascii="Tahoma" w:hAnsi="Tahoma"/>
      <w:sz w:val="24"/>
      <w:szCs w:val="24"/>
    </w:rPr>
  </w:style>
  <w:style w:type="paragraph" w:customStyle="1" w:styleId="137">
    <w:name w:val="MM Topic 3"/>
    <w:basedOn w:val="4"/>
    <w:qFormat/>
    <w:uiPriority w:val="0"/>
    <w:pPr>
      <w:numPr>
        <w:ilvl w:val="0"/>
        <w:numId w:val="0"/>
      </w:numPr>
      <w:tabs>
        <w:tab w:val="left" w:pos="1418"/>
      </w:tabs>
    </w:pPr>
    <w:rPr>
      <w:rFonts w:cs="Times New Roman"/>
    </w:rPr>
  </w:style>
  <w:style w:type="paragraph" w:customStyle="1" w:styleId="138">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39">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0">
    <w:name w:val="Char Char Char Char"/>
    <w:basedOn w:val="1"/>
    <w:qFormat/>
    <w:uiPriority w:val="0"/>
    <w:rPr>
      <w:rFonts w:ascii="Tahoma" w:hAnsi="Tahoma"/>
      <w:sz w:val="24"/>
      <w:szCs w:val="20"/>
    </w:rPr>
  </w:style>
  <w:style w:type="paragraph" w:customStyle="1" w:styleId="141">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2">
    <w:name w:val="MM Topic 9"/>
    <w:basedOn w:val="10"/>
    <w:qFormat/>
    <w:uiPriority w:val="0"/>
    <w:pPr>
      <w:tabs>
        <w:tab w:val="left" w:pos="5102"/>
      </w:tabs>
    </w:pPr>
  </w:style>
  <w:style w:type="paragraph" w:customStyle="1" w:styleId="143">
    <w:name w:val="MM Topic 5"/>
    <w:basedOn w:val="6"/>
    <w:qFormat/>
    <w:uiPriority w:val="0"/>
    <w:pPr>
      <w:tabs>
        <w:tab w:val="left" w:pos="2551"/>
        <w:tab w:val="clear" w:pos="1134"/>
        <w:tab w:val="clear" w:pos="1560"/>
      </w:tabs>
      <w:ind w:left="0" w:firstLine="0"/>
    </w:pPr>
    <w:rPr>
      <w:rFonts w:cs="Times New Roman"/>
    </w:rPr>
  </w:style>
  <w:style w:type="paragraph" w:customStyle="1" w:styleId="144">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5">
    <w:name w:val="MM Topic 4"/>
    <w:basedOn w:val="5"/>
    <w:qFormat/>
    <w:uiPriority w:val="0"/>
    <w:pPr>
      <w:tabs>
        <w:tab w:val="left" w:pos="1984"/>
      </w:tabs>
      <w:ind w:left="0" w:firstLine="0"/>
    </w:pPr>
  </w:style>
  <w:style w:type="paragraph" w:customStyle="1" w:styleId="1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7">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8">
    <w:name w:val="样式 标题 2H2第一章 标题 2Heading 2 HiddenHeading 2 CCBSheading 2h2..."/>
    <w:basedOn w:val="2"/>
    <w:qFormat/>
    <w:uiPriority w:val="0"/>
    <w:pPr>
      <w:tabs>
        <w:tab w:val="left" w:pos="-2493"/>
      </w:tabs>
    </w:pPr>
    <w:rPr>
      <w:rFonts w:cs="Times New Roman"/>
      <w:szCs w:val="20"/>
    </w:rPr>
  </w:style>
  <w:style w:type="paragraph" w:customStyle="1" w:styleId="149">
    <w:name w:val="正文首行缩进两字符"/>
    <w:basedOn w:val="1"/>
    <w:qFormat/>
    <w:uiPriority w:val="99"/>
    <w:pPr>
      <w:spacing w:line="360" w:lineRule="auto"/>
      <w:ind w:firstLine="200" w:firstLineChars="200"/>
    </w:pPr>
    <w:rPr>
      <w:rFonts w:ascii="Times New Roman" w:hAnsi="Times New Roman"/>
      <w:szCs w:val="24"/>
    </w:rPr>
  </w:style>
  <w:style w:type="paragraph" w:customStyle="1" w:styleId="150">
    <w:name w:val="列出段落2"/>
    <w:basedOn w:val="1"/>
    <w:qFormat/>
    <w:uiPriority w:val="0"/>
    <w:pPr>
      <w:ind w:firstLine="420" w:firstLineChars="200"/>
    </w:pPr>
  </w:style>
  <w:style w:type="paragraph" w:customStyle="1" w:styleId="151">
    <w:name w:val="列出段落4"/>
    <w:basedOn w:val="1"/>
    <w:qFormat/>
    <w:uiPriority w:val="34"/>
    <w:pPr>
      <w:ind w:firstLine="420" w:firstLineChars="200"/>
    </w:pPr>
    <w:rPr>
      <w:rFonts w:ascii="Times New Roman" w:hAnsi="Times New Roman"/>
      <w:szCs w:val="24"/>
    </w:rPr>
  </w:style>
  <w:style w:type="paragraph" w:customStyle="1" w:styleId="152">
    <w:name w:val="列出段落1111"/>
    <w:basedOn w:val="1"/>
    <w:qFormat/>
    <w:uiPriority w:val="0"/>
    <w:pPr>
      <w:ind w:firstLine="420" w:firstLineChars="200"/>
    </w:pPr>
  </w:style>
  <w:style w:type="paragraph" w:customStyle="1" w:styleId="153">
    <w:name w:val="修订1"/>
    <w:qFormat/>
    <w:uiPriority w:val="99"/>
    <w:rPr>
      <w:rFonts w:ascii="Calibri" w:hAnsi="Calibri" w:eastAsia="宋体" w:cs="Times New Roman"/>
      <w:kern w:val="2"/>
      <w:sz w:val="21"/>
      <w:szCs w:val="22"/>
      <w:lang w:val="en-US" w:eastAsia="zh-CN" w:bidi="ar-SA"/>
    </w:rPr>
  </w:style>
  <w:style w:type="paragraph" w:customStyle="1" w:styleId="154">
    <w:name w:val="彩色列表 - 强调文字颜色 12"/>
    <w:basedOn w:val="1"/>
    <w:qFormat/>
    <w:uiPriority w:val="0"/>
    <w:pPr>
      <w:ind w:firstLine="420" w:firstLineChars="200"/>
    </w:pPr>
  </w:style>
  <w:style w:type="paragraph" w:customStyle="1" w:styleId="155">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6">
    <w:name w:val="列项——（一级）"/>
    <w:qFormat/>
    <w:uiPriority w:val="99"/>
    <w:pPr>
      <w:widowControl w:val="0"/>
      <w:numPr>
        <w:ilvl w:val="0"/>
        <w:numId w:val="4"/>
      </w:numPr>
      <w:jc w:val="both"/>
    </w:pPr>
    <w:rPr>
      <w:rFonts w:ascii="宋体" w:hAnsi="Times New Roman" w:eastAsia="宋体" w:cs="Times New Roman"/>
      <w:sz w:val="21"/>
      <w:lang w:val="en-US" w:eastAsia="zh-CN" w:bidi="ar-SA"/>
    </w:rPr>
  </w:style>
  <w:style w:type="character" w:customStyle="1" w:styleId="157">
    <w:name w:val="0-CD Char"/>
    <w:link w:val="158"/>
    <w:qFormat/>
    <w:locked/>
    <w:uiPriority w:val="0"/>
    <w:rPr>
      <w:rFonts w:ascii="宋体" w:hAnsi="宋体" w:eastAsia="宋体"/>
      <w:sz w:val="28"/>
      <w:szCs w:val="24"/>
    </w:rPr>
  </w:style>
  <w:style w:type="paragraph" w:customStyle="1" w:styleId="158">
    <w:name w:val="0-CD"/>
    <w:basedOn w:val="1"/>
    <w:link w:val="157"/>
    <w:qFormat/>
    <w:uiPriority w:val="0"/>
    <w:pPr>
      <w:spacing w:line="360" w:lineRule="auto"/>
      <w:ind w:firstLine="708" w:firstLineChars="253"/>
      <w:jc w:val="left"/>
    </w:pPr>
    <w:rPr>
      <w:rFonts w:ascii="宋体" w:hAnsi="宋体" w:cstheme="minorBidi"/>
      <w:sz w:val="28"/>
      <w:szCs w:val="24"/>
    </w:rPr>
  </w:style>
  <w:style w:type="character" w:customStyle="1" w:styleId="159">
    <w:name w:val="Char Char8"/>
    <w:qFormat/>
    <w:uiPriority w:val="0"/>
    <w:rPr>
      <w:rFonts w:hint="eastAsia" w:ascii="宋体" w:hAnsi="宋体" w:eastAsia="宋体"/>
      <w:kern w:val="2"/>
      <w:sz w:val="28"/>
      <w:szCs w:val="28"/>
    </w:rPr>
  </w:style>
  <w:style w:type="character" w:customStyle="1" w:styleId="160">
    <w:name w:val="Char Char5"/>
    <w:qFormat/>
    <w:uiPriority w:val="0"/>
    <w:rPr>
      <w:kern w:val="2"/>
      <w:sz w:val="21"/>
      <w:szCs w:val="24"/>
    </w:rPr>
  </w:style>
  <w:style w:type="character" w:customStyle="1" w:styleId="161">
    <w:name w:val="列出段落 Char Char"/>
    <w:qFormat/>
    <w:uiPriority w:val="0"/>
    <w:rPr>
      <w:rFonts w:hint="default" w:ascii="Calibri" w:hAnsi="Calibri" w:cs="Calibri"/>
      <w:kern w:val="2"/>
      <w:sz w:val="21"/>
      <w:szCs w:val="22"/>
    </w:rPr>
  </w:style>
  <w:style w:type="character" w:customStyle="1" w:styleId="162">
    <w:name w:val="正文文本 Char Char"/>
    <w:qFormat/>
    <w:uiPriority w:val="0"/>
    <w:rPr>
      <w:kern w:val="2"/>
      <w:sz w:val="21"/>
      <w:szCs w:val="24"/>
    </w:rPr>
  </w:style>
  <w:style w:type="character" w:customStyle="1" w:styleId="163">
    <w:name w:val="Char Char11"/>
    <w:qFormat/>
    <w:uiPriority w:val="0"/>
    <w:rPr>
      <w:rFonts w:hint="default" w:ascii="Arial Narrow" w:hAnsi="Arial Narrow"/>
      <w:b/>
      <w:bCs/>
      <w:iCs/>
      <w:szCs w:val="24"/>
      <w:lang w:eastAsia="en-US"/>
    </w:rPr>
  </w:style>
  <w:style w:type="character" w:customStyle="1" w:styleId="164">
    <w:name w:val="标书（正文） Char Char"/>
    <w:qFormat/>
    <w:uiPriority w:val="0"/>
    <w:rPr>
      <w:rFonts w:hint="eastAsia" w:ascii="宋体" w:hAnsi="宋体" w:eastAsia="宋体"/>
      <w:b/>
      <w:kern w:val="10"/>
      <w:sz w:val="21"/>
      <w:szCs w:val="21"/>
      <w:lang w:val="en-US" w:eastAsia="zh-CN" w:bidi="ar-SA"/>
    </w:rPr>
  </w:style>
  <w:style w:type="character" w:customStyle="1" w:styleId="165">
    <w:name w:val="line2"/>
    <w:basedOn w:val="45"/>
    <w:qFormat/>
    <w:uiPriority w:val="0"/>
  </w:style>
  <w:style w:type="character" w:customStyle="1" w:styleId="166">
    <w:name w:val="Char Char10"/>
    <w:qFormat/>
    <w:uiPriority w:val="0"/>
    <w:rPr>
      <w:kern w:val="2"/>
      <w:sz w:val="24"/>
      <w:szCs w:val="24"/>
    </w:rPr>
  </w:style>
  <w:style w:type="character" w:customStyle="1" w:styleId="167">
    <w:name w:val="MM Topic 4 Char Char"/>
    <w:qFormat/>
    <w:uiPriority w:val="0"/>
    <w:rPr>
      <w:rFonts w:hint="default" w:ascii="Arial" w:hAnsi="Arial" w:cs="Arial"/>
      <w:b/>
      <w:bCs/>
      <w:kern w:val="2"/>
      <w:sz w:val="28"/>
      <w:szCs w:val="28"/>
    </w:rPr>
  </w:style>
  <w:style w:type="character" w:customStyle="1" w:styleId="168">
    <w:name w:val="标书正文:  0.74 厘米 Char Char"/>
    <w:qFormat/>
    <w:uiPriority w:val="0"/>
    <w:rPr>
      <w:kern w:val="2"/>
      <w:sz w:val="24"/>
    </w:rPr>
  </w:style>
  <w:style w:type="character" w:customStyle="1" w:styleId="169">
    <w:name w:val="访问过的超链接1"/>
    <w:qFormat/>
    <w:uiPriority w:val="99"/>
    <w:rPr>
      <w:color w:val="800080"/>
      <w:u w:val="single"/>
    </w:rPr>
  </w:style>
  <w:style w:type="character" w:customStyle="1" w:styleId="170">
    <w:name w:val="标题 3 Char Char Char"/>
    <w:qFormat/>
    <w:uiPriority w:val="0"/>
    <w:rPr>
      <w:rFonts w:hint="eastAsia" w:ascii="宋体" w:hAnsi="宋体" w:eastAsia="宋体"/>
      <w:b/>
      <w:kern w:val="2"/>
      <w:sz w:val="32"/>
      <w:lang w:val="en-US" w:eastAsia="zh-CN" w:bidi="ar-SA"/>
    </w:rPr>
  </w:style>
  <w:style w:type="character" w:customStyle="1" w:styleId="171">
    <w:name w:val="（符号）邀请函中一、"/>
    <w:qFormat/>
    <w:uiPriority w:val="0"/>
    <w:rPr>
      <w:rFonts w:hint="eastAsia" w:ascii="黑体" w:hAnsi="黑体" w:eastAsia="黑体"/>
      <w:b/>
      <w:bCs/>
      <w:sz w:val="24"/>
    </w:rPr>
  </w:style>
  <w:style w:type="character" w:customStyle="1" w:styleId="172">
    <w:name w:val="tt Char"/>
    <w:qFormat/>
    <w:uiPriority w:val="0"/>
    <w:rPr>
      <w:rFonts w:hint="default" w:ascii="Arial" w:hAnsi="Arial" w:eastAsia="黑体" w:cs="Arial"/>
      <w:kern w:val="2"/>
      <w:sz w:val="21"/>
      <w:szCs w:val="21"/>
    </w:rPr>
  </w:style>
  <w:style w:type="character" w:customStyle="1" w:styleId="173">
    <w:name w:val="Char Char9"/>
    <w:qFormat/>
    <w:uiPriority w:val="0"/>
    <w:rPr>
      <w:kern w:val="2"/>
      <w:sz w:val="18"/>
      <w:szCs w:val="18"/>
    </w:rPr>
  </w:style>
  <w:style w:type="character" w:customStyle="1" w:styleId="174">
    <w:name w:val="MM Topic 3 Char Char"/>
    <w:qFormat/>
    <w:uiPriority w:val="0"/>
    <w:rPr>
      <w:rFonts w:hint="eastAsia" w:ascii="宋体" w:hAnsi="宋体" w:eastAsia="宋体"/>
      <w:b/>
      <w:bCs/>
      <w:color w:val="000000"/>
      <w:kern w:val="2"/>
      <w:sz w:val="28"/>
      <w:szCs w:val="28"/>
    </w:rPr>
  </w:style>
  <w:style w:type="character" w:customStyle="1" w:styleId="175">
    <w:name w:val="样式 小四2 Char Char"/>
    <w:qFormat/>
    <w:uiPriority w:val="0"/>
    <w:rPr>
      <w:rFonts w:hint="eastAsia" w:ascii="宋体" w:hAnsi="宋体" w:eastAsia="宋体"/>
      <w:kern w:val="2"/>
      <w:sz w:val="24"/>
      <w:szCs w:val="24"/>
    </w:rPr>
  </w:style>
  <w:style w:type="character" w:customStyle="1" w:styleId="176">
    <w:name w:val="Char Char7"/>
    <w:qFormat/>
    <w:uiPriority w:val="0"/>
    <w:rPr>
      <w:kern w:val="2"/>
      <w:sz w:val="18"/>
      <w:szCs w:val="18"/>
    </w:rPr>
  </w:style>
  <w:style w:type="character" w:customStyle="1" w:styleId="177">
    <w:name w:val="Char Char3"/>
    <w:qFormat/>
    <w:uiPriority w:val="0"/>
    <w:rPr>
      <w:b/>
      <w:bCs/>
      <w:kern w:val="2"/>
      <w:sz w:val="18"/>
      <w:szCs w:val="18"/>
    </w:rPr>
  </w:style>
  <w:style w:type="character" w:customStyle="1" w:styleId="178">
    <w:name w:val="apple-style-span"/>
    <w:basedOn w:val="45"/>
    <w:qFormat/>
    <w:uiPriority w:val="0"/>
  </w:style>
  <w:style w:type="character" w:customStyle="1" w:styleId="179">
    <w:name w:val="Char Char4"/>
    <w:qFormat/>
    <w:uiPriority w:val="0"/>
    <w:rPr>
      <w:kern w:val="2"/>
      <w:sz w:val="18"/>
      <w:szCs w:val="18"/>
    </w:rPr>
  </w:style>
  <w:style w:type="character" w:customStyle="1" w:styleId="180">
    <w:name w:val="副标题 Char1"/>
    <w:qFormat/>
    <w:uiPriority w:val="11"/>
    <w:rPr>
      <w:rFonts w:hint="default" w:ascii="Cambria" w:hAnsi="Cambria" w:cs="Times New Roman"/>
      <w:b/>
      <w:bCs/>
      <w:kern w:val="28"/>
      <w:sz w:val="32"/>
      <w:szCs w:val="32"/>
    </w:rPr>
  </w:style>
  <w:style w:type="character" w:customStyle="1" w:styleId="181">
    <w:name w:val="small"/>
    <w:basedOn w:val="45"/>
    <w:qFormat/>
    <w:uiPriority w:val="0"/>
  </w:style>
  <w:style w:type="character" w:customStyle="1" w:styleId="182">
    <w:name w:val="Legal Level 1.1.1. Char"/>
    <w:qFormat/>
    <w:uiPriority w:val="0"/>
    <w:rPr>
      <w:rFonts w:hint="default" w:ascii="Arial" w:hAnsi="Arial" w:eastAsia="黑体" w:cs="Arial"/>
      <w:kern w:val="2"/>
      <w:sz w:val="24"/>
      <w:szCs w:val="24"/>
    </w:rPr>
  </w:style>
  <w:style w:type="character" w:customStyle="1" w:styleId="183">
    <w:name w:val="文章正文 Char Char"/>
    <w:qFormat/>
    <w:uiPriority w:val="0"/>
    <w:rPr>
      <w:rFonts w:hint="eastAsia" w:ascii="宋体" w:hAnsi="宋体" w:eastAsia="宋体"/>
      <w:kern w:val="2"/>
      <w:sz w:val="24"/>
      <w:szCs w:val="24"/>
      <w:lang w:val="en-US" w:eastAsia="zh-CN" w:bidi="ar-SA"/>
    </w:rPr>
  </w:style>
  <w:style w:type="character" w:customStyle="1" w:styleId="184">
    <w:name w:val="正文文本 Char1"/>
    <w:qFormat/>
    <w:uiPriority w:val="0"/>
    <w:rPr>
      <w:rFonts w:hint="default" w:ascii="Times New Roman" w:hAnsi="Times New Roman" w:eastAsia="宋体" w:cs="Times New Roman"/>
      <w:kern w:val="0"/>
      <w:sz w:val="18"/>
      <w:szCs w:val="18"/>
    </w:rPr>
  </w:style>
  <w:style w:type="character" w:customStyle="1" w:styleId="185">
    <w:name w:val="正文文本 字符"/>
    <w:basedOn w:val="45"/>
    <w:link w:val="17"/>
    <w:qFormat/>
    <w:locked/>
    <w:uiPriority w:val="99"/>
    <w:rPr>
      <w:rFonts w:ascii="Calibri" w:hAnsi="Calibri" w:eastAsia="宋体" w:cs="Times New Roman"/>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标题 1 Char1"/>
    <w:qFormat/>
    <w:uiPriority w:val="0"/>
    <w:rPr>
      <w:b/>
      <w:bCs/>
      <w:kern w:val="44"/>
      <w:sz w:val="44"/>
      <w:szCs w:val="44"/>
    </w:rPr>
  </w:style>
  <w:style w:type="character" w:customStyle="1" w:styleId="189">
    <w:name w:val="表正文 Char1"/>
    <w:qFormat/>
    <w:uiPriority w:val="0"/>
    <w:rPr>
      <w:rFonts w:hint="eastAsia" w:ascii="宋体" w:hAnsi="宋体" w:eastAsia="宋体"/>
      <w:kern w:val="2"/>
      <w:sz w:val="21"/>
      <w:lang w:val="en-US" w:eastAsia="zh-CN" w:bidi="ar-SA"/>
    </w:rPr>
  </w:style>
  <w:style w:type="character" w:customStyle="1" w:styleId="190">
    <w:name w:val="纯文本 字符"/>
    <w:link w:val="22"/>
    <w:qFormat/>
    <w:locked/>
    <w:uiPriority w:val="99"/>
    <w:rPr>
      <w:rFonts w:ascii="宋体" w:hAnsi="Courier New" w:eastAsia="宋体" w:cs="Times New Roman"/>
      <w:kern w:val="0"/>
      <w:sz w:val="20"/>
      <w:szCs w:val="18"/>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5"/>
    <w:qFormat/>
    <w:uiPriority w:val="0"/>
    <w:rPr>
      <w:rFonts w:hint="eastAsia" w:ascii="宋体" w:hAnsi="宋体" w:eastAsia="宋体" w:cs="宋体"/>
      <w:b/>
      <w:color w:val="000000"/>
      <w:sz w:val="22"/>
      <w:szCs w:val="22"/>
      <w:u w:val="none"/>
    </w:rPr>
  </w:style>
  <w:style w:type="character" w:customStyle="1" w:styleId="195">
    <w:name w:val="font01"/>
    <w:basedOn w:val="45"/>
    <w:qFormat/>
    <w:uiPriority w:val="0"/>
    <w:rPr>
      <w:rFonts w:hint="eastAsia" w:ascii="宋体" w:hAnsi="宋体" w:eastAsia="宋体" w:cs="宋体"/>
      <w:color w:val="000000"/>
      <w:sz w:val="22"/>
      <w:szCs w:val="22"/>
      <w:u w:val="none"/>
    </w:rPr>
  </w:style>
  <w:style w:type="character" w:customStyle="1" w:styleId="196">
    <w:name w:val="页脚 Char1"/>
    <w:basedOn w:val="45"/>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0"/>
    <w:rPr>
      <w:rFonts w:hint="default" w:ascii="Calibri" w:hAnsi="Calibri"/>
      <w:kern w:val="2"/>
      <w:sz w:val="21"/>
      <w:szCs w:val="22"/>
    </w:rPr>
  </w:style>
  <w:style w:type="paragraph" w:customStyle="1" w:styleId="199">
    <w:name w:val="CD正文"/>
    <w:basedOn w:val="98"/>
    <w:link w:val="204"/>
    <w:qFormat/>
    <w:uiPriority w:val="0"/>
  </w:style>
  <w:style w:type="paragraph" w:customStyle="1" w:styleId="200">
    <w:name w:val="项目符号：一级"/>
    <w:basedOn w:val="85"/>
    <w:next w:val="85"/>
    <w:qFormat/>
    <w:uiPriority w:val="0"/>
  </w:style>
  <w:style w:type="character" w:customStyle="1" w:styleId="201">
    <w:name w:val="HTML 预设格式 字符"/>
    <w:basedOn w:val="45"/>
    <w:link w:val="38"/>
    <w:qFormat/>
    <w:uiPriority w:val="0"/>
    <w:rPr>
      <w:rFonts w:ascii="宋体" w:hAnsi="宋体" w:eastAsia="宋体" w:cs="Times New Roman"/>
      <w:kern w:val="0"/>
      <w:sz w:val="24"/>
      <w:szCs w:val="24"/>
    </w:rPr>
  </w:style>
  <w:style w:type="paragraph" w:customStyle="1" w:styleId="202">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3">
    <w:name w:val="样式 Char Char"/>
    <w:link w:val="120"/>
    <w:qFormat/>
    <w:locked/>
    <w:uiPriority w:val="0"/>
    <w:rPr>
      <w:rFonts w:ascii="宋体" w:hAnsi="宋体" w:eastAsia="宋体" w:cs="宋体"/>
      <w:kern w:val="0"/>
      <w:sz w:val="24"/>
      <w:szCs w:val="24"/>
    </w:rPr>
  </w:style>
  <w:style w:type="character" w:customStyle="1" w:styleId="204">
    <w:name w:val="CD正文 Char"/>
    <w:link w:val="199"/>
    <w:qFormat/>
    <w:locked/>
    <w:uiPriority w:val="0"/>
    <w:rPr>
      <w:rFonts w:ascii="Times New Roman" w:hAnsi="Times New Roman" w:eastAsia="宋体" w:cs="Times New Roman"/>
      <w:sz w:val="24"/>
      <w:szCs w:val="24"/>
    </w:rPr>
  </w:style>
  <w:style w:type="paragraph" w:customStyle="1" w:styleId="205">
    <w:name w:val="正文 A"/>
    <w:qFormat/>
    <w:uiPriority w:val="99"/>
    <w:rPr>
      <w:rFonts w:ascii="Arial Unicode MS" w:hAnsi="Arial Unicode MS" w:eastAsia="Arial Unicode MS" w:cs="Arial Unicode MS"/>
      <w:color w:val="000000"/>
      <w:sz w:val="24"/>
      <w:szCs w:val="24"/>
      <w:lang w:val="zh-TW" w:eastAsia="zh-TW" w:bidi="ar-SA"/>
    </w:rPr>
  </w:style>
  <w:style w:type="paragraph" w:customStyle="1" w:styleId="206">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7">
    <w:name w:val="列出段落5"/>
    <w:basedOn w:val="1"/>
    <w:qFormat/>
    <w:uiPriority w:val="99"/>
    <w:pPr>
      <w:ind w:firstLine="420" w:firstLineChars="200"/>
    </w:pPr>
    <w:rPr>
      <w:rFonts w:ascii="Times New Roman" w:hAnsi="Times New Roman"/>
    </w:rPr>
  </w:style>
  <w:style w:type="paragraph" w:customStyle="1" w:styleId="208">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9">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0">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1">
    <w:name w:val="列出段落11"/>
    <w:basedOn w:val="1"/>
    <w:qFormat/>
    <w:uiPriority w:val="99"/>
    <w:pPr>
      <w:spacing w:after="200" w:line="276" w:lineRule="auto"/>
      <w:ind w:firstLine="420" w:firstLineChars="200"/>
    </w:pPr>
  </w:style>
  <w:style w:type="paragraph" w:customStyle="1" w:styleId="212">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3">
    <w:name w:val="UserStyle_26"/>
    <w:link w:val="214"/>
    <w:qFormat/>
    <w:locked/>
    <w:uiPriority w:val="0"/>
  </w:style>
  <w:style w:type="paragraph" w:customStyle="1" w:styleId="214">
    <w:name w:val="NormalIndent"/>
    <w:basedOn w:val="1"/>
    <w:link w:val="213"/>
    <w:qFormat/>
    <w:uiPriority w:val="0"/>
    <w:pPr>
      <w:widowControl/>
      <w:spacing w:after="200" w:line="276" w:lineRule="auto"/>
      <w:ind w:firstLine="420"/>
    </w:pPr>
    <w:rPr>
      <w:rFonts w:asciiTheme="minorHAnsi" w:hAnsiTheme="minorHAnsi" w:eastAsiaTheme="minorEastAsia" w:cstheme="minorBidi"/>
    </w:rPr>
  </w:style>
  <w:style w:type="paragraph" w:customStyle="1" w:styleId="215">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6">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7">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8">
    <w:name w:val="UserStyle_40"/>
    <w:basedOn w:val="1"/>
    <w:qFormat/>
    <w:uiPriority w:val="99"/>
    <w:pPr>
      <w:widowControl/>
      <w:spacing w:after="200" w:line="276" w:lineRule="auto"/>
      <w:ind w:firstLine="420" w:firstLineChars="200"/>
    </w:pPr>
    <w:rPr>
      <w:szCs w:val="21"/>
    </w:rPr>
  </w:style>
  <w:style w:type="paragraph" w:customStyle="1" w:styleId="219">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0">
    <w:name w:val="BodyText"/>
    <w:basedOn w:val="1"/>
    <w:qFormat/>
    <w:uiPriority w:val="0"/>
    <w:pPr>
      <w:spacing w:after="120" w:line="276" w:lineRule="auto"/>
    </w:pPr>
  </w:style>
  <w:style w:type="paragraph" w:customStyle="1" w:styleId="221">
    <w:name w:val="_Style 2"/>
    <w:basedOn w:val="1"/>
    <w:qFormat/>
    <w:uiPriority w:val="99"/>
    <w:pPr>
      <w:spacing w:after="200" w:line="276" w:lineRule="auto"/>
      <w:ind w:firstLine="420" w:firstLineChars="200"/>
    </w:pPr>
  </w:style>
  <w:style w:type="paragraph" w:customStyle="1" w:styleId="222">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3">
    <w:name w:val="标准文本 Char Char"/>
    <w:link w:val="224"/>
    <w:qFormat/>
    <w:locked/>
    <w:uiPriority w:val="0"/>
    <w:rPr>
      <w:sz w:val="24"/>
    </w:rPr>
  </w:style>
  <w:style w:type="paragraph" w:customStyle="1" w:styleId="224">
    <w:name w:val="标准文本"/>
    <w:basedOn w:val="1"/>
    <w:link w:val="223"/>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5">
    <w:name w:val="正文360首行缩进 Char"/>
    <w:basedOn w:val="45"/>
    <w:link w:val="226"/>
    <w:qFormat/>
    <w:locked/>
    <w:uiPriority w:val="0"/>
    <w:rPr>
      <w:rFonts w:ascii="Times New Roman" w:hAnsi="Times New Roman" w:eastAsia="宋体" w:cs="Times New Roman"/>
      <w:sz w:val="24"/>
    </w:rPr>
  </w:style>
  <w:style w:type="paragraph" w:customStyle="1" w:styleId="226">
    <w:name w:val="正文360首行缩进"/>
    <w:basedOn w:val="1"/>
    <w:link w:val="225"/>
    <w:qFormat/>
    <w:uiPriority w:val="0"/>
    <w:pPr>
      <w:widowControl/>
      <w:spacing w:before="120" w:line="300" w:lineRule="auto"/>
      <w:ind w:firstLine="200" w:firstLineChars="200"/>
      <w:jc w:val="left"/>
    </w:pPr>
    <w:rPr>
      <w:rFonts w:ascii="Times New Roman" w:hAnsi="Times New Roman"/>
      <w:sz w:val="24"/>
    </w:rPr>
  </w:style>
  <w:style w:type="paragraph" w:customStyle="1" w:styleId="227">
    <w:name w:val="列出段落1_0"/>
    <w:basedOn w:val="1"/>
    <w:qFormat/>
    <w:uiPriority w:val="99"/>
    <w:pPr>
      <w:ind w:firstLine="420" w:firstLineChars="200"/>
    </w:pPr>
    <w:rPr>
      <w:szCs w:val="21"/>
    </w:rPr>
  </w:style>
  <w:style w:type="paragraph" w:customStyle="1" w:styleId="228">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29">
    <w:name w:val="Char1 Char Char Char Char Char Char_0"/>
    <w:basedOn w:val="1"/>
    <w:qFormat/>
    <w:uiPriority w:val="0"/>
    <w:rPr>
      <w:rFonts w:ascii="Tahoma" w:hAnsi="Tahoma"/>
      <w:sz w:val="24"/>
      <w:szCs w:val="20"/>
    </w:rPr>
  </w:style>
  <w:style w:type="paragraph" w:customStyle="1" w:styleId="230">
    <w:name w:val="样式 标题 2 + Times New Roman 四号 非加粗 段前: 5 磅 段后: 0 磅 行距: 固定值 20..."/>
    <w:basedOn w:val="2"/>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31">
    <w:name w:val="列出段落111"/>
    <w:basedOn w:val="1"/>
    <w:qFormat/>
    <w:uiPriority w:val="99"/>
    <w:pPr>
      <w:ind w:firstLine="420" w:firstLineChars="200"/>
    </w:pPr>
    <w:rPr>
      <w:rFonts w:ascii="Times New Roman" w:hAnsi="Times New Roman"/>
    </w:rPr>
  </w:style>
  <w:style w:type="paragraph" w:customStyle="1" w:styleId="232">
    <w:name w:val="修订3"/>
    <w:qFormat/>
    <w:uiPriority w:val="99"/>
    <w:rPr>
      <w:rFonts w:ascii="Calibri" w:hAnsi="Calibri" w:eastAsia="宋体" w:cs="Times New Roman"/>
      <w:kern w:val="2"/>
      <w:sz w:val="21"/>
      <w:szCs w:val="22"/>
      <w:lang w:val="en-US" w:eastAsia="zh-CN" w:bidi="ar-SA"/>
    </w:rPr>
  </w:style>
  <w:style w:type="paragraph" w:customStyle="1" w:styleId="233">
    <w:name w:val="List Paragraph1"/>
    <w:basedOn w:val="1"/>
    <w:qFormat/>
    <w:uiPriority w:val="99"/>
    <w:pPr>
      <w:ind w:firstLine="420" w:firstLineChars="200"/>
    </w:pPr>
    <w:rPr>
      <w:rFonts w:ascii="Times New Roman" w:hAnsi="Times New Roman"/>
      <w:szCs w:val="24"/>
    </w:rPr>
  </w:style>
  <w:style w:type="paragraph" w:customStyle="1" w:styleId="234">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5">
    <w:name w:val="正文（绿盟科技）"/>
    <w:qFormat/>
    <w:uiPriority w:val="99"/>
    <w:pPr>
      <w:spacing w:line="300" w:lineRule="auto"/>
    </w:pPr>
    <w:rPr>
      <w:rFonts w:ascii="Arial" w:hAnsi="Arial" w:eastAsia="宋体" w:cs="黑体"/>
      <w:sz w:val="21"/>
      <w:szCs w:val="21"/>
      <w:lang w:val="en-US" w:eastAsia="zh-CN" w:bidi="ar-SA"/>
    </w:rPr>
  </w:style>
  <w:style w:type="paragraph" w:customStyle="1" w:styleId="236">
    <w:name w:val="标题 5（有编号）（绿盟科技）"/>
    <w:basedOn w:val="1"/>
    <w:next w:val="235"/>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7">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8">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39">
    <w:name w:val="修订11"/>
    <w:qFormat/>
    <w:uiPriority w:val="99"/>
    <w:rPr>
      <w:rFonts w:ascii="Calibri" w:hAnsi="Calibri" w:eastAsia="宋体" w:cs="Times New Roman"/>
      <w:kern w:val="2"/>
      <w:sz w:val="21"/>
      <w:szCs w:val="22"/>
      <w:lang w:val="en-US" w:eastAsia="zh-CN" w:bidi="ar-SA"/>
    </w:rPr>
  </w:style>
  <w:style w:type="paragraph" w:customStyle="1" w:styleId="240">
    <w:name w:val="_Style 32"/>
    <w:basedOn w:val="1"/>
    <w:next w:val="1"/>
    <w:qFormat/>
    <w:uiPriority w:val="99"/>
    <w:pPr>
      <w:spacing w:line="240" w:lineRule="atLeast"/>
      <w:ind w:left="420" w:firstLine="420"/>
      <w:jc w:val="left"/>
    </w:pPr>
    <w:rPr>
      <w:rFonts w:ascii="Times New Roman" w:hAnsi="Times New Roman"/>
      <w:szCs w:val="20"/>
    </w:rPr>
  </w:style>
  <w:style w:type="character" w:customStyle="1" w:styleId="241">
    <w:name w:val="占位符文本1"/>
    <w:basedOn w:val="45"/>
    <w:semiHidden/>
    <w:qFormat/>
    <w:uiPriority w:val="99"/>
    <w:rPr>
      <w:color w:val="808080"/>
    </w:rPr>
  </w:style>
  <w:style w:type="character" w:customStyle="1" w:styleId="242">
    <w:name w:val="页眉 字符1"/>
    <w:basedOn w:val="45"/>
    <w:semiHidden/>
    <w:qFormat/>
    <w:locked/>
    <w:uiPriority w:val="99"/>
    <w:rPr>
      <w:rFonts w:ascii="Calibri" w:hAnsi="Calibri" w:eastAsia="宋体" w:cs="Times New Roman"/>
      <w:kern w:val="0"/>
      <w:sz w:val="18"/>
      <w:szCs w:val="18"/>
    </w:rPr>
  </w:style>
  <w:style w:type="character" w:customStyle="1" w:styleId="243">
    <w:name w:val="正文文本 字符1"/>
    <w:basedOn w:val="45"/>
    <w:semiHidden/>
    <w:qFormat/>
    <w:locked/>
    <w:uiPriority w:val="99"/>
    <w:rPr>
      <w:rFonts w:ascii="Calibri" w:hAnsi="Calibri" w:eastAsia="宋体" w:cs="Times New Roman"/>
    </w:rPr>
  </w:style>
  <w:style w:type="character" w:customStyle="1" w:styleId="244">
    <w:name w:val="批注框文本 字符1"/>
    <w:basedOn w:val="45"/>
    <w:semiHidden/>
    <w:qFormat/>
    <w:locked/>
    <w:uiPriority w:val="99"/>
    <w:rPr>
      <w:rFonts w:ascii="Times New Roman" w:hAnsi="Times New Roman" w:eastAsia="宋体" w:cs="Times New Roman"/>
      <w:kern w:val="0"/>
      <w:sz w:val="18"/>
      <w:szCs w:val="18"/>
    </w:rPr>
  </w:style>
  <w:style w:type="character" w:customStyle="1" w:styleId="245">
    <w:name w:val="NormalCharacter"/>
    <w:qFormat/>
    <w:uiPriority w:val="0"/>
  </w:style>
  <w:style w:type="paragraph" w:customStyle="1" w:styleId="246">
    <w:name w:val="BodyText1I"/>
    <w:basedOn w:val="1"/>
    <w:link w:val="247"/>
    <w:qFormat/>
    <w:uiPriority w:val="0"/>
  </w:style>
  <w:style w:type="character" w:customStyle="1" w:styleId="247">
    <w:name w:val="UserStyle_9"/>
    <w:basedOn w:val="45"/>
    <w:link w:val="246"/>
    <w:qFormat/>
    <w:locked/>
    <w:uiPriority w:val="0"/>
    <w:rPr>
      <w:rFonts w:ascii="Calibri" w:hAnsi="Calibri" w:eastAsia="宋体" w:cs="Times New Roman"/>
    </w:rPr>
  </w:style>
  <w:style w:type="character" w:customStyle="1" w:styleId="248">
    <w:name w:val="15"/>
    <w:basedOn w:val="45"/>
    <w:qFormat/>
    <w:uiPriority w:val="0"/>
    <w:rPr>
      <w:rFonts w:hint="default" w:ascii="Calibri" w:hAnsi="Calibri"/>
    </w:rPr>
  </w:style>
  <w:style w:type="character" w:customStyle="1" w:styleId="249">
    <w:name w:val="批注文字 Char1"/>
    <w:basedOn w:val="45"/>
    <w:semiHidden/>
    <w:qFormat/>
    <w:locked/>
    <w:uiPriority w:val="0"/>
    <w:rPr>
      <w:rFonts w:hint="default" w:ascii="Calibri" w:hAnsi="Calibri" w:eastAsia="宋体" w:cs="Times New Roman"/>
    </w:rPr>
  </w:style>
  <w:style w:type="character" w:customStyle="1" w:styleId="250">
    <w:name w:val="font21"/>
    <w:qFormat/>
    <w:uiPriority w:val="0"/>
    <w:rPr>
      <w:rFonts w:hint="default" w:ascii="Arial" w:hAnsi="Arial" w:cs="Arial"/>
      <w:color w:val="000000"/>
      <w:sz w:val="18"/>
      <w:szCs w:val="18"/>
      <w:u w:val="none"/>
    </w:rPr>
  </w:style>
  <w:style w:type="character" w:customStyle="1" w:styleId="251">
    <w:name w:val="_Style 8"/>
    <w:qFormat/>
    <w:uiPriority w:val="32"/>
    <w:rPr>
      <w:b/>
      <w:bCs/>
      <w:smallCaps/>
      <w:color w:val="C0504D"/>
      <w:spacing w:val="5"/>
      <w:u w:val="single"/>
    </w:rPr>
  </w:style>
  <w:style w:type="character" w:customStyle="1" w:styleId="252">
    <w:name w:val="l-btn-icon-left"/>
    <w:basedOn w:val="45"/>
    <w:qFormat/>
    <w:uiPriority w:val="0"/>
  </w:style>
  <w:style w:type="character" w:customStyle="1" w:styleId="253">
    <w:name w:val="l-btn-icon-left1"/>
    <w:basedOn w:val="45"/>
    <w:qFormat/>
    <w:uiPriority w:val="0"/>
  </w:style>
  <w:style w:type="character" w:customStyle="1" w:styleId="254">
    <w:name w:val="l-btn-empty"/>
    <w:basedOn w:val="45"/>
    <w:qFormat/>
    <w:uiPriority w:val="0"/>
  </w:style>
  <w:style w:type="character" w:customStyle="1" w:styleId="255">
    <w:name w:val="l-btn-icon-right"/>
    <w:basedOn w:val="45"/>
    <w:qFormat/>
    <w:uiPriority w:val="0"/>
  </w:style>
  <w:style w:type="character" w:customStyle="1" w:styleId="256">
    <w:name w:val="l-btn-left2"/>
    <w:basedOn w:val="45"/>
    <w:qFormat/>
    <w:uiPriority w:val="0"/>
  </w:style>
  <w:style w:type="character" w:customStyle="1" w:styleId="257">
    <w:name w:val="l-btn-left3"/>
    <w:basedOn w:val="45"/>
    <w:qFormat/>
    <w:uiPriority w:val="0"/>
  </w:style>
  <w:style w:type="character" w:customStyle="1" w:styleId="258">
    <w:name w:val="l-btn-left4"/>
    <w:basedOn w:val="45"/>
    <w:qFormat/>
    <w:uiPriority w:val="0"/>
  </w:style>
  <w:style w:type="character" w:customStyle="1" w:styleId="259">
    <w:name w:val="l-btn-left5"/>
    <w:basedOn w:val="45"/>
    <w:qFormat/>
    <w:uiPriority w:val="0"/>
  </w:style>
  <w:style w:type="character" w:customStyle="1" w:styleId="260">
    <w:name w:val="l-btn-left6"/>
    <w:basedOn w:val="45"/>
    <w:qFormat/>
    <w:uiPriority w:val="0"/>
  </w:style>
  <w:style w:type="character" w:customStyle="1" w:styleId="261">
    <w:name w:val="l-btn-text"/>
    <w:basedOn w:val="45"/>
    <w:qFormat/>
    <w:uiPriority w:val="0"/>
    <w:rPr>
      <w:vertAlign w:val="baseline"/>
    </w:rPr>
  </w:style>
  <w:style w:type="character" w:customStyle="1" w:styleId="262">
    <w:name w:val="l-btn-text1"/>
    <w:basedOn w:val="45"/>
    <w:qFormat/>
    <w:uiPriority w:val="0"/>
    <w:rPr>
      <w:vertAlign w:val="baseline"/>
    </w:rPr>
  </w:style>
  <w:style w:type="character" w:customStyle="1" w:styleId="263">
    <w:name w:val="ajaxtitle"/>
    <w:basedOn w:val="45"/>
    <w:qFormat/>
    <w:uiPriority w:val="0"/>
  </w:style>
  <w:style w:type="character" w:customStyle="1" w:styleId="264">
    <w:name w:val="json_key"/>
    <w:basedOn w:val="45"/>
    <w:qFormat/>
    <w:uiPriority w:val="0"/>
  </w:style>
  <w:style w:type="character" w:customStyle="1" w:styleId="265">
    <w:name w:val="json_string"/>
    <w:basedOn w:val="45"/>
    <w:qFormat/>
    <w:uiPriority w:val="0"/>
  </w:style>
  <w:style w:type="character" w:customStyle="1" w:styleId="266">
    <w:name w:val="标题 2 Char1"/>
    <w:basedOn w:val="45"/>
    <w:semiHidden/>
    <w:qFormat/>
    <w:uiPriority w:val="99"/>
    <w:rPr>
      <w:rFonts w:hint="eastAsia" w:asciiTheme="majorHAnsi" w:hAnsiTheme="majorHAnsi" w:eastAsiaTheme="majorEastAsia" w:cstheme="majorBidi"/>
      <w:b/>
      <w:bCs/>
      <w:kern w:val="2"/>
      <w:sz w:val="32"/>
      <w:szCs w:val="32"/>
    </w:rPr>
  </w:style>
  <w:style w:type="character" w:customStyle="1" w:styleId="267">
    <w:name w:val="标题 3 Char1"/>
    <w:basedOn w:val="45"/>
    <w:semiHidden/>
    <w:qFormat/>
    <w:uiPriority w:val="99"/>
    <w:rPr>
      <w:rFonts w:hint="default" w:ascii="Calibri" w:hAnsi="Calibri"/>
      <w:b/>
      <w:bCs/>
      <w:kern w:val="2"/>
      <w:sz w:val="32"/>
      <w:szCs w:val="32"/>
    </w:rPr>
  </w:style>
  <w:style w:type="character" w:customStyle="1" w:styleId="268">
    <w:name w:val="标题 4 Char1"/>
    <w:basedOn w:val="45"/>
    <w:semiHidden/>
    <w:qFormat/>
    <w:uiPriority w:val="9"/>
    <w:rPr>
      <w:rFonts w:hint="eastAsia" w:asciiTheme="majorHAnsi" w:hAnsiTheme="majorHAnsi" w:eastAsiaTheme="majorEastAsia" w:cstheme="majorBidi"/>
      <w:b/>
      <w:bCs/>
      <w:kern w:val="2"/>
      <w:sz w:val="28"/>
      <w:szCs w:val="28"/>
    </w:rPr>
  </w:style>
  <w:style w:type="character" w:customStyle="1" w:styleId="269">
    <w:name w:val="正文文本缩进 2 Char1"/>
    <w:basedOn w:val="45"/>
    <w:semiHidden/>
    <w:qFormat/>
    <w:uiPriority w:val="99"/>
    <w:rPr>
      <w:rFonts w:hint="default" w:ascii="Calibri" w:hAnsi="Calibri" w:cs="Calibri"/>
      <w:kern w:val="2"/>
      <w:sz w:val="21"/>
      <w:szCs w:val="22"/>
    </w:rPr>
  </w:style>
  <w:style w:type="character" w:customStyle="1" w:styleId="270">
    <w:name w:val="正文文本缩进 Char1"/>
    <w:basedOn w:val="45"/>
    <w:semiHidden/>
    <w:qFormat/>
    <w:uiPriority w:val="99"/>
    <w:rPr>
      <w:rFonts w:hint="default" w:ascii="Calibri" w:hAnsi="Calibri" w:cs="Calibri"/>
      <w:kern w:val="2"/>
      <w:sz w:val="21"/>
      <w:szCs w:val="22"/>
    </w:rPr>
  </w:style>
  <w:style w:type="character" w:customStyle="1" w:styleId="271">
    <w:name w:val="正文文本 3 Char1"/>
    <w:basedOn w:val="45"/>
    <w:semiHidden/>
    <w:qFormat/>
    <w:uiPriority w:val="99"/>
    <w:rPr>
      <w:rFonts w:hint="default" w:ascii="Calibri" w:hAnsi="Calibri" w:cs="Calibri"/>
      <w:kern w:val="2"/>
      <w:sz w:val="16"/>
      <w:szCs w:val="16"/>
    </w:rPr>
  </w:style>
  <w:style w:type="character" w:customStyle="1" w:styleId="272">
    <w:name w:val="正文文本缩进 3 Char1"/>
    <w:basedOn w:val="45"/>
    <w:semiHidden/>
    <w:qFormat/>
    <w:uiPriority w:val="99"/>
    <w:rPr>
      <w:rFonts w:hint="default" w:ascii="Calibri" w:hAnsi="Calibri" w:cs="Calibri"/>
      <w:kern w:val="2"/>
      <w:sz w:val="16"/>
      <w:szCs w:val="16"/>
    </w:rPr>
  </w:style>
  <w:style w:type="character" w:customStyle="1" w:styleId="273">
    <w:name w:val="批注框文本 Char1"/>
    <w:basedOn w:val="45"/>
    <w:semiHidden/>
    <w:qFormat/>
    <w:uiPriority w:val="99"/>
    <w:rPr>
      <w:rFonts w:hint="default" w:ascii="Calibri" w:hAnsi="Calibri" w:cs="Calibri"/>
      <w:kern w:val="2"/>
      <w:sz w:val="18"/>
      <w:szCs w:val="18"/>
    </w:rPr>
  </w:style>
  <w:style w:type="character" w:customStyle="1" w:styleId="274">
    <w:name w:val="文档结构图 Char1"/>
    <w:basedOn w:val="45"/>
    <w:semiHidden/>
    <w:qFormat/>
    <w:uiPriority w:val="99"/>
    <w:rPr>
      <w:rFonts w:hint="eastAsia" w:ascii="宋体" w:hAnsi="Calibri" w:eastAsia="宋体"/>
      <w:kern w:val="2"/>
      <w:sz w:val="18"/>
      <w:szCs w:val="18"/>
    </w:rPr>
  </w:style>
  <w:style w:type="character" w:customStyle="1" w:styleId="275">
    <w:name w:val="页眉 Char1"/>
    <w:basedOn w:val="45"/>
    <w:semiHidden/>
    <w:qFormat/>
    <w:uiPriority w:val="99"/>
    <w:rPr>
      <w:rFonts w:hint="default" w:ascii="Calibri" w:hAnsi="Calibri" w:cs="Calibri"/>
      <w:kern w:val="2"/>
      <w:sz w:val="18"/>
      <w:szCs w:val="18"/>
    </w:rPr>
  </w:style>
  <w:style w:type="character" w:customStyle="1" w:styleId="276">
    <w:name w:val="日期 Char1"/>
    <w:basedOn w:val="45"/>
    <w:semiHidden/>
    <w:qFormat/>
    <w:uiPriority w:val="99"/>
    <w:rPr>
      <w:rFonts w:hint="default" w:ascii="Calibri" w:hAnsi="Calibri" w:cs="Calibri"/>
      <w:kern w:val="2"/>
      <w:sz w:val="21"/>
      <w:szCs w:val="22"/>
    </w:rPr>
  </w:style>
  <w:style w:type="character" w:customStyle="1" w:styleId="277">
    <w:name w:val="正文文本 Char3"/>
    <w:basedOn w:val="45"/>
    <w:qFormat/>
    <w:uiPriority w:val="99"/>
    <w:rPr>
      <w:rFonts w:hint="default" w:ascii="Calibri" w:hAnsi="Calibri" w:cs="Calibri"/>
      <w:kern w:val="2"/>
      <w:sz w:val="21"/>
      <w:szCs w:val="22"/>
    </w:rPr>
  </w:style>
  <w:style w:type="character" w:customStyle="1" w:styleId="278">
    <w:name w:val="纯文本 Char2"/>
    <w:basedOn w:val="45"/>
    <w:qFormat/>
    <w:uiPriority w:val="99"/>
    <w:rPr>
      <w:rFonts w:hint="eastAsia" w:ascii="宋体" w:hAnsi="Courier New" w:eastAsia="宋体" w:cs="Courier New"/>
      <w:kern w:val="2"/>
      <w:sz w:val="21"/>
      <w:szCs w:val="21"/>
    </w:rPr>
  </w:style>
  <w:style w:type="character" w:customStyle="1" w:styleId="279">
    <w:name w:val="正文首行缩进 Char1"/>
    <w:basedOn w:val="277"/>
    <w:semiHidden/>
    <w:qFormat/>
    <w:uiPriority w:val="99"/>
    <w:rPr>
      <w:rFonts w:hint="default" w:ascii="Calibri" w:hAnsi="Calibri" w:cs="Calibri"/>
      <w:kern w:val="2"/>
      <w:sz w:val="21"/>
      <w:szCs w:val="22"/>
    </w:rPr>
  </w:style>
  <w:style w:type="character" w:customStyle="1" w:styleId="280">
    <w:name w:val="正文文本 2 Char1"/>
    <w:basedOn w:val="45"/>
    <w:semiHidden/>
    <w:qFormat/>
    <w:uiPriority w:val="99"/>
    <w:rPr>
      <w:rFonts w:hint="default" w:ascii="Calibri" w:hAnsi="Calibri" w:cs="Calibri"/>
      <w:kern w:val="2"/>
      <w:sz w:val="21"/>
      <w:szCs w:val="22"/>
    </w:rPr>
  </w:style>
  <w:style w:type="character" w:customStyle="1" w:styleId="281">
    <w:name w:val="副标题 Char2"/>
    <w:basedOn w:val="45"/>
    <w:qFormat/>
    <w:uiPriority w:val="11"/>
    <w:rPr>
      <w:rFonts w:hint="eastAsia" w:eastAsia="等线 Light" w:asciiTheme="majorHAnsi" w:hAnsiTheme="majorHAnsi" w:cstheme="majorBidi"/>
      <w:b/>
      <w:bCs/>
      <w:kern w:val="28"/>
      <w:sz w:val="32"/>
      <w:szCs w:val="32"/>
    </w:rPr>
  </w:style>
  <w:style w:type="character" w:customStyle="1" w:styleId="282">
    <w:name w:val="font61"/>
    <w:qFormat/>
    <w:uiPriority w:val="0"/>
    <w:rPr>
      <w:rFonts w:hint="eastAsia" w:ascii="仿宋_GB2312" w:eastAsia="仿宋_GB2312" w:cs="仿宋_GB2312"/>
      <w:color w:val="000000"/>
      <w:sz w:val="24"/>
      <w:szCs w:val="24"/>
      <w:u w:val="none"/>
    </w:rPr>
  </w:style>
  <w:style w:type="character" w:customStyle="1" w:styleId="283">
    <w:name w:val="font31"/>
    <w:qFormat/>
    <w:uiPriority w:val="0"/>
    <w:rPr>
      <w:rFonts w:hint="eastAsia" w:ascii="宋体" w:hAnsi="宋体" w:eastAsia="宋体" w:cs="宋体"/>
      <w:color w:val="FF0000"/>
      <w:sz w:val="24"/>
      <w:szCs w:val="24"/>
      <w:u w:val="none"/>
    </w:rPr>
  </w:style>
  <w:style w:type="character" w:customStyle="1" w:styleId="284">
    <w:name w:val="font221"/>
    <w:qFormat/>
    <w:uiPriority w:val="0"/>
    <w:rPr>
      <w:rFonts w:hint="eastAsia" w:ascii="宋体" w:hAnsi="宋体" w:eastAsia="宋体" w:cs="宋体"/>
      <w:color w:val="000000"/>
      <w:sz w:val="24"/>
      <w:szCs w:val="24"/>
      <w:u w:val="none"/>
    </w:rPr>
  </w:style>
  <w:style w:type="character" w:customStyle="1" w:styleId="285">
    <w:name w:val="font121"/>
    <w:basedOn w:val="45"/>
    <w:qFormat/>
    <w:uiPriority w:val="0"/>
    <w:rPr>
      <w:rFonts w:hint="eastAsia" w:ascii="宋体" w:hAnsi="宋体" w:eastAsia="宋体" w:cs="宋体"/>
      <w:color w:val="000000"/>
      <w:sz w:val="22"/>
      <w:szCs w:val="22"/>
      <w:u w:val="none"/>
    </w:rPr>
  </w:style>
  <w:style w:type="character" w:customStyle="1" w:styleId="286">
    <w:name w:val="font41"/>
    <w:basedOn w:val="45"/>
    <w:qFormat/>
    <w:uiPriority w:val="0"/>
    <w:rPr>
      <w:rFonts w:hint="eastAsia" w:ascii="宋体" w:hAnsi="宋体" w:eastAsia="宋体" w:cs="宋体"/>
      <w:b/>
      <w:color w:val="000000"/>
      <w:sz w:val="22"/>
      <w:szCs w:val="22"/>
      <w:u w:val="none"/>
    </w:rPr>
  </w:style>
  <w:style w:type="character" w:customStyle="1" w:styleId="287">
    <w:name w:val="font71"/>
    <w:basedOn w:val="45"/>
    <w:qFormat/>
    <w:uiPriority w:val="0"/>
    <w:rPr>
      <w:rFonts w:hint="eastAsia" w:ascii="宋体" w:hAnsi="宋体" w:eastAsia="宋体" w:cs="宋体"/>
      <w:color w:val="0D0D0D"/>
      <w:sz w:val="22"/>
      <w:szCs w:val="22"/>
      <w:u w:val="none"/>
    </w:rPr>
  </w:style>
  <w:style w:type="character" w:customStyle="1" w:styleId="288">
    <w:name w:val="qowt-font2"/>
    <w:basedOn w:val="45"/>
    <w:qFormat/>
    <w:uiPriority w:val="0"/>
  </w:style>
  <w:style w:type="character" w:customStyle="1" w:styleId="289">
    <w:name w:val="font91"/>
    <w:qFormat/>
    <w:uiPriority w:val="0"/>
    <w:rPr>
      <w:rFonts w:hint="eastAsia" w:ascii="宋体" w:hAnsi="宋体" w:eastAsia="宋体" w:cs="宋体"/>
      <w:color w:val="000000"/>
      <w:sz w:val="20"/>
      <w:szCs w:val="20"/>
      <w:u w:val="none"/>
      <w:vertAlign w:val="superscript"/>
    </w:rPr>
  </w:style>
  <w:style w:type="table" w:customStyle="1" w:styleId="290">
    <w:name w:val="网格型2"/>
    <w:basedOn w:val="43"/>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1">
    <w:name w:val="标题 1 字符1"/>
    <w:basedOn w:val="45"/>
    <w:qFormat/>
    <w:uiPriority w:val="0"/>
    <w:rPr>
      <w:rFonts w:eastAsia="宋体" w:cs="Times New Roman"/>
      <w:b/>
      <w:bCs/>
      <w:kern w:val="44"/>
      <w:sz w:val="44"/>
      <w:szCs w:val="44"/>
    </w:rPr>
  </w:style>
  <w:style w:type="character" w:customStyle="1" w:styleId="292">
    <w:name w:val="标题 2 字符1"/>
    <w:basedOn w:val="45"/>
    <w:semiHidden/>
    <w:qFormat/>
    <w:uiPriority w:val="9"/>
    <w:rPr>
      <w:rFonts w:asciiTheme="majorHAnsi" w:hAnsiTheme="majorHAnsi" w:eastAsiaTheme="majorEastAsia" w:cstheme="majorBidi"/>
      <w:b/>
      <w:bCs/>
      <w:kern w:val="2"/>
      <w:sz w:val="32"/>
      <w:szCs w:val="32"/>
    </w:rPr>
  </w:style>
  <w:style w:type="character" w:customStyle="1" w:styleId="293">
    <w:name w:val="标题 3 字符1"/>
    <w:basedOn w:val="45"/>
    <w:semiHidden/>
    <w:qFormat/>
    <w:uiPriority w:val="9"/>
    <w:rPr>
      <w:rFonts w:eastAsia="宋体" w:cs="Times New Roman"/>
      <w:b/>
      <w:bCs/>
      <w:kern w:val="2"/>
      <w:sz w:val="32"/>
      <w:szCs w:val="32"/>
    </w:rPr>
  </w:style>
  <w:style w:type="character" w:customStyle="1" w:styleId="294">
    <w:name w:val="批注文字 Char"/>
    <w:basedOn w:val="45"/>
    <w:semiHidden/>
    <w:qFormat/>
    <w:uiPriority w:val="99"/>
    <w:rPr>
      <w:rFonts w:ascii="Calibri" w:hAnsi="Calibri" w:eastAsia="宋体" w:cs="Times New Roman"/>
    </w:rPr>
  </w:style>
  <w:style w:type="paragraph" w:customStyle="1" w:styleId="295">
    <w:name w:val="修订4"/>
    <w:semiHidden/>
    <w:qFormat/>
    <w:uiPriority w:val="99"/>
    <w:rPr>
      <w:rFonts w:ascii="Calibri" w:hAnsi="Calibri" w:eastAsia="宋体" w:cs="Times New Roman"/>
      <w:kern w:val="2"/>
      <w:sz w:val="21"/>
      <w:szCs w:val="22"/>
      <w:lang w:val="en-US" w:eastAsia="zh-CN" w:bidi="ar-SA"/>
    </w:rPr>
  </w:style>
  <w:style w:type="paragraph" w:customStyle="1" w:styleId="296">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character" w:customStyle="1" w:styleId="297">
    <w:name w:val="正文文本 Char2"/>
    <w:basedOn w:val="45"/>
    <w:qFormat/>
    <w:locked/>
    <w:uiPriority w:val="99"/>
    <w:rPr>
      <w:rFonts w:hint="default" w:ascii="Times New Roman" w:hAnsi="Times New Roman" w:eastAsia="宋体" w:cs="Times New Roman"/>
      <w:kern w:val="0"/>
      <w:sz w:val="20"/>
      <w:szCs w:val="20"/>
    </w:rPr>
  </w:style>
  <w:style w:type="character" w:customStyle="1" w:styleId="298">
    <w:name w:val="p121"/>
    <w:qFormat/>
    <w:uiPriority w:val="0"/>
    <w:rPr>
      <w:sz w:val="24"/>
    </w:rPr>
  </w:style>
  <w:style w:type="paragraph" w:customStyle="1" w:styleId="299">
    <w:name w:val="列表段落1"/>
    <w:basedOn w:val="1"/>
    <w:qFormat/>
    <w:uiPriority w:val="99"/>
    <w:pPr>
      <w:ind w:firstLine="420" w:firstLineChars="200"/>
    </w:pPr>
    <w:rPr>
      <w:rFonts w:ascii="宋体" w:hAnsi="宋体" w:cs="宋体"/>
      <w:sz w:val="28"/>
      <w:szCs w:val="28"/>
    </w:rPr>
  </w:style>
  <w:style w:type="character" w:customStyle="1" w:styleId="300">
    <w:name w:val="AnnotationReference"/>
    <w:qFormat/>
    <w:uiPriority w:val="0"/>
    <w:rPr>
      <w:sz w:val="21"/>
      <w:szCs w:val="21"/>
    </w:rPr>
  </w:style>
  <w:style w:type="paragraph" w:customStyle="1" w:styleId="301">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302">
    <w:name w:val="Heading3"/>
    <w:basedOn w:val="1"/>
    <w:next w:val="1"/>
    <w:link w:val="303"/>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303">
    <w:name w:val="UserStyle_4"/>
    <w:link w:val="302"/>
    <w:qFormat/>
    <w:uiPriority w:val="0"/>
    <w:rPr>
      <w:rFonts w:ascii="宋体" w:hAnsi="宋体" w:eastAsia="宋体" w:cs="宋体"/>
      <w:b/>
      <w:bCs/>
      <w:kern w:val="0"/>
      <w:sz w:val="27"/>
      <w:szCs w:val="27"/>
    </w:rPr>
  </w:style>
  <w:style w:type="paragraph" w:customStyle="1" w:styleId="304">
    <w:name w:val="_Style 48"/>
    <w:basedOn w:val="1"/>
    <w:qFormat/>
    <w:uiPriority w:val="0"/>
    <w:pPr>
      <w:ind w:firstLine="420" w:firstLineChars="200"/>
    </w:pPr>
    <w:rPr>
      <w:rFonts w:ascii="宋体" w:hAnsi="宋体" w:cs="宋体"/>
      <w:sz w:val="28"/>
      <w:szCs w:val="28"/>
    </w:rPr>
  </w:style>
  <w:style w:type="character" w:customStyle="1" w:styleId="305">
    <w:name w:val="font101"/>
    <w:basedOn w:val="45"/>
    <w:qFormat/>
    <w:uiPriority w:val="0"/>
    <w:rPr>
      <w:rFonts w:hint="eastAsia" w:ascii="宋体" w:hAnsi="宋体" w:eastAsia="宋体" w:cs="宋体"/>
      <w:color w:val="FF0000"/>
      <w:sz w:val="18"/>
      <w:szCs w:val="18"/>
      <w:u w:val="none"/>
    </w:rPr>
  </w:style>
  <w:style w:type="character" w:customStyle="1" w:styleId="306">
    <w:name w:val="font51"/>
    <w:basedOn w:val="45"/>
    <w:qFormat/>
    <w:uiPriority w:val="0"/>
    <w:rPr>
      <w:rFonts w:ascii="Calibri" w:hAnsi="Calibri" w:cs="Calibri"/>
      <w:color w:val="000000"/>
      <w:sz w:val="21"/>
      <w:szCs w:val="21"/>
      <w:u w:val="none"/>
    </w:rPr>
  </w:style>
  <w:style w:type="paragraph" w:customStyle="1" w:styleId="307">
    <w:name w:val="Table Paragraph"/>
    <w:basedOn w:val="1"/>
    <w:qFormat/>
    <w:uiPriority w:val="1"/>
    <w:pPr>
      <w:ind w:firstLine="560" w:firstLineChars="200"/>
    </w:pPr>
    <w:rPr>
      <w:rFonts w:ascii="宋体" w:hAnsi="宋体" w:cs="宋体"/>
      <w:sz w:val="28"/>
      <w:szCs w:val="28"/>
      <w:lang w:val="zh-CN" w:bidi="zh-CN"/>
    </w:rPr>
  </w:style>
  <w:style w:type="character" w:customStyle="1" w:styleId="308">
    <w:name w:val="表格文字 字符"/>
    <w:basedOn w:val="45"/>
    <w:link w:val="97"/>
    <w:qFormat/>
    <w:uiPriority w:val="0"/>
    <w:rPr>
      <w:rFonts w:ascii="Times New (W1)" w:hAnsi="Times New (W1)" w:eastAsia="宋体" w:cs="Times New Roman"/>
      <w:spacing w:val="10"/>
      <w:szCs w:val="24"/>
    </w:rPr>
  </w:style>
  <w:style w:type="paragraph" w:customStyle="1" w:styleId="309">
    <w:name w:val="修订5"/>
    <w:hidden/>
    <w:semiHidden/>
    <w:qFormat/>
    <w:uiPriority w:val="99"/>
    <w:rPr>
      <w:rFonts w:ascii="Calibri" w:hAnsi="Calibri" w:eastAsia="宋体" w:cs="Times New Roman"/>
      <w:kern w:val="2"/>
      <w:sz w:val="21"/>
      <w:szCs w:val="22"/>
      <w:lang w:val="en-US" w:eastAsia="zh-CN" w:bidi="ar-SA"/>
    </w:rPr>
  </w:style>
  <w:style w:type="paragraph" w:customStyle="1" w:styleId="310">
    <w:name w:val="qowt-stl-正文"/>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11">
    <w:name w:val="fontstyle01"/>
    <w:basedOn w:val="45"/>
    <w:qFormat/>
    <w:uiPriority w:val="0"/>
    <w:rPr>
      <w:rFonts w:hint="eastAsia" w:ascii="宋体" w:hAnsi="宋体" w:eastAsia="宋体"/>
      <w:color w:val="000000"/>
      <w:sz w:val="22"/>
      <w:szCs w:val="22"/>
    </w:rPr>
  </w:style>
  <w:style w:type="paragraph" w:customStyle="1" w:styleId="31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13">
    <w:name w:val="font6"/>
    <w:basedOn w:val="1"/>
    <w:qFormat/>
    <w:uiPriority w:val="0"/>
    <w:pPr>
      <w:widowControl/>
      <w:spacing w:before="100" w:beforeAutospacing="1" w:after="100" w:afterAutospacing="1"/>
      <w:jc w:val="left"/>
    </w:pPr>
    <w:rPr>
      <w:rFonts w:ascii="Times New Roman" w:hAnsi="Times New Roman"/>
      <w:kern w:val="0"/>
      <w:szCs w:val="21"/>
    </w:rPr>
  </w:style>
  <w:style w:type="paragraph" w:customStyle="1" w:styleId="314">
    <w:name w:val="xl6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15">
    <w:name w:val="xl64"/>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16">
    <w:name w:val="xl65"/>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17">
    <w:name w:val="xl66"/>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18">
    <w:name w:val="xl6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19">
    <w:name w:val="xl68"/>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20">
    <w:name w:val="xl69"/>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21">
    <w:name w:val="xl70"/>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322">
    <w:name w:val="xl71"/>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23">
    <w:name w:val="xl72"/>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24">
    <w:name w:val="xl7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25">
    <w:name w:val="xl74"/>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26">
    <w:name w:val="xl75"/>
    <w:basedOn w:val="1"/>
    <w:qFormat/>
    <w:uiPriority w:val="0"/>
    <w:pPr>
      <w:widowControl/>
      <w:pBdr>
        <w:top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27">
    <w:name w:val="xl76"/>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28">
    <w:name w:val="xl77"/>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cs="宋体"/>
      <w:kern w:val="0"/>
      <w:sz w:val="18"/>
      <w:szCs w:val="18"/>
    </w:rPr>
  </w:style>
  <w:style w:type="paragraph" w:customStyle="1" w:styleId="329">
    <w:name w:val="xl78"/>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30">
    <w:name w:val="xl79"/>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31">
    <w:name w:val="xl80"/>
    <w:basedOn w:val="1"/>
    <w:qFormat/>
    <w:uiPriority w:val="0"/>
    <w:pPr>
      <w:widowControl/>
      <w:pBdr>
        <w:top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32">
    <w:name w:val="xl81"/>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33">
    <w:name w:val="xl82"/>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34">
    <w:name w:val="xl83"/>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35">
    <w:name w:val="xl84"/>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styleId="336">
    <w:name w:val="List Paragraph"/>
    <w:basedOn w:val="1"/>
    <w:qFormat/>
    <w:uiPriority w:val="34"/>
    <w:pPr>
      <w:ind w:firstLine="420" w:firstLineChars="200"/>
    </w:pPr>
  </w:style>
  <w:style w:type="paragraph" w:customStyle="1" w:styleId="337">
    <w:name w:val="03、“注：”正文(加粗，首行缩进2字符)"/>
    <w:basedOn w:val="338"/>
    <w:qFormat/>
    <w:uiPriority w:val="0"/>
    <w:pPr>
      <w:tabs>
        <w:tab w:val="left" w:pos="0"/>
      </w:tabs>
      <w:ind w:firstLine="480" w:firstLineChars="200"/>
    </w:pPr>
    <w:rPr>
      <w:b/>
    </w:rPr>
  </w:style>
  <w:style w:type="paragraph" w:customStyle="1" w:styleId="338">
    <w:name w:val="01、普通正文"/>
    <w:basedOn w:val="1"/>
    <w:qFormat/>
    <w:uiPriority w:val="0"/>
    <w:pPr>
      <w:tabs>
        <w:tab w:val="left" w:pos="0"/>
      </w:tabs>
      <w:wordWrap w:val="0"/>
      <w:topLinePunct/>
    </w:pPr>
    <w:rPr>
      <w:snapToGrid w:val="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BDE159-A0F9-41E4-B208-277E7C177B9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9194</Words>
  <Characters>52406</Characters>
  <Lines>436</Lines>
  <Paragraphs>122</Paragraphs>
  <TotalTime>23</TotalTime>
  <ScaleCrop>false</ScaleCrop>
  <LinksUpToDate>false</LinksUpToDate>
  <CharactersWithSpaces>61478</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2021-12-21T03:42:00Z</dcterms:created>
  <dc:creator>高文豪</dc:creator>
  <cp:lastModifiedBy>HP</cp:lastModifiedBy>
  <cp:lastPrinted>2021-08-03T02:23:00Z</cp:lastPrinted>
  <dcterms:modified xsi:type="dcterms:W3CDTF">2022-01-17T06:54:50Z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E1011CC273D24A2E9B8A0F9659830165</vt:lpwstr>
  </property>
</Properties>
</file>