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keepLines/>
        <w:numPr>
          <w:ilvl w:val="0"/>
          <w:numId w:val="1"/>
        </w:numPr>
        <w:spacing w:line="360" w:lineRule="auto"/>
        <w:ind w:left="0" w:firstLine="0"/>
        <w:jc w:val="center"/>
        <w:outlineLvl w:val="0"/>
        <w:rPr>
          <w:rFonts w:ascii="宋体" w:hAnsi="宋体"/>
          <w:b/>
          <w:bCs/>
          <w:spacing w:val="-20"/>
          <w:kern w:val="44"/>
          <w:sz w:val="32"/>
          <w:szCs w:val="32"/>
        </w:rPr>
      </w:pPr>
      <w:bookmarkStart w:id="0" w:name="_Toc77757616"/>
      <w:bookmarkStart w:id="1" w:name="_Toc217446093"/>
      <w:bookmarkStart w:id="2" w:name="_Toc101247312"/>
      <w:bookmarkStart w:id="3" w:name="_Toc148505181"/>
      <w:bookmarkStart w:id="4" w:name="_Toc101328520"/>
      <w:bookmarkStart w:id="5" w:name="_Toc101234248"/>
      <w:bookmarkStart w:id="6" w:name="_Toc316292231"/>
      <w:bookmarkStart w:id="7" w:name="_Toc321382057"/>
      <w:r>
        <w:rPr>
          <w:rFonts w:hint="eastAsia" w:ascii="宋体" w:hAnsi="宋体"/>
          <w:b/>
          <w:bCs/>
          <w:spacing w:val="-20"/>
          <w:kern w:val="44"/>
          <w:sz w:val="32"/>
          <w:szCs w:val="32"/>
        </w:rPr>
        <w:t>招标项目技术、服务、商务及其他要求</w:t>
      </w:r>
      <w:bookmarkEnd w:id="0"/>
      <w:bookmarkEnd w:id="1"/>
    </w:p>
    <w:p>
      <w:pPr>
        <w:pStyle w:val="3"/>
        <w:numPr>
          <w:ilvl w:val="1"/>
          <w:numId w:val="1"/>
        </w:numPr>
        <w:tabs>
          <w:tab w:val="left" w:pos="0"/>
          <w:tab w:val="left" w:pos="426"/>
          <w:tab w:val="left" w:pos="576"/>
          <w:tab w:val="left" w:pos="786"/>
        </w:tabs>
        <w:spacing w:before="0" w:after="0" w:line="500" w:lineRule="exact"/>
        <w:ind w:left="0" w:firstLine="0"/>
        <w:jc w:val="both"/>
      </w:pPr>
      <w:bookmarkStart w:id="8" w:name="_Toc533672602"/>
      <w:bookmarkStart w:id="9" w:name="_Toc529173741"/>
      <w:r>
        <w:rPr>
          <w:rFonts w:hint="eastAsia"/>
        </w:rPr>
        <w:t xml:space="preserve"> </w:t>
      </w:r>
      <w:bookmarkStart w:id="10" w:name="_Toc77757617"/>
      <w:r>
        <w:rPr>
          <w:rFonts w:hint="eastAsia"/>
        </w:rPr>
        <w:t>项目</w:t>
      </w:r>
      <w:r>
        <w:t>概况</w:t>
      </w:r>
      <w:bookmarkEnd w:id="10"/>
    </w:p>
    <w:p>
      <w:pPr>
        <w:tabs>
          <w:tab w:val="left" w:pos="851"/>
        </w:tabs>
        <w:spacing w:line="360" w:lineRule="auto"/>
        <w:ind w:firstLine="566" w:firstLineChars="202"/>
        <w:rPr>
          <w:rFonts w:ascii="宋体" w:hAnsi="宋体"/>
          <w:sz w:val="28"/>
          <w:szCs w:val="28"/>
        </w:rPr>
      </w:pPr>
      <w:r>
        <w:rPr>
          <w:rFonts w:hint="eastAsia"/>
          <w:bCs/>
          <w:sz w:val="28"/>
          <w:szCs w:val="28"/>
        </w:rPr>
        <w:t>本项目设备主要为青羊区部分新建、改建、扩建、扩招中小学教学多媒体设备，共计约290套，项目总预算689万元，其中投影机加电子白板类170套，交互大屏类120套。</w:t>
      </w:r>
    </w:p>
    <w:p>
      <w:pPr>
        <w:pStyle w:val="3"/>
        <w:numPr>
          <w:ilvl w:val="1"/>
          <w:numId w:val="1"/>
        </w:numPr>
        <w:tabs>
          <w:tab w:val="left" w:pos="0"/>
          <w:tab w:val="left" w:pos="426"/>
          <w:tab w:val="left" w:pos="576"/>
          <w:tab w:val="left" w:pos="786"/>
        </w:tabs>
        <w:spacing w:before="0" w:after="0" w:line="500" w:lineRule="exact"/>
        <w:ind w:left="0" w:firstLine="0"/>
        <w:jc w:val="both"/>
      </w:pPr>
      <w:bookmarkStart w:id="11" w:name="_Toc77757619"/>
      <w:r>
        <w:rPr>
          <w:rFonts w:hint="eastAsia"/>
        </w:rPr>
        <w:t>技术参数及要求</w:t>
      </w:r>
      <w:bookmarkEnd w:id="11"/>
    </w:p>
    <w:p>
      <w:pPr>
        <w:tabs>
          <w:tab w:val="left" w:pos="851"/>
        </w:tabs>
        <w:spacing w:line="360" w:lineRule="auto"/>
        <w:rPr>
          <w:rFonts w:hint="eastAsia"/>
          <w:bCs/>
          <w:sz w:val="28"/>
          <w:szCs w:val="28"/>
          <w:lang w:val="en-US" w:eastAsia="zh-CN"/>
        </w:rPr>
      </w:pPr>
      <w:r>
        <w:rPr>
          <w:rFonts w:hint="eastAsia"/>
          <w:bCs/>
          <w:sz w:val="28"/>
          <w:szCs w:val="28"/>
          <w:lang w:eastAsia="zh-CN"/>
        </w:rPr>
        <w:t>包件</w:t>
      </w:r>
      <w:r>
        <w:rPr>
          <w:rFonts w:hint="eastAsia"/>
          <w:bCs/>
          <w:sz w:val="28"/>
          <w:szCs w:val="28"/>
          <w:lang w:val="en-US" w:eastAsia="zh-CN"/>
        </w:rPr>
        <w:t>1：</w:t>
      </w:r>
    </w:p>
    <w:tbl>
      <w:tblPr>
        <w:tblStyle w:val="4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04"/>
        <w:gridCol w:w="5457"/>
        <w:gridCol w:w="717"/>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shd w:val="clear" w:color="000000" w:fill="auto"/>
            <w:vAlign w:val="center"/>
          </w:tcPr>
          <w:p>
            <w:pPr>
              <w:spacing w:line="480" w:lineRule="auto"/>
              <w:jc w:val="center"/>
              <w:rPr>
                <w:rFonts w:cs="宋体" w:asciiTheme="minorEastAsia" w:hAnsiTheme="minorEastAsia"/>
                <w:b/>
                <w:bCs/>
                <w:szCs w:val="21"/>
              </w:rPr>
            </w:pPr>
            <w:r>
              <w:rPr>
                <w:rFonts w:hint="eastAsia" w:cs="宋体" w:asciiTheme="minorEastAsia" w:hAnsiTheme="minorEastAsia"/>
                <w:b/>
                <w:bCs/>
                <w:szCs w:val="21"/>
              </w:rPr>
              <w:t>序号</w:t>
            </w:r>
          </w:p>
        </w:tc>
        <w:tc>
          <w:tcPr>
            <w:tcW w:w="1004" w:type="dxa"/>
            <w:shd w:val="clear" w:color="000000" w:fill="auto"/>
            <w:vAlign w:val="center"/>
          </w:tcPr>
          <w:p>
            <w:pPr>
              <w:spacing w:line="480" w:lineRule="auto"/>
              <w:jc w:val="center"/>
              <w:rPr>
                <w:rFonts w:cs="宋体" w:asciiTheme="minorEastAsia" w:hAnsiTheme="minorEastAsia"/>
                <w:b/>
                <w:bCs/>
                <w:szCs w:val="21"/>
              </w:rPr>
            </w:pPr>
            <w:r>
              <w:rPr>
                <w:rFonts w:hint="eastAsia" w:cs="宋体" w:asciiTheme="minorEastAsia" w:hAnsiTheme="minorEastAsia"/>
                <w:b/>
                <w:bCs/>
                <w:szCs w:val="21"/>
              </w:rPr>
              <w:t>设备名称</w:t>
            </w:r>
          </w:p>
        </w:tc>
        <w:tc>
          <w:tcPr>
            <w:tcW w:w="5457" w:type="dxa"/>
            <w:shd w:val="clear" w:color="000000" w:fill="auto"/>
            <w:vAlign w:val="center"/>
          </w:tcPr>
          <w:p>
            <w:pPr>
              <w:spacing w:line="480" w:lineRule="auto"/>
              <w:jc w:val="center"/>
              <w:rPr>
                <w:rFonts w:cs="宋体" w:asciiTheme="minorEastAsia" w:hAnsiTheme="minorEastAsia"/>
                <w:b/>
                <w:bCs/>
                <w:szCs w:val="21"/>
              </w:rPr>
            </w:pPr>
            <w:r>
              <w:rPr>
                <w:rFonts w:hint="eastAsia" w:cs="宋体" w:asciiTheme="minorEastAsia" w:hAnsiTheme="minorEastAsia"/>
                <w:b/>
                <w:bCs/>
                <w:szCs w:val="21"/>
              </w:rPr>
              <w:t>技术参数</w:t>
            </w:r>
          </w:p>
        </w:tc>
        <w:tc>
          <w:tcPr>
            <w:tcW w:w="717" w:type="dxa"/>
            <w:shd w:val="clear" w:color="000000" w:fill="auto"/>
            <w:vAlign w:val="center"/>
          </w:tcPr>
          <w:p>
            <w:pPr>
              <w:spacing w:line="480" w:lineRule="auto"/>
              <w:jc w:val="center"/>
              <w:rPr>
                <w:rFonts w:cs="宋体" w:asciiTheme="minorEastAsia" w:hAnsiTheme="minorEastAsia"/>
                <w:b/>
                <w:bCs/>
                <w:szCs w:val="21"/>
              </w:rPr>
            </w:pPr>
            <w:r>
              <w:rPr>
                <w:rFonts w:cs="宋体" w:asciiTheme="minorEastAsia" w:hAnsiTheme="minorEastAsia"/>
                <w:b/>
                <w:bCs/>
                <w:szCs w:val="21"/>
              </w:rPr>
              <w:t>单位</w:t>
            </w:r>
          </w:p>
        </w:tc>
        <w:tc>
          <w:tcPr>
            <w:tcW w:w="631" w:type="dxa"/>
            <w:shd w:val="clear" w:color="000000" w:fill="auto"/>
            <w:vAlign w:val="center"/>
          </w:tcPr>
          <w:p>
            <w:pPr>
              <w:spacing w:line="480" w:lineRule="auto"/>
              <w:jc w:val="center"/>
              <w:rPr>
                <w:rFonts w:cs="宋体" w:asciiTheme="minorEastAsia" w:hAnsiTheme="minorEastAsia"/>
                <w:b/>
                <w:bCs/>
                <w:szCs w:val="21"/>
              </w:rPr>
            </w:pPr>
            <w:r>
              <w:rPr>
                <w:rFonts w:hint="eastAsia" w:cs="宋体" w:asciiTheme="minorEastAsia" w:hAnsiTheme="minorEastAsia"/>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13" w:type="dxa"/>
            <w:shd w:val="clear" w:color="auto" w:fill="auto"/>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1</w:t>
            </w:r>
          </w:p>
        </w:tc>
        <w:tc>
          <w:tcPr>
            <w:tcW w:w="1004" w:type="dxa"/>
            <w:vAlign w:val="center"/>
          </w:tcPr>
          <w:p>
            <w:pPr>
              <w:spacing w:line="480" w:lineRule="auto"/>
              <w:jc w:val="center"/>
              <w:rPr>
                <w:rFonts w:cs="宋体" w:asciiTheme="minorEastAsia" w:hAnsiTheme="minorEastAsia"/>
                <w:szCs w:val="21"/>
              </w:rPr>
            </w:pPr>
          </w:p>
          <w:p>
            <w:pPr>
              <w:spacing w:line="480" w:lineRule="auto"/>
              <w:jc w:val="center"/>
              <w:rPr>
                <w:rFonts w:cs="宋体" w:asciiTheme="minorEastAsia" w:hAnsiTheme="minorEastAsia"/>
                <w:szCs w:val="21"/>
              </w:rPr>
            </w:pPr>
            <w:r>
              <w:rPr>
                <w:rFonts w:hint="eastAsia" w:cs="宋体" w:asciiTheme="minorEastAsia" w:hAnsiTheme="minorEastAsia"/>
                <w:szCs w:val="21"/>
              </w:rPr>
              <w:t>超短焦激光投影机</w:t>
            </w:r>
          </w:p>
          <w:p>
            <w:pPr>
              <w:spacing w:line="480" w:lineRule="auto"/>
              <w:jc w:val="center"/>
              <w:rPr>
                <w:rFonts w:cs="宋体" w:asciiTheme="minorEastAsia" w:hAnsiTheme="minorEastAsia"/>
                <w:szCs w:val="21"/>
              </w:rPr>
            </w:pPr>
          </w:p>
        </w:tc>
        <w:tc>
          <w:tcPr>
            <w:tcW w:w="5457" w:type="dxa"/>
          </w:tcPr>
          <w:p>
            <w:pPr>
              <w:spacing w:line="480" w:lineRule="auto"/>
              <w:rPr>
                <w:rFonts w:cs="宋体" w:asciiTheme="minorEastAsia" w:hAnsiTheme="minorEastAsia"/>
                <w:szCs w:val="21"/>
              </w:rPr>
            </w:pPr>
            <w:r>
              <w:rPr>
                <w:rFonts w:hint="eastAsia" w:cs="宋体" w:asciiTheme="minorEastAsia" w:hAnsiTheme="minorEastAsia"/>
                <w:szCs w:val="21"/>
              </w:rPr>
              <w:t>▲1、3LCD技术，纯激光固态光源，长寿命光源最高可达50000小时；(提供产品彩页或具有CNAS标识的检测报告）</w:t>
            </w:r>
          </w:p>
          <w:p>
            <w:pPr>
              <w:spacing w:line="480" w:lineRule="auto"/>
              <w:rPr>
                <w:rFonts w:cs="宋体" w:asciiTheme="minorEastAsia" w:hAnsiTheme="minorEastAsia"/>
                <w:szCs w:val="21"/>
              </w:rPr>
            </w:pPr>
            <w:r>
              <w:rPr>
                <w:rFonts w:hint="eastAsia" w:cs="宋体" w:asciiTheme="minorEastAsia" w:hAnsiTheme="minorEastAsia"/>
                <w:szCs w:val="21"/>
              </w:rPr>
              <w:t>▲2、亮度（ISO流明）：3800 ISO流明或以上（符合ISO21118标准）；分辨率：1280×800；对比度：≥500000:1；</w:t>
            </w:r>
          </w:p>
          <w:p>
            <w:pPr>
              <w:spacing w:line="480" w:lineRule="auto"/>
              <w:rPr>
                <w:rFonts w:cs="宋体" w:asciiTheme="minorEastAsia" w:hAnsiTheme="minorEastAsia"/>
                <w:szCs w:val="21"/>
              </w:rPr>
            </w:pPr>
            <w:r>
              <w:rPr>
                <w:rFonts w:hint="eastAsia" w:cs="宋体" w:asciiTheme="minorEastAsia" w:hAnsiTheme="minorEastAsia"/>
                <w:szCs w:val="21"/>
              </w:rPr>
              <w:t>▲3、投射90英寸画面时，镜头到画面的距离≤55CM；</w:t>
            </w:r>
          </w:p>
          <w:p>
            <w:pPr>
              <w:spacing w:line="480" w:lineRule="auto"/>
              <w:rPr>
                <w:rFonts w:cs="宋体" w:asciiTheme="minorEastAsia" w:hAnsiTheme="minorEastAsia"/>
                <w:szCs w:val="21"/>
              </w:rPr>
            </w:pPr>
            <w:r>
              <w:rPr>
                <w:rFonts w:hint="eastAsia" w:cs="宋体" w:asciiTheme="minorEastAsia" w:hAnsiTheme="minorEastAsia"/>
                <w:szCs w:val="21"/>
              </w:rPr>
              <w:t>4、具有2路HDMI输入，2路VGA输入，RS232接口、2路USB接口、1路RJ45接口，内置扬声器≥16W。</w:t>
            </w:r>
          </w:p>
          <w:p>
            <w:pPr>
              <w:spacing w:line="480" w:lineRule="auto"/>
              <w:rPr>
                <w:rFonts w:cs="宋体" w:asciiTheme="minorEastAsia" w:hAnsiTheme="minorEastAsia"/>
                <w:szCs w:val="21"/>
              </w:rPr>
            </w:pPr>
            <w:r>
              <w:rPr>
                <w:rFonts w:hint="eastAsia" w:cs="宋体" w:asciiTheme="minorEastAsia" w:hAnsiTheme="minorEastAsia"/>
                <w:szCs w:val="21"/>
              </w:rPr>
              <w:t>▲5、内置两层以上防尘过滤器；</w:t>
            </w:r>
          </w:p>
          <w:p>
            <w:pPr>
              <w:spacing w:line="480" w:lineRule="auto"/>
              <w:rPr>
                <w:rFonts w:cs="宋体" w:asciiTheme="minorEastAsia" w:hAnsiTheme="minorEastAsia"/>
                <w:szCs w:val="21"/>
              </w:rPr>
            </w:pPr>
            <w:r>
              <w:rPr>
                <w:rFonts w:hint="eastAsia" w:cs="宋体" w:asciiTheme="minorEastAsia" w:hAnsiTheme="minorEastAsia"/>
                <w:szCs w:val="21"/>
              </w:rPr>
              <w:t>6、支持0秒关机；具有智能节电功能：无信号输入时自动待机；</w:t>
            </w:r>
          </w:p>
          <w:p>
            <w:pPr>
              <w:spacing w:line="480" w:lineRule="auto"/>
              <w:rPr>
                <w:rFonts w:cs="宋体" w:asciiTheme="minorEastAsia" w:hAnsiTheme="minorEastAsia"/>
                <w:szCs w:val="21"/>
              </w:rPr>
            </w:pPr>
            <w:r>
              <w:rPr>
                <w:rFonts w:hint="eastAsia" w:cs="宋体" w:asciiTheme="minorEastAsia" w:hAnsiTheme="minorEastAsia"/>
                <w:szCs w:val="21"/>
              </w:rPr>
              <w:t>7、采用电动调焦，数码变焦；</w:t>
            </w:r>
          </w:p>
          <w:p>
            <w:pPr>
              <w:spacing w:line="480" w:lineRule="auto"/>
              <w:rPr>
                <w:rFonts w:cs="宋体" w:asciiTheme="minorEastAsia" w:hAnsiTheme="minorEastAsia"/>
                <w:szCs w:val="21"/>
              </w:rPr>
            </w:pPr>
            <w:r>
              <w:rPr>
                <w:rFonts w:hint="eastAsia" w:cs="宋体" w:asciiTheme="minorEastAsia" w:hAnsiTheme="minorEastAsia"/>
                <w:szCs w:val="21"/>
              </w:rPr>
              <w:t xml:space="preserve">8、支持复制投影机设置功能、支持新增信号输入自动开机功能。 </w:t>
            </w:r>
          </w:p>
          <w:p>
            <w:pPr>
              <w:spacing w:line="480" w:lineRule="auto"/>
              <w:rPr>
                <w:rFonts w:cs="宋体" w:asciiTheme="minorEastAsia" w:hAnsiTheme="minorEastAsia"/>
                <w:szCs w:val="21"/>
              </w:rPr>
            </w:pPr>
            <w:r>
              <w:rPr>
                <w:rFonts w:hint="eastAsia" w:cs="宋体" w:asciiTheme="minorEastAsia" w:hAnsiTheme="minorEastAsia"/>
                <w:szCs w:val="21"/>
              </w:rPr>
              <w:t xml:space="preserve">9. 支持投影画面水平、垂直梯形校正，支持边角调整。 </w:t>
            </w:r>
          </w:p>
          <w:p>
            <w:pPr>
              <w:spacing w:line="480" w:lineRule="auto"/>
              <w:rPr>
                <w:rFonts w:cs="宋体" w:asciiTheme="minorEastAsia" w:hAnsiTheme="minorEastAsia"/>
                <w:szCs w:val="21"/>
              </w:rPr>
            </w:pPr>
            <w:r>
              <w:rPr>
                <w:rFonts w:hint="eastAsia" w:cs="宋体" w:asciiTheme="minorEastAsia" w:hAnsiTheme="minorEastAsia"/>
                <w:szCs w:val="21"/>
              </w:rPr>
              <w:t>10. 支持网络待机模式，可通过网络唤醒投影机，待机功率≤2W。</w:t>
            </w:r>
          </w:p>
        </w:tc>
        <w:tc>
          <w:tcPr>
            <w:tcW w:w="717" w:type="dxa"/>
            <w:vAlign w:val="center"/>
          </w:tcPr>
          <w:p>
            <w:pPr>
              <w:spacing w:line="480" w:lineRule="auto"/>
              <w:jc w:val="center"/>
              <w:rPr>
                <w:rFonts w:cs="宋体" w:asciiTheme="minorEastAsia" w:hAnsiTheme="minorEastAsia"/>
                <w:szCs w:val="21"/>
              </w:rPr>
            </w:pPr>
            <w:r>
              <w:rPr>
                <w:rFonts w:cs="宋体" w:asciiTheme="minorEastAsia" w:hAnsiTheme="minorEastAsia"/>
                <w:szCs w:val="21"/>
              </w:rPr>
              <w:t>套</w:t>
            </w:r>
          </w:p>
        </w:tc>
        <w:tc>
          <w:tcPr>
            <w:tcW w:w="631"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13" w:type="dxa"/>
            <w:shd w:val="clear" w:color="auto" w:fill="auto"/>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2</w:t>
            </w:r>
          </w:p>
        </w:tc>
        <w:tc>
          <w:tcPr>
            <w:tcW w:w="1004"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交互式电子白板</w:t>
            </w:r>
          </w:p>
        </w:tc>
        <w:tc>
          <w:tcPr>
            <w:tcW w:w="5457" w:type="dxa"/>
          </w:tcPr>
          <w:p>
            <w:pPr>
              <w:spacing w:line="480" w:lineRule="auto"/>
              <w:rPr>
                <w:rFonts w:cs="宋体" w:asciiTheme="minorEastAsia" w:hAnsiTheme="minorEastAsia"/>
                <w:szCs w:val="21"/>
              </w:rPr>
            </w:pPr>
            <w:r>
              <w:rPr>
                <w:rFonts w:hint="eastAsia" w:cs="宋体" w:asciiTheme="minorEastAsia" w:hAnsiTheme="minorEastAsia"/>
                <w:szCs w:val="21"/>
              </w:rPr>
              <w:t>一、硬件:</w:t>
            </w:r>
          </w:p>
          <w:p>
            <w:pPr>
              <w:spacing w:line="480" w:lineRule="auto"/>
              <w:rPr>
                <w:rFonts w:cs="宋体" w:asciiTheme="minorEastAsia" w:hAnsiTheme="minorEastAsia"/>
                <w:szCs w:val="21"/>
              </w:rPr>
            </w:pPr>
            <w:r>
              <w:rPr>
                <w:rFonts w:hint="eastAsia" w:cs="宋体" w:asciiTheme="minorEastAsia" w:hAnsiTheme="minorEastAsia"/>
                <w:szCs w:val="21"/>
              </w:rPr>
              <w:t>1、红外线感应技术，尺寸≥93英寸,显示比例16：10，支持十点触控，五点同时书写；</w:t>
            </w:r>
          </w:p>
          <w:p>
            <w:pPr>
              <w:spacing w:line="480" w:lineRule="auto"/>
              <w:rPr>
                <w:rFonts w:cs="宋体" w:asciiTheme="minorEastAsia" w:hAnsiTheme="minorEastAsia"/>
                <w:szCs w:val="21"/>
              </w:rPr>
            </w:pPr>
            <w:r>
              <w:rPr>
                <w:rFonts w:hint="eastAsia" w:cs="宋体" w:asciiTheme="minorEastAsia" w:hAnsiTheme="minorEastAsia"/>
                <w:szCs w:val="21"/>
              </w:rPr>
              <w:t>▲2、白板两侧具有中文标识快捷按键，快捷键具有触控开关、关闭当前窗口，开启展台，前后翻页等功能；</w:t>
            </w:r>
          </w:p>
          <w:p>
            <w:pPr>
              <w:spacing w:line="480" w:lineRule="auto"/>
              <w:rPr>
                <w:rFonts w:cs="宋体" w:asciiTheme="minorEastAsia" w:hAnsiTheme="minorEastAsia"/>
                <w:szCs w:val="21"/>
              </w:rPr>
            </w:pPr>
            <w:r>
              <w:rPr>
                <w:rFonts w:hint="eastAsia" w:cs="宋体" w:asciiTheme="minorEastAsia" w:hAnsiTheme="minorEastAsia"/>
                <w:szCs w:val="21"/>
              </w:rPr>
              <w:t>3、面板支持水性笔书写。</w:t>
            </w:r>
          </w:p>
          <w:p>
            <w:pPr>
              <w:spacing w:line="480" w:lineRule="auto"/>
              <w:rPr>
                <w:rFonts w:cs="宋体" w:asciiTheme="minorEastAsia" w:hAnsiTheme="minorEastAsia"/>
                <w:szCs w:val="21"/>
              </w:rPr>
            </w:pPr>
            <w:r>
              <w:rPr>
                <w:rFonts w:hint="eastAsia" w:cs="宋体" w:asciiTheme="minorEastAsia" w:hAnsiTheme="minorEastAsia"/>
                <w:szCs w:val="21"/>
              </w:rPr>
              <w:t>二、教学应用软件:</w:t>
            </w:r>
          </w:p>
          <w:p>
            <w:pPr>
              <w:spacing w:line="480" w:lineRule="auto"/>
              <w:rPr>
                <w:rFonts w:cs="宋体" w:asciiTheme="minorEastAsia" w:hAnsiTheme="minorEastAsia"/>
                <w:szCs w:val="21"/>
              </w:rPr>
            </w:pPr>
            <w:r>
              <w:rPr>
                <w:rFonts w:hint="eastAsia" w:cs="宋体" w:asciiTheme="minorEastAsia" w:hAnsiTheme="minorEastAsia"/>
                <w:szCs w:val="21"/>
              </w:rPr>
              <w:t>▲1、具有教学云平台，支持云端备课，教师可直接登陆云平台进行备课及课件下载使用，教师注册即可获得不少于50GB的云盘容量。提供功能截图。</w:t>
            </w:r>
          </w:p>
          <w:p>
            <w:pPr>
              <w:spacing w:line="480" w:lineRule="auto"/>
              <w:rPr>
                <w:rFonts w:cs="宋体" w:asciiTheme="minorEastAsia" w:hAnsiTheme="minorEastAsia"/>
                <w:szCs w:val="21"/>
              </w:rPr>
            </w:pPr>
            <w:r>
              <w:rPr>
                <w:rFonts w:hint="eastAsia" w:cs="宋体" w:asciiTheme="minorEastAsia" w:hAnsiTheme="minorEastAsia"/>
                <w:szCs w:val="21"/>
              </w:rPr>
              <w:t>▲2、提供多种登录方式，所有软件应用模块的入口均在统一界面上，包括白板软件、教学资源、多屏互动、展台软件、微课等内容。提供功能截图。</w:t>
            </w:r>
          </w:p>
          <w:p>
            <w:pPr>
              <w:spacing w:line="480" w:lineRule="auto"/>
              <w:rPr>
                <w:rFonts w:cs="宋体" w:asciiTheme="minorEastAsia" w:hAnsiTheme="minorEastAsia"/>
                <w:szCs w:val="21"/>
              </w:rPr>
            </w:pPr>
            <w:r>
              <w:rPr>
                <w:rFonts w:hint="eastAsia" w:cs="宋体" w:asciiTheme="minorEastAsia" w:hAnsiTheme="minorEastAsia"/>
                <w:szCs w:val="21"/>
              </w:rPr>
              <w:t>3、软件提供教案设计备课功能，支持老师按照情景导入、内容精讲、同步习题、随堂测试、分组竞赛、分组探究等教学环节创建教案。提供教案管理功能，支持教案与教师教学日历关联。</w:t>
            </w:r>
          </w:p>
          <w:p>
            <w:pPr>
              <w:spacing w:line="480" w:lineRule="auto"/>
              <w:rPr>
                <w:rFonts w:cs="宋体" w:asciiTheme="minorEastAsia" w:hAnsiTheme="minorEastAsia"/>
                <w:szCs w:val="21"/>
              </w:rPr>
            </w:pPr>
            <w:r>
              <w:rPr>
                <w:rFonts w:hint="eastAsia" w:cs="宋体" w:asciiTheme="minorEastAsia" w:hAnsiTheme="minorEastAsia"/>
                <w:szCs w:val="21"/>
              </w:rPr>
              <w:t>4、多种学科工具：提供学科工具，包含语文、数学、英语、音乐、体育、书法、美术等常用学科。针对以上学科，学科工具包含视频、文字、图片、动态教具、动态课件等内容。</w:t>
            </w:r>
          </w:p>
          <w:p>
            <w:pPr>
              <w:spacing w:line="480" w:lineRule="auto"/>
              <w:rPr>
                <w:rFonts w:cs="宋体" w:asciiTheme="minorEastAsia" w:hAnsiTheme="minorEastAsia"/>
                <w:szCs w:val="21"/>
              </w:rPr>
            </w:pPr>
            <w:r>
              <w:rPr>
                <w:rFonts w:hint="eastAsia" w:cs="宋体" w:asciiTheme="minorEastAsia" w:hAnsiTheme="minorEastAsia"/>
                <w:szCs w:val="21"/>
              </w:rPr>
              <w:t xml:space="preserve">5、仿真实验：提供理、化、生、科学的仿真实验，单科实验数量不少于20个，每个实验具有实验演示、实验器材、实验原理等内容； </w:t>
            </w:r>
          </w:p>
          <w:p>
            <w:pPr>
              <w:spacing w:line="480" w:lineRule="auto"/>
              <w:rPr>
                <w:rFonts w:cs="宋体" w:asciiTheme="minorEastAsia" w:hAnsiTheme="minorEastAsia"/>
                <w:szCs w:val="21"/>
              </w:rPr>
            </w:pPr>
            <w:r>
              <w:rPr>
                <w:rFonts w:hint="eastAsia" w:cs="宋体" w:asciiTheme="minorEastAsia" w:hAnsiTheme="minorEastAsia"/>
                <w:szCs w:val="21"/>
              </w:rPr>
              <w:t>6、提供智能笔、激光笔、粉笔、手势笔等书写工具。通过智能笔可识别平面图形；通过手势笔可实现书写、擦除、前后翻页，聚光灯，放大镜等功能。</w:t>
            </w:r>
          </w:p>
          <w:p>
            <w:pPr>
              <w:spacing w:line="480" w:lineRule="auto"/>
              <w:rPr>
                <w:rFonts w:cs="宋体" w:asciiTheme="minorEastAsia" w:hAnsiTheme="minorEastAsia"/>
                <w:szCs w:val="21"/>
              </w:rPr>
            </w:pPr>
            <w:r>
              <w:rPr>
                <w:rFonts w:hint="eastAsia" w:cs="宋体" w:asciiTheme="minorEastAsia" w:hAnsiTheme="minorEastAsia"/>
                <w:szCs w:val="21"/>
              </w:rPr>
              <w:t>7、PPT课件批注功能：PPT全屏播放时可自动开启工具菜单，提供PPT课件的播放控制(如前后翻页)、聚光灯、放大镜、草稿纸和书写批注等功能,支持生成二维码，快速分享课件。</w:t>
            </w:r>
          </w:p>
          <w:p>
            <w:pPr>
              <w:spacing w:line="480" w:lineRule="auto"/>
              <w:rPr>
                <w:rFonts w:cs="宋体" w:asciiTheme="minorEastAsia" w:hAnsiTheme="minorEastAsia"/>
                <w:szCs w:val="21"/>
              </w:rPr>
            </w:pPr>
            <w:r>
              <w:rPr>
                <w:rFonts w:hint="eastAsia" w:cs="宋体" w:asciiTheme="minorEastAsia" w:hAnsiTheme="minorEastAsia"/>
                <w:szCs w:val="21"/>
              </w:rPr>
              <w:t>8、多屏互动功能：支持手机、pad移动端与交互平板连接后，可实现常用功能如影像上传、投屏、播放课件、直播。</w:t>
            </w:r>
          </w:p>
          <w:p>
            <w:pPr>
              <w:spacing w:line="480" w:lineRule="auto"/>
              <w:rPr>
                <w:rFonts w:cs="宋体" w:asciiTheme="minorEastAsia" w:hAnsiTheme="minorEastAsia"/>
                <w:szCs w:val="21"/>
              </w:rPr>
            </w:pPr>
            <w:r>
              <w:rPr>
                <w:rFonts w:hint="eastAsia" w:cs="宋体" w:asciiTheme="minorEastAsia" w:hAnsiTheme="minorEastAsia"/>
                <w:szCs w:val="21"/>
              </w:rPr>
              <w:t>9、提供课堂评价系统，支持老师对全班或单个学生进行评价和查看所有班级学生的评价得分。支持家长通过安卓手机端、苹果手机端端查看学生表现。</w:t>
            </w:r>
          </w:p>
          <w:p>
            <w:pPr>
              <w:spacing w:line="480" w:lineRule="auto"/>
              <w:rPr>
                <w:rFonts w:cs="宋体" w:asciiTheme="minorEastAsia" w:hAnsiTheme="minorEastAsia"/>
                <w:szCs w:val="21"/>
              </w:rPr>
            </w:pPr>
            <w:r>
              <w:rPr>
                <w:rFonts w:hint="eastAsia" w:cs="宋体" w:asciiTheme="minorEastAsia" w:hAnsiTheme="minorEastAsia"/>
                <w:szCs w:val="21"/>
              </w:rPr>
              <w:t>10、微课工具：具有便捷工具条，可控制录制的视频、音频，拍摄区域的选择，在屏幕录制的情况下可以一键选择录制的开始、暂停和结束，屏幕录制显示录制时长，方便老师对视频长短进行把握；可设置录制的帧率、码率、录制内容的保存路径。</w:t>
            </w:r>
          </w:p>
          <w:p>
            <w:pPr>
              <w:spacing w:line="480" w:lineRule="auto"/>
              <w:rPr>
                <w:rFonts w:cs="宋体" w:asciiTheme="minorEastAsia" w:hAnsiTheme="minorEastAsia"/>
                <w:szCs w:val="21"/>
              </w:rPr>
            </w:pPr>
            <w:r>
              <w:rPr>
                <w:rFonts w:hint="eastAsia" w:cs="宋体" w:asciiTheme="minorEastAsia" w:hAnsiTheme="minorEastAsia"/>
                <w:szCs w:val="21"/>
              </w:rPr>
              <w:t>▲11、具有无线传屏功能，支持多个系统（如：Android、iOS、Windows、MacOS 等）的画面同时投屏在电子白板上，保证至少6个教学活动小组可以同时投屏演示。</w:t>
            </w:r>
          </w:p>
          <w:p>
            <w:pPr>
              <w:spacing w:line="480" w:lineRule="auto"/>
              <w:rPr>
                <w:rFonts w:cs="宋体" w:asciiTheme="minorEastAsia" w:hAnsiTheme="minorEastAsia"/>
                <w:szCs w:val="21"/>
              </w:rPr>
            </w:pPr>
            <w:r>
              <w:rPr>
                <w:rFonts w:hint="eastAsia" w:cs="宋体" w:asciiTheme="minorEastAsia" w:hAnsiTheme="minorEastAsia"/>
                <w:szCs w:val="21"/>
              </w:rPr>
              <w:t>12、具有画板工具，可快速绘制平面图形、立体图形和函数图像。支持通过拖动或输入的方式改变对象的参数数值，相应的图像和函数随数值的变化而发生变化。可制作任意3D动态课件，例如：震荡，视图旋转，空间运动，投影等。</w:t>
            </w:r>
          </w:p>
          <w:p>
            <w:pPr>
              <w:spacing w:line="480" w:lineRule="auto"/>
              <w:rPr>
                <w:rFonts w:cs="宋体" w:asciiTheme="minorEastAsia" w:hAnsiTheme="minorEastAsia"/>
                <w:szCs w:val="21"/>
              </w:rPr>
            </w:pPr>
            <w:r>
              <w:rPr>
                <w:rFonts w:hint="eastAsia" w:cs="宋体" w:asciiTheme="minorEastAsia" w:hAnsiTheme="minorEastAsia"/>
                <w:szCs w:val="21"/>
              </w:rPr>
              <w:t xml:space="preserve">13、PPT导入及插入：PPT导入可保留原文档中的音频、视频、图片、文字及动画，并可根据需要编辑、修改,最终生成白板格式的课件；支持以原生态的形式插入一个或多个PPT文档，并可在白板软件当中直接打开;  </w:t>
            </w:r>
          </w:p>
        </w:tc>
        <w:tc>
          <w:tcPr>
            <w:tcW w:w="717" w:type="dxa"/>
            <w:vAlign w:val="center"/>
          </w:tcPr>
          <w:p>
            <w:pPr>
              <w:spacing w:line="480" w:lineRule="auto"/>
              <w:jc w:val="center"/>
              <w:rPr>
                <w:rFonts w:cs="宋体" w:asciiTheme="minorEastAsia" w:hAnsiTheme="minorEastAsia"/>
                <w:szCs w:val="21"/>
              </w:rPr>
            </w:pPr>
            <w:r>
              <w:rPr>
                <w:rFonts w:cs="宋体" w:asciiTheme="minorEastAsia" w:hAnsiTheme="minorEastAsia"/>
                <w:szCs w:val="21"/>
              </w:rPr>
              <w:t>套</w:t>
            </w:r>
          </w:p>
        </w:tc>
        <w:tc>
          <w:tcPr>
            <w:tcW w:w="631"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13" w:type="dxa"/>
            <w:shd w:val="clear" w:color="auto" w:fill="auto"/>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3</w:t>
            </w:r>
          </w:p>
        </w:tc>
        <w:tc>
          <w:tcPr>
            <w:tcW w:w="1004"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壁挂式数字教学一体机</w:t>
            </w:r>
          </w:p>
        </w:tc>
        <w:tc>
          <w:tcPr>
            <w:tcW w:w="5457" w:type="dxa"/>
          </w:tcPr>
          <w:p>
            <w:pPr>
              <w:spacing w:line="480" w:lineRule="auto"/>
              <w:rPr>
                <w:rFonts w:cs="宋体" w:asciiTheme="minorEastAsia" w:hAnsiTheme="minorEastAsia"/>
                <w:szCs w:val="21"/>
              </w:rPr>
            </w:pPr>
            <w:r>
              <w:rPr>
                <w:rFonts w:hint="eastAsia" w:cs="宋体" w:asciiTheme="minorEastAsia" w:hAnsiTheme="minorEastAsia"/>
                <w:szCs w:val="21"/>
              </w:rPr>
              <w:t>一、系统功能要求</w:t>
            </w:r>
          </w:p>
          <w:p>
            <w:pPr>
              <w:spacing w:line="480" w:lineRule="auto"/>
              <w:rPr>
                <w:rFonts w:cs="宋体" w:asciiTheme="minorEastAsia" w:hAnsiTheme="minorEastAsia"/>
                <w:szCs w:val="21"/>
              </w:rPr>
            </w:pPr>
            <w:r>
              <w:rPr>
                <w:rFonts w:hint="eastAsia" w:cs="宋体" w:asciiTheme="minorEastAsia" w:hAnsiTheme="minorEastAsia"/>
                <w:szCs w:val="21"/>
              </w:rPr>
              <w:t xml:space="preserve"> 1、壁挂式钣金结构，正面无螺丝；展台下拉门伸出部分需嵌有硅胶材料的圆弧过度角。展台部分柜门采用隐藏式弧状铰链结构，无需液压杆，增大柜门的有效使用面积。</w:t>
            </w:r>
          </w:p>
          <w:p>
            <w:pPr>
              <w:spacing w:line="480" w:lineRule="auto"/>
              <w:rPr>
                <w:rFonts w:cs="宋体" w:asciiTheme="minorEastAsia" w:hAnsiTheme="minorEastAsia"/>
                <w:szCs w:val="21"/>
              </w:rPr>
            </w:pPr>
            <w:r>
              <w:rPr>
                <w:rFonts w:hint="eastAsia" w:cs="宋体" w:asciiTheme="minorEastAsia" w:hAnsiTheme="minorEastAsia"/>
                <w:szCs w:val="21"/>
              </w:rPr>
              <w:t>2、一体机内置的OPS主机模块具有独立的钢板壳体，通过80P插槽与中控模块直接相连，可直接从一体机机箱音响部分进行插拔，方便维护。</w:t>
            </w:r>
          </w:p>
          <w:p>
            <w:pPr>
              <w:spacing w:line="480" w:lineRule="auto"/>
              <w:rPr>
                <w:rFonts w:cs="宋体" w:asciiTheme="minorEastAsia" w:hAnsiTheme="minorEastAsia"/>
                <w:szCs w:val="21"/>
              </w:rPr>
            </w:pPr>
            <w:r>
              <w:rPr>
                <w:rFonts w:hint="eastAsia" w:cs="宋体" w:asciiTheme="minorEastAsia" w:hAnsiTheme="minorEastAsia"/>
                <w:szCs w:val="21"/>
              </w:rPr>
              <w:t>▲3、采用无线扩声系统模块，笔记本/手机/平板均可直接通过蓝牙与扩声系统无线连接，播放音频，提供密码权限保护，防止随意连接。</w:t>
            </w:r>
          </w:p>
          <w:p>
            <w:pPr>
              <w:spacing w:line="480" w:lineRule="auto"/>
              <w:rPr>
                <w:rFonts w:cs="宋体" w:asciiTheme="minorEastAsia" w:hAnsiTheme="minorEastAsia"/>
                <w:szCs w:val="21"/>
              </w:rPr>
            </w:pPr>
            <w:r>
              <w:rPr>
                <w:rFonts w:hint="eastAsia" w:cs="宋体" w:asciiTheme="minorEastAsia" w:hAnsiTheme="minorEastAsia"/>
                <w:szCs w:val="21"/>
              </w:rPr>
              <w:t>4、机箱表面无任何按键和接口，按键内置于展台仓内，采用机械式轻触开关，按键数量≤9个。</w:t>
            </w:r>
          </w:p>
          <w:p>
            <w:pPr>
              <w:spacing w:line="480" w:lineRule="auto"/>
              <w:rPr>
                <w:rFonts w:cs="宋体" w:asciiTheme="minorEastAsia" w:hAnsiTheme="minorEastAsia"/>
                <w:szCs w:val="21"/>
              </w:rPr>
            </w:pPr>
            <w:r>
              <w:rPr>
                <w:rFonts w:hint="eastAsia" w:cs="宋体" w:asciiTheme="minorEastAsia" w:hAnsiTheme="minorEastAsia"/>
                <w:szCs w:val="21"/>
              </w:rPr>
              <w:t>5、功放独立供电，无需开启一体机，按下功放开/关键便可以使用无线麦克风。</w:t>
            </w:r>
          </w:p>
          <w:p>
            <w:pPr>
              <w:spacing w:line="480" w:lineRule="auto"/>
              <w:rPr>
                <w:rFonts w:cs="宋体" w:asciiTheme="minorEastAsia" w:hAnsiTheme="minorEastAsia"/>
                <w:szCs w:val="21"/>
              </w:rPr>
            </w:pPr>
            <w:r>
              <w:rPr>
                <w:rFonts w:hint="eastAsia" w:cs="宋体" w:asciiTheme="minorEastAsia" w:hAnsiTheme="minorEastAsia"/>
                <w:szCs w:val="21"/>
              </w:rPr>
              <w:t>6、提供故障报修平台，通过二维扫码申请报修。</w:t>
            </w:r>
          </w:p>
          <w:p>
            <w:pPr>
              <w:spacing w:line="480" w:lineRule="auto"/>
              <w:rPr>
                <w:rFonts w:cs="宋体" w:asciiTheme="minorEastAsia" w:hAnsiTheme="minorEastAsia"/>
                <w:szCs w:val="21"/>
              </w:rPr>
            </w:pPr>
            <w:r>
              <w:rPr>
                <w:rFonts w:hint="eastAsia" w:cs="宋体" w:asciiTheme="minorEastAsia" w:hAnsiTheme="minorEastAsia"/>
                <w:szCs w:val="21"/>
              </w:rPr>
              <w:t>二、内置OPS工控主机技术要求</w:t>
            </w:r>
          </w:p>
          <w:p>
            <w:pPr>
              <w:spacing w:line="480" w:lineRule="auto"/>
              <w:rPr>
                <w:rFonts w:cs="宋体" w:asciiTheme="minorEastAsia" w:hAnsiTheme="minorEastAsia"/>
                <w:szCs w:val="21"/>
              </w:rPr>
            </w:pPr>
            <w:r>
              <w:rPr>
                <w:rFonts w:hint="eastAsia" w:cs="宋体" w:asciiTheme="minorEastAsia" w:hAnsiTheme="minorEastAsia"/>
                <w:szCs w:val="21"/>
              </w:rPr>
              <w:t>1、OPS主机模块配置：Intel酷睿≥I5；≥ 4G内存；≥128G固态硬盘。</w:t>
            </w:r>
          </w:p>
          <w:p>
            <w:pPr>
              <w:spacing w:line="480" w:lineRule="auto"/>
              <w:rPr>
                <w:rFonts w:cs="宋体" w:asciiTheme="minorEastAsia" w:hAnsiTheme="minorEastAsia"/>
                <w:szCs w:val="21"/>
              </w:rPr>
            </w:pPr>
            <w:r>
              <w:rPr>
                <w:rFonts w:hint="eastAsia" w:cs="宋体" w:asciiTheme="minorEastAsia" w:hAnsiTheme="minorEastAsia"/>
                <w:szCs w:val="21"/>
              </w:rPr>
              <w:t>▲2、通过一键物理还原按键进行系统还原功能，当系统损坏时，可按下该按键，恢复到初始系统。</w:t>
            </w:r>
          </w:p>
          <w:p>
            <w:pPr>
              <w:spacing w:line="480" w:lineRule="auto"/>
              <w:rPr>
                <w:rFonts w:cs="宋体" w:asciiTheme="minorEastAsia" w:hAnsiTheme="minorEastAsia"/>
                <w:szCs w:val="21"/>
              </w:rPr>
            </w:pPr>
            <w:r>
              <w:rPr>
                <w:rFonts w:hint="eastAsia" w:cs="宋体" w:asciiTheme="minorEastAsia" w:hAnsiTheme="minorEastAsia"/>
                <w:szCs w:val="21"/>
              </w:rPr>
              <w:t>三、 整机接口技术要求</w:t>
            </w:r>
          </w:p>
          <w:p>
            <w:pPr>
              <w:spacing w:line="480" w:lineRule="auto"/>
              <w:rPr>
                <w:rFonts w:cs="宋体" w:asciiTheme="minorEastAsia" w:hAnsiTheme="minorEastAsia"/>
                <w:szCs w:val="21"/>
              </w:rPr>
            </w:pPr>
            <w:r>
              <w:rPr>
                <w:rFonts w:hint="eastAsia" w:cs="宋体" w:asciiTheme="minorEastAsia" w:hAnsiTheme="minorEastAsia"/>
                <w:szCs w:val="21"/>
              </w:rPr>
              <w:t>1、 VGA输出≥1路，HDMI输出≥1路；音频输出≥2路，≥2路3.5立体声音频，≥1路4PIN绿色端子；≥1路RS232控制口，≥一路网络接口。</w:t>
            </w:r>
          </w:p>
          <w:p>
            <w:pPr>
              <w:spacing w:line="480" w:lineRule="auto"/>
              <w:rPr>
                <w:rFonts w:cs="宋体" w:asciiTheme="minorEastAsia" w:hAnsiTheme="minorEastAsia"/>
                <w:szCs w:val="21"/>
              </w:rPr>
            </w:pPr>
            <w:r>
              <w:rPr>
                <w:rFonts w:hint="eastAsia" w:cs="宋体" w:asciiTheme="minorEastAsia" w:hAnsiTheme="minorEastAsia"/>
                <w:szCs w:val="21"/>
              </w:rPr>
              <w:t>2、1路总电源输入带保险，1路220v强电输出，可延时断电。</w:t>
            </w:r>
          </w:p>
          <w:p>
            <w:pPr>
              <w:spacing w:line="480" w:lineRule="auto"/>
              <w:rPr>
                <w:rFonts w:cs="宋体" w:asciiTheme="minorEastAsia" w:hAnsiTheme="minorEastAsia"/>
                <w:szCs w:val="21"/>
              </w:rPr>
            </w:pPr>
            <w:r>
              <w:rPr>
                <w:rFonts w:hint="eastAsia" w:cs="宋体" w:asciiTheme="minorEastAsia" w:hAnsiTheme="minorEastAsia"/>
                <w:szCs w:val="21"/>
              </w:rPr>
              <w:t>3、可见USB接口≥10路：顶部≥6路；展台仓≥4路，其中1路为无线麦克风充电口。</w:t>
            </w:r>
          </w:p>
          <w:p>
            <w:pPr>
              <w:spacing w:line="480" w:lineRule="auto"/>
              <w:rPr>
                <w:rFonts w:cs="宋体" w:asciiTheme="minorEastAsia" w:hAnsiTheme="minorEastAsia"/>
                <w:szCs w:val="21"/>
              </w:rPr>
            </w:pPr>
            <w:r>
              <w:rPr>
                <w:rFonts w:hint="eastAsia" w:cs="宋体" w:asciiTheme="minorEastAsia" w:hAnsiTheme="minorEastAsia"/>
                <w:szCs w:val="21"/>
              </w:rPr>
              <w:t>四、 高拍仪技术要求</w:t>
            </w:r>
          </w:p>
          <w:p>
            <w:pPr>
              <w:spacing w:line="480" w:lineRule="auto"/>
              <w:rPr>
                <w:rFonts w:cs="宋体" w:asciiTheme="minorEastAsia" w:hAnsiTheme="minorEastAsia"/>
                <w:szCs w:val="21"/>
              </w:rPr>
            </w:pPr>
            <w:r>
              <w:rPr>
                <w:rFonts w:hint="eastAsia" w:cs="宋体" w:asciiTheme="minorEastAsia" w:hAnsiTheme="minorEastAsia"/>
                <w:szCs w:val="21"/>
              </w:rPr>
              <w:t>1、像素:≥800万，扫描幅面：≥A4幅面；4级触摸LED灯光补光；带USB接口；</w:t>
            </w:r>
          </w:p>
          <w:p>
            <w:pPr>
              <w:spacing w:line="480" w:lineRule="auto"/>
              <w:rPr>
                <w:rFonts w:cs="宋体" w:asciiTheme="minorEastAsia" w:hAnsiTheme="minorEastAsia"/>
                <w:szCs w:val="21"/>
              </w:rPr>
            </w:pPr>
            <w:r>
              <w:rPr>
                <w:rFonts w:hint="eastAsia" w:cs="宋体" w:asciiTheme="minorEastAsia" w:hAnsiTheme="minorEastAsia"/>
                <w:szCs w:val="21"/>
              </w:rPr>
              <w:t>五、 扩声系统模块要求：</w:t>
            </w:r>
          </w:p>
          <w:p>
            <w:pPr>
              <w:spacing w:line="480" w:lineRule="auto"/>
              <w:rPr>
                <w:rFonts w:cs="宋体" w:asciiTheme="minorEastAsia" w:hAnsiTheme="minorEastAsia"/>
                <w:szCs w:val="21"/>
              </w:rPr>
            </w:pPr>
            <w:r>
              <w:rPr>
                <w:rFonts w:hint="eastAsia" w:cs="宋体" w:asciiTheme="minorEastAsia" w:hAnsiTheme="minorEastAsia"/>
                <w:szCs w:val="21"/>
              </w:rPr>
              <w:t>1、内置功放功率：≥2x30W，内置4寸高保真全域喇叭。</w:t>
            </w:r>
          </w:p>
          <w:p>
            <w:pPr>
              <w:spacing w:line="480" w:lineRule="auto"/>
              <w:rPr>
                <w:rFonts w:cs="宋体" w:asciiTheme="minorEastAsia" w:hAnsiTheme="minorEastAsia"/>
                <w:szCs w:val="21"/>
              </w:rPr>
            </w:pPr>
            <w:r>
              <w:rPr>
                <w:rFonts w:hint="eastAsia" w:cs="宋体" w:asciiTheme="minorEastAsia" w:hAnsiTheme="minorEastAsia"/>
                <w:szCs w:val="21"/>
              </w:rPr>
              <w:t>▲2、无线麦克风带激光教鞭和PPT翻页功能，无需在PC上插USB接收器；无线话筒上具有系统关机按键，可对一体机整套设备进行一按下课；信号选择器，可无线控制系统的关闭和信号的切换。麦克风及手机连接一体机的扩音成功连接与断开，均有语音播报来提示。</w:t>
            </w:r>
          </w:p>
          <w:p>
            <w:pPr>
              <w:spacing w:line="480" w:lineRule="auto"/>
              <w:rPr>
                <w:rFonts w:cs="宋体" w:asciiTheme="minorEastAsia" w:hAnsiTheme="minorEastAsia"/>
                <w:szCs w:val="21"/>
              </w:rPr>
            </w:pPr>
            <w:r>
              <w:rPr>
                <w:rFonts w:hint="eastAsia" w:cs="宋体" w:asciiTheme="minorEastAsia" w:hAnsiTheme="minorEastAsia"/>
                <w:szCs w:val="21"/>
              </w:rPr>
              <w:t>3、具有蓝牙名称修改软件，用软件自定义蓝牙连接名称，避免在多个教室连接而名称相同所带来的不便。</w:t>
            </w:r>
          </w:p>
        </w:tc>
        <w:tc>
          <w:tcPr>
            <w:tcW w:w="717" w:type="dxa"/>
            <w:vAlign w:val="center"/>
          </w:tcPr>
          <w:p>
            <w:pPr>
              <w:spacing w:line="480" w:lineRule="auto"/>
              <w:jc w:val="center"/>
              <w:rPr>
                <w:rFonts w:cs="宋体" w:asciiTheme="minorEastAsia" w:hAnsiTheme="minorEastAsia"/>
                <w:szCs w:val="21"/>
              </w:rPr>
            </w:pPr>
            <w:r>
              <w:rPr>
                <w:rFonts w:cs="宋体" w:asciiTheme="minorEastAsia" w:hAnsiTheme="minorEastAsia"/>
                <w:szCs w:val="21"/>
              </w:rPr>
              <w:t>套</w:t>
            </w:r>
          </w:p>
        </w:tc>
        <w:tc>
          <w:tcPr>
            <w:tcW w:w="631"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13" w:type="dxa"/>
            <w:shd w:val="clear" w:color="auto" w:fill="auto"/>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4</w:t>
            </w:r>
          </w:p>
        </w:tc>
        <w:tc>
          <w:tcPr>
            <w:tcW w:w="1004"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组合式</w:t>
            </w:r>
          </w:p>
          <w:p>
            <w:pPr>
              <w:spacing w:line="480" w:lineRule="auto"/>
              <w:jc w:val="center"/>
              <w:rPr>
                <w:rFonts w:cs="宋体" w:asciiTheme="minorEastAsia" w:hAnsiTheme="minorEastAsia"/>
                <w:szCs w:val="21"/>
              </w:rPr>
            </w:pPr>
            <w:r>
              <w:rPr>
                <w:rFonts w:hint="eastAsia" w:cs="宋体" w:asciiTheme="minorEastAsia" w:hAnsiTheme="minorEastAsia"/>
                <w:szCs w:val="21"/>
              </w:rPr>
              <w:t>推拉绿板</w:t>
            </w:r>
          </w:p>
        </w:tc>
        <w:tc>
          <w:tcPr>
            <w:tcW w:w="5457" w:type="dxa"/>
            <w:vAlign w:val="center"/>
          </w:tcPr>
          <w:p>
            <w:pPr>
              <w:spacing w:line="480" w:lineRule="auto"/>
              <w:rPr>
                <w:rFonts w:cs="宋体" w:asciiTheme="minorEastAsia" w:hAnsiTheme="minorEastAsia"/>
                <w:szCs w:val="21"/>
              </w:rPr>
            </w:pPr>
            <w:r>
              <w:rPr>
                <w:rFonts w:hint="eastAsia" w:cs="宋体" w:asciiTheme="minorEastAsia" w:hAnsiTheme="minorEastAsia"/>
                <w:szCs w:val="21"/>
              </w:rPr>
              <w:t>1、双层结构，内层为固定书写板，外层为滑动书写板，开闭自如，板面书写轻松流利,方便擦除。</w:t>
            </w:r>
          </w:p>
          <w:p>
            <w:pPr>
              <w:spacing w:line="480" w:lineRule="auto"/>
              <w:rPr>
                <w:rFonts w:cs="宋体" w:asciiTheme="minorEastAsia" w:hAnsiTheme="minorEastAsia"/>
                <w:szCs w:val="21"/>
              </w:rPr>
            </w:pPr>
            <w:r>
              <w:rPr>
                <w:rFonts w:hint="eastAsia" w:cs="宋体" w:asciiTheme="minorEastAsia" w:hAnsiTheme="minorEastAsia"/>
                <w:szCs w:val="21"/>
              </w:rPr>
              <w:t>2、为确保电子白板的安全管理，支持居中放置；长度4000mm，高度1200mm，可根据所配电子产品适当调整；采用金属烤漆书写板面，墨绿色，厚度0.3mm，符合GB28231-2011《书写板安全卫生要求》；衬板选用聚苯乙烯板，厚度17mm；背板采用镀锌钢板。边框采用高强度香槟色电泳铝合金型材，横框规格57mm×100mm。竖框规格29mm×100mm。</w:t>
            </w:r>
          </w:p>
          <w:p>
            <w:pPr>
              <w:spacing w:line="480" w:lineRule="auto"/>
              <w:rPr>
                <w:rFonts w:cs="宋体" w:asciiTheme="minorEastAsia" w:hAnsiTheme="minorEastAsia"/>
                <w:szCs w:val="21"/>
              </w:rPr>
            </w:pPr>
            <w:r>
              <w:rPr>
                <w:rFonts w:hint="eastAsia" w:cs="宋体" w:asciiTheme="minorEastAsia" w:hAnsiTheme="minorEastAsia"/>
                <w:szCs w:val="21"/>
              </w:rPr>
              <w:t>3、包角采用抗老化高强度ABS工程塑料注塑成型，无尖角毛刺；滑轮采用高精度轴承，上下均匀安装，滑动流畅、噪音小、前后定位精确；一把锁实现对滑动黑板的锁定，钥匙通用。</w:t>
            </w:r>
          </w:p>
        </w:tc>
        <w:tc>
          <w:tcPr>
            <w:tcW w:w="717" w:type="dxa"/>
            <w:vAlign w:val="center"/>
          </w:tcPr>
          <w:p>
            <w:pPr>
              <w:spacing w:line="480" w:lineRule="auto"/>
              <w:jc w:val="center"/>
              <w:rPr>
                <w:rFonts w:cs="宋体" w:asciiTheme="minorEastAsia" w:hAnsiTheme="minorEastAsia"/>
                <w:szCs w:val="21"/>
              </w:rPr>
            </w:pPr>
            <w:r>
              <w:rPr>
                <w:rFonts w:cs="宋体" w:asciiTheme="minorEastAsia" w:hAnsiTheme="minorEastAsia"/>
                <w:szCs w:val="21"/>
              </w:rPr>
              <w:t>套</w:t>
            </w:r>
          </w:p>
        </w:tc>
        <w:tc>
          <w:tcPr>
            <w:tcW w:w="631"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13" w:type="dxa"/>
            <w:shd w:val="clear" w:color="auto" w:fill="auto"/>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5</w:t>
            </w:r>
          </w:p>
        </w:tc>
        <w:tc>
          <w:tcPr>
            <w:tcW w:w="1004"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互动课件制作系统</w:t>
            </w:r>
          </w:p>
        </w:tc>
        <w:tc>
          <w:tcPr>
            <w:tcW w:w="5457" w:type="dxa"/>
            <w:vAlign w:val="center"/>
          </w:tcPr>
          <w:p>
            <w:pPr>
              <w:spacing w:line="480" w:lineRule="auto"/>
              <w:rPr>
                <w:rFonts w:cs="宋体" w:asciiTheme="minorEastAsia" w:hAnsiTheme="minorEastAsia"/>
                <w:szCs w:val="21"/>
              </w:rPr>
            </w:pPr>
            <w:r>
              <w:rPr>
                <w:rFonts w:hint="eastAsia" w:cs="宋体" w:asciiTheme="minorEastAsia" w:hAnsiTheme="minorEastAsia"/>
                <w:szCs w:val="21"/>
              </w:rPr>
              <w:t>1、软件内置课件素材，允许老师在网页端、移动端、电脑端在线进行内容的选择与组合， 快速生成课件并浏览。</w:t>
            </w:r>
          </w:p>
          <w:p>
            <w:pPr>
              <w:spacing w:line="480" w:lineRule="auto"/>
              <w:rPr>
                <w:rFonts w:cs="宋体" w:asciiTheme="minorEastAsia" w:hAnsiTheme="minorEastAsia"/>
                <w:szCs w:val="21"/>
              </w:rPr>
            </w:pPr>
            <w:r>
              <w:rPr>
                <w:rFonts w:hint="eastAsia" w:cs="宋体" w:asciiTheme="minorEastAsia" w:hAnsiTheme="minorEastAsia"/>
                <w:szCs w:val="21"/>
              </w:rPr>
              <w:t>2、所有制作的课件均实时保存至云端。课件可打印成纸质版或导出为 PDF。</w:t>
            </w:r>
          </w:p>
          <w:p>
            <w:pPr>
              <w:spacing w:line="480" w:lineRule="auto"/>
              <w:rPr>
                <w:rFonts w:cs="宋体" w:asciiTheme="minorEastAsia" w:hAnsiTheme="minorEastAsia"/>
                <w:szCs w:val="21"/>
              </w:rPr>
            </w:pPr>
            <w:r>
              <w:rPr>
                <w:rFonts w:hint="eastAsia" w:cs="宋体" w:asciiTheme="minorEastAsia" w:hAnsiTheme="minorEastAsia"/>
                <w:szCs w:val="21"/>
              </w:rPr>
              <w:t xml:space="preserve">▲3、互动课件制作系统包括小学语文、数学、科学，中学语文、数学、物理、化学、英语等学科的全部章节课件，教师可根据知识点选择对应的教学内容，以及教学环节选择 所需的教学模块即可快速生成一份动态课件。提供功能截图。 </w:t>
            </w:r>
          </w:p>
          <w:p>
            <w:pPr>
              <w:spacing w:line="480" w:lineRule="auto"/>
              <w:rPr>
                <w:rFonts w:cs="宋体" w:asciiTheme="minorEastAsia" w:hAnsiTheme="minorEastAsia"/>
                <w:szCs w:val="21"/>
              </w:rPr>
            </w:pPr>
            <w:r>
              <w:rPr>
                <w:rFonts w:hint="eastAsia" w:cs="宋体" w:asciiTheme="minorEastAsia" w:hAnsiTheme="minorEastAsia"/>
                <w:szCs w:val="21"/>
              </w:rPr>
              <w:t>4、课件素材支持单选或组选：包括课堂引入，知识引导，例题，课堂练习等，根据选择内容自动生成课件。软件内置成品动态课件。每个动态课件支持互动操作，通过拖动滑条、改变参数等方式进行动态演示。支持在线播放和不联网离线播放两种模式。</w:t>
            </w:r>
          </w:p>
        </w:tc>
        <w:tc>
          <w:tcPr>
            <w:tcW w:w="717" w:type="dxa"/>
            <w:vAlign w:val="center"/>
          </w:tcPr>
          <w:p>
            <w:pPr>
              <w:spacing w:line="480" w:lineRule="auto"/>
              <w:jc w:val="center"/>
              <w:rPr>
                <w:rFonts w:cs="宋体" w:asciiTheme="minorEastAsia" w:hAnsiTheme="minorEastAsia"/>
                <w:szCs w:val="21"/>
              </w:rPr>
            </w:pPr>
            <w:r>
              <w:rPr>
                <w:rFonts w:cs="宋体" w:asciiTheme="minorEastAsia" w:hAnsiTheme="minorEastAsia"/>
                <w:szCs w:val="21"/>
              </w:rPr>
              <w:t>套</w:t>
            </w:r>
          </w:p>
        </w:tc>
        <w:tc>
          <w:tcPr>
            <w:tcW w:w="631"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13" w:type="dxa"/>
            <w:shd w:val="clear" w:color="auto" w:fill="auto"/>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6</w:t>
            </w:r>
          </w:p>
        </w:tc>
        <w:tc>
          <w:tcPr>
            <w:tcW w:w="1004" w:type="dxa"/>
            <w:vAlign w:val="center"/>
          </w:tcPr>
          <w:p>
            <w:pPr>
              <w:tabs>
                <w:tab w:val="left" w:pos="271"/>
                <w:tab w:val="center" w:pos="705"/>
              </w:tabs>
              <w:spacing w:line="480" w:lineRule="auto"/>
              <w:jc w:val="center"/>
              <w:rPr>
                <w:rFonts w:cs="宋体" w:asciiTheme="minorEastAsia" w:hAnsiTheme="minorEastAsia"/>
                <w:szCs w:val="21"/>
              </w:rPr>
            </w:pPr>
            <w:r>
              <w:rPr>
                <w:rFonts w:hint="eastAsia" w:cs="宋体" w:asciiTheme="minorEastAsia" w:hAnsiTheme="minorEastAsia"/>
                <w:szCs w:val="21"/>
              </w:rPr>
              <w:t>售后服务维护系统</w:t>
            </w:r>
          </w:p>
        </w:tc>
        <w:tc>
          <w:tcPr>
            <w:tcW w:w="5457" w:type="dxa"/>
            <w:vAlign w:val="center"/>
          </w:tcPr>
          <w:p>
            <w:pPr>
              <w:spacing w:line="480" w:lineRule="auto"/>
              <w:rPr>
                <w:rFonts w:cs="宋体" w:asciiTheme="minorEastAsia" w:hAnsiTheme="minorEastAsia"/>
                <w:szCs w:val="21"/>
              </w:rPr>
            </w:pPr>
            <w:r>
              <w:rPr>
                <w:rFonts w:hint="eastAsia" w:cs="宋体" w:asciiTheme="minorEastAsia" w:hAnsiTheme="minorEastAsia"/>
                <w:szCs w:val="21"/>
              </w:rPr>
              <w:t>1、支持WEB网页应用、微信小程序。</w:t>
            </w:r>
          </w:p>
          <w:p>
            <w:pPr>
              <w:spacing w:line="480" w:lineRule="auto"/>
              <w:rPr>
                <w:rFonts w:cs="宋体" w:asciiTheme="minorEastAsia" w:hAnsiTheme="minorEastAsia"/>
                <w:szCs w:val="21"/>
              </w:rPr>
            </w:pPr>
            <w:r>
              <w:rPr>
                <w:rFonts w:hint="eastAsia" w:cs="宋体" w:asciiTheme="minorEastAsia" w:hAnsiTheme="minorEastAsia"/>
                <w:szCs w:val="21"/>
              </w:rPr>
              <w:t>2、支持自定义校区、部门，支持多层级校区和部门管理。可自定义管理角色的相关权限，如班级、校级管理员角色。</w:t>
            </w:r>
          </w:p>
          <w:p>
            <w:pPr>
              <w:spacing w:line="480" w:lineRule="auto"/>
              <w:rPr>
                <w:rFonts w:cs="宋体" w:asciiTheme="minorEastAsia" w:hAnsiTheme="minorEastAsia"/>
                <w:szCs w:val="21"/>
              </w:rPr>
            </w:pPr>
            <w:r>
              <w:rPr>
                <w:rFonts w:hint="eastAsia" w:cs="宋体" w:asciiTheme="minorEastAsia" w:hAnsiTheme="minorEastAsia"/>
                <w:szCs w:val="21"/>
              </w:rPr>
              <w:t>▲3、支持对本次采购的设备分类设置、存放区域设置、标签模板设置。支持批量导入导出本次采购的设备、支持本次采购的设备标签打印、支持本次采购的设备图片上传、支持修改、删除、复制、打印、查询筛选等快捷处理。支持对设备维护商信息变更。</w:t>
            </w:r>
          </w:p>
          <w:p>
            <w:pPr>
              <w:spacing w:line="480" w:lineRule="auto"/>
              <w:rPr>
                <w:rFonts w:cs="宋体" w:asciiTheme="minorEastAsia" w:hAnsiTheme="minorEastAsia"/>
                <w:szCs w:val="21"/>
              </w:rPr>
            </w:pPr>
            <w:r>
              <w:rPr>
                <w:rFonts w:hint="eastAsia" w:cs="宋体" w:asciiTheme="minorEastAsia" w:hAnsiTheme="minorEastAsia"/>
                <w:szCs w:val="21"/>
              </w:rPr>
              <w:t>4、支持维修单上传、维修费用登记。</w:t>
            </w:r>
          </w:p>
          <w:p>
            <w:pPr>
              <w:spacing w:line="480" w:lineRule="auto"/>
              <w:rPr>
                <w:rFonts w:cs="宋体" w:asciiTheme="minorEastAsia" w:hAnsiTheme="minorEastAsia"/>
                <w:szCs w:val="21"/>
              </w:rPr>
            </w:pPr>
            <w:r>
              <w:rPr>
                <w:rFonts w:hint="eastAsia" w:cs="宋体" w:asciiTheme="minorEastAsia" w:hAnsiTheme="minorEastAsia"/>
                <w:szCs w:val="21"/>
              </w:rPr>
              <w:t>5、支持对大量历史数据进行综合提炼和分析，及时准确地掌握和分析全区、全校设备现状，为制定后期装备采购计划提供有效依据。</w:t>
            </w:r>
          </w:p>
          <w:p>
            <w:pPr>
              <w:spacing w:line="480" w:lineRule="auto"/>
              <w:rPr>
                <w:rFonts w:cs="宋体" w:asciiTheme="minorEastAsia" w:hAnsiTheme="minorEastAsia"/>
                <w:szCs w:val="21"/>
              </w:rPr>
            </w:pPr>
            <w:r>
              <w:rPr>
                <w:rFonts w:hint="eastAsia" w:cs="宋体" w:asciiTheme="minorEastAsia" w:hAnsiTheme="minorEastAsia"/>
                <w:szCs w:val="21"/>
              </w:rPr>
              <w:t>6、故障报修：支持微信扫码快捷报修，自动定位设备信息，故障信息自动上报相应管理人员、支持多级上报、支持维护商接入。</w:t>
            </w:r>
          </w:p>
          <w:p>
            <w:pPr>
              <w:spacing w:line="480" w:lineRule="auto"/>
              <w:rPr>
                <w:rFonts w:cs="宋体" w:asciiTheme="minorEastAsia" w:hAnsiTheme="minorEastAsia"/>
                <w:szCs w:val="21"/>
              </w:rPr>
            </w:pPr>
            <w:r>
              <w:rPr>
                <w:rFonts w:hint="eastAsia" w:cs="宋体" w:asciiTheme="minorEastAsia" w:hAnsiTheme="minorEastAsia"/>
                <w:szCs w:val="21"/>
              </w:rPr>
              <w:t>7、实时通知：故障报修与处理结果实时通知相应人员。</w:t>
            </w:r>
          </w:p>
          <w:p>
            <w:pPr>
              <w:spacing w:line="480" w:lineRule="auto"/>
              <w:rPr>
                <w:rFonts w:cs="宋体" w:asciiTheme="minorEastAsia" w:hAnsiTheme="minorEastAsia"/>
                <w:szCs w:val="21"/>
              </w:rPr>
            </w:pPr>
            <w:r>
              <w:rPr>
                <w:rFonts w:hint="eastAsia" w:cs="宋体" w:asciiTheme="minorEastAsia" w:hAnsiTheme="minorEastAsia"/>
                <w:szCs w:val="21"/>
              </w:rPr>
              <w:t>8、流程监控：故障报修、故障派单、故障处理、处理结果反馈整个工作流程全程可监控可追溯。</w:t>
            </w:r>
          </w:p>
          <w:p>
            <w:pPr>
              <w:spacing w:line="480" w:lineRule="auto"/>
              <w:rPr>
                <w:rFonts w:cs="宋体" w:asciiTheme="minorEastAsia" w:hAnsiTheme="minorEastAsia"/>
                <w:szCs w:val="21"/>
              </w:rPr>
            </w:pPr>
            <w:r>
              <w:rPr>
                <w:rFonts w:hint="eastAsia" w:cs="宋体" w:asciiTheme="minorEastAsia" w:hAnsiTheme="minorEastAsia"/>
                <w:szCs w:val="21"/>
              </w:rPr>
              <w:t>9、故障分类统计报表：支持多维度统计展示设备故障信息。</w:t>
            </w:r>
          </w:p>
          <w:p>
            <w:pPr>
              <w:spacing w:line="480" w:lineRule="auto"/>
              <w:rPr>
                <w:rFonts w:cs="宋体" w:asciiTheme="minorEastAsia" w:hAnsiTheme="minorEastAsia"/>
                <w:szCs w:val="21"/>
              </w:rPr>
            </w:pPr>
            <w:r>
              <w:rPr>
                <w:rFonts w:hint="eastAsia" w:cs="宋体" w:asciiTheme="minorEastAsia" w:hAnsiTheme="minorEastAsia"/>
                <w:szCs w:val="21"/>
              </w:rPr>
              <w:t>10、用户评价与效率衡量：支持用户评价汇总分析、维护商故障处理效率数据分析。</w:t>
            </w:r>
          </w:p>
        </w:tc>
        <w:tc>
          <w:tcPr>
            <w:tcW w:w="717" w:type="dxa"/>
            <w:vAlign w:val="center"/>
          </w:tcPr>
          <w:p>
            <w:pPr>
              <w:spacing w:line="480" w:lineRule="auto"/>
              <w:jc w:val="center"/>
              <w:rPr>
                <w:rFonts w:cs="宋体" w:asciiTheme="minorEastAsia" w:hAnsiTheme="minorEastAsia"/>
                <w:szCs w:val="21"/>
              </w:rPr>
            </w:pPr>
            <w:r>
              <w:rPr>
                <w:rFonts w:cs="宋体" w:asciiTheme="minorEastAsia" w:hAnsiTheme="minorEastAsia"/>
                <w:szCs w:val="21"/>
              </w:rPr>
              <w:t>套</w:t>
            </w:r>
          </w:p>
        </w:tc>
        <w:tc>
          <w:tcPr>
            <w:tcW w:w="631"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13" w:type="dxa"/>
            <w:shd w:val="clear" w:color="auto" w:fill="auto"/>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7</w:t>
            </w:r>
          </w:p>
        </w:tc>
        <w:tc>
          <w:tcPr>
            <w:tcW w:w="1004"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系统集成</w:t>
            </w:r>
          </w:p>
        </w:tc>
        <w:tc>
          <w:tcPr>
            <w:tcW w:w="5457" w:type="dxa"/>
            <w:vAlign w:val="center"/>
          </w:tcPr>
          <w:p>
            <w:pPr>
              <w:spacing w:line="480" w:lineRule="auto"/>
              <w:rPr>
                <w:rFonts w:cs="宋体" w:asciiTheme="minorEastAsia" w:hAnsiTheme="minorEastAsia"/>
                <w:szCs w:val="21"/>
              </w:rPr>
            </w:pPr>
            <w:r>
              <w:rPr>
                <w:rFonts w:hint="eastAsia" w:cs="宋体" w:asciiTheme="minorEastAsia" w:hAnsiTheme="minorEastAsia"/>
                <w:szCs w:val="21"/>
              </w:rPr>
              <w:t>1、满足本项目所需要的各种辅材、安装、运输等。</w:t>
            </w:r>
          </w:p>
        </w:tc>
        <w:tc>
          <w:tcPr>
            <w:tcW w:w="717"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批</w:t>
            </w:r>
          </w:p>
        </w:tc>
        <w:tc>
          <w:tcPr>
            <w:tcW w:w="631" w:type="dxa"/>
            <w:vAlign w:val="center"/>
          </w:tcPr>
          <w:p>
            <w:pPr>
              <w:spacing w:line="480" w:lineRule="auto"/>
              <w:jc w:val="center"/>
              <w:rPr>
                <w:rFonts w:cs="宋体" w:asciiTheme="minorEastAsia" w:hAnsiTheme="minorEastAsia"/>
                <w:szCs w:val="21"/>
              </w:rPr>
            </w:pPr>
            <w:r>
              <w:rPr>
                <w:rFonts w:hint="eastAsia" w:cs="宋体" w:asciiTheme="minorEastAsia" w:hAnsiTheme="minorEastAsia"/>
                <w:szCs w:val="21"/>
              </w:rPr>
              <w:t>1</w:t>
            </w:r>
          </w:p>
        </w:tc>
      </w:tr>
    </w:tbl>
    <w:p>
      <w:pPr>
        <w:rPr>
          <w:rFonts w:hint="eastAsia"/>
          <w:lang w:val="en-US" w:eastAsia="zh-CN"/>
        </w:rPr>
      </w:pPr>
    </w:p>
    <w:p>
      <w:pPr>
        <w:spacing w:line="360" w:lineRule="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包件2：</w:t>
      </w:r>
    </w:p>
    <w:tbl>
      <w:tblPr>
        <w:tblStyle w:val="48"/>
        <w:tblW w:w="8522" w:type="dxa"/>
        <w:tblInd w:w="0" w:type="dxa"/>
        <w:tblLayout w:type="fixed"/>
        <w:tblCellMar>
          <w:top w:w="0" w:type="dxa"/>
          <w:left w:w="108" w:type="dxa"/>
          <w:bottom w:w="0" w:type="dxa"/>
          <w:right w:w="108" w:type="dxa"/>
        </w:tblCellMar>
      </w:tblPr>
      <w:tblGrid>
        <w:gridCol w:w="731"/>
        <w:gridCol w:w="973"/>
        <w:gridCol w:w="5600"/>
        <w:gridCol w:w="609"/>
        <w:gridCol w:w="609"/>
      </w:tblGrid>
      <w:tr>
        <w:tblPrEx>
          <w:tblLayout w:type="fixed"/>
          <w:tblCellMar>
            <w:top w:w="0" w:type="dxa"/>
            <w:left w:w="108" w:type="dxa"/>
            <w:bottom w:w="0" w:type="dxa"/>
            <w:right w:w="108" w:type="dxa"/>
          </w:tblCellMar>
        </w:tblPrEx>
        <w:trPr>
          <w:trHeight w:val="270"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序号</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产品名称</w:t>
            </w:r>
          </w:p>
        </w:tc>
        <w:tc>
          <w:tcPr>
            <w:tcW w:w="5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技术参数</w:t>
            </w:r>
          </w:p>
        </w:tc>
        <w:tc>
          <w:tcPr>
            <w:tcW w:w="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单位</w:t>
            </w:r>
          </w:p>
        </w:tc>
        <w:tc>
          <w:tcPr>
            <w:tcW w:w="6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数量</w:t>
            </w:r>
          </w:p>
        </w:tc>
      </w:tr>
      <w:tr>
        <w:tblPrEx>
          <w:tblLayout w:type="fixed"/>
          <w:tblCellMar>
            <w:top w:w="0" w:type="dxa"/>
            <w:left w:w="108" w:type="dxa"/>
            <w:bottom w:w="0" w:type="dxa"/>
            <w:right w:w="108" w:type="dxa"/>
          </w:tblCellMar>
        </w:tblPrEx>
        <w:trPr>
          <w:trHeight w:val="6653"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交互智能触摸一体机</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一：整体设计</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▲1、屏幕≥75英寸液晶显示器。显示器为UHD超高清LED 液晶屏，显示比例16:9，分辨率3840*2160。玻璃厚度≤4mm，玻璃表面硬度≥9H。（提供国家级电视产品质量监督检验中心所出具的检测报告复印件）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▲2、嵌入式系统版本不低于Android9.0，内存≥2GB，存储空间≥8GB。（提供国家级电视产品质量监督检验中心所出具的检测报告复印件）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3、整机能感应并自动调节屏幕亮度来达到在不同光照环境下的不同亮度显示效果，此功能可自行开启或关闭。</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4、整机内置 2.1 声道扬声器，至少包含前朝向 15W中高音扬声器 2 个，后朝向 20W 低音扬声器 1 个，额定总功率不低于50W。</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5、支持传屏功能，可以将外部电脑的屏幕画面通过无线方式传输到整机上显示。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6、整机内置无线网络模块，PC模块无任何外接或转接天线、网卡可实现Wi-Fi无线上网连接和AP无线热点发射。Wi-Fi和AP热点均支持频段2.4GHz/5GHz ，且工作距离不低于12米。</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7、具有三合一电源按键，支持同一电源物理按键完成Android系统和Windows系统的开机、节能熄屏、关机操作；关机状态下轻按按键开机；开机状态下轻按按键实现节能熄屏/唤醒，长按按键实现关机。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8、整机具备至少6个前置按键，实现老师开关机、调出中控菜单、音量+/-、护眼、录屏的操作。</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9、整机具有护眼功能，可通过前置面板物理功能按键一键启用护眼模式。</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▲10、设备支持通过前置面板物理按键一键启动录屏功能，可将屏幕中显示的课件、音频内容与老师人声同时录制。（提供国家级电视产品质量监督检验中心所出具的检测报告复印件）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11、支持智能U盘锁功能，整机可设置触摸及按键锁定，锁定后无法随意自由操作，需要使用时插入USB key可解锁。</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12、整机内置非独立的高清摄像头，可拍摄不低于 800 万像素数的照片，摄像头对角角度≥120°。支持远程巡课应用。且在PC通道下支持通过视频展台软件调用摄像头进行二维码扫码识别。</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13、整机内置非独立外扩展的阵列麦克风，可用于对教室环境音频进行采集，拾音距离≥12m。</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14、外接电脑设备连接整机且触摸信号连通时，外接电脑设备可直接读取整机前置USB接口的移动存储设备数据，连接整机前置USB接口的翻页笔和无线键鼠可直接使用于外接电脑。（提供国家级电视产品质量监督检验中心所出具的检测报告复印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▲15、外接电脑设备通过HDMI线投送画面至整机时，再连接TypeB USB线至整机触控输出接口，即可直接调用整机内置的摄像头、麦克风、扬声器，在外接电脑即可拍摄教室画面。（提供国家级电视产品质量监督检验中心所出具的检测报告复印件）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16、支持前置Type-C接口，通过Type-C接口实现音视频输入，外接电脑设备通过标准Type-C线连接至整机Type-C口，即可把外接电脑设备画面投到整机上，同时在整机上操作画面，可实现触摸电脑的操作，无需再连接触控USB线。</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▲17、外接电脑设备通过机外Type-C线连接至整机Type-C口，可直接调用整机内置的摄像头、麦克风、扬声器，在外接电脑可拍摄教室画面。（提供国家级电视产品质量监督检验中心所出具的检测报告复印件）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18、前置Type-C接口，支持通过外部线缆，实现外接电脑HDMI信号的接入显示。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19、机身具备防盐雾锈蚀特性，且满足GB4943.1-2011标准中的防火要求。在0℃- 40℃环境下可正常工作，在-20℃—60℃的环境下可正常贮存且贮存后功能无损。</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二：主要功能</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支持通道自动跳转功能，如整机处于正常使用状态，HDMI信号接入时，能自动识别并切换到对应的HDMI信号源通道，且断开后能回到上一通道，自动跳转前支持选择确认，待确认后再跳转。支持外接信号输入时自动唤醒功能，整机处于关机通电状态，外接电脑显示信号通过HDMI传输线连接至整机时，整机可智能识别外接电脑设备信号输入并自动开机。支持整机关机状态下，通过长按电源键进入设置界面后，可点击屏幕选择恢复整机系统及Windows操作系统到出厂默认状态，无需额外工具辅助。支持锁定屏幕触摸和整机前置按键，可通过遥控器、十指长按屏幕5秒、软件菜单（调试菜单）实现该功能，也可通过前置面板的物理按键以组合按键的形式进行锁定/解锁。</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2、具备智能手势识别功能，在任意信号源通道下可识别五指上、下、左、右方向手势滑动并调用响应功能，支持将各手势滑动方向自定义设置为无操作、熄屏、批注、桌面、半屏模式。</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3、整机内置专业硬件自检维护工具（非第三方工具），支持对触摸框、PC模块等模块进行检测，针对不同模块给出问题原因提示。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4、整机视网膜蓝光危害（蓝光加权辐射亮度LB）符合IEC62471标准，LB限值范围≤0.55（蓝光危害最大状况下）。</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5、整机具备供电保护模块，能够检测内置电脑是否插好在位，在内置电脑未在位的情况下，内置电脑无法上电工作。</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6、支持黑板关闭后整机自动节能，当整机安装到推拉黑板中时，关闭推拉黑板一分钟，整机自动熄屏。</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7、内置蓝牙模块，能连接外部蓝牙音箱播放音频，也能接收外部手机通过蓝牙发送的文件。蓝牙支持 Bluetooth 4.2 标准。工作距离不低于12m。</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8、具备摄像头工作指示灯，摄像头运行时，有指示灯提示。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三：触摸系统</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1、支持红外触控，支持Windows系统中进行20点或以上触控，安卓系统中进行 10 点或以上触控，支持红外笔书写</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2、触摸屏在照度100k lux 环境下可正常工作。触摸分辨率32768×32768。</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3、触摸响应时间≤4ms。触摸最小识别物≤3mm。</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 xml:space="preserve">4、整机屏幕触摸有效识别高度不超过3.5mm,，即触摸物体距离玻璃外表面高度不超过3.5mm时，触摸屏识别为点击操作。 </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5、触摸屏具有防遮挡功能，触摸接收器在单点或多点遮挡后仍能正常书写。</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6、Windows XP、Windows 7、Windows 8、Windows 8.1、 Windows 7、Linux、Mac Os系统外置电脑操作系统接入时，无需安装触摸框驱动。</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四：插拔式ops模块</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1、主板采用H310芯片组，搭载CPU≥i5 ，内存≥4GB DDR4，硬盘128 GB或以上SSD固态硬盘。</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2、PC模块可抽拉式插入整机，可实现无单独接线的插拔，和整机的连接采用万兆级接口，传输速率≥10Gbps。</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▲3、采用按压式卡扣，无需工具就可快速拆卸电脑模块。（提供国家级电视产品质量监督检验中心所出具的权威检测报告复印件）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4、具有独立非外扩展的视频输出接口：≥1路HDMI ，≥3路USB。≥1路PC防盗锁孔。</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台</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120</w:t>
            </w:r>
          </w:p>
        </w:tc>
      </w:tr>
      <w:tr>
        <w:tblPrEx>
          <w:tblLayout w:type="fixed"/>
          <w:tblCellMar>
            <w:top w:w="0" w:type="dxa"/>
            <w:left w:w="108" w:type="dxa"/>
            <w:bottom w:w="0" w:type="dxa"/>
            <w:right w:w="108" w:type="dxa"/>
          </w:tblCellMar>
        </w:tblPrEx>
        <w:trPr>
          <w:trHeight w:val="5519"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备授课一体化软件</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一：电脑端</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1、支持对音频、视频文件进行关键帧标记，可在音、视频进度条任意位置自由设置关键帧播放节点，便于快速定位讲解关键教学内容。</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3、提供柱状图、扇形图、折线图等互动图表，每类图表预置不少于5种样式，支持图表文字、背景、透明度设置；柱状图、折线图可一键转置互换坐标轴类别；图表支持三维模式旋转展示，生动形象。</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数学工具-立体几何工具：可自由绘制长方体、立方体、圆柱体、圆锥等立体几何图形。任意调节几何体的大小尺寸，支持几何图形按比例放大缩小和通过单独调整长宽高（半径/高）改变几何体大小。支持为长方体、圆柱体、圆锥等几何体的各面、棱分别填涂颜色，并且可通过360°旋转观察涂色面与未涂色面；</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5、几何体支持平面展开，预置长方体、立方体“141、132、222、33”型展开方式，展开后可对涂色面进行查看，有助于学生的空间想象。具备几何体智能吸附功能：同类几何体相互靠近时，可智能识别吸附。</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6、英语工具-AI智能纠错：软件内置的AI智能语义分析模块，可对输入的英文文本的拼写、句型、语法进行错误检查，并支持一键纠错。</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7、地理工具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8、多学科课件库：提供涵盖小学语文、数学、英语全部教学章节的不少于2000份的交互式课件。课件支持直接预览并下载，预览时支持拖动课堂活动、形状、几何、文本等元素；下载时课件可同步至教师个人云课件存储空间；课件支持教师在线评分。</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9、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10、支持将音频文件嵌入课件，提供单次播放、循环播放、跨页面播放和自动播放等播放模式。跨页面播放可设置音频进行部分页面播放和全页面播放。</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11、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12、语文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13、数学工具-数学画板 支持课件中插入在线数学画板，授课时一键打开使用, 提供不少于500个数学画板资源，按照小学、初中、高中学段数学学科主要知识点分类，便于教师查找使用， 内置画板课件展示生动直观，可动态展示平面几何的变化：如小学几何四边形，可动态演示四边形的不同形态间的变化；中学函数的平方差公式讲解，可将平方差公式通过图形具象展示其计算原理， 提供个人画板供教师自由创作，具备点、线、面等基础元素和线段中点、椭圆焦点、极坐标方程等数十种数学常用工具。创建后可一键将画板无缝嵌入课件。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14、化学工具-化学方程式编辑器：提供化学方程式快速编辑工具，当输入一个化学元素时，软件界面将自动显示出和该元素相关的多个常用化学反应方程式，可直接选择使用。插入后的化学方程式可重新编辑。</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15、课堂小测：提供不少于40000道初中数学试题，试题覆盖人教新版、苏科新版、北师大版、北京课改新版等不同版本教材。试题根据教材章节、知识点精准归纳，在章节与知识点基础上依据教学场景及试题难度分为课堂小测、基础练习、提高练习、单元评测、专题知识评测等试题模块。教师可根据自身需求选择已有套题或自行组卷形成个性化套题。</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16、软件支持云课堂功能，学生端扫码即可报名并进入课堂。</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▲17、为保证软件运行兼容性，一体机及备授课软件需为同一厂家。（提供软件著作权证书的复印件并加盖供应商公章）</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二：手机端</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移动平台智能识别授课端登录状态，授课端处于登录状态时，移动应用平台自动连接移动端与授课端，无需人为操作。2、移动平台可对云空间互动课件和课件组移动、删除和重命名，课件及课件组支持批量移动、删除。删除的课件可以在移动平台的回收站中恢复或永久清除。</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3、移动平台可以上传手机相册中的照片和视频到资料夹，且支持调用系统相机拍摄照片并直接上传。教师可以在备课端选择资源插入课件。</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4、课件预览保留课件对象拖拽移动、克隆复制、置顶、删除等互动功能，并可通过移动端进行思维导图、课堂互动游戏的触控交互操作，并支持显示课件备注内容。</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5、教师可在移动平台选择是否接收获取的分享课件，接收后课件储存至个人云空间，可在移动平台的互动课件列表预览。</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6、可以对通过移动平台和其他终端上传的资源移动、删除和重命名。</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套</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120</w:t>
            </w:r>
          </w:p>
        </w:tc>
      </w:tr>
      <w:tr>
        <w:tblPrEx>
          <w:tblLayout w:type="fixed"/>
          <w:tblCellMar>
            <w:top w:w="0" w:type="dxa"/>
            <w:left w:w="108" w:type="dxa"/>
            <w:bottom w:w="0" w:type="dxa"/>
            <w:right w:w="108" w:type="dxa"/>
          </w:tblCellMar>
        </w:tblPrEx>
        <w:trPr>
          <w:trHeight w:val="513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远程授课助手</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1、支持Android4.0及IOS6.0以上版本系统。</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2、支持横屏及竖屏双模式，满足不同用户的使用习惯。</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3、支持手机投屏，可通过该软件将手机屏幕画面实时投影到大屏上。可实现交互智能平板与手持终端屏幕同步显示，且支持双屏同步操作、大小屏双向批注、擦除、截图功能。</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4、支持Office、WPS及白板软件课件远程同步，可通过移动端对智能平板上的课件实现页面预览、远程翻页、双向批注、激光笔、聚光灯等功能，其中批注功能支持3种或以上颜色。</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5、提供移动展台功能按键，可一键对试卷、课本等实物进行拍摄，将实物照片一键上传至智能平板的互动教学软件里打开，结合互动教学软件功能进行批注、缩放、旋转等操作。</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6、支持拍摄图片增强功能，拍摄后图片可自动执行优化处理，包括亮度对比度优化、色彩饱和度增强、图片边框动态识别、图片剪裁与拉伸等，且支持手动调节，提升所拍摄课本、试卷内容的展示效果。</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7、支持多图对比展示功能，可将多位学生的作业、试卷或实验结果进行拍摄，并上传至智能平板的互动教学软件里进行对比展示，支持点评功能。</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8、▲以上所有功能操作需在同一软件平台上实现，且需保证移动授课软件与一体机设备为同一品牌，以保证软件稳定性。（提供软件著作权证书的复印件并加盖供应商公章）</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套</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120</w:t>
            </w:r>
          </w:p>
        </w:tc>
      </w:tr>
      <w:tr>
        <w:tblPrEx>
          <w:tblLayout w:type="fixed"/>
          <w:tblCellMar>
            <w:top w:w="0" w:type="dxa"/>
            <w:left w:w="108" w:type="dxa"/>
            <w:bottom w:w="0" w:type="dxa"/>
            <w:right w:w="108" w:type="dxa"/>
          </w:tblCellMar>
        </w:tblPrEx>
        <w:trPr>
          <w:trHeight w:val="1124"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4</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教学数据管理平台</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一、整体设计</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定义：基于数据分析的教学教研管理平台，支持学校管理教学教研流程，包括教学计划、电子备课、听课评课、班级氛围、校本资源建设，同时收集数据反馈和评价，方便管理者掌握和促进教学教研效果。同时支持教师管理个人教学教研活动并进行数据采集分析，帮助教师提升个人专业发展。</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2、产品采用Saas的服务模式，后台应用B/S架构设计，支持学校管理者在Windows、Linux、Android、iOS等多种不同的操作系统上通过网页浏览器登陆进行操作，可统计全校教师软件活跃数据、点评数据及课件上传等数据。</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3、多端登录：支持管理员及教师使用网页端、移动端登录，移动端支持查看网页端数据信息，教师榜单，并定期推送数据分析报表，帮助学校检验信息化教学成果。</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二、基础数据中心</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1、信息化指数：通过多维度分析学校的信息化教学应用情况，综合评估出信息化指数，并与月均值进行对比，方便管理者快速了解信息化教学进展。</w:t>
            </w:r>
          </w:p>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2、信息化数据雷达图：将信息化教学数据分五个维度进行评估，分别为课件制作、听课评课、师生互动、互动教学、家校沟通，并与全省均值对比，学校信息化教学情况一目了然3、提升实力：一键分析学校信息化教学的待提升项，方便学校了解自身情况和实际差距；同时可通过管理端督促教师开展信息化教学活动，并为管理者预测督促后可提升的指标，督促信息将通过短信触达教师，保证督促效果。</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三、系统管理</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1、学校通知：管理员可根据组织架构信息，自由选定教师发送学校通知。发送后，管理员可实时查阅教师已读、未读情况。通知的发送、接收都可在微信小程序中完成，方便随时随地进行通知的查阅和管理。</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3、组织架构：管理员可自定义构建部门，亦可将教师导入相应的部门，方便进行分组管理。支持管理者在移动端审核教师入校，方便快速处理教师的申请。</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4、教研结构：支持管理者按照学段-学科-年级快速创建教师的教研组织结构，方便教师信息的分类管理。</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5、人员管理：支持管理员通过多种方式邀请教师入校，包含直接导入教师、链接邀请入校、二维码邀请入校。支持以姓名、手机号快速搜索教师，同时支持导出学校教师名单。</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6、申请入校：教师输入学校账号以及入校验证信息完成入校申请，管理员审核申请后即可入校；支持教师通过回答自定义验证问题直接入校。</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7、信息管理：支持修改管理员、教师的账户信息，支持管理员上传校徽，并对本校内管理者账户都可见。</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8、班级管理：支持查看校内每个班级的班主任、班级人数，查看每位学生的课堂行为点评，了解每位学生情况，便捷进行班级管理。</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四、教研管理中心</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为学校提供教研全流程管理服务，包含教学计划、电子教案、听课评课、校本资源、班级氛围的流程管理和数据分析，方便学校统筹管理教学、教研活动进展，收集数据反馈和评价，了解全校教师的教学教研产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2、学校目标与计划：可以在系统中录入学校教学计划，计划可以和教案的课时数相关联，方便管理者掌握学校教学进度。</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3、教研组计划：以不同学科不同年级教研组为单位，可以在系统中录入教研组教学计划，计划可以和教案的课时数相关联，方便教研组管理教学进度。</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4、教案模板管理：支持管理者自定义学校的教案模板，可以设置必填项和选填项，有效规范教师教案的编写。</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5、校本课件管理：可统一审核发布、删除教师上传至校本库的课件，支持查看更新时间、大小、下载次数等数据。校本课件支持文件夹分组，方便各学科课件的分组管理。同时支持课件的批量移动、删除。</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6、校本课件预览：校本课件支持直接预览课件及该课件的教案，方便课件、教案的检查。</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7、评课表管理：支持自定义设置学校专属评课表，系统预置中央电教馆“一师一优课，一课一名师”模板供使用。点评支持评分题和主观题，支持发布多张评课表，方便同时开展多学科、多个评课活动。</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五、教研数据中心</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教案数据：支持查看全校教案总数、教师课件总数、校本课件总数。同时支持按本周、本月、本学期、自定义时间段查看教案制作数量的排行，查看全校教师的教案，方便进行教案检查；同时支持按年级、学科对比教师编写教案的数量，方便管理者总览全校教案编写情况。</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课件制作数据：支持按本周、本月、本学期、自定义时间查看全校教师课件制作的数据排行，教师榜单支持按照课件数、上传校本课件数、校本课件热度进行排序。课件数据支持按学科对比，方便总览全校课件制作情况。</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3、校本课件榜单：支持查看校本课件各维度的榜单，包含最多分享教师榜单、最受欢迎课件榜单、最受欢迎教师榜单，可以查看数据详情，支持一键获取课件。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4、校本课件数据详情：支持查看校本课件数据，包括新增数据，各年级和学科的对比，可查看校本课件列表，校本课件列表可按累计被下载数排序。</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5、听评课数据详情：全校听评课数据统一汇总，数据包含全校评课平均分，累计评课数量，本周新增评课数量，听课人数，方便了解听评课教研活动的开展情况。</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套</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w:t>
            </w:r>
          </w:p>
        </w:tc>
      </w:tr>
      <w:tr>
        <w:tblPrEx>
          <w:tblLayout w:type="fixed"/>
          <w:tblCellMar>
            <w:top w:w="0" w:type="dxa"/>
            <w:left w:w="108" w:type="dxa"/>
            <w:bottom w:w="0" w:type="dxa"/>
            <w:right w:w="108" w:type="dxa"/>
          </w:tblCellMar>
        </w:tblPrEx>
        <w:trPr>
          <w:trHeight w:val="2542"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集中控制软件</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1、支持远程监测设备的开关机状态、开关机时间段分布图、开机次数、开机使用时长、软件使用数、硬盘空间、硬盘使用状况、内存容量、内存使用率、设备辅助管理软件版本、设备ID、机型、MCU版本等设备数据。</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2、支持通过后台快速变更设备场地信息、班级信息、设备名称。</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3、可远程控制设备关机和重启；可批量设定智能设备关机的执行时间，并支持自定义预约定时日循环执行。</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支持对设备进行锁屏，支持即时锁屏、循环及定时锁屏操作。循环操作包含每日重复、工作日+周末（即5+2）模式、自定义循环三种，提供无网解锁、有网解锁、密码解锁等多种认证解锁机制，适用于各类教学环境。</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支持对设备进行打铃，提供即时打铃、定时打铃和循环打铃模式，用户可向铃声库上传自定义铃声，添加铃声时，可试听并设置打铃时长（时长可设置为10s、20s、30s、60s和120s）。打铃时在受控端提醒，响铃5s后可主动关闭打铃，避免影响正常教学</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6、具备动态文字滚动公告远程推送功能，支持对文字颜色、粗细及播放次数、推送时间进行设置。</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7、支持批量对设备进行文件远程传输，兼容超大文件（&gt;50M）上载传输。支持批量对设备进行软件远程部署，专用教学软件（交互式备授课软件、学生行为管理系统）批量支持静默部署。</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8、支持自定义设定倒计日，用于重大教学安排的提醒，支持批量对指定设备的DTV、ATV通道进行频道切换。支持批量切换指定设备的图像模式：标准、明亮、柔和、绚丽。支持批量切换指定设备的声音模式：标准、会议、教室、影院。</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9、支持远程实时控制设备，可监测设备当前运行界面，并远程操作设备界面，适用于远程维护和修复设备软件问题。支持实时远程查看学校任意设备的教室画面、设备画面。</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10、支持实时查看操作指令的执行状态，对于指令执行进度进行反馈提示。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11、支持实时统计开启系统还原保护的设备数量、安装系统还原保护的设备总数量、磁盘冻结状态等，并提供冰点风险提示。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12、支持远程对运行状态下的交互智能设备批量设置、解除本地系统启动盘的系统还原点（冰点保护）。支持设备在冰点的冰冻状态下，仍然可以接收和执行到管理员发送的指令，并且在设备重启后仍然生效。</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13、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14、支持实时监测整机CPU占用率、CPU温度、设备使用时长，系统在指标达到异常峰值时自动向管理员发送提醒，管理员可后台远程处理异常。</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15、支持不少于6路直播源并行发起直播，提供4种直播模式（桌面直播、桌面+视频直播、视频直播、音频直播）供选择。直播方可实时查看直播接收方场所的现场画面，实时了解直播情况，并实时统计显示直播源码率、FPS等数据。</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套</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w:t>
            </w:r>
          </w:p>
        </w:tc>
      </w:tr>
      <w:tr>
        <w:tblPrEx>
          <w:tblLayout w:type="fixed"/>
          <w:tblCellMar>
            <w:top w:w="0" w:type="dxa"/>
            <w:left w:w="108" w:type="dxa"/>
            <w:bottom w:w="0" w:type="dxa"/>
            <w:right w:w="108" w:type="dxa"/>
          </w:tblCellMar>
        </w:tblPrEx>
        <w:trPr>
          <w:trHeight w:val="416"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音箱</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1.功率≥50W×2；至少包含一个 5.5寸低音喇叭和一个3寸高音喇叭；不少于1路音频输入，1路6.35话筒输入，1路副箱音频输出。</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2.无线麦克风采用2.4G自动对频方式，音频传输采用UHF抗干扰射频技术，不受WiFi、蓝牙、手机等辐射信号干扰。</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套</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120</w:t>
            </w:r>
          </w:p>
        </w:tc>
      </w:tr>
      <w:tr>
        <w:tblPrEx>
          <w:tblLayout w:type="fixed"/>
          <w:tblCellMar>
            <w:top w:w="0" w:type="dxa"/>
            <w:left w:w="108" w:type="dxa"/>
            <w:bottom w:w="0" w:type="dxa"/>
            <w:right w:w="108" w:type="dxa"/>
          </w:tblCellMar>
        </w:tblPrEx>
        <w:trPr>
          <w:trHeight w:val="540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壁挂展台</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1箱体采用钣金及塑料材质，四角圆弧形设计，防碰撞有效提升使用安全性，面板采用两个金属气压杆支撑或无气压杆设计，壁挂式安装；内置高拍仪，USB走线隐形式设计，轻松实现与教学一体机及各类中控设备的无缝集成。</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2.摄像头物理像素≥800万，摄像头分辨率≥3264*2448，USB供电，即插即用，摄录范围≥(A4)，调焦方式：定焦技术</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3.扫描速度≤1s,光源支持自然光+LED补光，扫描图片格式为JPEG。输出文档格式为PDF、DOC、XLS、PPT，录像格式为AVI，支持麦克风，丰富的软件应用；</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4.图像色彩24位；</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5.图像控制支持亮度调整、对比度调整、色彩调整等；</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软件部分：</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通过软件视频展示可以实现动态即时旋转和按照1%梯度缩放：视频显示内容能够以鼠标所在点为中心，实时按照1%梯度进行无级自由缩放达1000%且梯度可调节，并可实现亮度、对比度、色彩饱和度、冻结、负片的调节。</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2、可实现1、2、4、6、8、16等多分屏，分频画面可同时展示实物、图片、试卷等并可批注、编辑及保存；可实现展台取景即时录制，（录制完成可设置自动播放）并可导出为AVI等格式的视频文件；</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3、支持双摄像画面显示达到同步异态；支持多种分辨率调节，可自由选择高清，高速显示画面。</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4、软件支持拍照，感应拍照，连拍功能，且拍摄的图片可设置水印功能。</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台</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120</w:t>
            </w:r>
          </w:p>
        </w:tc>
      </w:tr>
      <w:tr>
        <w:tblPrEx>
          <w:tblLayout w:type="fixed"/>
          <w:tblCellMar>
            <w:top w:w="0" w:type="dxa"/>
            <w:left w:w="108" w:type="dxa"/>
            <w:bottom w:w="0" w:type="dxa"/>
            <w:right w:w="108" w:type="dxa"/>
          </w:tblCellMar>
        </w:tblPrEx>
        <w:trPr>
          <w:trHeight w:val="841"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8</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组合绿板</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1.结构为内外双层四块板结构，内层为两块固定书写板与电子产品正面平齐，外层为两块滑动书写板，配装孔锁。</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2.基本尺寸4000mm×1280mm（±5mm），可根据所配电子产品做适当调整，确保与电子产品的有效配套。</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3.书写板面采用优质烤漆钢板，厚度必须≥0.24mm，表面覆透明保护膜。板面为亚光墨绿色、漆膜硬度≥8H。板面书写流畅字迹清晰、易擦拭，甲醛释放量≤0.2mg/L，符合GB/T 28231-2011《书写板安全卫生要求》。</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4.内芯材料选用高强度、吸音、防潮、阻燃聚苯乙烯板，厚度≥16mm。</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5.背板选用镀锌钢板。</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6.边框采用模具挤压一次成型，横框规格≥57mm×100mm，竖框≥29mmX180mm（配套电视一体机）。边框经氧化喷砂涂层处理，边框必须采用双层加强结构，厚≥10㎜。（能承重30公斤）。</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7.滑轮上轮采用双滑道双吊轮，下轮采用1字型平轮单滑动结构，滑轮使用高精度轴承，滑动流畅、噪音小；书写时定位精确左右不晃动、滑动板前后晃动小于0.5mm。数目各4组，上下均匀安装，推拉无卡挤现象和尖锐的摩擦声。</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8.粉尘槽配备宽度≥30mm，防止粉尘垂直落地；粉尘槽与下边框一体化设计，粉尘槽与滑动系统分离，清扫时无粉尘死角。</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9.包角材料采用抗老化高强度ABS工程塑料注塑成型。</w:t>
            </w:r>
            <w:r>
              <w:rPr>
                <w:rFonts w:hint="eastAsia" w:cs="宋体" w:asciiTheme="minorEastAsia" w:hAnsiTheme="minorEastAsia"/>
                <w:color w:val="000000"/>
                <w:kern w:val="0"/>
                <w:sz w:val="22"/>
              </w:rPr>
              <w:br w:type="textWrapping"/>
            </w:r>
            <w:r>
              <w:rPr>
                <w:rFonts w:hint="eastAsia" w:cs="宋体" w:asciiTheme="minorEastAsia" w:hAnsiTheme="minorEastAsia"/>
                <w:color w:val="000000"/>
                <w:kern w:val="0"/>
                <w:sz w:val="22"/>
              </w:rPr>
              <w:t>10.黑板边框内部两侧安装滑动板限位档，防止活动黑板开启时撞击立框。</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张</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120</w:t>
            </w:r>
          </w:p>
        </w:tc>
      </w:tr>
      <w:tr>
        <w:tblPrEx>
          <w:tblLayout w:type="fixed"/>
          <w:tblCellMar>
            <w:top w:w="0" w:type="dxa"/>
            <w:left w:w="108" w:type="dxa"/>
            <w:bottom w:w="0" w:type="dxa"/>
            <w:right w:w="108" w:type="dxa"/>
          </w:tblCellMar>
        </w:tblPrEx>
        <w:trPr>
          <w:trHeight w:val="810"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9</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系统集成</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含系统设备所需的线管线槽、电源线、网线和音箱线等；设备的固定安装符合施工要求，安装美观，整体走线符合施工规范要求；线材管材、设备连接线、转接头、电源插座板等均采用经质检合格的产品。</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批</w:t>
            </w:r>
          </w:p>
        </w:tc>
        <w:tc>
          <w:tcPr>
            <w:tcW w:w="6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w:t>
            </w:r>
          </w:p>
        </w:tc>
      </w:tr>
    </w:tbl>
    <w:p>
      <w:pPr>
        <w:pStyle w:val="3"/>
        <w:numPr>
          <w:ilvl w:val="1"/>
          <w:numId w:val="1"/>
        </w:numPr>
        <w:tabs>
          <w:tab w:val="left" w:pos="0"/>
          <w:tab w:val="left" w:pos="426"/>
          <w:tab w:val="left" w:pos="576"/>
          <w:tab w:val="left" w:pos="786"/>
        </w:tabs>
        <w:spacing w:before="0" w:after="0" w:line="560" w:lineRule="exact"/>
        <w:ind w:left="0" w:firstLine="0"/>
        <w:jc w:val="both"/>
      </w:pPr>
      <w:bookmarkStart w:id="12" w:name="_Toc77757620"/>
      <w:bookmarkStart w:id="13" w:name="_Toc9486"/>
      <w:bookmarkStart w:id="14" w:name="_Toc54857463"/>
      <w:bookmarkStart w:id="15" w:name="_Toc4509120"/>
      <w:bookmarkStart w:id="16" w:name="_Toc513796936"/>
      <w:bookmarkStart w:id="17" w:name="_Toc19248"/>
      <w:bookmarkStart w:id="18" w:name="_Toc72309528"/>
      <w:bookmarkStart w:id="19" w:name="_Toc27442"/>
      <w:bookmarkStart w:id="20" w:name="_Toc12170"/>
      <w:bookmarkStart w:id="21" w:name="_Toc24356563"/>
      <w:bookmarkStart w:id="22" w:name="_Toc24972"/>
      <w:r>
        <w:rPr>
          <w:rFonts w:hint="eastAsia"/>
        </w:rPr>
        <w:t>商务要求</w:t>
      </w:r>
      <w:bookmarkEnd w:id="12"/>
      <w:bookmarkEnd w:id="13"/>
      <w:bookmarkEnd w:id="14"/>
      <w:bookmarkEnd w:id="15"/>
      <w:bookmarkEnd w:id="16"/>
      <w:bookmarkEnd w:id="17"/>
      <w:bookmarkEnd w:id="18"/>
      <w:bookmarkEnd w:id="19"/>
      <w:bookmarkEnd w:id="20"/>
      <w:bookmarkEnd w:id="21"/>
      <w:bookmarkEnd w:id="22"/>
    </w:p>
    <w:p>
      <w:pPr>
        <w:pStyle w:val="4"/>
        <w:rPr>
          <w:color w:val="auto"/>
        </w:rPr>
      </w:pPr>
      <w:r>
        <w:rPr>
          <w:rFonts w:hint="eastAsia" w:cs="Times New Roman" w:asciiTheme="minorEastAsia" w:hAnsiTheme="minorEastAsia" w:eastAsiaTheme="minorEastAsia"/>
          <w:b w:val="0"/>
          <w:color w:val="auto"/>
        </w:rPr>
        <w:t>★</w:t>
      </w:r>
      <w:r>
        <w:rPr>
          <w:rFonts w:hint="eastAsia" w:eastAsiaTheme="minorEastAsia"/>
          <w:color w:val="auto"/>
          <w:lang w:eastAsia="zh-CN"/>
        </w:rPr>
        <w:t>项目的生产安装</w:t>
      </w:r>
    </w:p>
    <w:p>
      <w:pPr>
        <w:rPr>
          <w:color w:val="000000"/>
          <w:sz w:val="28"/>
          <w:szCs w:val="28"/>
        </w:rPr>
      </w:pPr>
      <w:r>
        <w:rPr>
          <w:rFonts w:hint="eastAsia"/>
          <w:color w:val="000000"/>
          <w:sz w:val="28"/>
          <w:szCs w:val="28"/>
        </w:rPr>
        <w:t>（</w:t>
      </w:r>
      <w:r>
        <w:rPr>
          <w:color w:val="000000"/>
          <w:sz w:val="28"/>
          <w:szCs w:val="28"/>
        </w:rPr>
        <w:t>1</w:t>
      </w:r>
      <w:r>
        <w:rPr>
          <w:rFonts w:hint="eastAsia"/>
          <w:color w:val="000000"/>
          <w:sz w:val="28"/>
          <w:szCs w:val="28"/>
        </w:rPr>
        <w:t>）供应商应于合同签订后一周之内前往采购方地点进行所有项目实施前的实施方案落实工作，并取得采购（使用）方的书面签字认可，之后进行全面的货源组织、生产、安装、调试等项目整体实施工作，采购方应予以全面配合。</w:t>
      </w:r>
    </w:p>
    <w:p>
      <w:pPr>
        <w:rPr>
          <w:sz w:val="28"/>
          <w:szCs w:val="28"/>
        </w:rPr>
      </w:pPr>
      <w:r>
        <w:rPr>
          <w:rFonts w:hint="eastAsia"/>
          <w:color w:val="000000"/>
          <w:sz w:val="28"/>
          <w:szCs w:val="28"/>
        </w:rPr>
        <w:t>（</w:t>
      </w:r>
      <w:r>
        <w:rPr>
          <w:color w:val="000000"/>
          <w:sz w:val="28"/>
          <w:szCs w:val="28"/>
        </w:rPr>
        <w:t>2</w:t>
      </w:r>
      <w:r>
        <w:rPr>
          <w:rFonts w:hint="eastAsia"/>
          <w:color w:val="000000"/>
          <w:sz w:val="28"/>
          <w:szCs w:val="28"/>
        </w:rPr>
        <w:t>）供应商知晓履行本项目货物实施难易程度、进场及安装调试的场地可能存在交叉施工、条件限制等客观情况，供应商承诺自行克服上述困难，保证本项目中所约定的全部货物自签订合同之日起</w:t>
      </w:r>
      <w:r>
        <w:rPr>
          <w:rFonts w:hint="eastAsia"/>
          <w:sz w:val="28"/>
          <w:szCs w:val="28"/>
        </w:rPr>
        <w:t>于30个日历日内全部送达采购方指定的地点，并按照要求完成安装、调试、整体实施等全部工作。若供应商未能按招标文件规定的交货期和服务要求全面完成所有项目的备货、安装、调试、整体实施等全部工作，将追究违约责任，并会同财政等部门对供应商进行相关处理。</w:t>
      </w:r>
    </w:p>
    <w:p>
      <w:pPr>
        <w:jc w:val="left"/>
        <w:rPr>
          <w:color w:val="000000"/>
          <w:sz w:val="28"/>
          <w:szCs w:val="28"/>
        </w:rPr>
      </w:pPr>
      <w:r>
        <w:rPr>
          <w:rFonts w:hint="eastAsia"/>
          <w:color w:val="000000"/>
          <w:sz w:val="28"/>
          <w:szCs w:val="28"/>
        </w:rPr>
        <w:t>（3）在项目实施执行过程中，因用房条件限制、使用方特殊需求等实际情况允许设备在材料材质不变的情况下在样式、颜色、尺寸等作适当调整，具体方案尺寸由使用方(学校)认可，报采购方备案。</w:t>
      </w:r>
    </w:p>
    <w:p>
      <w:pPr>
        <w:pStyle w:val="4"/>
        <w:rPr>
          <w:color w:val="auto"/>
        </w:rPr>
      </w:pPr>
      <w:r>
        <w:rPr>
          <w:rFonts w:hint="eastAsia" w:cs="Times New Roman" w:asciiTheme="minorEastAsia" w:hAnsiTheme="minorEastAsia" w:eastAsiaTheme="minorEastAsia"/>
          <w:b w:val="0"/>
          <w:color w:val="auto"/>
        </w:rPr>
        <w:t>★</w:t>
      </w:r>
      <w:r>
        <w:rPr>
          <w:rFonts w:hint="eastAsia"/>
          <w:color w:val="auto"/>
        </w:rPr>
        <w:t>质量保证</w:t>
      </w:r>
      <w:r>
        <w:rPr>
          <w:rFonts w:hint="eastAsia"/>
          <w:color w:val="auto"/>
          <w:lang w:eastAsia="zh-CN"/>
        </w:rPr>
        <w:t>及售后要求</w:t>
      </w:r>
    </w:p>
    <w:p>
      <w:pPr>
        <w:spacing w:line="360" w:lineRule="auto"/>
        <w:rPr>
          <w:color w:val="000000"/>
          <w:sz w:val="28"/>
          <w:szCs w:val="28"/>
        </w:rPr>
      </w:pPr>
      <w:r>
        <w:rPr>
          <w:rFonts w:hint="eastAsia"/>
          <w:color w:val="000000"/>
          <w:sz w:val="28"/>
          <w:szCs w:val="28"/>
        </w:rPr>
        <w:t>（</w:t>
      </w:r>
      <w:r>
        <w:rPr>
          <w:color w:val="000000"/>
          <w:sz w:val="28"/>
          <w:szCs w:val="28"/>
        </w:rPr>
        <w:t>1</w:t>
      </w:r>
      <w:r>
        <w:rPr>
          <w:rFonts w:hint="eastAsia"/>
          <w:color w:val="000000"/>
          <w:sz w:val="28"/>
          <w:szCs w:val="28"/>
        </w:rPr>
        <w:t>）正常质量保证期为自本合同所列的全部货物安装、调试、试运行、验收合格签字之日起36个月（投标文件中须提供质量保证期的承诺函）。</w:t>
      </w:r>
    </w:p>
    <w:p>
      <w:pPr>
        <w:spacing w:line="360" w:lineRule="auto"/>
        <w:rPr>
          <w:color w:val="000000"/>
          <w:sz w:val="28"/>
          <w:szCs w:val="28"/>
        </w:rPr>
      </w:pPr>
      <w:r>
        <w:rPr>
          <w:rFonts w:hint="eastAsia"/>
          <w:color w:val="000000"/>
          <w:sz w:val="28"/>
          <w:szCs w:val="28"/>
        </w:rPr>
        <w:t>（2）质保期内应提供免费备件并免费维修（人为损坏除外），质保期后为保修期，保修期提供三年备件并以优惠的价格提供上门维修服务。（若投标文件优于该保修期的，以投标文件为准）</w:t>
      </w:r>
    </w:p>
    <w:p>
      <w:pPr>
        <w:keepNext/>
        <w:keepLines/>
        <w:numPr>
          <w:ilvl w:val="2"/>
          <w:numId w:val="1"/>
        </w:numPr>
        <w:spacing w:line="360" w:lineRule="auto"/>
        <w:ind w:left="3119" w:hanging="3119"/>
        <w:jc w:val="left"/>
        <w:outlineLvl w:val="2"/>
        <w:rPr>
          <w:rFonts w:ascii="宋体" w:hAnsi="宋体" w:cs="宋体"/>
          <w:b/>
          <w:bCs/>
          <w:kern w:val="0"/>
          <w:sz w:val="28"/>
          <w:szCs w:val="28"/>
        </w:rPr>
      </w:pPr>
      <w:r>
        <w:rPr>
          <w:rFonts w:hint="eastAsia" w:ascii="宋体" w:hAnsi="宋体" w:eastAsia="宋体" w:cs="宋体"/>
          <w:b/>
          <w:bCs/>
          <w:color w:val="auto"/>
          <w:kern w:val="0"/>
          <w:sz w:val="28"/>
          <w:szCs w:val="28"/>
          <w:lang w:val="en-US" w:eastAsia="zh-CN" w:bidi="ar-SA"/>
        </w:rPr>
        <w:t>★收</w:t>
      </w:r>
      <w:r>
        <w:rPr>
          <w:rFonts w:hint="eastAsia" w:ascii="宋体" w:hAnsi="宋体" w:cs="宋体"/>
          <w:b/>
          <w:bCs/>
          <w:color w:val="auto"/>
          <w:kern w:val="0"/>
          <w:sz w:val="28"/>
          <w:szCs w:val="28"/>
          <w:lang w:val="en-US" w:eastAsia="zh-CN" w:bidi="ar-SA"/>
        </w:rPr>
        <w:t>货</w:t>
      </w:r>
      <w:r>
        <w:rPr>
          <w:rFonts w:hint="eastAsia" w:ascii="宋体" w:hAnsi="宋体" w:eastAsia="宋体" w:cs="宋体"/>
          <w:b/>
          <w:bCs/>
          <w:color w:val="auto"/>
          <w:kern w:val="0"/>
          <w:sz w:val="28"/>
          <w:szCs w:val="28"/>
          <w:lang w:val="en-US" w:eastAsia="zh-CN" w:bidi="ar-SA"/>
        </w:rPr>
        <w:t>与验收</w:t>
      </w:r>
    </w:p>
    <w:p>
      <w:pPr>
        <w:rPr>
          <w:sz w:val="28"/>
          <w:szCs w:val="28"/>
        </w:rPr>
      </w:pPr>
      <w:r>
        <w:rPr>
          <w:rFonts w:hint="eastAsia"/>
          <w:color w:val="000000"/>
          <w:sz w:val="28"/>
          <w:szCs w:val="28"/>
        </w:rPr>
        <w:t>（</w:t>
      </w:r>
      <w:r>
        <w:rPr>
          <w:color w:val="000000"/>
          <w:sz w:val="28"/>
          <w:szCs w:val="28"/>
        </w:rPr>
        <w:t>1</w:t>
      </w:r>
      <w:r>
        <w:rPr>
          <w:rFonts w:hint="eastAsia"/>
          <w:color w:val="000000"/>
          <w:sz w:val="28"/>
          <w:szCs w:val="28"/>
        </w:rPr>
        <w:t>）验收时提供的技术资料：原产地证明书</w:t>
      </w:r>
      <w:r>
        <w:rPr>
          <w:color w:val="000000"/>
          <w:sz w:val="28"/>
          <w:szCs w:val="28"/>
        </w:rPr>
        <w:t>(</w:t>
      </w:r>
      <w:r>
        <w:rPr>
          <w:rFonts w:hint="eastAsia"/>
          <w:color w:val="000000"/>
          <w:sz w:val="28"/>
          <w:szCs w:val="28"/>
        </w:rPr>
        <w:t>由制造厂签发</w:t>
      </w:r>
      <w:r>
        <w:rPr>
          <w:color w:val="000000"/>
          <w:sz w:val="28"/>
          <w:szCs w:val="28"/>
        </w:rPr>
        <w:t>)</w:t>
      </w:r>
      <w:r>
        <w:rPr>
          <w:rFonts w:hint="eastAsia"/>
          <w:color w:val="000000"/>
          <w:sz w:val="28"/>
          <w:szCs w:val="28"/>
        </w:rPr>
        <w:t>；提供产品的操作手册、使用说明、维修指南或服务手册；备件手册、零件及易损件的图纸及相关资料；其它相关技术资料。以上要求可根据供应商实际情况提供。</w:t>
      </w:r>
    </w:p>
    <w:p>
      <w:pPr>
        <w:rPr>
          <w:color w:val="FF0000"/>
          <w:sz w:val="28"/>
          <w:szCs w:val="28"/>
        </w:rPr>
      </w:pPr>
      <w:r>
        <w:rPr>
          <w:rFonts w:hint="eastAsia"/>
          <w:color w:val="000000"/>
          <w:sz w:val="28"/>
          <w:szCs w:val="28"/>
        </w:rPr>
        <w:t>（</w:t>
      </w:r>
      <w:r>
        <w:rPr>
          <w:color w:val="000000"/>
          <w:sz w:val="28"/>
          <w:szCs w:val="28"/>
        </w:rPr>
        <w:t>2</w:t>
      </w:r>
      <w:r>
        <w:rPr>
          <w:rFonts w:hint="eastAsia"/>
          <w:color w:val="000000"/>
          <w:sz w:val="28"/>
          <w:szCs w:val="28"/>
        </w:rPr>
        <w:t>）中标人在发货之前，应对货物的有关内在和外观质量、规格、性能数量和重量进行准确的和全面的检验，并出具其货物符合本合同规定的质量合格证书。该证书可作为提交给使用人付款单据的组成部分，但不应视为是对质量、规格、性能、数量的最终确认。</w:t>
      </w:r>
    </w:p>
    <w:p>
      <w:pPr>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）在项目最终验收前的实施过程中，货物的安全等问题均由中标人负责。</w:t>
      </w:r>
    </w:p>
    <w:p>
      <w:pPr>
        <w:rPr>
          <w:color w:val="000000"/>
          <w:sz w:val="28"/>
          <w:szCs w:val="28"/>
        </w:rPr>
      </w:pPr>
      <w:r>
        <w:rPr>
          <w:rFonts w:hint="eastAsia"/>
          <w:color w:val="000000"/>
          <w:sz w:val="28"/>
          <w:szCs w:val="28"/>
        </w:rPr>
        <w:t>（</w:t>
      </w:r>
      <w:r>
        <w:rPr>
          <w:color w:val="000000"/>
          <w:sz w:val="28"/>
          <w:szCs w:val="28"/>
        </w:rPr>
        <w:t>4</w:t>
      </w:r>
      <w:r>
        <w:rPr>
          <w:rFonts w:hint="eastAsia"/>
          <w:color w:val="000000"/>
          <w:sz w:val="28"/>
          <w:szCs w:val="28"/>
        </w:rPr>
        <w:t>）设备进场后，设备由中标人保管并安装调试完毕，在货物验收并交付使用人后，若因使用人管理不善或安全设施原因造成设备（包括整体、部件、零配件）丢失、被盗、更换等，中标人不负任何责任。</w:t>
      </w:r>
    </w:p>
    <w:p>
      <w:pPr>
        <w:rPr>
          <w:color w:val="000000"/>
          <w:sz w:val="28"/>
          <w:szCs w:val="28"/>
        </w:rPr>
      </w:pPr>
      <w:r>
        <w:rPr>
          <w:rFonts w:hint="eastAsia"/>
          <w:color w:val="000000"/>
          <w:sz w:val="28"/>
          <w:szCs w:val="28"/>
        </w:rPr>
        <w:t>（5）在合同规定的质量保证期内，如发现货物的质量或规格与本合同规定不符，或证明货物有缺陷，包括潜在的缺陷或使用不合适的原材料或器件等，采购方保留向中标人提出索赔的权利。</w:t>
      </w:r>
    </w:p>
    <w:p>
      <w:pPr>
        <w:rPr>
          <w:color w:val="000000"/>
          <w:sz w:val="28"/>
          <w:szCs w:val="28"/>
        </w:rPr>
      </w:pPr>
      <w:r>
        <w:rPr>
          <w:rFonts w:hint="eastAsia"/>
          <w:color w:val="000000"/>
          <w:sz w:val="28"/>
          <w:szCs w:val="28"/>
        </w:rPr>
        <w:t>（</w:t>
      </w:r>
      <w:r>
        <w:rPr>
          <w:color w:val="000000"/>
          <w:sz w:val="28"/>
          <w:szCs w:val="28"/>
        </w:rPr>
        <w:t>6</w:t>
      </w:r>
      <w:r>
        <w:rPr>
          <w:rFonts w:hint="eastAsia"/>
          <w:color w:val="000000"/>
          <w:sz w:val="28"/>
          <w:szCs w:val="28"/>
        </w:rPr>
        <w:t>）采购人有权派出技术专家对投标货物的制造过程进行抽查或监造，以及参与设备的性能检验和试验运行，中标人有义务提供方便和配合。</w:t>
      </w:r>
    </w:p>
    <w:p>
      <w:pPr>
        <w:rPr>
          <w:sz w:val="28"/>
          <w:szCs w:val="28"/>
        </w:rPr>
      </w:pPr>
      <w:r>
        <w:rPr>
          <w:rFonts w:hint="eastAsia"/>
          <w:color w:val="000000"/>
          <w:sz w:val="28"/>
          <w:szCs w:val="28"/>
        </w:rPr>
        <w:t>（7）严格按照《财政部关于进一步加强政府采购需求和履约验收管理的指导意见》（财库[</w:t>
      </w:r>
      <w:r>
        <w:rPr>
          <w:color w:val="000000"/>
          <w:sz w:val="28"/>
          <w:szCs w:val="28"/>
        </w:rPr>
        <w:t>2016]205</w:t>
      </w:r>
      <w:r>
        <w:rPr>
          <w:rFonts w:hint="eastAsia"/>
          <w:color w:val="000000"/>
          <w:sz w:val="28"/>
          <w:szCs w:val="28"/>
        </w:rPr>
        <w:t>号）的相关规定进行验收。验收时可聘请专家，可邀请未中标供应商参与，</w:t>
      </w:r>
      <w:r>
        <w:rPr>
          <w:rFonts w:hint="eastAsia"/>
          <w:sz w:val="28"/>
          <w:szCs w:val="28"/>
        </w:rPr>
        <w:t>项目验收时，如需作破坏性检测，检测损坏的设备及检测费用由供应商负责。</w:t>
      </w:r>
    </w:p>
    <w:p>
      <w:pPr>
        <w:rPr>
          <w:sz w:val="28"/>
          <w:szCs w:val="28"/>
        </w:rPr>
      </w:pPr>
      <w:r>
        <w:rPr>
          <w:rFonts w:hint="eastAsia"/>
          <w:sz w:val="28"/>
          <w:szCs w:val="28"/>
        </w:rPr>
        <w:t>（8）业主方可根据使用方要求对产品进行随机抽样检测，检测损坏的产品及检测费用由供应商负责。</w:t>
      </w:r>
    </w:p>
    <w:p>
      <w:pPr>
        <w:spacing w:line="360" w:lineRule="auto"/>
        <w:ind w:firstLine="140" w:firstLineChars="50"/>
        <w:rPr>
          <w:rFonts w:ascii="宋体" w:hAnsi="宋体" w:cs="宋体"/>
          <w:sz w:val="28"/>
          <w:szCs w:val="28"/>
        </w:rPr>
      </w:pPr>
      <w:r>
        <w:rPr>
          <w:rFonts w:hint="eastAsia"/>
          <w:sz w:val="28"/>
          <w:szCs w:val="28"/>
        </w:rPr>
        <w:t>(9)</w:t>
      </w:r>
      <w:r>
        <w:rPr>
          <w:rFonts w:hint="eastAsia" w:ascii="宋体" w:hAnsi="宋体" w:cs="宋体"/>
          <w:sz w:val="28"/>
          <w:szCs w:val="28"/>
        </w:rPr>
        <w:t xml:space="preserve"> 验收应核对数量、核对规格型号、实现的功能性检测。</w:t>
      </w:r>
    </w:p>
    <w:p>
      <w:pPr>
        <w:pStyle w:val="4"/>
        <w:rPr>
          <w:color w:val="auto"/>
        </w:rPr>
      </w:pPr>
      <w:r>
        <w:rPr>
          <w:rFonts w:hint="eastAsia" w:cs="Times New Roman" w:asciiTheme="minorEastAsia" w:hAnsiTheme="minorEastAsia" w:eastAsiaTheme="minorEastAsia"/>
          <w:b w:val="0"/>
          <w:color w:val="auto"/>
        </w:rPr>
        <w:t>★</w:t>
      </w:r>
      <w:r>
        <w:rPr>
          <w:rFonts w:hint="eastAsia" w:ascii="宋体" w:hAnsi="宋体" w:eastAsia="宋体" w:cs="宋体"/>
          <w:b/>
          <w:bCs w:val="0"/>
          <w:kern w:val="2"/>
          <w:sz w:val="28"/>
          <w:szCs w:val="28"/>
          <w:lang w:val="zh-CN" w:eastAsia="zh-CN" w:bidi="ar-SA"/>
        </w:rPr>
        <w:t>付款方式</w:t>
      </w:r>
    </w:p>
    <w:p>
      <w:pPr>
        <w:jc w:val="left"/>
        <w:rPr>
          <w:color w:val="000000"/>
          <w:sz w:val="28"/>
          <w:szCs w:val="28"/>
        </w:rPr>
      </w:pPr>
      <w:r>
        <w:rPr>
          <w:rFonts w:hint="eastAsia"/>
          <w:color w:val="000000"/>
          <w:sz w:val="28"/>
          <w:szCs w:val="28"/>
        </w:rPr>
        <w:t>（1）本项目不收取履约保证金。</w:t>
      </w:r>
    </w:p>
    <w:p>
      <w:pPr>
        <w:jc w:val="left"/>
        <w:rPr>
          <w:color w:val="000000"/>
          <w:sz w:val="28"/>
          <w:szCs w:val="28"/>
        </w:rPr>
      </w:pPr>
      <w:r>
        <w:rPr>
          <w:rFonts w:hint="eastAsia"/>
          <w:color w:val="000000"/>
          <w:sz w:val="28"/>
          <w:szCs w:val="28"/>
        </w:rPr>
        <w:t>（2）签订合同初验合格后，采购人向中标人支付50%合同款，其余50%合同款在终验合格后支付,具体支付要求以签订合同为准。</w:t>
      </w:r>
    </w:p>
    <w:p>
      <w:pPr>
        <w:jc w:val="left"/>
        <w:rPr>
          <w:color w:val="000000"/>
          <w:sz w:val="28"/>
          <w:szCs w:val="28"/>
        </w:rPr>
      </w:pPr>
      <w:r>
        <w:rPr>
          <w:rFonts w:hint="eastAsia"/>
          <w:color w:val="000000"/>
          <w:sz w:val="28"/>
          <w:szCs w:val="28"/>
        </w:rPr>
        <w:t xml:space="preserve"> (3)本项目贯彻执行成都市财政局文件（成财采（2019）17号），《成都市财政局、中国人民银行成都分行营业管理部关于印发《成都市中小企业政府采购信用融资暂行办法》和《成都市级支持中小企业政府采购信用融资实施方案》的通知》，促进中小企业发展，缓解中小企业融资难、融资贵的问题。</w:t>
      </w:r>
    </w:p>
    <w:p>
      <w:pPr>
        <w:pStyle w:val="4"/>
        <w:rPr>
          <w:color w:val="auto"/>
        </w:rPr>
      </w:pPr>
      <w:r>
        <w:rPr>
          <w:rFonts w:hint="eastAsia"/>
          <w:color w:val="auto"/>
        </w:rPr>
        <w:t>验收标准和方法</w:t>
      </w:r>
    </w:p>
    <w:p>
      <w:pPr>
        <w:pStyle w:val="16"/>
        <w:spacing w:after="0" w:line="360" w:lineRule="auto"/>
        <w:ind w:firstLine="560" w:firstLineChars="200"/>
        <w:rPr>
          <w:rFonts w:ascii="宋体" w:hAnsi="宋体" w:eastAsia="宋体"/>
          <w:sz w:val="28"/>
          <w:szCs w:val="28"/>
        </w:rPr>
      </w:pPr>
      <w:r>
        <w:rPr>
          <w:rFonts w:hint="eastAsia" w:ascii="宋体" w:hAnsi="宋体" w:eastAsia="宋体"/>
          <w:sz w:val="28"/>
          <w:szCs w:val="28"/>
        </w:rPr>
        <w:t>参照四川省财政厅《四川省政府采购项目需求论证和履约验收管理办法》（川财采〔2015〕32 号）的要求组织验收。</w:t>
      </w:r>
    </w:p>
    <w:p>
      <w:pPr>
        <w:pStyle w:val="4"/>
        <w:rPr>
          <w:color w:val="auto"/>
        </w:rPr>
      </w:pPr>
      <w:r>
        <w:rPr>
          <w:rFonts w:hint="eastAsia"/>
          <w:color w:val="auto"/>
        </w:rPr>
        <w:t>最高限价</w:t>
      </w:r>
    </w:p>
    <w:p>
      <w:pPr>
        <w:pStyle w:val="79"/>
        <w:tabs>
          <w:tab w:val="left" w:pos="993"/>
          <w:tab w:val="left" w:pos="1134"/>
        </w:tabs>
        <w:spacing w:before="78" w:line="560" w:lineRule="exact"/>
        <w:ind w:firstLine="565" w:firstLineChars="201"/>
        <w:rPr>
          <w:rFonts w:ascii="宋体" w:hAnsi="宋体" w:eastAsia="宋体"/>
          <w:b/>
          <w:sz w:val="28"/>
          <w:szCs w:val="28"/>
        </w:rPr>
      </w:pPr>
      <w:r>
        <w:rPr>
          <w:rFonts w:hint="eastAsia" w:ascii="宋体" w:hAnsi="宋体"/>
          <w:b/>
          <w:sz w:val="28"/>
          <w:szCs w:val="28"/>
        </w:rPr>
        <w:t>★本项目最高限价为人民币</w:t>
      </w:r>
      <w:r>
        <w:rPr>
          <w:rFonts w:hint="eastAsia" w:ascii="宋体" w:hAnsi="宋体"/>
          <w:b/>
          <w:sz w:val="28"/>
          <w:szCs w:val="28"/>
          <w:lang w:val="en-US" w:eastAsia="zh-CN"/>
        </w:rPr>
        <w:t>689</w:t>
      </w:r>
      <w:r>
        <w:rPr>
          <w:rFonts w:hint="eastAsia" w:ascii="宋体" w:hAnsi="宋体"/>
          <w:b/>
          <w:sz w:val="28"/>
          <w:szCs w:val="28"/>
        </w:rPr>
        <w:t>万元</w:t>
      </w:r>
      <w:r>
        <w:rPr>
          <w:rFonts w:hint="eastAsia" w:ascii="宋体" w:hAnsi="宋体"/>
          <w:b/>
          <w:sz w:val="28"/>
          <w:szCs w:val="28"/>
          <w:lang w:eastAsia="zh-CN"/>
        </w:rPr>
        <w:t>（其中包件</w:t>
      </w:r>
      <w:r>
        <w:rPr>
          <w:rFonts w:hint="eastAsia" w:ascii="宋体" w:hAnsi="宋体"/>
          <w:b/>
          <w:sz w:val="28"/>
          <w:szCs w:val="28"/>
          <w:lang w:val="en-US" w:eastAsia="zh-CN"/>
        </w:rPr>
        <w:t>1:425万元；包件2:264万元</w:t>
      </w:r>
      <w:r>
        <w:rPr>
          <w:rFonts w:hint="eastAsia" w:ascii="宋体" w:hAnsi="宋体"/>
          <w:b/>
          <w:sz w:val="28"/>
          <w:szCs w:val="28"/>
          <w:lang w:eastAsia="zh-CN"/>
        </w:rPr>
        <w:t>）</w:t>
      </w:r>
      <w:r>
        <w:rPr>
          <w:rFonts w:hint="eastAsia" w:ascii="宋体" w:hAnsi="宋体"/>
          <w:b/>
          <w:sz w:val="28"/>
          <w:szCs w:val="28"/>
        </w:rPr>
        <w:t>，投标人投标报价高于最高限价的，则其投标文件将按无效投标文件处理</w:t>
      </w:r>
      <w:r>
        <w:rPr>
          <w:rFonts w:hint="eastAsia" w:ascii="宋体" w:hAnsi="宋体" w:eastAsia="宋体"/>
          <w:b/>
          <w:sz w:val="28"/>
          <w:szCs w:val="28"/>
        </w:rPr>
        <w:t>。</w:t>
      </w:r>
    </w:p>
    <w:p>
      <w:pPr>
        <w:pStyle w:val="3"/>
        <w:numPr>
          <w:ilvl w:val="1"/>
          <w:numId w:val="1"/>
        </w:numPr>
        <w:tabs>
          <w:tab w:val="left" w:pos="0"/>
          <w:tab w:val="left" w:pos="426"/>
          <w:tab w:val="left" w:pos="576"/>
          <w:tab w:val="left" w:pos="786"/>
        </w:tabs>
        <w:spacing w:before="0" w:after="0" w:line="560" w:lineRule="exact"/>
        <w:ind w:left="0" w:firstLine="0"/>
        <w:jc w:val="both"/>
      </w:pPr>
      <w:bookmarkStart w:id="23" w:name="_Toc77757621"/>
      <w:r>
        <w:rPr>
          <w:rFonts w:hint="eastAsia"/>
        </w:rPr>
        <w:t>其他要求</w:t>
      </w:r>
      <w:bookmarkEnd w:id="23"/>
    </w:p>
    <w:p>
      <w:pPr>
        <w:pStyle w:val="119"/>
        <w:numPr>
          <w:ilvl w:val="0"/>
          <w:numId w:val="5"/>
        </w:numPr>
        <w:tabs>
          <w:tab w:val="left" w:pos="1134"/>
        </w:tabs>
        <w:spacing w:before="156" w:line="360" w:lineRule="auto"/>
        <w:ind w:left="0" w:right="210" w:firstLine="562"/>
        <w:jc w:val="both"/>
        <w:rPr>
          <w:b/>
          <w:sz w:val="28"/>
          <w:szCs w:val="28"/>
          <w:lang w:val="zh-CN"/>
        </w:rPr>
      </w:pPr>
      <w:r>
        <w:rPr>
          <w:rFonts w:hint="eastAsia"/>
          <w:b/>
          <w:sz w:val="28"/>
          <w:szCs w:val="28"/>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119"/>
        <w:numPr>
          <w:ilvl w:val="0"/>
          <w:numId w:val="5"/>
        </w:numPr>
        <w:tabs>
          <w:tab w:val="left" w:pos="1134"/>
        </w:tabs>
        <w:spacing w:before="156" w:line="360" w:lineRule="auto"/>
        <w:ind w:left="0" w:right="210" w:firstLine="562"/>
        <w:jc w:val="both"/>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★投标人</w:t>
      </w:r>
      <w:r>
        <w:rPr>
          <w:rFonts w:asciiTheme="minorEastAsia" w:hAnsiTheme="minorEastAsia" w:eastAsiaTheme="minorEastAsia"/>
          <w:b/>
          <w:sz w:val="28"/>
          <w:szCs w:val="28"/>
          <w:lang w:val="zh-CN"/>
        </w:rPr>
        <w:t>为</w:t>
      </w:r>
      <w:r>
        <w:rPr>
          <w:rFonts w:hint="eastAsia" w:asciiTheme="minorEastAsia" w:hAnsiTheme="minorEastAsia" w:eastAsiaTheme="minorEastAsia"/>
          <w:b/>
          <w:sz w:val="28"/>
          <w:szCs w:val="28"/>
          <w:lang w:val="zh-CN"/>
        </w:rPr>
        <w:t>本</w:t>
      </w:r>
      <w:r>
        <w:rPr>
          <w:rFonts w:asciiTheme="minorEastAsia" w:hAnsiTheme="minorEastAsia" w:eastAsiaTheme="minorEastAsia"/>
          <w:b/>
          <w:sz w:val="28"/>
          <w:szCs w:val="28"/>
          <w:lang w:val="zh-CN"/>
        </w:rPr>
        <w:t>项目提供的所有产品、辅材中属于《国家强制性产品认证目录》范围内产品的，均通过国家强制性产品认证并取得认证证书。（说明：投标人应按招标文件</w:t>
      </w:r>
      <w:r>
        <w:rPr>
          <w:rFonts w:ascii="Times New Roman" w:hAnsi="Times New Roman" w:cs="Times New Roman" w:eastAsiaTheme="minorEastAsia"/>
          <w:b/>
          <w:sz w:val="28"/>
          <w:szCs w:val="28"/>
          <w:lang w:val="zh-CN"/>
        </w:rPr>
        <w:t>3.3.6</w:t>
      </w:r>
      <w:r>
        <w:rPr>
          <w:rFonts w:asciiTheme="minorEastAsia" w:hAnsiTheme="minorEastAsia" w:eastAsiaTheme="minorEastAsia"/>
          <w:b/>
          <w:sz w:val="28"/>
          <w:szCs w:val="28"/>
          <w:lang w:val="zh-CN"/>
        </w:rPr>
        <w:t>承诺函的格式及要求提供承诺函。）</w:t>
      </w:r>
    </w:p>
    <w:p>
      <w:pPr>
        <w:pStyle w:val="119"/>
        <w:numPr>
          <w:ilvl w:val="0"/>
          <w:numId w:val="5"/>
        </w:numPr>
        <w:tabs>
          <w:tab w:val="left" w:pos="1134"/>
        </w:tabs>
        <w:spacing w:before="156" w:line="360" w:lineRule="auto"/>
        <w:ind w:left="0" w:right="210" w:firstLine="562"/>
        <w:jc w:val="both"/>
        <w:rPr>
          <w:rFonts w:asciiTheme="minorEastAsia" w:hAnsiTheme="minorEastAsia" w:eastAsiaTheme="minorEastAsia"/>
          <w:b/>
          <w:sz w:val="28"/>
          <w:szCs w:val="28"/>
          <w:lang w:val="zh-CN"/>
        </w:rPr>
      </w:pPr>
      <w:r>
        <w:rPr>
          <w:rFonts w:hint="eastAsia" w:asciiTheme="minorEastAsia" w:hAnsiTheme="minorEastAsia" w:eastAsiaTheme="minorEastAsia"/>
          <w:b/>
          <w:sz w:val="28"/>
          <w:szCs w:val="28"/>
          <w:lang w:val="zh-CN"/>
        </w:rPr>
        <w:t>★投标人</w:t>
      </w:r>
      <w:r>
        <w:rPr>
          <w:rFonts w:asciiTheme="minorEastAsia" w:hAnsiTheme="minorEastAsia" w:eastAsiaTheme="minorEastAsia"/>
          <w:b/>
          <w:sz w:val="28"/>
          <w:szCs w:val="28"/>
          <w:lang w:val="zh-CN"/>
        </w:rPr>
        <w:t>为</w:t>
      </w:r>
      <w:r>
        <w:rPr>
          <w:rFonts w:hint="eastAsia" w:asciiTheme="minorEastAsia" w:hAnsiTheme="minorEastAsia" w:eastAsiaTheme="minorEastAsia"/>
          <w:b/>
          <w:sz w:val="28"/>
          <w:szCs w:val="28"/>
          <w:lang w:val="zh-CN"/>
        </w:rPr>
        <w:t>本</w:t>
      </w:r>
      <w:r>
        <w:rPr>
          <w:rFonts w:asciiTheme="minorEastAsia" w:hAnsiTheme="minorEastAsia" w:eastAsiaTheme="minorEastAsia"/>
          <w:b/>
          <w:sz w:val="28"/>
          <w:szCs w:val="28"/>
          <w:lang w:val="zh-CN"/>
        </w:rPr>
        <w:t>项目提供的所有产品、辅材</w:t>
      </w:r>
      <w:r>
        <w:rPr>
          <w:rFonts w:hint="eastAsia" w:asciiTheme="minorEastAsia" w:hAnsiTheme="minorEastAsia" w:eastAsiaTheme="minorEastAsia"/>
          <w:b/>
          <w:sz w:val="28"/>
          <w:szCs w:val="28"/>
          <w:lang w:val="zh-CN"/>
        </w:rPr>
        <w:t>符合现行的强制性国家相关标准、行业标准。</w:t>
      </w:r>
      <w:r>
        <w:rPr>
          <w:rFonts w:asciiTheme="minorEastAsia" w:hAnsiTheme="minorEastAsia" w:eastAsiaTheme="minorEastAsia"/>
          <w:b/>
          <w:sz w:val="28"/>
          <w:szCs w:val="28"/>
          <w:lang w:val="zh-CN"/>
        </w:rPr>
        <w:t>（说明：投标人应按招标文件</w:t>
      </w:r>
      <w:r>
        <w:rPr>
          <w:rFonts w:ascii="Times New Roman" w:hAnsi="Times New Roman" w:cs="Times New Roman" w:eastAsiaTheme="minorEastAsia"/>
          <w:b/>
          <w:sz w:val="28"/>
          <w:szCs w:val="28"/>
          <w:lang w:val="zh-CN"/>
        </w:rPr>
        <w:t>3.3.6</w:t>
      </w:r>
      <w:r>
        <w:rPr>
          <w:rFonts w:asciiTheme="minorEastAsia" w:hAnsiTheme="minorEastAsia" w:eastAsiaTheme="minorEastAsia"/>
          <w:b/>
          <w:sz w:val="28"/>
          <w:szCs w:val="28"/>
          <w:lang w:val="zh-CN"/>
        </w:rPr>
        <w:t>承诺函的格式及要求提供承诺函。）</w:t>
      </w:r>
    </w:p>
    <w:p>
      <w:pPr>
        <w:pStyle w:val="119"/>
        <w:numPr>
          <w:ilvl w:val="0"/>
          <w:numId w:val="5"/>
        </w:numPr>
        <w:tabs>
          <w:tab w:val="left" w:pos="1134"/>
        </w:tabs>
        <w:spacing w:before="156" w:line="360" w:lineRule="auto"/>
        <w:ind w:left="0" w:right="210" w:firstLine="562"/>
        <w:jc w:val="both"/>
        <w:rPr>
          <w:b/>
          <w:sz w:val="28"/>
          <w:szCs w:val="28"/>
          <w:lang w:val="zh-CN"/>
        </w:rPr>
      </w:pPr>
      <w:r>
        <w:rPr>
          <w:rFonts w:hint="eastAsia" w:asciiTheme="minorEastAsia" w:hAnsiTheme="minorEastAsia"/>
          <w:b/>
          <w:sz w:val="28"/>
          <w:szCs w:val="28"/>
          <w:lang w:val="zh-CN"/>
        </w:rPr>
        <w:t>★投标人为本项目提供的所有产品中属于节能产品政府采购品目清单中的政府强制采购产品的，均应具有国家确定的认证机构出具的有效期内的节能产品认证证书。</w:t>
      </w:r>
      <w:r>
        <w:rPr>
          <w:rFonts w:asciiTheme="minorEastAsia" w:hAnsiTheme="minorEastAsia"/>
          <w:b/>
          <w:sz w:val="28"/>
          <w:szCs w:val="28"/>
          <w:lang w:val="zh-CN"/>
        </w:rPr>
        <w:t>（说明：投标人应按招标文件</w:t>
      </w:r>
      <w:r>
        <w:rPr>
          <w:rFonts w:ascii="Times New Roman" w:hAnsi="Times New Roman" w:cs="Times New Roman"/>
          <w:b/>
          <w:sz w:val="28"/>
          <w:szCs w:val="28"/>
          <w:lang w:val="zh-CN"/>
        </w:rPr>
        <w:t>3.3.6</w:t>
      </w:r>
      <w:r>
        <w:rPr>
          <w:rFonts w:asciiTheme="minorEastAsia" w:hAnsiTheme="minorEastAsia"/>
          <w:b/>
          <w:sz w:val="28"/>
          <w:szCs w:val="28"/>
          <w:lang w:val="zh-CN"/>
        </w:rPr>
        <w:t>承诺函的格式及要求提供承诺函。）</w:t>
      </w:r>
    </w:p>
    <w:p>
      <w:pPr>
        <w:pStyle w:val="79"/>
        <w:tabs>
          <w:tab w:val="left" w:pos="993"/>
          <w:tab w:val="left" w:pos="1134"/>
        </w:tabs>
        <w:spacing w:before="78" w:line="560" w:lineRule="exact"/>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p>
      <w:pPr>
        <w:pStyle w:val="79"/>
        <w:tabs>
          <w:tab w:val="left" w:pos="993"/>
          <w:tab w:val="left" w:pos="1134"/>
        </w:tabs>
        <w:spacing w:before="78" w:line="560" w:lineRule="exact"/>
        <w:ind w:firstLine="568" w:firstLineChars="202"/>
        <w:rPr>
          <w:rFonts w:ascii="宋体" w:hAnsi="宋体" w:eastAsia="宋体"/>
          <w:b/>
          <w:sz w:val="28"/>
          <w:szCs w:val="28"/>
          <w:lang w:val="zh-CN"/>
        </w:rPr>
      </w:pPr>
    </w:p>
    <w:bookmarkEnd w:id="8"/>
    <w:bookmarkEnd w:id="9"/>
    <w:p>
      <w:pPr>
        <w:keepNext/>
        <w:keepLines/>
        <w:numPr>
          <w:ilvl w:val="0"/>
          <w:numId w:val="1"/>
        </w:numPr>
        <w:spacing w:before="340" w:after="330" w:line="400" w:lineRule="exact"/>
        <w:jc w:val="center"/>
        <w:outlineLvl w:val="0"/>
        <w:rPr>
          <w:rFonts w:ascii="宋体" w:hAnsi="宋体"/>
          <w:b/>
          <w:bCs/>
          <w:spacing w:val="-20"/>
          <w:kern w:val="44"/>
          <w:sz w:val="32"/>
          <w:szCs w:val="32"/>
        </w:rPr>
      </w:pPr>
      <w:bookmarkStart w:id="24" w:name="_Toc77757622"/>
      <w:r>
        <w:rPr>
          <w:rFonts w:hint="eastAsia" w:ascii="宋体" w:hAnsi="宋体"/>
          <w:b/>
          <w:bCs/>
          <w:spacing w:val="-20"/>
          <w:kern w:val="44"/>
          <w:sz w:val="32"/>
          <w:szCs w:val="32"/>
        </w:rPr>
        <w:t>资格性审查</w:t>
      </w:r>
      <w:bookmarkEnd w:id="24"/>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资格性审查由采购人组建的资格审查小组依据法律法规和招标文件的规定，</w:t>
      </w:r>
      <w:r>
        <w:rPr>
          <w:rFonts w:hint="eastAsia" w:ascii="宋体" w:hAnsi="宋体"/>
          <w:sz w:val="28"/>
          <w:szCs w:val="28"/>
          <w:lang w:eastAsia="zh-CN"/>
        </w:rPr>
        <w:t>对</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w:t>
      </w:r>
      <w:r>
        <w:rPr>
          <w:rFonts w:hint="eastAsia" w:ascii="宋体" w:hAnsi="宋体"/>
          <w:sz w:val="28"/>
          <w:szCs w:val="28"/>
          <w:lang w:eastAsia="zh-CN"/>
        </w:rPr>
        <w:t>区采购中心</w:t>
      </w:r>
      <w:r>
        <w:rPr>
          <w:rFonts w:hint="eastAsia" w:ascii="宋体" w:hAnsi="宋体"/>
          <w:sz w:val="28"/>
          <w:szCs w:val="28"/>
        </w:rPr>
        <w:t>将以电子邮件形式通知各投标人。资格性审查标准见下表：</w:t>
      </w:r>
    </w:p>
    <w:tbl>
      <w:tblPr>
        <w:tblStyle w:val="48"/>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6"/>
        <w:gridCol w:w="1625"/>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27"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5573"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051"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在中华人民共和国境内依法登记注册，并有效存续具有独立法人资格的供应商</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营业执照复印件（正本或副本）或法人证书复印件（正本或副本）。【说明：</w:t>
            </w:r>
            <w:r>
              <w:rPr>
                <w:rFonts w:hint="eastAsia" w:ascii="宋体" w:hAnsi="宋体"/>
                <w:sz w:val="20"/>
                <w:szCs w:val="28"/>
              </w:rPr>
              <w:t>①</w:t>
            </w:r>
            <w:r>
              <w:rPr>
                <w:rFonts w:hint="eastAsia"/>
                <w:sz w:val="20"/>
              </w:rPr>
              <w:t>营业执照或法人证书载明有期限的，应在有效期限内；</w:t>
            </w:r>
            <w:r>
              <w:rPr>
                <w:rFonts w:hint="eastAsia" w:ascii="宋体" w:hAnsi="宋体"/>
                <w:sz w:val="20"/>
                <w:szCs w:val="28"/>
              </w:rPr>
              <w:t>②</w:t>
            </w:r>
            <w:r>
              <w:rPr>
                <w:rFonts w:hint="eastAsia"/>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2</w:t>
            </w:r>
          </w:p>
        </w:tc>
        <w:tc>
          <w:tcPr>
            <w:tcW w:w="42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具有良好的商业信誉的证明材料</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投标人具有良好的商业信誉的书面声明材料。【说明：</w:t>
            </w:r>
            <w:r>
              <w:rPr>
                <w:rFonts w:hint="eastAsia" w:ascii="宋体" w:hAnsi="宋体"/>
                <w:sz w:val="20"/>
                <w:szCs w:val="28"/>
              </w:rPr>
              <w:t>①</w:t>
            </w:r>
            <w:r>
              <w:rPr>
                <w:rFonts w:hint="eastAsia"/>
                <w:sz w:val="20"/>
              </w:rPr>
              <w:t>按招标文件</w:t>
            </w:r>
            <w:r>
              <w:rPr>
                <w:sz w:val="20"/>
              </w:rPr>
              <w:t>3</w:t>
            </w:r>
            <w:r>
              <w:rPr>
                <w:rFonts w:hint="eastAsia"/>
                <w:sz w:val="20"/>
              </w:rPr>
              <w:t>.2.2声明的格式及要求提供书面声明材料</w:t>
            </w:r>
            <w:r>
              <w:rPr>
                <w:rFonts w:hint="eastAsia" w:ascii="宋体" w:hAnsi="宋体"/>
                <w:sz w:val="20"/>
                <w:szCs w:val="28"/>
              </w:rPr>
              <w:t>；②供应商具有良好的商业信誉</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参加政府采购活动前三年内，在经营活动中没有重大违法记录</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投标人参加政府采购活动前三年内，在经营活动中没有重大违法记录的书面声明材料。【说明：</w:t>
            </w:r>
            <w:r>
              <w:rPr>
                <w:rFonts w:hint="eastAsia" w:ascii="宋体" w:hAnsi="宋体"/>
                <w:sz w:val="20"/>
                <w:szCs w:val="28"/>
              </w:rPr>
              <w:t>①</w:t>
            </w:r>
            <w:r>
              <w:rPr>
                <w:rFonts w:hint="eastAsia"/>
                <w:sz w:val="20"/>
              </w:rPr>
              <w:t>按招标文件</w:t>
            </w:r>
            <w:r>
              <w:rPr>
                <w:sz w:val="20"/>
              </w:rPr>
              <w:t>3</w:t>
            </w:r>
            <w:r>
              <w:rPr>
                <w:rFonts w:hint="eastAsia"/>
                <w:sz w:val="20"/>
              </w:rPr>
              <w:t>.2.2声明的格式及要求提供书面声明材料；</w:t>
            </w:r>
            <w:r>
              <w:rPr>
                <w:rFonts w:hint="eastAsia" w:ascii="宋体" w:hAnsi="宋体"/>
                <w:sz w:val="20"/>
                <w:szCs w:val="28"/>
              </w:rPr>
              <w:t>②供应商参加政府采购活动前三年内，在经营活动中没有重大违法记录</w:t>
            </w:r>
            <w:r>
              <w:rPr>
                <w:rFonts w:hint="eastAsia"/>
                <w:sz w:val="20"/>
              </w:rPr>
              <w:t>。】</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未被列入失信被执行人、重大税收违法案件当事人名单、政府采购严重违法失信行为记录名单</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投标人未列入失信被执行人、重大税收违法案件当事人名单、政府采购严重违法失信行为记录名单的书面声明材料。【说明：</w:t>
            </w:r>
            <w:r>
              <w:rPr>
                <w:rFonts w:hint="eastAsia" w:ascii="宋体" w:hAnsi="宋体"/>
                <w:sz w:val="20"/>
                <w:szCs w:val="28"/>
              </w:rPr>
              <w:t>①</w:t>
            </w:r>
            <w:r>
              <w:rPr>
                <w:rFonts w:hint="eastAsia"/>
                <w:sz w:val="20"/>
              </w:rPr>
              <w:t>投标人未列入失信被执行人、重大税收违法案件当事人名单、政府采购严重违法失信行为记录名单；</w:t>
            </w:r>
            <w:r>
              <w:rPr>
                <w:rFonts w:hint="eastAsia" w:ascii="宋体" w:hAnsi="宋体"/>
                <w:sz w:val="20"/>
                <w:szCs w:val="28"/>
              </w:rPr>
              <w:t>②</w:t>
            </w:r>
            <w:r>
              <w:rPr>
                <w:rFonts w:hint="eastAsia"/>
                <w:sz w:val="20"/>
              </w:rPr>
              <w:t>按招标文件</w:t>
            </w:r>
            <w:r>
              <w:rPr>
                <w:sz w:val="20"/>
              </w:rPr>
              <w:t>3</w:t>
            </w:r>
            <w:r>
              <w:rPr>
                <w:rFonts w:hint="eastAsia"/>
                <w:sz w:val="20"/>
              </w:rPr>
              <w:t>.2.2声明的格式及要求提供书面声明材料。】</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未处于被行政部门禁止参与政府采购活动的期限内</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投标人未处于被行政部门禁止参与政府采购活动的期限内。【说明：</w:t>
            </w:r>
            <w:r>
              <w:rPr>
                <w:rFonts w:hint="eastAsia" w:ascii="宋体" w:hAnsi="宋体"/>
                <w:sz w:val="20"/>
                <w:szCs w:val="28"/>
              </w:rPr>
              <w:t>①</w:t>
            </w:r>
            <w:r>
              <w:rPr>
                <w:rFonts w:hint="eastAsia"/>
                <w:sz w:val="20"/>
              </w:rPr>
              <w:t>按招标文件</w:t>
            </w:r>
            <w:r>
              <w:rPr>
                <w:sz w:val="20"/>
              </w:rPr>
              <w:t>3</w:t>
            </w:r>
            <w:r>
              <w:rPr>
                <w:rFonts w:hint="eastAsia"/>
                <w:sz w:val="20"/>
              </w:rPr>
              <w:t>.2.2声明的格式及要求提供书面声明材料</w:t>
            </w:r>
            <w:r>
              <w:rPr>
                <w:rFonts w:hint="eastAsia" w:ascii="宋体" w:hAnsi="宋体"/>
                <w:sz w:val="20"/>
                <w:szCs w:val="28"/>
              </w:rPr>
              <w:t>；②供应商未处于被行政部门禁止参与政府采购活动的期限内。</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行贿犯罪记录</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在行贿犯罪信息查询期限内，投标人及其现任法定代表人、主要负责人没有行贿犯罪记录的书面声明材料。【说明：</w:t>
            </w:r>
            <w:r>
              <w:rPr>
                <w:rFonts w:hint="eastAsia" w:ascii="宋体" w:hAnsi="宋体"/>
                <w:sz w:val="20"/>
                <w:szCs w:val="28"/>
              </w:rPr>
              <w:t>①</w:t>
            </w:r>
            <w:r>
              <w:rPr>
                <w:rFonts w:hint="eastAsia"/>
                <w:sz w:val="20"/>
              </w:rPr>
              <w:t>按招标文件</w:t>
            </w:r>
            <w:r>
              <w:rPr>
                <w:sz w:val="20"/>
              </w:rPr>
              <w:t>3</w:t>
            </w:r>
            <w:r>
              <w:rPr>
                <w:rFonts w:hint="eastAsia"/>
                <w:sz w:val="20"/>
              </w:rPr>
              <w:t>.2.2声明的格式及要求提供书面声明材料，投标文件中不需提供中国裁判文书网（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与投标人负责人为同一人或者存在直接控股、管理关系的相关供应商的书面声明材料。【说明：</w:t>
            </w:r>
            <w:r>
              <w:rPr>
                <w:rFonts w:hint="eastAsia" w:ascii="宋体" w:hAnsi="宋体"/>
                <w:sz w:val="20"/>
                <w:szCs w:val="28"/>
              </w:rPr>
              <w:t>①</w:t>
            </w:r>
            <w:r>
              <w:rPr>
                <w:rFonts w:hint="eastAsia"/>
                <w:sz w:val="20"/>
              </w:rPr>
              <w:t>按招标文件</w:t>
            </w:r>
            <w:r>
              <w:rPr>
                <w:rFonts w:ascii="Times New Roman" w:hAnsi="Times New Roman"/>
                <w:sz w:val="20"/>
              </w:rPr>
              <w:t>3.2.2</w:t>
            </w:r>
            <w:r>
              <w:rPr>
                <w:rFonts w:hint="eastAsia"/>
                <w:sz w:val="20"/>
              </w:rPr>
              <w:t>声明的格式及要求提供书面声明材料</w:t>
            </w:r>
            <w:r>
              <w:rPr>
                <w:rFonts w:hint="eastAsia" w:ascii="宋体" w:hAnsi="宋体"/>
                <w:sz w:val="20"/>
                <w:szCs w:val="28"/>
              </w:rPr>
              <w:t>；②参加投标的供应商中无与投标人的负责人为同一人或者存在直接控股、管理关系的供应商。</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rFonts w:hint="eastAsia"/>
                <w:sz w:val="20"/>
              </w:rPr>
              <w:t>3</w:t>
            </w:r>
          </w:p>
        </w:tc>
        <w:tc>
          <w:tcPr>
            <w:tcW w:w="426"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具有履行合同所必须的设备和专业技术能力</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采购人对投标人履行合同所必须的设备和专业技术能力无其他特殊要求，投标人具有有效的营业执照或法人证书</w:t>
            </w:r>
            <w:r>
              <w:rPr>
                <w:rFonts w:hint="eastAsia" w:ascii="宋体" w:hAnsi="宋体"/>
                <w:sz w:val="20"/>
                <w:szCs w:val="28"/>
              </w:rPr>
              <w:t>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法律、行政法规规定的其他条件</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采购人对法律、行政法规规定的其他条件无其他特殊要求，投标人具有有效的营业执照或法人证书</w:t>
            </w:r>
            <w:r>
              <w:rPr>
                <w:rFonts w:hint="eastAsia" w:ascii="宋体" w:hAnsi="宋体"/>
                <w:sz w:val="20"/>
                <w:szCs w:val="28"/>
              </w:rPr>
              <w:t>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不属于其他国家相关法律法规规定的禁止参加投标的供应商</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、根据招标文件的要求不属于禁止参加投标或投标无效的供应商；</w:t>
            </w:r>
          </w:p>
          <w:p>
            <w:pPr>
              <w:tabs>
                <w:tab w:val="left" w:pos="851"/>
              </w:tabs>
              <w:spacing w:line="360" w:lineRule="auto"/>
              <w:rPr>
                <w:sz w:val="20"/>
              </w:rPr>
            </w:pPr>
            <w:r>
              <w:rPr>
                <w:sz w:val="20"/>
              </w:rPr>
              <w:t>2</w:t>
            </w:r>
            <w:r>
              <w:rPr>
                <w:rFonts w:hint="eastAsia"/>
                <w:sz w:val="20"/>
              </w:rPr>
              <w:t>、资格审查小组未发现或者未知晓投标人存在属于国家相关法律法规规定的禁止参加投标或投标无效的供应商。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联合体投标</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资质要求</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投标保证金</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投标文件解密情况</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投标文件签章</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投标文件资格性审查部分的语言</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2051"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【说明：投标人按招标文件3.2.1关于投标人资格资格申明函</w:t>
            </w:r>
            <w:r>
              <w:rPr>
                <w:rFonts w:hint="eastAsia"/>
                <w:sz w:val="20"/>
              </w:rPr>
              <w:t>的格式及要求</w:t>
            </w:r>
            <w:r>
              <w:rPr>
                <w:rFonts w:hint="eastAsia" w:ascii="宋体" w:hAnsi="宋体"/>
                <w:sz w:val="20"/>
                <w:szCs w:val="28"/>
              </w:rPr>
              <w:t>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5</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具有健全的财务会计制度的证明材料</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2019</w:t>
            </w:r>
            <w:r>
              <w:rPr>
                <w:rFonts w:hint="eastAsia"/>
                <w:sz w:val="20"/>
              </w:rPr>
              <w:t>或</w:t>
            </w:r>
            <w:r>
              <w:rPr>
                <w:sz w:val="20"/>
              </w:rPr>
              <w:t>2020</w:t>
            </w:r>
            <w:r>
              <w:rPr>
                <w:rFonts w:hint="eastAsia"/>
                <w:sz w:val="20"/>
              </w:rPr>
              <w:t>会计年度资产负债表复印件。【说明：投标人成立时间至投标截止时间止不足一年的，提供成立后任意时段的资产负债表复印件。】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6</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缴纳社会保障资金的证明材料</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投标人缴纳</w:t>
            </w:r>
            <w:r>
              <w:rPr>
                <w:sz w:val="20"/>
              </w:rPr>
              <w:t>2020</w:t>
            </w:r>
            <w:r>
              <w:rPr>
                <w:rFonts w:hint="eastAsia"/>
                <w:sz w:val="20"/>
              </w:rPr>
              <w:t>或</w:t>
            </w:r>
            <w:r>
              <w:rPr>
                <w:sz w:val="20"/>
              </w:rPr>
              <w:t>2021</w:t>
            </w:r>
            <w:r>
              <w:rPr>
                <w:rFonts w:hint="eastAsia"/>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7</w:t>
            </w:r>
          </w:p>
        </w:tc>
        <w:tc>
          <w:tcPr>
            <w:tcW w:w="205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缴纳税收的证明材料</w:t>
            </w:r>
          </w:p>
        </w:tc>
        <w:tc>
          <w:tcPr>
            <w:tcW w:w="557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投标人缴纳</w:t>
            </w:r>
            <w:r>
              <w:rPr>
                <w:sz w:val="20"/>
              </w:rPr>
              <w:t>2020</w:t>
            </w:r>
            <w:r>
              <w:rPr>
                <w:rFonts w:hint="eastAsia"/>
                <w:sz w:val="20"/>
              </w:rPr>
              <w:t>或</w:t>
            </w:r>
            <w:r>
              <w:rPr>
                <w:sz w:val="20"/>
              </w:rPr>
              <w:t>2021</w:t>
            </w:r>
            <w:r>
              <w:rPr>
                <w:rFonts w:hint="eastAsia"/>
                <w:sz w:val="20"/>
              </w:rPr>
              <w:t>年任意时段的税收的银行电子回单或者行政部门出具的纳税证明或完税证明的复印件。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三、投标人的投标文件资格性审查时被判定为无效的，</w:t>
      </w:r>
      <w:r>
        <w:rPr>
          <w:rFonts w:hint="eastAsia" w:ascii="宋体" w:hAnsi="宋体"/>
          <w:sz w:val="28"/>
          <w:szCs w:val="28"/>
          <w:lang w:eastAsia="zh-CN"/>
        </w:rPr>
        <w:t>区采购中心</w:t>
      </w:r>
      <w:r>
        <w:rPr>
          <w:rFonts w:hint="eastAsia" w:ascii="宋体" w:hAnsi="宋体"/>
          <w:sz w:val="28"/>
          <w:szCs w:val="28"/>
        </w:rPr>
        <w:t>将通知投标人（以短信、现场公示、电话、“政府采购云平台”等任一方式）。投标人如对资格审查结论有异议的，应及时向</w:t>
      </w:r>
      <w:r>
        <w:rPr>
          <w:rFonts w:hint="eastAsia" w:ascii="宋体" w:hAnsi="宋体"/>
          <w:sz w:val="28"/>
          <w:szCs w:val="28"/>
          <w:lang w:eastAsia="zh-CN"/>
        </w:rPr>
        <w:t>区采购</w:t>
      </w:r>
      <w:r>
        <w:rPr>
          <w:rFonts w:hint="eastAsia" w:ascii="宋体" w:hAnsi="宋体"/>
          <w:sz w:val="28"/>
          <w:szCs w:val="28"/>
        </w:rPr>
        <w:t>中心反馈意见。</w:t>
      </w:r>
      <w:r>
        <w:rPr>
          <w:rFonts w:hint="eastAsia" w:ascii="宋体" w:hAnsi="宋体"/>
          <w:sz w:val="28"/>
          <w:szCs w:val="28"/>
          <w:lang w:eastAsia="zh-CN"/>
        </w:rPr>
        <w:t>区采购</w:t>
      </w:r>
      <w:r>
        <w:rPr>
          <w:rFonts w:hint="eastAsia" w:ascii="宋体" w:hAnsi="宋体"/>
          <w:sz w:val="28"/>
          <w:szCs w:val="28"/>
        </w:rPr>
        <w:t>中心将及时告知资格审查小组。（说明：无论投标人是否收到通知或提供反馈意见，均不影响资格审查和评标工作，且</w:t>
      </w:r>
      <w:r>
        <w:rPr>
          <w:rFonts w:hint="eastAsia" w:ascii="宋体" w:hAnsi="宋体"/>
          <w:sz w:val="28"/>
          <w:szCs w:val="28"/>
          <w:lang w:eastAsia="zh-CN"/>
        </w:rPr>
        <w:t>区采购</w:t>
      </w:r>
      <w:r>
        <w:rPr>
          <w:rFonts w:hint="eastAsia" w:ascii="宋体" w:hAnsi="宋体"/>
          <w:sz w:val="28"/>
          <w:szCs w:val="28"/>
        </w:rPr>
        <w:t>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6" w:firstLineChars="202"/>
        <w:rPr>
          <w:rFonts w:ascii="宋体" w:hAnsi="宋体"/>
          <w:sz w:val="28"/>
          <w:szCs w:val="28"/>
        </w:rPr>
      </w:pPr>
    </w:p>
    <w:bookmarkEnd w:id="2"/>
    <w:bookmarkEnd w:id="3"/>
    <w:bookmarkEnd w:id="4"/>
    <w:bookmarkEnd w:id="5"/>
    <w:bookmarkEnd w:id="6"/>
    <w:bookmarkEnd w:id="7"/>
    <w:p>
      <w:pPr/>
      <w:bookmarkStart w:id="25" w:name="_GoBack"/>
      <w:bookmarkEnd w:id="25"/>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modern"/>
    <w:pitch w:val="default"/>
    <w:sig w:usb0="00000000" w:usb1="00000000" w:usb2="00000008" w:usb3="00000000" w:csb0="000001FF" w:csb1="00000000"/>
  </w:font>
  <w:font w:name="Arial">
    <w:panose1 w:val="020B0604020202020204"/>
    <w:charset w:val="00"/>
    <w:family w:val="modern"/>
    <w:pitch w:val="default"/>
    <w:sig w:usb0="E0002AFF" w:usb1="C0007843" w:usb2="00000009" w:usb3="00000000" w:csb0="400001FF" w:csb1="FFFF0000"/>
  </w:font>
  <w:font w:name="Arial Narrow">
    <w:altName w:val="Arial"/>
    <w:panose1 w:val="020B0606020202030204"/>
    <w:charset w:val="00"/>
    <w:family w:val="modern"/>
    <w:pitch w:val="default"/>
    <w:sig w:usb0="00000000" w:usb1="00000000" w:usb2="00000000" w:usb3="00000000" w:csb0="0000009F" w:csb1="00000000"/>
  </w:font>
  <w:font w:name="楷体_GB2312">
    <w:altName w:val="楷体"/>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10006FF" w:usb1="4000205B" w:usb2="00000010" w:usb3="00000000" w:csb0="2000019F" w:csb1="00000000"/>
  </w:font>
  <w:font w:name="Times New (W1)">
    <w:altName w:val="Times New Roman"/>
    <w:panose1 w:val="00000000000000000000"/>
    <w:charset w:val="00"/>
    <w:family w:val="decorative"/>
    <w:pitch w:val="default"/>
    <w:sig w:usb0="00000000" w:usb1="00000000" w:usb2="00000000" w:usb3="00000000" w:csb0="00000000" w:csb1="00000000"/>
  </w:font>
  <w:font w:name="Arial (W1)">
    <w:altName w:val="Arial"/>
    <w:panose1 w:val="00000000000000000000"/>
    <w:charset w:val="00"/>
    <w:family w:val="modern"/>
    <w:pitch w:val="default"/>
    <w:sig w:usb0="00000000" w:usb1="00000000" w:usb2="00000008" w:usb3="00000000" w:csb0="000001FF" w:csb1="00000000"/>
  </w:font>
  <w:font w:name="隶书">
    <w:altName w:val="微软雅黑"/>
    <w:panose1 w:val="02010509060101010101"/>
    <w:charset w:val="86"/>
    <w:family w:val="roman"/>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003F01F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roman"/>
    <w:pitch w:val="default"/>
    <w:sig w:usb0="800002BF" w:usb1="38CF7CFA" w:usb2="00000016"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微软雅黑">
    <w:panose1 w:val="020B0503020204020204"/>
    <w:charset w:val="86"/>
    <w:family w:val="modern"/>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swiss"/>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decorative"/>
    <w:pitch w:val="default"/>
    <w:sig w:usb0="00000000" w:usb1="00000000" w:usb2="00000008" w:usb3="00000000" w:csb0="000001FF" w:csb1="00000000"/>
  </w:font>
  <w:font w:name="Arial">
    <w:panose1 w:val="020B0604020202020204"/>
    <w:charset w:val="00"/>
    <w:family w:val="decorative"/>
    <w:pitch w:val="default"/>
    <w:sig w:usb0="E0002AFF" w:usb1="C0007843" w:usb2="00000009" w:usb3="00000000" w:csb0="400001FF" w:csb1="FFFF0000"/>
  </w:font>
  <w:font w:name="Arial Narrow">
    <w:altName w:val="Arial"/>
    <w:panose1 w:val="020B0606020202030204"/>
    <w:charset w:val="00"/>
    <w:family w:val="decorative"/>
    <w:pitch w:val="default"/>
    <w:sig w:usb0="00000000" w:usb1="00000000" w:usb2="00000000" w:usb3="00000000" w:csb0="0000009F" w:csb1="00000000"/>
  </w:font>
  <w:font w:name="楷体_GB2312">
    <w:altName w:val="楷体"/>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Times New (W1)">
    <w:altName w:val="Times New Roman"/>
    <w:panose1 w:val="00000000000000000000"/>
    <w:charset w:val="00"/>
    <w:family w:val="modern"/>
    <w:pitch w:val="default"/>
    <w:sig w:usb0="00000000" w:usb1="00000000" w:usb2="00000000" w:usb3="00000000" w:csb0="00000000" w:csb1="00000000"/>
  </w:font>
  <w:font w:name="Arial (W1)">
    <w:altName w:val="Arial"/>
    <w:panose1 w:val="00000000000000000000"/>
    <w:charset w:val="00"/>
    <w:family w:val="decorative"/>
    <w:pitch w:val="default"/>
    <w:sig w:usb0="00000000" w:usb1="00000000" w:usb2="00000008" w:usb3="00000000" w:csb0="000001FF" w:csb1="00000000"/>
  </w:font>
  <w:font w:name="隶书">
    <w:altName w:val="微软雅黑"/>
    <w:panose1 w:val="02010509060101010101"/>
    <w:charset w:val="86"/>
    <w:family w:val="swiss"/>
    <w:pitch w:val="default"/>
    <w:sig w:usb0="00000000" w:usb1="00000000" w:usb2="0000001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Arial Unicode MS">
    <w:altName w:val="Arial"/>
    <w:panose1 w:val="020B0604020202020204"/>
    <w:charset w:val="00"/>
    <w:family w:val="modern"/>
    <w:pitch w:val="default"/>
    <w:sig w:usb0="00000000"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Helvetica">
    <w:altName w:val="Arial"/>
    <w:panose1 w:val="020B0604020202020204"/>
    <w:charset w:val="00"/>
    <w:family w:val="roman"/>
    <w:pitch w:val="default"/>
    <w:sig w:usb0="00000000" w:usb1="00000000" w:usb2="00000008" w:usb3="00000000" w:csb0="000001FF" w:csb1="00000000"/>
  </w:font>
  <w:font w:name="Arial">
    <w:panose1 w:val="020B0604020202020204"/>
    <w:charset w:val="00"/>
    <w:family w:val="roman"/>
    <w:pitch w:val="default"/>
    <w:sig w:usb0="E0002AFF" w:usb1="C0007843" w:usb2="00000009" w:usb3="00000000" w:csb0="400001FF" w:csb1="FFFF0000"/>
  </w:font>
  <w:font w:name="Arial Narrow">
    <w:altName w:val="Arial"/>
    <w:panose1 w:val="020B0606020202030204"/>
    <w:charset w:val="00"/>
    <w:family w:val="roman"/>
    <w:pitch w:val="default"/>
    <w:sig w:usb0="00000000" w:usb1="00000000" w:usb2="00000000" w:usb3="00000000" w:csb0="0000009F" w:csb1="00000000"/>
  </w:font>
  <w:font w:name="楷体_GB2312">
    <w:altName w:val="楷体"/>
    <w:panose1 w:val="02010609030101010101"/>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Times New (W1)">
    <w:altName w:val="Times New Roman"/>
    <w:panose1 w:val="00000000000000000000"/>
    <w:charset w:val="00"/>
    <w:family w:val="swiss"/>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8" w:usb3="00000000" w:csb0="000001FF" w:csb1="00000000"/>
  </w:font>
  <w:font w:name="隶书">
    <w:altName w:val="微软雅黑"/>
    <w:panose1 w:val="02010509060101010101"/>
    <w:charset w:val="86"/>
    <w:family w:val="decorative"/>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003F01F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80F3C52" w:usb2="00000016" w:usb3="00000000" w:csb0="0004001F" w:csb1="00000000"/>
  </w:font>
  <w:font w:name="Monospaced Number">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swiss"/>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Wingdings 2">
    <w:altName w:val="Wingdings"/>
    <w:panose1 w:val="05020102010507070707"/>
    <w:charset w:val="02"/>
    <w:family w:val="modern"/>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
    <w:nsid w:val="00000016"/>
    <w:multiLevelType w:val="multilevel"/>
    <w:tmpl w:val="00000016"/>
    <w:lvl w:ilvl="0" w:tentative="1">
      <w:start w:val="1"/>
      <w:numFmt w:val="decimal"/>
      <w:lvlText w:val="%1."/>
      <w:lvlJc w:val="left"/>
      <w:pPr>
        <w:tabs>
          <w:tab w:val="left" w:pos="704"/>
        </w:tabs>
        <w:ind w:left="704" w:hanging="420"/>
      </w:pPr>
    </w:lvl>
    <w:lvl w:ilvl="1" w:tentative="1">
      <w:start w:val="1"/>
      <w:numFmt w:val="lowerLetter"/>
      <w:pStyle w:val="90"/>
      <w:lvlText w:val="%2)"/>
      <w:lvlJc w:val="left"/>
      <w:pPr>
        <w:tabs>
          <w:tab w:val="left" w:pos="1124"/>
        </w:tabs>
        <w:ind w:left="1124" w:hanging="420"/>
      </w:pPr>
    </w:lvl>
    <w:lvl w:ilvl="2" w:tentative="1">
      <w:start w:val="1"/>
      <w:numFmt w:val="lowerRoman"/>
      <w:lvlText w:val="%3."/>
      <w:lvlJc w:val="right"/>
      <w:pPr>
        <w:tabs>
          <w:tab w:val="left" w:pos="1544"/>
        </w:tabs>
        <w:ind w:left="1544" w:hanging="420"/>
      </w:pPr>
    </w:lvl>
    <w:lvl w:ilvl="3" w:tentative="1">
      <w:start w:val="1"/>
      <w:numFmt w:val="decimal"/>
      <w:lvlText w:val="%4."/>
      <w:lvlJc w:val="left"/>
      <w:pPr>
        <w:tabs>
          <w:tab w:val="left" w:pos="1964"/>
        </w:tabs>
        <w:ind w:left="1964" w:hanging="420"/>
      </w:pPr>
    </w:lvl>
    <w:lvl w:ilvl="4" w:tentative="1">
      <w:start w:val="1"/>
      <w:numFmt w:val="lowerLetter"/>
      <w:lvlText w:val="%5)"/>
      <w:lvlJc w:val="left"/>
      <w:pPr>
        <w:tabs>
          <w:tab w:val="left" w:pos="2384"/>
        </w:tabs>
        <w:ind w:left="2384" w:hanging="420"/>
      </w:pPr>
    </w:lvl>
    <w:lvl w:ilvl="5" w:tentative="1">
      <w:start w:val="1"/>
      <w:numFmt w:val="lowerRoman"/>
      <w:lvlText w:val="%6."/>
      <w:lvlJc w:val="right"/>
      <w:pPr>
        <w:tabs>
          <w:tab w:val="left" w:pos="2804"/>
        </w:tabs>
        <w:ind w:left="2804" w:hanging="420"/>
      </w:pPr>
    </w:lvl>
    <w:lvl w:ilvl="6" w:tentative="1">
      <w:start w:val="1"/>
      <w:numFmt w:val="decimal"/>
      <w:lvlText w:val="%7."/>
      <w:lvlJc w:val="left"/>
      <w:pPr>
        <w:tabs>
          <w:tab w:val="left" w:pos="3224"/>
        </w:tabs>
        <w:ind w:left="3224" w:hanging="420"/>
      </w:pPr>
    </w:lvl>
    <w:lvl w:ilvl="7" w:tentative="1">
      <w:start w:val="1"/>
      <w:numFmt w:val="lowerLetter"/>
      <w:lvlText w:val="%8)"/>
      <w:lvlJc w:val="left"/>
      <w:pPr>
        <w:tabs>
          <w:tab w:val="left" w:pos="3644"/>
        </w:tabs>
        <w:ind w:left="3644" w:hanging="420"/>
      </w:pPr>
    </w:lvl>
    <w:lvl w:ilvl="8" w:tentative="1">
      <w:start w:val="1"/>
      <w:numFmt w:val="lowerRoman"/>
      <w:lvlText w:val="%9."/>
      <w:lvlJc w:val="right"/>
      <w:pPr>
        <w:tabs>
          <w:tab w:val="left" w:pos="4064"/>
        </w:tabs>
        <w:ind w:left="4064" w:hanging="420"/>
      </w:pPr>
    </w:lvl>
  </w:abstractNum>
  <w:abstractNum w:abstractNumId="744036291">
    <w:nsid w:val="2C5917C3"/>
    <w:multiLevelType w:val="multilevel"/>
    <w:tmpl w:val="2C5917C3"/>
    <w:lvl w:ilvl="0" w:tentative="1">
      <w:start w:val="1"/>
      <w:numFmt w:val="none"/>
      <w:pStyle w:val="156"/>
      <w:suff w:val="nothing"/>
      <w:lvlText w:val="%1——"/>
      <w:lvlJc w:val="left"/>
      <w:pPr>
        <w:ind w:left="833" w:hanging="408"/>
      </w:pPr>
    </w:lvl>
    <w:lvl w:ilvl="1" w:tentative="1">
      <w:start w:val="1"/>
      <w:numFmt w:val="bullet"/>
      <w:lvlText w:val=""/>
      <w:lvlJc w:val="left"/>
      <w:pPr>
        <w:tabs>
          <w:tab w:val="left" w:pos="760"/>
        </w:tabs>
        <w:ind w:left="1264" w:hanging="413"/>
      </w:pPr>
      <w:rPr>
        <w:rFonts w:hint="default" w:ascii="Symbol" w:hAnsi="Symbol"/>
        <w:color w:val="auto"/>
      </w:rPr>
    </w:lvl>
    <w:lvl w:ilvl="2" w:tentative="1">
      <w:start w:val="1"/>
      <w:numFmt w:val="bullet"/>
      <w:lvlText w:val=""/>
      <w:lvlJc w:val="left"/>
      <w:pPr>
        <w:tabs>
          <w:tab w:val="left" w:pos="1678"/>
        </w:tabs>
        <w:ind w:left="1678" w:hanging="414"/>
      </w:pPr>
      <w:rPr>
        <w:rFonts w:hint="default" w:ascii="Symbol" w:hAnsi="Symbol"/>
        <w:color w:val="auto"/>
      </w:rPr>
    </w:lvl>
    <w:lvl w:ilvl="3" w:tentative="1">
      <w:start w:val="1"/>
      <w:numFmt w:val="decimal"/>
      <w:lvlText w:val="%4."/>
      <w:lvlJc w:val="left"/>
      <w:pPr>
        <w:tabs>
          <w:tab w:val="left" w:pos="2071"/>
        </w:tabs>
        <w:ind w:left="1884" w:hanging="528"/>
      </w:pPr>
    </w:lvl>
    <w:lvl w:ilvl="4" w:tentative="1">
      <w:start w:val="1"/>
      <w:numFmt w:val="lowerLetter"/>
      <w:lvlText w:val="%5)"/>
      <w:lvlJc w:val="left"/>
      <w:pPr>
        <w:tabs>
          <w:tab w:val="left" w:pos="2383"/>
        </w:tabs>
        <w:ind w:left="2196" w:hanging="528"/>
      </w:pPr>
    </w:lvl>
    <w:lvl w:ilvl="5" w:tentative="1">
      <w:start w:val="1"/>
      <w:numFmt w:val="lowerRoman"/>
      <w:lvlText w:val="%6."/>
      <w:lvlJc w:val="right"/>
      <w:pPr>
        <w:tabs>
          <w:tab w:val="left" w:pos="2695"/>
        </w:tabs>
        <w:ind w:left="2508" w:hanging="528"/>
      </w:pPr>
    </w:lvl>
    <w:lvl w:ilvl="6" w:tentative="1">
      <w:start w:val="1"/>
      <w:numFmt w:val="decimal"/>
      <w:lvlText w:val="%7."/>
      <w:lvlJc w:val="left"/>
      <w:pPr>
        <w:tabs>
          <w:tab w:val="left" w:pos="3007"/>
        </w:tabs>
        <w:ind w:left="2820" w:hanging="528"/>
      </w:pPr>
    </w:lvl>
    <w:lvl w:ilvl="7" w:tentative="1">
      <w:start w:val="1"/>
      <w:numFmt w:val="lowerLetter"/>
      <w:lvlText w:val="%8)"/>
      <w:lvlJc w:val="left"/>
      <w:pPr>
        <w:tabs>
          <w:tab w:val="left" w:pos="3319"/>
        </w:tabs>
        <w:ind w:left="3132" w:hanging="528"/>
      </w:pPr>
    </w:lvl>
    <w:lvl w:ilvl="8" w:tentative="1">
      <w:start w:val="1"/>
      <w:numFmt w:val="lowerRoman"/>
      <w:lvlText w:val="%9."/>
      <w:lvlJc w:val="right"/>
      <w:pPr>
        <w:tabs>
          <w:tab w:val="left" w:pos="3631"/>
        </w:tabs>
        <w:ind w:left="3444" w:hanging="528"/>
      </w:pPr>
    </w:lvl>
  </w:abstractNum>
  <w:abstractNum w:abstractNumId="34">
    <w:nsid w:val="00000022"/>
    <w:multiLevelType w:val="multilevel"/>
    <w:tmpl w:val="00000022"/>
    <w:lvl w:ilvl="0" w:tentative="1">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1">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1">
      <w:start w:val="1"/>
      <w:numFmt w:val="decimal"/>
      <w:lvlText w:val="%1.%2.%3."/>
      <w:lvlJc w:val="left"/>
      <w:pPr>
        <w:tabs>
          <w:tab w:val="left" w:pos="709"/>
        </w:tabs>
        <w:ind w:left="709" w:hanging="709"/>
      </w:pPr>
      <w:rPr>
        <w:rFonts w:hint="default" w:ascii="Times New Roman" w:hAnsi="Times New Roman" w:cs="Times New Roman"/>
      </w:rPr>
    </w:lvl>
    <w:lvl w:ilvl="3" w:tentative="1">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1">
      <w:start w:val="1"/>
      <w:numFmt w:val="decimal"/>
      <w:pStyle w:val="6"/>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1">
      <w:start w:val="1"/>
      <w:numFmt w:val="decimal"/>
      <w:pStyle w:val="7"/>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1">
      <w:start w:val="1"/>
      <w:numFmt w:val="decimal"/>
      <w:lvlText w:val="%1.%2.%3.%4.%5.%6.%7."/>
      <w:lvlJc w:val="left"/>
      <w:pPr>
        <w:tabs>
          <w:tab w:val="left" w:pos="1844"/>
        </w:tabs>
        <w:ind w:left="1844" w:hanging="1276"/>
      </w:pPr>
    </w:lvl>
    <w:lvl w:ilvl="7" w:tentative="1">
      <w:start w:val="1"/>
      <w:numFmt w:val="decimal"/>
      <w:lvlText w:val="%1.%2.%3.%4.%5.%6.%7.%8."/>
      <w:lvlJc w:val="left"/>
      <w:pPr>
        <w:tabs>
          <w:tab w:val="left" w:pos="1986"/>
        </w:tabs>
        <w:ind w:left="1986" w:hanging="1418"/>
      </w:pPr>
    </w:lvl>
    <w:lvl w:ilvl="8" w:tentative="1">
      <w:start w:val="1"/>
      <w:numFmt w:val="decimal"/>
      <w:lvlText w:val="%1.%2.%3.%4.%5.%6.%7.%8.%9."/>
      <w:lvlJc w:val="left"/>
      <w:pPr>
        <w:tabs>
          <w:tab w:val="left" w:pos="2127"/>
        </w:tabs>
        <w:ind w:left="2127" w:hanging="1559"/>
      </w:pPr>
    </w:lvl>
  </w:abstractNum>
  <w:abstractNum w:abstractNumId="46">
    <w:nsid w:val="0000002E"/>
    <w:multiLevelType w:val="multilevel"/>
    <w:tmpl w:val="0000002E"/>
    <w:lvl w:ilvl="0" w:tentative="1">
      <w:start w:val="1"/>
      <w:numFmt w:val="decimal"/>
      <w:pStyle w:val="2"/>
      <w:lvlText w:val="第%1章"/>
      <w:lvlJc w:val="left"/>
      <w:pPr>
        <w:ind w:left="283" w:hanging="425"/>
      </w:pPr>
      <w:rPr>
        <w:rFonts w:hint="default" w:ascii="Times New Roman" w:hAnsi="Times New Roman" w:eastAsia="宋体" w:cs="Times New Roman"/>
        <w:b/>
        <w:i w:val="0"/>
        <w:sz w:val="32"/>
        <w:szCs w:val="32"/>
      </w:rPr>
    </w:lvl>
    <w:lvl w:ilvl="1" w:tentative="1">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1">
      <w:start w:val="1"/>
      <w:numFmt w:val="decimal"/>
      <w:pStyle w:val="4"/>
      <w:suff w:val="space"/>
      <w:lvlText w:val="%1.%2.%3"/>
      <w:lvlJc w:val="left"/>
      <w:pPr>
        <w:ind w:left="567" w:hanging="567"/>
      </w:pPr>
      <w:rPr>
        <w:rFonts w:hint="default" w:ascii="Times New Roman" w:hAnsi="Times New Roman" w:eastAsia="宋体" w:cs="Times New Roman"/>
        <w:b/>
        <w:i w:val="0"/>
        <w:sz w:val="28"/>
      </w:rPr>
    </w:lvl>
    <w:lvl w:ilvl="3" w:tentative="1">
      <w:start w:val="1"/>
      <w:numFmt w:val="decimal"/>
      <w:pStyle w:val="5"/>
      <w:suff w:val="nothing"/>
      <w:lvlText w:val="%1.%2.%3.%4"/>
      <w:lvlJc w:val="left"/>
      <w:pPr>
        <w:ind w:left="708" w:hanging="708"/>
      </w:pPr>
      <w:rPr>
        <w:rFonts w:hint="default" w:ascii="Times New Roman" w:hAnsi="Times New Roman" w:eastAsia="宋体" w:cs="Times New Roman"/>
        <w:b/>
        <w:i w:val="0"/>
        <w:sz w:val="28"/>
      </w:rPr>
    </w:lvl>
    <w:lvl w:ilvl="4" w:tentative="1">
      <w:start w:val="1"/>
      <w:numFmt w:val="decimal"/>
      <w:lvlText w:val="%1.%2.%3.%4.%5"/>
      <w:lvlJc w:val="left"/>
      <w:pPr>
        <w:ind w:left="2409" w:hanging="850"/>
      </w:pPr>
      <w:rPr>
        <w:rFonts w:hint="default" w:ascii="Times New Roman" w:hAnsi="Times New Roman" w:cs="Times New Roman"/>
      </w:rPr>
    </w:lvl>
    <w:lvl w:ilvl="5" w:tentative="1">
      <w:start w:val="1"/>
      <w:numFmt w:val="decimal"/>
      <w:lvlText w:val="%1.%2.%3.%4.%5.%6"/>
      <w:lvlJc w:val="left"/>
      <w:pPr>
        <w:ind w:left="3118" w:hanging="1134"/>
      </w:pPr>
    </w:lvl>
    <w:lvl w:ilvl="6" w:tentative="1">
      <w:start w:val="1"/>
      <w:numFmt w:val="decimal"/>
      <w:lvlText w:val="%1.%2.%3.%4.%5.%6.%7"/>
      <w:lvlJc w:val="left"/>
      <w:pPr>
        <w:ind w:left="3685" w:hanging="1276"/>
      </w:pPr>
    </w:lvl>
    <w:lvl w:ilvl="7" w:tentative="1">
      <w:start w:val="1"/>
      <w:numFmt w:val="decimal"/>
      <w:lvlText w:val="%1.%2.%3.%4.%5.%6.%7.%8"/>
      <w:lvlJc w:val="left"/>
      <w:pPr>
        <w:ind w:left="4252" w:hanging="1418"/>
      </w:pPr>
    </w:lvl>
    <w:lvl w:ilvl="8" w:tentative="1">
      <w:start w:val="1"/>
      <w:numFmt w:val="decimal"/>
      <w:lvlText w:val="%1.%2.%3.%4.%5.%6.%7.%8.%9"/>
      <w:lvlJc w:val="left"/>
      <w:pPr>
        <w:ind w:left="4960" w:hanging="1700"/>
      </w:pPr>
    </w:lvl>
  </w:abstractNum>
  <w:abstractNum w:abstractNumId="2042976315">
    <w:nsid w:val="79C5583B"/>
    <w:multiLevelType w:val="multilevel"/>
    <w:tmpl w:val="79C5583B"/>
    <w:lvl w:ilvl="0" w:tentative="1">
      <w:start w:val="1"/>
      <w:numFmt w:val="chineseCountingThousand"/>
      <w:lvlText w:val="%1、"/>
      <w:lvlJc w:val="left"/>
      <w:pPr>
        <w:ind w:left="982" w:hanging="420"/>
      </w:pPr>
      <w:rPr>
        <w:b/>
      </w:rPr>
    </w:lvl>
    <w:lvl w:ilvl="1" w:tentative="1">
      <w:start w:val="1"/>
      <w:numFmt w:val="lowerLetter"/>
      <w:lvlText w:val="%2)"/>
      <w:lvlJc w:val="left"/>
      <w:pPr>
        <w:ind w:left="1402" w:hanging="420"/>
      </w:pPr>
    </w:lvl>
    <w:lvl w:ilvl="2" w:tentative="1">
      <w:start w:val="1"/>
      <w:numFmt w:val="lowerRoman"/>
      <w:lvlText w:val="%3."/>
      <w:lvlJc w:val="right"/>
      <w:pPr>
        <w:ind w:left="1822" w:hanging="420"/>
      </w:pPr>
    </w:lvl>
    <w:lvl w:ilvl="3" w:tentative="1">
      <w:start w:val="1"/>
      <w:numFmt w:val="decimal"/>
      <w:lvlText w:val="%4."/>
      <w:lvlJc w:val="left"/>
      <w:pPr>
        <w:ind w:left="2242" w:hanging="420"/>
      </w:pPr>
    </w:lvl>
    <w:lvl w:ilvl="4" w:tentative="1">
      <w:start w:val="1"/>
      <w:numFmt w:val="lowerLetter"/>
      <w:lvlText w:val="%5)"/>
      <w:lvlJc w:val="left"/>
      <w:pPr>
        <w:ind w:left="2662" w:hanging="420"/>
      </w:pPr>
    </w:lvl>
    <w:lvl w:ilvl="5" w:tentative="1">
      <w:start w:val="1"/>
      <w:numFmt w:val="lowerRoman"/>
      <w:lvlText w:val="%6."/>
      <w:lvlJc w:val="right"/>
      <w:pPr>
        <w:ind w:left="3082" w:hanging="420"/>
      </w:pPr>
    </w:lvl>
    <w:lvl w:ilvl="6" w:tentative="1">
      <w:start w:val="1"/>
      <w:numFmt w:val="decimal"/>
      <w:lvlText w:val="%7."/>
      <w:lvlJc w:val="left"/>
      <w:pPr>
        <w:ind w:left="3502" w:hanging="420"/>
      </w:pPr>
    </w:lvl>
    <w:lvl w:ilvl="7" w:tentative="1">
      <w:start w:val="1"/>
      <w:numFmt w:val="lowerLetter"/>
      <w:lvlText w:val="%8)"/>
      <w:lvlJc w:val="left"/>
      <w:pPr>
        <w:ind w:left="3922" w:hanging="420"/>
      </w:pPr>
    </w:lvl>
    <w:lvl w:ilvl="8" w:tentative="1">
      <w:start w:val="1"/>
      <w:numFmt w:val="lowerRoman"/>
      <w:lvlText w:val="%9."/>
      <w:lvlJc w:val="right"/>
      <w:pPr>
        <w:ind w:left="4342" w:hanging="420"/>
      </w:pPr>
    </w:lvl>
  </w:abstractNum>
  <w:num w:numId="1">
    <w:abstractNumId w:val="46"/>
  </w:num>
  <w:num w:numId="2">
    <w:abstractNumId w:val="34"/>
  </w:num>
  <w:num w:numId="3">
    <w:abstractNumId w:val="22"/>
  </w:num>
  <w:num w:numId="4">
    <w:abstractNumId w:val="744036291"/>
  </w:num>
  <w:num w:numId="5">
    <w:abstractNumId w:val="20429763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portal.cdggzy.com/iWebOffice2015/OfficeHandler.ashx?directory=/CgProject/BidFile/File/%e6%88%90%e9%83%bd%e5%b8%82%e6%94%bf%e9%87%87%e6%8b%9b%e3%80%942021%e3%80%95024%e5%8f%b7/"/>
  </w:docVars>
  <w:rsids>
    <w:rsidRoot w:val="001F73B0"/>
    <w:rsid w:val="000042B8"/>
    <w:rsid w:val="00005334"/>
    <w:rsid w:val="00014923"/>
    <w:rsid w:val="000174DF"/>
    <w:rsid w:val="000174E4"/>
    <w:rsid w:val="00020209"/>
    <w:rsid w:val="00026529"/>
    <w:rsid w:val="00026B21"/>
    <w:rsid w:val="00027703"/>
    <w:rsid w:val="0003136B"/>
    <w:rsid w:val="0005344D"/>
    <w:rsid w:val="00054A98"/>
    <w:rsid w:val="0006474F"/>
    <w:rsid w:val="00065981"/>
    <w:rsid w:val="00066716"/>
    <w:rsid w:val="00070719"/>
    <w:rsid w:val="00072234"/>
    <w:rsid w:val="000777D1"/>
    <w:rsid w:val="0008155B"/>
    <w:rsid w:val="000843CC"/>
    <w:rsid w:val="00086E37"/>
    <w:rsid w:val="000A0B0A"/>
    <w:rsid w:val="000A4B6A"/>
    <w:rsid w:val="000B0144"/>
    <w:rsid w:val="000B33FA"/>
    <w:rsid w:val="000B3D82"/>
    <w:rsid w:val="000B43E4"/>
    <w:rsid w:val="000B6642"/>
    <w:rsid w:val="000B6789"/>
    <w:rsid w:val="000B687F"/>
    <w:rsid w:val="000B75C6"/>
    <w:rsid w:val="000C16AE"/>
    <w:rsid w:val="000C688A"/>
    <w:rsid w:val="000C7BCC"/>
    <w:rsid w:val="000F57CA"/>
    <w:rsid w:val="00101BE9"/>
    <w:rsid w:val="00102646"/>
    <w:rsid w:val="00120CCC"/>
    <w:rsid w:val="00122FCB"/>
    <w:rsid w:val="001254AD"/>
    <w:rsid w:val="001346A7"/>
    <w:rsid w:val="0015020F"/>
    <w:rsid w:val="0015238D"/>
    <w:rsid w:val="00154224"/>
    <w:rsid w:val="001565CC"/>
    <w:rsid w:val="0016758C"/>
    <w:rsid w:val="00183360"/>
    <w:rsid w:val="001842E8"/>
    <w:rsid w:val="0019367D"/>
    <w:rsid w:val="001968B4"/>
    <w:rsid w:val="001A6D6C"/>
    <w:rsid w:val="001B7C8D"/>
    <w:rsid w:val="001C7D1E"/>
    <w:rsid w:val="001D348C"/>
    <w:rsid w:val="001D56CD"/>
    <w:rsid w:val="001D631B"/>
    <w:rsid w:val="001F4244"/>
    <w:rsid w:val="001F73B0"/>
    <w:rsid w:val="00202454"/>
    <w:rsid w:val="0020671B"/>
    <w:rsid w:val="002067B1"/>
    <w:rsid w:val="0021073F"/>
    <w:rsid w:val="0021701C"/>
    <w:rsid w:val="0022692C"/>
    <w:rsid w:val="00226BF4"/>
    <w:rsid w:val="00262433"/>
    <w:rsid w:val="00287BC3"/>
    <w:rsid w:val="002A261C"/>
    <w:rsid w:val="002A3A1C"/>
    <w:rsid w:val="002B2023"/>
    <w:rsid w:val="002C764F"/>
    <w:rsid w:val="002D760C"/>
    <w:rsid w:val="002E123D"/>
    <w:rsid w:val="002E4801"/>
    <w:rsid w:val="00303FFE"/>
    <w:rsid w:val="00305097"/>
    <w:rsid w:val="00305147"/>
    <w:rsid w:val="003159A2"/>
    <w:rsid w:val="003420BA"/>
    <w:rsid w:val="00364328"/>
    <w:rsid w:val="003646B9"/>
    <w:rsid w:val="00370D4D"/>
    <w:rsid w:val="003710A5"/>
    <w:rsid w:val="00374619"/>
    <w:rsid w:val="00383D6E"/>
    <w:rsid w:val="00390E31"/>
    <w:rsid w:val="003944EB"/>
    <w:rsid w:val="003D02FF"/>
    <w:rsid w:val="003D27CA"/>
    <w:rsid w:val="003D2A89"/>
    <w:rsid w:val="003D2F7D"/>
    <w:rsid w:val="003D7BD8"/>
    <w:rsid w:val="003E2110"/>
    <w:rsid w:val="003E3793"/>
    <w:rsid w:val="003F0EDE"/>
    <w:rsid w:val="00402344"/>
    <w:rsid w:val="00404442"/>
    <w:rsid w:val="004051C9"/>
    <w:rsid w:val="004108A4"/>
    <w:rsid w:val="00411516"/>
    <w:rsid w:val="0042778E"/>
    <w:rsid w:val="004323DB"/>
    <w:rsid w:val="004357C7"/>
    <w:rsid w:val="0043700B"/>
    <w:rsid w:val="00437E6C"/>
    <w:rsid w:val="0044346E"/>
    <w:rsid w:val="00445184"/>
    <w:rsid w:val="00445E0E"/>
    <w:rsid w:val="00446126"/>
    <w:rsid w:val="00452ACF"/>
    <w:rsid w:val="00457B4A"/>
    <w:rsid w:val="00467395"/>
    <w:rsid w:val="00470575"/>
    <w:rsid w:val="0047177D"/>
    <w:rsid w:val="004813F1"/>
    <w:rsid w:val="00484CF8"/>
    <w:rsid w:val="004921F9"/>
    <w:rsid w:val="00495010"/>
    <w:rsid w:val="00497555"/>
    <w:rsid w:val="004A42B0"/>
    <w:rsid w:val="004A7791"/>
    <w:rsid w:val="004B06E4"/>
    <w:rsid w:val="004B26F4"/>
    <w:rsid w:val="004B753F"/>
    <w:rsid w:val="004E030D"/>
    <w:rsid w:val="004E04A2"/>
    <w:rsid w:val="004E43EA"/>
    <w:rsid w:val="004F4893"/>
    <w:rsid w:val="00504133"/>
    <w:rsid w:val="005100C9"/>
    <w:rsid w:val="0052113C"/>
    <w:rsid w:val="00523994"/>
    <w:rsid w:val="00526794"/>
    <w:rsid w:val="00531A79"/>
    <w:rsid w:val="00531B44"/>
    <w:rsid w:val="0053583A"/>
    <w:rsid w:val="005446FD"/>
    <w:rsid w:val="00545691"/>
    <w:rsid w:val="005538C1"/>
    <w:rsid w:val="0055485B"/>
    <w:rsid w:val="00556F88"/>
    <w:rsid w:val="005570C1"/>
    <w:rsid w:val="0056027F"/>
    <w:rsid w:val="00564FA0"/>
    <w:rsid w:val="0056742B"/>
    <w:rsid w:val="00576EE9"/>
    <w:rsid w:val="0057742C"/>
    <w:rsid w:val="00582B28"/>
    <w:rsid w:val="005830E8"/>
    <w:rsid w:val="0059336C"/>
    <w:rsid w:val="005C3C4F"/>
    <w:rsid w:val="005D0E99"/>
    <w:rsid w:val="005D7421"/>
    <w:rsid w:val="005D7B75"/>
    <w:rsid w:val="005E269C"/>
    <w:rsid w:val="005E272D"/>
    <w:rsid w:val="005E43E2"/>
    <w:rsid w:val="005E599B"/>
    <w:rsid w:val="00611A72"/>
    <w:rsid w:val="00623DAD"/>
    <w:rsid w:val="00624151"/>
    <w:rsid w:val="00633F88"/>
    <w:rsid w:val="00637276"/>
    <w:rsid w:val="006406E3"/>
    <w:rsid w:val="006435DE"/>
    <w:rsid w:val="006469FC"/>
    <w:rsid w:val="00657DB7"/>
    <w:rsid w:val="00662A9F"/>
    <w:rsid w:val="00673C2B"/>
    <w:rsid w:val="00674F5D"/>
    <w:rsid w:val="00676B20"/>
    <w:rsid w:val="0067729F"/>
    <w:rsid w:val="00694ACB"/>
    <w:rsid w:val="006A1441"/>
    <w:rsid w:val="006A5E19"/>
    <w:rsid w:val="006B54C4"/>
    <w:rsid w:val="006C10D5"/>
    <w:rsid w:val="006C3900"/>
    <w:rsid w:val="006D00F4"/>
    <w:rsid w:val="006D01EC"/>
    <w:rsid w:val="006D3124"/>
    <w:rsid w:val="006D4AEC"/>
    <w:rsid w:val="006E22F5"/>
    <w:rsid w:val="006E4108"/>
    <w:rsid w:val="006F4841"/>
    <w:rsid w:val="006F75F4"/>
    <w:rsid w:val="006F7D52"/>
    <w:rsid w:val="007034BC"/>
    <w:rsid w:val="00730B24"/>
    <w:rsid w:val="00733724"/>
    <w:rsid w:val="007345B7"/>
    <w:rsid w:val="0073713B"/>
    <w:rsid w:val="007407F8"/>
    <w:rsid w:val="00755589"/>
    <w:rsid w:val="0075607C"/>
    <w:rsid w:val="00756241"/>
    <w:rsid w:val="00761A8D"/>
    <w:rsid w:val="0076602A"/>
    <w:rsid w:val="00780DA1"/>
    <w:rsid w:val="00786A79"/>
    <w:rsid w:val="007970C5"/>
    <w:rsid w:val="007A641B"/>
    <w:rsid w:val="007B1592"/>
    <w:rsid w:val="007B3281"/>
    <w:rsid w:val="007B3969"/>
    <w:rsid w:val="007B3BB8"/>
    <w:rsid w:val="007C3DA8"/>
    <w:rsid w:val="007C41A7"/>
    <w:rsid w:val="007C7943"/>
    <w:rsid w:val="007D0E55"/>
    <w:rsid w:val="007D6384"/>
    <w:rsid w:val="007D69A9"/>
    <w:rsid w:val="007E017C"/>
    <w:rsid w:val="007E14ED"/>
    <w:rsid w:val="007E1FF4"/>
    <w:rsid w:val="007E3C07"/>
    <w:rsid w:val="007E5C16"/>
    <w:rsid w:val="007F6422"/>
    <w:rsid w:val="0080079C"/>
    <w:rsid w:val="00801195"/>
    <w:rsid w:val="00802D5E"/>
    <w:rsid w:val="0080702A"/>
    <w:rsid w:val="00812794"/>
    <w:rsid w:val="00817E69"/>
    <w:rsid w:val="008225C5"/>
    <w:rsid w:val="00825CAB"/>
    <w:rsid w:val="00833D36"/>
    <w:rsid w:val="00834A7F"/>
    <w:rsid w:val="008361D5"/>
    <w:rsid w:val="00856951"/>
    <w:rsid w:val="00865F44"/>
    <w:rsid w:val="008716D3"/>
    <w:rsid w:val="00872312"/>
    <w:rsid w:val="00872B11"/>
    <w:rsid w:val="008835ED"/>
    <w:rsid w:val="00883F4A"/>
    <w:rsid w:val="008900B3"/>
    <w:rsid w:val="00890F59"/>
    <w:rsid w:val="00892B35"/>
    <w:rsid w:val="0089574F"/>
    <w:rsid w:val="008A0DF1"/>
    <w:rsid w:val="008A6C14"/>
    <w:rsid w:val="008A78E9"/>
    <w:rsid w:val="008C0FC0"/>
    <w:rsid w:val="008E5564"/>
    <w:rsid w:val="008F4D64"/>
    <w:rsid w:val="008F7A66"/>
    <w:rsid w:val="00902F5C"/>
    <w:rsid w:val="00922252"/>
    <w:rsid w:val="00922AAC"/>
    <w:rsid w:val="00932889"/>
    <w:rsid w:val="009358AF"/>
    <w:rsid w:val="00944C6B"/>
    <w:rsid w:val="00946C1A"/>
    <w:rsid w:val="009536AA"/>
    <w:rsid w:val="00954AF8"/>
    <w:rsid w:val="00962A42"/>
    <w:rsid w:val="0096458D"/>
    <w:rsid w:val="00965A4C"/>
    <w:rsid w:val="00967937"/>
    <w:rsid w:val="00970A58"/>
    <w:rsid w:val="009710C8"/>
    <w:rsid w:val="0097213B"/>
    <w:rsid w:val="00993681"/>
    <w:rsid w:val="00994167"/>
    <w:rsid w:val="00995B59"/>
    <w:rsid w:val="00997227"/>
    <w:rsid w:val="009A0F28"/>
    <w:rsid w:val="009B7091"/>
    <w:rsid w:val="009D0BEB"/>
    <w:rsid w:val="009D62EA"/>
    <w:rsid w:val="009F3945"/>
    <w:rsid w:val="00A0136A"/>
    <w:rsid w:val="00A0782A"/>
    <w:rsid w:val="00A12F9B"/>
    <w:rsid w:val="00A13B86"/>
    <w:rsid w:val="00A34192"/>
    <w:rsid w:val="00A35F40"/>
    <w:rsid w:val="00A36339"/>
    <w:rsid w:val="00A43C7A"/>
    <w:rsid w:val="00A446EB"/>
    <w:rsid w:val="00A47A5A"/>
    <w:rsid w:val="00A50DC0"/>
    <w:rsid w:val="00A55A80"/>
    <w:rsid w:val="00A752AC"/>
    <w:rsid w:val="00A829E4"/>
    <w:rsid w:val="00A916FD"/>
    <w:rsid w:val="00A9315A"/>
    <w:rsid w:val="00A94DE0"/>
    <w:rsid w:val="00AA1747"/>
    <w:rsid w:val="00AA3CE3"/>
    <w:rsid w:val="00AB17B6"/>
    <w:rsid w:val="00AB46B6"/>
    <w:rsid w:val="00AB71D2"/>
    <w:rsid w:val="00AC0572"/>
    <w:rsid w:val="00AC6C54"/>
    <w:rsid w:val="00AE029F"/>
    <w:rsid w:val="00AE1EE1"/>
    <w:rsid w:val="00AF04F6"/>
    <w:rsid w:val="00AF1361"/>
    <w:rsid w:val="00B04AFD"/>
    <w:rsid w:val="00B14279"/>
    <w:rsid w:val="00B15863"/>
    <w:rsid w:val="00B21310"/>
    <w:rsid w:val="00B25F3F"/>
    <w:rsid w:val="00B412D3"/>
    <w:rsid w:val="00B51B2E"/>
    <w:rsid w:val="00B52A9F"/>
    <w:rsid w:val="00B54401"/>
    <w:rsid w:val="00B56BFB"/>
    <w:rsid w:val="00B64323"/>
    <w:rsid w:val="00B855D9"/>
    <w:rsid w:val="00B86086"/>
    <w:rsid w:val="00BB19C9"/>
    <w:rsid w:val="00BB52C2"/>
    <w:rsid w:val="00BB6CC7"/>
    <w:rsid w:val="00BD6DE0"/>
    <w:rsid w:val="00BF41C6"/>
    <w:rsid w:val="00C04B81"/>
    <w:rsid w:val="00C04ECC"/>
    <w:rsid w:val="00C160C2"/>
    <w:rsid w:val="00C171D7"/>
    <w:rsid w:val="00C21D8A"/>
    <w:rsid w:val="00C3467B"/>
    <w:rsid w:val="00C43381"/>
    <w:rsid w:val="00C44CBC"/>
    <w:rsid w:val="00C45D66"/>
    <w:rsid w:val="00C61F50"/>
    <w:rsid w:val="00C70F78"/>
    <w:rsid w:val="00C71725"/>
    <w:rsid w:val="00C74E87"/>
    <w:rsid w:val="00C91C1D"/>
    <w:rsid w:val="00CA26DF"/>
    <w:rsid w:val="00CA2CC5"/>
    <w:rsid w:val="00CA4CB6"/>
    <w:rsid w:val="00CA62AD"/>
    <w:rsid w:val="00CB2337"/>
    <w:rsid w:val="00CB32C9"/>
    <w:rsid w:val="00CB5A9B"/>
    <w:rsid w:val="00CB719B"/>
    <w:rsid w:val="00CC4F73"/>
    <w:rsid w:val="00CC6F6B"/>
    <w:rsid w:val="00CD54C6"/>
    <w:rsid w:val="00CD5760"/>
    <w:rsid w:val="00CE2477"/>
    <w:rsid w:val="00CE4639"/>
    <w:rsid w:val="00CE759D"/>
    <w:rsid w:val="00CF3593"/>
    <w:rsid w:val="00CF4A72"/>
    <w:rsid w:val="00D0176B"/>
    <w:rsid w:val="00D17694"/>
    <w:rsid w:val="00D238E8"/>
    <w:rsid w:val="00D23FF0"/>
    <w:rsid w:val="00D258C2"/>
    <w:rsid w:val="00D27AE5"/>
    <w:rsid w:val="00D325E8"/>
    <w:rsid w:val="00D359CE"/>
    <w:rsid w:val="00D44B46"/>
    <w:rsid w:val="00D51931"/>
    <w:rsid w:val="00D559E0"/>
    <w:rsid w:val="00D6455E"/>
    <w:rsid w:val="00D76FE3"/>
    <w:rsid w:val="00D80080"/>
    <w:rsid w:val="00D80945"/>
    <w:rsid w:val="00D817FC"/>
    <w:rsid w:val="00D92BF1"/>
    <w:rsid w:val="00DA2476"/>
    <w:rsid w:val="00DA3E0D"/>
    <w:rsid w:val="00DB01D1"/>
    <w:rsid w:val="00DB2076"/>
    <w:rsid w:val="00DB3587"/>
    <w:rsid w:val="00DB5AD9"/>
    <w:rsid w:val="00DC1D94"/>
    <w:rsid w:val="00DC617A"/>
    <w:rsid w:val="00DD221C"/>
    <w:rsid w:val="00DD4E54"/>
    <w:rsid w:val="00DE24CD"/>
    <w:rsid w:val="00DF1FE5"/>
    <w:rsid w:val="00DF6252"/>
    <w:rsid w:val="00E13610"/>
    <w:rsid w:val="00E15AA8"/>
    <w:rsid w:val="00E170E6"/>
    <w:rsid w:val="00E22FAC"/>
    <w:rsid w:val="00E27149"/>
    <w:rsid w:val="00E37998"/>
    <w:rsid w:val="00E43619"/>
    <w:rsid w:val="00E5426C"/>
    <w:rsid w:val="00E56467"/>
    <w:rsid w:val="00E572D4"/>
    <w:rsid w:val="00E57318"/>
    <w:rsid w:val="00E6373B"/>
    <w:rsid w:val="00E75525"/>
    <w:rsid w:val="00E8589B"/>
    <w:rsid w:val="00E9019B"/>
    <w:rsid w:val="00E977B7"/>
    <w:rsid w:val="00EA2B43"/>
    <w:rsid w:val="00EA3447"/>
    <w:rsid w:val="00EB7F88"/>
    <w:rsid w:val="00EC0EC8"/>
    <w:rsid w:val="00EC75AF"/>
    <w:rsid w:val="00ED4215"/>
    <w:rsid w:val="00ED469C"/>
    <w:rsid w:val="00ED71F2"/>
    <w:rsid w:val="00EF045D"/>
    <w:rsid w:val="00F00A4F"/>
    <w:rsid w:val="00F04B7A"/>
    <w:rsid w:val="00F1011C"/>
    <w:rsid w:val="00F12B8A"/>
    <w:rsid w:val="00F1576F"/>
    <w:rsid w:val="00F2508D"/>
    <w:rsid w:val="00F42C9C"/>
    <w:rsid w:val="00F4485C"/>
    <w:rsid w:val="00F53550"/>
    <w:rsid w:val="00F61D52"/>
    <w:rsid w:val="00F62EAD"/>
    <w:rsid w:val="00F66DBB"/>
    <w:rsid w:val="00F700D5"/>
    <w:rsid w:val="00F72F70"/>
    <w:rsid w:val="00F7371D"/>
    <w:rsid w:val="00F7503C"/>
    <w:rsid w:val="00F77716"/>
    <w:rsid w:val="00F85A7B"/>
    <w:rsid w:val="00FA318B"/>
    <w:rsid w:val="00FB7100"/>
    <w:rsid w:val="00FC2162"/>
    <w:rsid w:val="00FD1285"/>
    <w:rsid w:val="0139586C"/>
    <w:rsid w:val="03752376"/>
    <w:rsid w:val="037A3B41"/>
    <w:rsid w:val="049F5EA2"/>
    <w:rsid w:val="04FE7541"/>
    <w:rsid w:val="0547767E"/>
    <w:rsid w:val="08C229DC"/>
    <w:rsid w:val="09265392"/>
    <w:rsid w:val="0B125E37"/>
    <w:rsid w:val="0B676BC5"/>
    <w:rsid w:val="0C383A1B"/>
    <w:rsid w:val="0E516288"/>
    <w:rsid w:val="0FB43951"/>
    <w:rsid w:val="12324FEA"/>
    <w:rsid w:val="12737FD2"/>
    <w:rsid w:val="12DB66FD"/>
    <w:rsid w:val="130C2561"/>
    <w:rsid w:val="15487AFB"/>
    <w:rsid w:val="1B02285F"/>
    <w:rsid w:val="1C3A255C"/>
    <w:rsid w:val="1CC23432"/>
    <w:rsid w:val="1CD34CD9"/>
    <w:rsid w:val="1D194148"/>
    <w:rsid w:val="1DD05E75"/>
    <w:rsid w:val="20512691"/>
    <w:rsid w:val="26141263"/>
    <w:rsid w:val="28021134"/>
    <w:rsid w:val="28187A54"/>
    <w:rsid w:val="289B002D"/>
    <w:rsid w:val="28A066B3"/>
    <w:rsid w:val="29DD60BB"/>
    <w:rsid w:val="2A205586"/>
    <w:rsid w:val="2A3732D1"/>
    <w:rsid w:val="2A5D53EB"/>
    <w:rsid w:val="2C1D1E6D"/>
    <w:rsid w:val="2C2509C8"/>
    <w:rsid w:val="2CD74B1F"/>
    <w:rsid w:val="2E4C7F04"/>
    <w:rsid w:val="30622E72"/>
    <w:rsid w:val="30D675AD"/>
    <w:rsid w:val="34F44E6F"/>
    <w:rsid w:val="39947487"/>
    <w:rsid w:val="39FE10B4"/>
    <w:rsid w:val="3AFE2151"/>
    <w:rsid w:val="3B4E3BB5"/>
    <w:rsid w:val="3C5E1B18"/>
    <w:rsid w:val="3C9F4B00"/>
    <w:rsid w:val="3DD012E7"/>
    <w:rsid w:val="41F10240"/>
    <w:rsid w:val="478168DD"/>
    <w:rsid w:val="48D92391"/>
    <w:rsid w:val="49383A30"/>
    <w:rsid w:val="4942433F"/>
    <w:rsid w:val="4A013479"/>
    <w:rsid w:val="4B6F10D1"/>
    <w:rsid w:val="4F2272E3"/>
    <w:rsid w:val="4FDD1F3B"/>
    <w:rsid w:val="50016951"/>
    <w:rsid w:val="52085A22"/>
    <w:rsid w:val="5251711B"/>
    <w:rsid w:val="54E64B55"/>
    <w:rsid w:val="55191EAD"/>
    <w:rsid w:val="561225EE"/>
    <w:rsid w:val="57DC29B5"/>
    <w:rsid w:val="5C0A270F"/>
    <w:rsid w:val="5C3F5168"/>
    <w:rsid w:val="5CEC747F"/>
    <w:rsid w:val="5D464695"/>
    <w:rsid w:val="5F81073D"/>
    <w:rsid w:val="5FB648E3"/>
    <w:rsid w:val="60C4204E"/>
    <w:rsid w:val="64713DD8"/>
    <w:rsid w:val="6472185A"/>
    <w:rsid w:val="64B8674B"/>
    <w:rsid w:val="66475F5D"/>
    <w:rsid w:val="664D7E66"/>
    <w:rsid w:val="674A6A84"/>
    <w:rsid w:val="6AC91EBE"/>
    <w:rsid w:val="6DF139EF"/>
    <w:rsid w:val="7063216F"/>
    <w:rsid w:val="71180999"/>
    <w:rsid w:val="729E4018"/>
    <w:rsid w:val="733F6992"/>
    <w:rsid w:val="744C2A5A"/>
    <w:rsid w:val="745C5273"/>
    <w:rsid w:val="75C87480"/>
    <w:rsid w:val="789C1DEF"/>
    <w:rsid w:val="7A6B64C3"/>
    <w:rsid w:val="7A944128"/>
    <w:rsid w:val="7B346230"/>
    <w:rsid w:val="7B3A013A"/>
    <w:rsid w:val="7EDB4DAD"/>
    <w:rsid w:val="7F7939B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nhideWhenUsed="0" w:uiPriority="99" w:name="Note Heading"/>
    <w:lsdException w:qFormat="1" w:uiPriority="0" w:semiHidden="0" w:name="Body Text 2"/>
    <w:lsdException w:qFormat="1" w:uiPriority="0" w:semiHidden="0" w:name="Body Text 3"/>
    <w:lsdException w:qFormat="1" w:uiPriority="99"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3">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4">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5">
    <w:name w:val="heading 4"/>
    <w:basedOn w:val="1"/>
    <w:next w:val="1"/>
    <w:link w:val="53"/>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6">
    <w:name w:val="heading 5"/>
    <w:basedOn w:val="1"/>
    <w:next w:val="1"/>
    <w:link w:val="54"/>
    <w:unhideWhenUsed/>
    <w:qFormat/>
    <w:uiPriority w:val="0"/>
    <w:pPr>
      <w:numPr>
        <w:ilvl w:val="4"/>
        <w:numId w:val="2"/>
      </w:numPr>
      <w:tabs>
        <w:tab w:val="left" w:pos="1134"/>
        <w:tab w:val="left" w:pos="1560"/>
      </w:tabs>
      <w:spacing w:before="280" w:after="290" w:line="360" w:lineRule="auto"/>
      <w:outlineLvl w:val="4"/>
    </w:pPr>
    <w:rPr>
      <w:rFonts w:cs="宋体"/>
      <w:b/>
      <w:bCs/>
      <w:kern w:val="0"/>
      <w:sz w:val="28"/>
      <w:szCs w:val="28"/>
    </w:rPr>
  </w:style>
  <w:style w:type="paragraph" w:styleId="7">
    <w:name w:val="heading 6"/>
    <w:basedOn w:val="1"/>
    <w:next w:val="1"/>
    <w:link w:val="55"/>
    <w:unhideWhenUsed/>
    <w:qFormat/>
    <w:uiPriority w:val="0"/>
    <w:pPr>
      <w:keepNext/>
      <w:keepLines/>
      <w:numPr>
        <w:ilvl w:val="5"/>
        <w:numId w:val="2"/>
      </w:numPr>
      <w:tabs>
        <w:tab w:val="left" w:pos="1702"/>
      </w:tabs>
      <w:spacing w:before="240" w:after="64" w:line="314" w:lineRule="auto"/>
      <w:outlineLvl w:val="5"/>
    </w:pPr>
    <w:rPr>
      <w:rFonts w:ascii="Arial" w:hAnsi="Arial"/>
      <w:b/>
      <w:bCs/>
      <w:kern w:val="0"/>
      <w:sz w:val="28"/>
      <w:szCs w:val="18"/>
    </w:rPr>
  </w:style>
  <w:style w:type="paragraph" w:styleId="8">
    <w:name w:val="heading 7"/>
    <w:basedOn w:val="1"/>
    <w:next w:val="1"/>
    <w:link w:val="56"/>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9">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0">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5"/>
    <w:unhideWhenUsed/>
    <w:qFormat/>
    <w:uiPriority w:val="99"/>
    <w:rPr>
      <w:rFonts w:ascii="Calibri" w:hAnsi="Calibri"/>
      <w:b/>
      <w:bCs/>
      <w:kern w:val="2"/>
      <w:sz w:val="21"/>
      <w:szCs w:val="22"/>
    </w:rPr>
  </w:style>
  <w:style w:type="paragraph" w:styleId="12">
    <w:name w:val="annotation text"/>
    <w:basedOn w:val="1"/>
    <w:link w:val="61"/>
    <w:unhideWhenUsed/>
    <w:qFormat/>
    <w:uiPriority w:val="99"/>
    <w:pPr>
      <w:jc w:val="left"/>
    </w:pPr>
    <w:rPr>
      <w:rFonts w:ascii="Times New Roman" w:hAnsi="Times New Roman"/>
      <w:kern w:val="0"/>
      <w:sz w:val="18"/>
      <w:szCs w:val="18"/>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Body Text First Indent"/>
    <w:basedOn w:val="15"/>
    <w:link w:val="68"/>
    <w:unhideWhenUsed/>
    <w:qFormat/>
    <w:uiPriority w:val="0"/>
    <w:pPr>
      <w:ind w:firstLine="420" w:firstLineChars="100"/>
    </w:pPr>
    <w:rPr>
      <w:rFonts w:ascii="Times New Roman" w:hAnsi="Times New Roman"/>
      <w:kern w:val="0"/>
      <w:sz w:val="18"/>
      <w:szCs w:val="18"/>
    </w:rPr>
  </w:style>
  <w:style w:type="paragraph" w:styleId="15">
    <w:name w:val="Body Text"/>
    <w:basedOn w:val="1"/>
    <w:link w:val="185"/>
    <w:unhideWhenUsed/>
    <w:qFormat/>
    <w:uiPriority w:val="99"/>
    <w:pPr>
      <w:spacing w:after="120"/>
    </w:pPr>
  </w:style>
  <w:style w:type="paragraph" w:styleId="16">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3"/>
    <w:unhideWhenUsed/>
    <w:qFormat/>
    <w:uiPriority w:val="99"/>
    <w:pPr>
      <w:shd w:val="clear" w:color="auto" w:fill="000080"/>
    </w:pPr>
    <w:rPr>
      <w:rFonts w:ascii="Times New Roman" w:hAnsi="Times New Roman"/>
      <w:kern w:val="0"/>
      <w:sz w:val="18"/>
      <w:szCs w:val="18"/>
    </w:rPr>
  </w:style>
  <w:style w:type="paragraph" w:styleId="19">
    <w:name w:val="Body Text 3"/>
    <w:basedOn w:val="1"/>
    <w:link w:val="70"/>
    <w:unhideWhenUsed/>
    <w:qFormat/>
    <w:uiPriority w:val="0"/>
    <w:pPr>
      <w:jc w:val="center"/>
    </w:pPr>
    <w:rPr>
      <w:rFonts w:ascii="Times New Roman" w:hAnsi="Times New Roman" w:eastAsia="黑体"/>
      <w:sz w:val="44"/>
      <w:szCs w:val="24"/>
    </w:rPr>
  </w:style>
  <w:style w:type="paragraph" w:styleId="20">
    <w:name w:val="Body Text Indent"/>
    <w:basedOn w:val="1"/>
    <w:link w:val="65"/>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90"/>
    <w:unhideWhenUsed/>
    <w:qFormat/>
    <w:uiPriority w:val="99"/>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7"/>
    <w:unhideWhenUsed/>
    <w:qFormat/>
    <w:uiPriority w:val="99"/>
    <w:pPr>
      <w:ind w:left="100" w:leftChars="2500"/>
    </w:pPr>
    <w:rPr>
      <w:rFonts w:ascii="Times New Roman" w:hAnsi="Times New Roman"/>
      <w:kern w:val="0"/>
      <w:sz w:val="24"/>
      <w:szCs w:val="24"/>
    </w:rPr>
  </w:style>
  <w:style w:type="paragraph" w:styleId="27">
    <w:name w:val="Body Text Indent 2"/>
    <w:basedOn w:val="1"/>
    <w:link w:val="71"/>
    <w:unhideWhenUsed/>
    <w:qFormat/>
    <w:uiPriority w:val="99"/>
    <w:pPr>
      <w:spacing w:after="120" w:line="480" w:lineRule="auto"/>
      <w:ind w:left="420" w:leftChars="200"/>
    </w:pPr>
  </w:style>
  <w:style w:type="paragraph" w:styleId="28">
    <w:name w:val="Balloon Text"/>
    <w:basedOn w:val="1"/>
    <w:link w:val="76"/>
    <w:unhideWhenUsed/>
    <w:qFormat/>
    <w:uiPriority w:val="99"/>
    <w:rPr>
      <w:rFonts w:ascii="Times New Roman" w:hAnsi="Times New Roman"/>
      <w:kern w:val="0"/>
      <w:sz w:val="18"/>
      <w:szCs w:val="18"/>
    </w:rPr>
  </w:style>
  <w:style w:type="paragraph" w:styleId="29">
    <w:name w:val="footer"/>
    <w:basedOn w:val="1"/>
    <w:link w:val="63"/>
    <w:unhideWhenUsed/>
    <w:qFormat/>
    <w:uiPriority w:val="0"/>
    <w:pPr>
      <w:tabs>
        <w:tab w:val="center" w:pos="4153"/>
        <w:tab w:val="right" w:pos="8306"/>
      </w:tabs>
      <w:snapToGrid w:val="0"/>
      <w:jc w:val="left"/>
    </w:pPr>
    <w:rPr>
      <w:kern w:val="0"/>
      <w:sz w:val="18"/>
      <w:szCs w:val="18"/>
    </w:rPr>
  </w:style>
  <w:style w:type="paragraph" w:styleId="30">
    <w:name w:val="header"/>
    <w:basedOn w:val="1"/>
    <w:link w:val="6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60"/>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2"/>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9"/>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0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unhideWhenUsed/>
    <w:qFormat/>
    <w:uiPriority w:val="0"/>
    <w:pPr>
      <w:ind w:firstLine="560" w:firstLineChars="200"/>
    </w:pPr>
    <w:rPr>
      <w:rFonts w:ascii="宋体" w:hAnsi="宋体" w:cs="宋体"/>
      <w:sz w:val="28"/>
      <w:szCs w:val="28"/>
    </w:rPr>
  </w:style>
  <w:style w:type="character" w:styleId="44">
    <w:name w:val="FollowedHyperlink"/>
    <w:basedOn w:val="43"/>
    <w:unhideWhenUsed/>
    <w:qFormat/>
    <w:uiPriority w:val="99"/>
    <w:rPr>
      <w:color w:val="800080" w:themeColor="followedHyperlink"/>
      <w:u w:val="single"/>
      <w14:textFill>
        <w14:solidFill>
          <w14:schemeClr w14:val="folHlink"/>
        </w14:solidFill>
      </w14:textFill>
    </w:rPr>
  </w:style>
  <w:style w:type="character" w:styleId="45">
    <w:name w:val="Hyperlink"/>
    <w:unhideWhenUsed/>
    <w:qFormat/>
    <w:uiPriority w:val="99"/>
    <w:rPr>
      <w:color w:val="0000FF"/>
      <w:u w:val="single"/>
    </w:rPr>
  </w:style>
  <w:style w:type="character" w:styleId="46">
    <w:name w:val="annotation reference"/>
    <w:unhideWhenUsed/>
    <w:qFormat/>
    <w:uiPriority w:val="99"/>
    <w:rPr>
      <w:sz w:val="21"/>
      <w:szCs w:val="21"/>
    </w:rPr>
  </w:style>
  <w:style w:type="character" w:styleId="47">
    <w:name w:val="footnote reference"/>
    <w:unhideWhenUsed/>
    <w:qFormat/>
    <w:uiPriority w:val="0"/>
    <w:rPr>
      <w:vertAlign w:val="superscript"/>
    </w:rPr>
  </w:style>
  <w:style w:type="table" w:styleId="49">
    <w:name w:val="Table Grid"/>
    <w:basedOn w:val="4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标题 1 字符"/>
    <w:basedOn w:val="43"/>
    <w:link w:val="2"/>
    <w:qFormat/>
    <w:uiPriority w:val="9"/>
    <w:rPr>
      <w:rFonts w:ascii="宋体" w:hAnsi="宋体" w:eastAsia="宋体" w:cs="宋体"/>
      <w:b/>
      <w:bCs/>
      <w:spacing w:val="-20"/>
      <w:kern w:val="44"/>
      <w:sz w:val="32"/>
      <w:szCs w:val="32"/>
    </w:rPr>
  </w:style>
  <w:style w:type="character" w:customStyle="1" w:styleId="51">
    <w:name w:val="标题 2 字符"/>
    <w:basedOn w:val="43"/>
    <w:link w:val="3"/>
    <w:qFormat/>
    <w:uiPriority w:val="0"/>
    <w:rPr>
      <w:rFonts w:ascii="宋体" w:hAnsi="宋体" w:eastAsia="宋体" w:cs="宋体"/>
      <w:b/>
      <w:bCs/>
      <w:kern w:val="2"/>
      <w:sz w:val="28"/>
      <w:szCs w:val="28"/>
    </w:rPr>
  </w:style>
  <w:style w:type="character" w:customStyle="1" w:styleId="52">
    <w:name w:val="标题 3 字符"/>
    <w:basedOn w:val="43"/>
    <w:link w:val="4"/>
    <w:qFormat/>
    <w:uiPriority w:val="0"/>
    <w:rPr>
      <w:rFonts w:ascii="宋体" w:hAnsi="宋体" w:eastAsia="宋体" w:cs="宋体"/>
      <w:b/>
      <w:bCs/>
      <w:color w:val="000000"/>
      <w:sz w:val="28"/>
      <w:szCs w:val="28"/>
    </w:rPr>
  </w:style>
  <w:style w:type="character" w:customStyle="1" w:styleId="53">
    <w:name w:val="标题 4 字符"/>
    <w:basedOn w:val="43"/>
    <w:link w:val="5"/>
    <w:qFormat/>
    <w:uiPriority w:val="0"/>
    <w:rPr>
      <w:rFonts w:ascii="Arial" w:hAnsi="Arial" w:eastAsia="宋体" w:cs="Times New Roman"/>
      <w:b/>
      <w:bCs/>
      <w:sz w:val="28"/>
      <w:szCs w:val="28"/>
    </w:rPr>
  </w:style>
  <w:style w:type="character" w:customStyle="1" w:styleId="54">
    <w:name w:val="标题 5 字符"/>
    <w:basedOn w:val="43"/>
    <w:link w:val="6"/>
    <w:qFormat/>
    <w:uiPriority w:val="0"/>
    <w:rPr>
      <w:rFonts w:ascii="Calibri" w:hAnsi="Calibri" w:eastAsia="宋体" w:cs="宋体"/>
      <w:b/>
      <w:bCs/>
      <w:sz w:val="28"/>
      <w:szCs w:val="28"/>
    </w:rPr>
  </w:style>
  <w:style w:type="character" w:customStyle="1" w:styleId="55">
    <w:name w:val="标题 6 字符"/>
    <w:basedOn w:val="43"/>
    <w:link w:val="7"/>
    <w:qFormat/>
    <w:uiPriority w:val="0"/>
    <w:rPr>
      <w:rFonts w:ascii="Arial" w:hAnsi="Arial" w:eastAsia="宋体" w:cs="Times New Roman"/>
      <w:b/>
      <w:bCs/>
      <w:sz w:val="28"/>
      <w:szCs w:val="18"/>
    </w:rPr>
  </w:style>
  <w:style w:type="character" w:customStyle="1" w:styleId="56">
    <w:name w:val="标题 7 字符"/>
    <w:basedOn w:val="43"/>
    <w:link w:val="8"/>
    <w:qFormat/>
    <w:uiPriority w:val="0"/>
    <w:rPr>
      <w:rFonts w:ascii="Arial Narrow" w:hAnsi="Arial Narrow" w:eastAsia="宋体" w:cs="Times New Roman"/>
      <w:b/>
      <w:bCs/>
      <w:iCs/>
      <w:kern w:val="0"/>
      <w:sz w:val="20"/>
      <w:szCs w:val="24"/>
      <w:lang w:eastAsia="en-US"/>
    </w:rPr>
  </w:style>
  <w:style w:type="character" w:customStyle="1" w:styleId="57">
    <w:name w:val="标题 8 字符"/>
    <w:basedOn w:val="43"/>
    <w:link w:val="9"/>
    <w:semiHidden/>
    <w:qFormat/>
    <w:uiPriority w:val="0"/>
    <w:rPr>
      <w:rFonts w:ascii="Arial" w:hAnsi="Arial" w:eastAsia="黑体" w:cs="Times New Roman"/>
      <w:kern w:val="0"/>
      <w:sz w:val="24"/>
      <w:szCs w:val="24"/>
    </w:rPr>
  </w:style>
  <w:style w:type="character" w:customStyle="1" w:styleId="58">
    <w:name w:val="标题 9 字符"/>
    <w:basedOn w:val="43"/>
    <w:link w:val="10"/>
    <w:semiHidden/>
    <w:qFormat/>
    <w:uiPriority w:val="0"/>
    <w:rPr>
      <w:rFonts w:ascii="Arial" w:hAnsi="Arial" w:eastAsia="黑体" w:cs="Times New Roman"/>
      <w:kern w:val="0"/>
      <w:sz w:val="20"/>
      <w:szCs w:val="21"/>
    </w:rPr>
  </w:style>
  <w:style w:type="character" w:customStyle="1" w:styleId="59">
    <w:name w:val="正文缩进 字符"/>
    <w:link w:val="16"/>
    <w:qFormat/>
    <w:locked/>
    <w:uiPriority w:val="0"/>
  </w:style>
  <w:style w:type="character" w:customStyle="1" w:styleId="60">
    <w:name w:val="脚注文本 字符"/>
    <w:basedOn w:val="43"/>
    <w:link w:val="34"/>
    <w:semiHidden/>
    <w:qFormat/>
    <w:uiPriority w:val="0"/>
    <w:rPr>
      <w:rFonts w:ascii="Calibri" w:hAnsi="Calibri" w:eastAsia="宋体" w:cs="Times New Roman"/>
      <w:sz w:val="18"/>
      <w:szCs w:val="18"/>
    </w:rPr>
  </w:style>
  <w:style w:type="character" w:customStyle="1" w:styleId="61">
    <w:name w:val="批注文字 字符"/>
    <w:basedOn w:val="43"/>
    <w:link w:val="12"/>
    <w:qFormat/>
    <w:uiPriority w:val="99"/>
    <w:rPr>
      <w:rFonts w:ascii="Times New Roman" w:hAnsi="Times New Roman" w:eastAsia="宋体" w:cs="Times New Roman"/>
      <w:kern w:val="0"/>
      <w:sz w:val="18"/>
      <w:szCs w:val="18"/>
    </w:rPr>
  </w:style>
  <w:style w:type="character" w:customStyle="1" w:styleId="62">
    <w:name w:val="页眉 字符"/>
    <w:basedOn w:val="43"/>
    <w:link w:val="30"/>
    <w:qFormat/>
    <w:uiPriority w:val="99"/>
    <w:rPr>
      <w:rFonts w:ascii="Calibri" w:hAnsi="Calibri" w:eastAsia="宋体" w:cs="Times New Roman"/>
      <w:kern w:val="0"/>
      <w:sz w:val="18"/>
      <w:szCs w:val="18"/>
    </w:rPr>
  </w:style>
  <w:style w:type="character" w:customStyle="1" w:styleId="63">
    <w:name w:val="页脚 字符"/>
    <w:basedOn w:val="43"/>
    <w:link w:val="29"/>
    <w:qFormat/>
    <w:uiPriority w:val="0"/>
    <w:rPr>
      <w:rFonts w:ascii="Calibri" w:hAnsi="Calibri" w:eastAsia="宋体" w:cs="Times New Roman"/>
      <w:kern w:val="0"/>
      <w:sz w:val="18"/>
      <w:szCs w:val="18"/>
    </w:rPr>
  </w:style>
  <w:style w:type="character" w:customStyle="1" w:styleId="64">
    <w:name w:val="正文文本 Char"/>
    <w:basedOn w:val="43"/>
    <w:qFormat/>
    <w:uiPriority w:val="99"/>
    <w:rPr>
      <w:rFonts w:ascii="Calibri" w:hAnsi="Calibri" w:eastAsia="宋体" w:cs="Times New Roman"/>
    </w:rPr>
  </w:style>
  <w:style w:type="character" w:customStyle="1" w:styleId="65">
    <w:name w:val="正文文本缩进 字符"/>
    <w:basedOn w:val="43"/>
    <w:link w:val="20"/>
    <w:semiHidden/>
    <w:qFormat/>
    <w:uiPriority w:val="0"/>
    <w:rPr>
      <w:rFonts w:ascii="Times New Roman" w:hAnsi="Times New Roman" w:eastAsia="宋体" w:cs="Times New Roman"/>
      <w:kern w:val="0"/>
      <w:sz w:val="20"/>
      <w:szCs w:val="24"/>
    </w:rPr>
  </w:style>
  <w:style w:type="character" w:customStyle="1" w:styleId="66">
    <w:name w:val="副标题 字符"/>
    <w:basedOn w:val="43"/>
    <w:link w:val="33"/>
    <w:qFormat/>
    <w:uiPriority w:val="0"/>
    <w:rPr>
      <w:rFonts w:ascii="Cambria" w:hAnsi="Cambria" w:eastAsia="宋体" w:cs="Times New Roman"/>
      <w:b/>
      <w:bCs/>
      <w:kern w:val="28"/>
      <w:sz w:val="32"/>
      <w:szCs w:val="32"/>
    </w:rPr>
  </w:style>
  <w:style w:type="character" w:customStyle="1" w:styleId="67">
    <w:name w:val="日期 字符"/>
    <w:basedOn w:val="43"/>
    <w:link w:val="26"/>
    <w:qFormat/>
    <w:uiPriority w:val="99"/>
    <w:rPr>
      <w:rFonts w:ascii="Times New Roman" w:hAnsi="Times New Roman" w:eastAsia="宋体" w:cs="Times New Roman"/>
      <w:kern w:val="0"/>
      <w:sz w:val="24"/>
      <w:szCs w:val="24"/>
    </w:rPr>
  </w:style>
  <w:style w:type="character" w:customStyle="1" w:styleId="68">
    <w:name w:val="正文首行缩进 字符"/>
    <w:basedOn w:val="64"/>
    <w:link w:val="14"/>
    <w:semiHidden/>
    <w:qFormat/>
    <w:uiPriority w:val="0"/>
    <w:rPr>
      <w:rFonts w:ascii="Times New Roman" w:hAnsi="Times New Roman" w:eastAsia="宋体" w:cs="Times New Roman"/>
      <w:kern w:val="0"/>
      <w:sz w:val="18"/>
      <w:szCs w:val="18"/>
    </w:rPr>
  </w:style>
  <w:style w:type="character" w:customStyle="1" w:styleId="69">
    <w:name w:val="正文文本 2 字符"/>
    <w:basedOn w:val="43"/>
    <w:link w:val="39"/>
    <w:semiHidden/>
    <w:qFormat/>
    <w:uiPriority w:val="0"/>
    <w:rPr>
      <w:rFonts w:ascii="Times New Roman" w:hAnsi="Times New Roman" w:eastAsia="宋体" w:cs="Times New Roman"/>
      <w:kern w:val="0"/>
      <w:sz w:val="18"/>
      <w:szCs w:val="18"/>
    </w:rPr>
  </w:style>
  <w:style w:type="character" w:customStyle="1" w:styleId="70">
    <w:name w:val="正文文本 3 字符"/>
    <w:basedOn w:val="43"/>
    <w:link w:val="19"/>
    <w:semiHidden/>
    <w:qFormat/>
    <w:uiPriority w:val="0"/>
    <w:rPr>
      <w:rFonts w:ascii="Times New Roman" w:hAnsi="Times New Roman" w:eastAsia="黑体" w:cs="Times New Roman"/>
      <w:sz w:val="44"/>
      <w:szCs w:val="24"/>
    </w:rPr>
  </w:style>
  <w:style w:type="character" w:customStyle="1" w:styleId="71">
    <w:name w:val="正文文本缩进 2 字符"/>
    <w:basedOn w:val="43"/>
    <w:link w:val="27"/>
    <w:qFormat/>
    <w:uiPriority w:val="99"/>
    <w:rPr>
      <w:rFonts w:ascii="Calibri" w:hAnsi="Calibri" w:eastAsia="宋体" w:cs="Times New Roman"/>
    </w:rPr>
  </w:style>
  <w:style w:type="character" w:customStyle="1" w:styleId="72">
    <w:name w:val="正文文本缩进 3 字符"/>
    <w:basedOn w:val="43"/>
    <w:link w:val="36"/>
    <w:semiHidden/>
    <w:qFormat/>
    <w:uiPriority w:val="0"/>
    <w:rPr>
      <w:rFonts w:ascii="宋体" w:hAnsi="宋体" w:eastAsia="宋体" w:cs="Times New Roman"/>
      <w:kern w:val="0"/>
      <w:sz w:val="28"/>
      <w:szCs w:val="28"/>
    </w:rPr>
  </w:style>
  <w:style w:type="character" w:customStyle="1" w:styleId="73">
    <w:name w:val="文档结构图 字符"/>
    <w:basedOn w:val="43"/>
    <w:link w:val="18"/>
    <w:qFormat/>
    <w:uiPriority w:val="99"/>
    <w:rPr>
      <w:rFonts w:ascii="Times New Roman" w:hAnsi="Times New Roman" w:eastAsia="宋体" w:cs="Times New Roman"/>
      <w:kern w:val="0"/>
      <w:sz w:val="18"/>
      <w:szCs w:val="18"/>
      <w:shd w:val="clear" w:color="auto" w:fill="000080"/>
    </w:rPr>
  </w:style>
  <w:style w:type="character" w:customStyle="1" w:styleId="74">
    <w:name w:val="纯文本 Char"/>
    <w:basedOn w:val="43"/>
    <w:qFormat/>
    <w:uiPriority w:val="99"/>
    <w:rPr>
      <w:rFonts w:ascii="宋体" w:hAnsi="Courier New" w:eastAsia="宋体" w:cs="Courier New"/>
      <w:szCs w:val="21"/>
    </w:rPr>
  </w:style>
  <w:style w:type="character" w:customStyle="1" w:styleId="75">
    <w:name w:val="批注主题 字符"/>
    <w:basedOn w:val="61"/>
    <w:link w:val="11"/>
    <w:qFormat/>
    <w:uiPriority w:val="99"/>
    <w:rPr>
      <w:rFonts w:ascii="Calibri" w:hAnsi="Calibri" w:eastAsia="宋体" w:cs="Times New Roman"/>
      <w:b/>
      <w:bCs/>
      <w:kern w:val="0"/>
      <w:sz w:val="18"/>
      <w:szCs w:val="18"/>
    </w:rPr>
  </w:style>
  <w:style w:type="character" w:customStyle="1" w:styleId="76">
    <w:name w:val="批注框文本 字符"/>
    <w:basedOn w:val="43"/>
    <w:link w:val="28"/>
    <w:qFormat/>
    <w:uiPriority w:val="99"/>
    <w:rPr>
      <w:rFonts w:ascii="Times New Roman" w:hAnsi="Times New Roman" w:eastAsia="宋体" w:cs="Times New Roman"/>
      <w:kern w:val="0"/>
      <w:sz w:val="18"/>
      <w:szCs w:val="18"/>
    </w:rPr>
  </w:style>
  <w:style w:type="paragraph" w:customStyle="1" w:styleId="7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列出段落 字符"/>
    <w:link w:val="79"/>
    <w:qFormat/>
    <w:locked/>
    <w:uiPriority w:val="34"/>
    <w:rPr>
      <w:rFonts w:ascii="Calibri" w:hAnsi="Calibri"/>
    </w:rPr>
  </w:style>
  <w:style w:type="paragraph" w:customStyle="1" w:styleId="79">
    <w:name w:val="List Paragraph"/>
    <w:basedOn w:val="1"/>
    <w:link w:val="78"/>
    <w:qFormat/>
    <w:uiPriority w:val="34"/>
    <w:pPr>
      <w:ind w:firstLine="420" w:firstLineChars="200"/>
    </w:pPr>
    <w:rPr>
      <w:rFonts w:eastAsiaTheme="minorEastAsia" w:cstheme="minorBidi"/>
    </w:rPr>
  </w:style>
  <w:style w:type="character" w:customStyle="1" w:styleId="80">
    <w:name w:val="彩色列表 - 强调文字颜色 1 Char"/>
    <w:link w:val="81"/>
    <w:qFormat/>
    <w:locked/>
    <w:uiPriority w:val="0"/>
    <w:rPr>
      <w:rFonts w:ascii="Calibri" w:hAnsi="Calibri"/>
    </w:rPr>
  </w:style>
  <w:style w:type="paragraph" w:customStyle="1" w:styleId="81">
    <w:name w:val="彩色列表 - 强调文字颜色 11"/>
    <w:basedOn w:val="1"/>
    <w:link w:val="80"/>
    <w:qFormat/>
    <w:uiPriority w:val="0"/>
    <w:pPr>
      <w:ind w:firstLine="420" w:firstLineChars="200"/>
    </w:pPr>
    <w:rPr>
      <w:rFonts w:eastAsiaTheme="minorEastAsia" w:cstheme="minorBidi"/>
    </w:rPr>
  </w:style>
  <w:style w:type="paragraph" w:customStyle="1" w:styleId="82">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3">
    <w:name w:val="MM Title"/>
    <w:basedOn w:val="1"/>
    <w:qFormat/>
    <w:uiPriority w:val="0"/>
    <w:pPr>
      <w:spacing w:before="240" w:after="60"/>
      <w:jc w:val="center"/>
      <w:outlineLvl w:val="0"/>
    </w:pPr>
    <w:rPr>
      <w:rFonts w:ascii="Arial" w:hAnsi="Arial" w:cs="Arial"/>
      <w:b/>
      <w:bCs/>
      <w:sz w:val="32"/>
      <w:szCs w:val="32"/>
    </w:rPr>
  </w:style>
  <w:style w:type="paragraph" w:customStyle="1" w:styleId="84">
    <w:name w:val="正文格式"/>
    <w:basedOn w:val="1"/>
    <w:qFormat/>
    <w:uiPriority w:val="99"/>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5">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6">
    <w:name w:val="gb_master正文"/>
    <w:basedOn w:val="1"/>
    <w:qFormat/>
    <w:uiPriority w:val="0"/>
    <w:pPr>
      <w:ind w:firstLine="200" w:firstLineChars="200"/>
    </w:pPr>
    <w:rPr>
      <w:rFonts w:ascii="Times New Roman" w:hAnsi="Times New Roman"/>
      <w:szCs w:val="24"/>
    </w:rPr>
  </w:style>
  <w:style w:type="paragraph" w:customStyle="1" w:styleId="8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9">
    <w:name w:val="Char2 Char Char Char"/>
    <w:basedOn w:val="1"/>
    <w:qFormat/>
    <w:uiPriority w:val="0"/>
    <w:rPr>
      <w:rFonts w:ascii="仿宋_GB2312" w:hAnsi="Times New Roman"/>
      <w:b/>
      <w:sz w:val="30"/>
      <w:szCs w:val="32"/>
    </w:rPr>
  </w:style>
  <w:style w:type="paragraph" w:customStyle="1" w:styleId="90">
    <w:name w:val="样式 样式 样式 标题 2 + 宋体 五号 非加粗 黑色 + 段前: 6 磅 段后: 0 磅 行距: 单倍行距 + 段前: 12..."/>
    <w:basedOn w:val="1"/>
    <w:qFormat/>
    <w:uiPriority w:val="0"/>
    <w:pPr>
      <w:keepNext/>
      <w:keepLines/>
      <w:numPr>
        <w:ilvl w:val="1"/>
        <w:numId w:val="3"/>
      </w:numPr>
      <w:tabs>
        <w:tab w:val="left" w:pos="1124"/>
      </w:tabs>
      <w:adjustRightInd w:val="0"/>
      <w:spacing w:before="240"/>
      <w:jc w:val="left"/>
      <w:outlineLvl w:val="1"/>
    </w:pPr>
    <w:rPr>
      <w:rFonts w:ascii="宋体" w:hAnsi="宋体" w:cs="宋体"/>
      <w:color w:val="000000"/>
      <w:kern w:val="0"/>
      <w:szCs w:val="20"/>
    </w:rPr>
  </w:style>
  <w:style w:type="paragraph" w:customStyle="1" w:styleId="9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2">
    <w:name w:val="默认段落字体 Para Char"/>
    <w:basedOn w:val="1"/>
    <w:qFormat/>
    <w:uiPriority w:val="0"/>
    <w:rPr>
      <w:rFonts w:ascii="Tahoma" w:hAnsi="Tahoma"/>
      <w:sz w:val="24"/>
      <w:szCs w:val="20"/>
    </w:rPr>
  </w:style>
  <w:style w:type="paragraph" w:customStyle="1" w:styleId="9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5">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6">
    <w:name w:val="表格文字"/>
    <w:basedOn w:val="1"/>
    <w:link w:val="308"/>
    <w:qFormat/>
    <w:uiPriority w:val="0"/>
    <w:pPr>
      <w:spacing w:beforeLines="25"/>
    </w:pPr>
    <w:rPr>
      <w:rFonts w:ascii="Times New (W1)" w:hAnsi="Times New (W1)"/>
      <w:spacing w:val="10"/>
      <w:szCs w:val="24"/>
    </w:rPr>
  </w:style>
  <w:style w:type="paragraph" w:customStyle="1" w:styleId="97">
    <w:name w:val="文章正文"/>
    <w:basedOn w:val="1"/>
    <w:qFormat/>
    <w:uiPriority w:val="0"/>
    <w:pPr>
      <w:spacing w:line="360" w:lineRule="auto"/>
      <w:ind w:firstLine="420"/>
    </w:pPr>
    <w:rPr>
      <w:rFonts w:ascii="Times New Roman" w:hAnsi="Times New Roman"/>
      <w:sz w:val="24"/>
      <w:szCs w:val="24"/>
    </w:rPr>
  </w:style>
  <w:style w:type="paragraph" w:customStyle="1" w:styleId="98">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9">
    <w:name w:val="默认段落字体 Para Char Char"/>
    <w:basedOn w:val="1"/>
    <w:qFormat/>
    <w:uiPriority w:val="0"/>
    <w:rPr>
      <w:rFonts w:ascii="Times New Roman" w:hAnsi="Times New Roman"/>
      <w:szCs w:val="24"/>
    </w:rPr>
  </w:style>
  <w:style w:type="paragraph" w:customStyle="1" w:styleId="100">
    <w:name w:val="MM Topic 6"/>
    <w:basedOn w:val="7"/>
    <w:qFormat/>
    <w:uiPriority w:val="0"/>
    <w:pPr>
      <w:tabs>
        <w:tab w:val="left" w:pos="3260"/>
        <w:tab w:val="clear" w:pos="1702"/>
      </w:tabs>
      <w:ind w:left="0" w:firstLine="0"/>
    </w:pPr>
    <w:rPr>
      <w:rFonts w:eastAsia="黑体"/>
    </w:rPr>
  </w:style>
  <w:style w:type="paragraph" w:customStyle="1" w:styleId="101">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3">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标题 5 + 首行缩进:  2 字符"/>
    <w:basedOn w:val="6"/>
    <w:next w:val="20"/>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5">
    <w:name w:val="Char2 Char Char Char Char Char Char"/>
    <w:basedOn w:val="1"/>
    <w:qFormat/>
    <w:uiPriority w:val="0"/>
    <w:rPr>
      <w:rFonts w:ascii="仿宋_GB2312" w:hAnsi="Times New Roman"/>
      <w:b/>
      <w:sz w:val="30"/>
      <w:szCs w:val="32"/>
    </w:rPr>
  </w:style>
  <w:style w:type="paragraph" w:customStyle="1" w:styleId="106">
    <w:name w:val="MM Topic 2"/>
    <w:basedOn w:val="3"/>
    <w:qFormat/>
    <w:uiPriority w:val="0"/>
    <w:pPr>
      <w:numPr>
        <w:ilvl w:val="0"/>
        <w:numId w:val="0"/>
      </w:numPr>
      <w:tabs>
        <w:tab w:val="left" w:pos="992"/>
        <w:tab w:val="clear" w:pos="704"/>
        <w:tab w:val="clear" w:pos="2630"/>
      </w:tabs>
    </w:pPr>
    <w:rPr>
      <w:rFonts w:cs="Times New Roman"/>
    </w:rPr>
  </w:style>
  <w:style w:type="paragraph" w:customStyle="1" w:styleId="107">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8">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9">
    <w:name w:val="MM Topic 8"/>
    <w:basedOn w:val="9"/>
    <w:qFormat/>
    <w:uiPriority w:val="0"/>
    <w:pPr>
      <w:tabs>
        <w:tab w:val="left" w:pos="4394"/>
      </w:tabs>
    </w:pPr>
  </w:style>
  <w:style w:type="paragraph" w:customStyle="1" w:styleId="110">
    <w:name w:val="Char1 Char Char Char Char Char Char"/>
    <w:basedOn w:val="1"/>
    <w:qFormat/>
    <w:uiPriority w:val="0"/>
    <w:rPr>
      <w:rFonts w:ascii="Tahoma" w:hAnsi="Tahoma"/>
      <w:sz w:val="24"/>
      <w:szCs w:val="20"/>
    </w:rPr>
  </w:style>
  <w:style w:type="paragraph" w:customStyle="1" w:styleId="111">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2">
    <w:name w:val="样式 小四2"/>
    <w:basedOn w:val="1"/>
    <w:qFormat/>
    <w:uiPriority w:val="0"/>
    <w:rPr>
      <w:rFonts w:ascii="宋体" w:hAnsi="宋体"/>
      <w:sz w:val="24"/>
      <w:szCs w:val="24"/>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5">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7">
    <w:name w:val="文章正文 Char Char1"/>
    <w:basedOn w:val="1"/>
    <w:qFormat/>
    <w:uiPriority w:val="0"/>
    <w:pPr>
      <w:spacing w:line="360" w:lineRule="auto"/>
      <w:ind w:firstLine="420"/>
    </w:pPr>
    <w:rPr>
      <w:rFonts w:ascii="Times New Roman" w:hAnsi="Times New Roman"/>
      <w:sz w:val="24"/>
      <w:szCs w:val="24"/>
    </w:rPr>
  </w:style>
  <w:style w:type="paragraph" w:customStyle="1" w:styleId="118">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9">
    <w:name w:val="样式"/>
    <w:link w:val="203"/>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图"/>
    <w:basedOn w:val="1"/>
    <w:qFormat/>
    <w:uiPriority w:val="0"/>
    <w:pPr>
      <w:widowControl/>
      <w:adjustRightInd w:val="0"/>
      <w:snapToGrid w:val="0"/>
      <w:jc w:val="center"/>
    </w:pPr>
    <w:rPr>
      <w:rFonts w:ascii="宋体" w:hAnsi="宋体"/>
      <w:bCs/>
      <w:szCs w:val="24"/>
    </w:rPr>
  </w:style>
  <w:style w:type="paragraph" w:customStyle="1" w:styleId="121">
    <w:name w:val="Char1 Char Char Char Char Char Char1"/>
    <w:basedOn w:val="1"/>
    <w:qFormat/>
    <w:uiPriority w:val="99"/>
    <w:rPr>
      <w:rFonts w:ascii="Tahoma" w:hAnsi="Tahoma"/>
      <w:sz w:val="24"/>
      <w:szCs w:val="20"/>
    </w:rPr>
  </w:style>
  <w:style w:type="paragraph" w:customStyle="1" w:styleId="122">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3">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4">
    <w:name w:val="MM Topic 1"/>
    <w:basedOn w:val="2"/>
    <w:qFormat/>
    <w:uiPriority w:val="0"/>
    <w:pPr>
      <w:tabs>
        <w:tab w:val="left" w:pos="425"/>
      </w:tabs>
    </w:pPr>
    <w:rPr>
      <w:rFonts w:cs="Times New Roman"/>
      <w:sz w:val="44"/>
    </w:rPr>
  </w:style>
  <w:style w:type="paragraph" w:customStyle="1" w:styleId="125">
    <w:name w:val="样式 标题 5 + 倾斜"/>
    <w:basedOn w:val="6"/>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6">
    <w:name w:val="我的正文"/>
    <w:basedOn w:val="1"/>
    <w:qFormat/>
    <w:uiPriority w:val="0"/>
    <w:pPr>
      <w:spacing w:line="360" w:lineRule="auto"/>
      <w:ind w:firstLine="420" w:firstLineChars="200"/>
    </w:pPr>
    <w:rPr>
      <w:rFonts w:ascii="宋体" w:hAnsi="宋体"/>
      <w:szCs w:val="24"/>
    </w:rPr>
  </w:style>
  <w:style w:type="paragraph" w:customStyle="1" w:styleId="127">
    <w:name w:val="MM Topic 7"/>
    <w:basedOn w:val="8"/>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8">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9">
    <w:name w:val="样式 标题 3 + (西文) 仿宋_GB2312 (中文) 仿宋_GB2312 四号"/>
    <w:basedOn w:val="4"/>
    <w:qFormat/>
    <w:uiPriority w:val="0"/>
    <w:pPr>
      <w:numPr>
        <w:ilvl w:val="0"/>
        <w:numId w:val="0"/>
      </w:numPr>
      <w:tabs>
        <w:tab w:val="left" w:pos="-1991"/>
        <w:tab w:val="clear" w:pos="704"/>
        <w:tab w:val="clear" w:pos="2630"/>
      </w:tabs>
      <w:snapToGrid w:val="0"/>
      <w:spacing w:beforeLines="50" w:line="410" w:lineRule="auto"/>
      <w:ind w:right="180" w:rightChars="100"/>
    </w:pPr>
    <w:rPr>
      <w:rFonts w:ascii="仿宋_GB2312" w:hAnsi="仿宋_GB2312" w:eastAsia="仿宋_GB2312" w:cs="Times New Roman"/>
      <w:color w:val="auto"/>
    </w:rPr>
  </w:style>
  <w:style w:type="paragraph" w:customStyle="1" w:styleId="130">
    <w:name w:val="论文正文"/>
    <w:basedOn w:val="1"/>
    <w:qFormat/>
    <w:uiPriority w:val="0"/>
    <w:pPr>
      <w:spacing w:line="360" w:lineRule="auto"/>
      <w:ind w:firstLine="700" w:firstLineChars="250"/>
    </w:pPr>
    <w:rPr>
      <w:rFonts w:ascii="宋体" w:hAnsi="宋体"/>
      <w:bCs/>
      <w:sz w:val="28"/>
      <w:szCs w:val="28"/>
    </w:rPr>
  </w:style>
  <w:style w:type="paragraph" w:customStyle="1" w:styleId="131">
    <w:name w:val="样式1"/>
    <w:basedOn w:val="1"/>
    <w:qFormat/>
    <w:uiPriority w:val="0"/>
    <w:rPr>
      <w:rFonts w:ascii="Times New Roman" w:hAnsi="Times New Roman" w:eastAsia="隶书"/>
      <w:i/>
      <w:dstrike/>
      <w:sz w:val="28"/>
      <w:szCs w:val="18"/>
    </w:rPr>
  </w:style>
  <w:style w:type="paragraph" w:customStyle="1" w:styleId="132">
    <w:name w:val="表格"/>
    <w:basedOn w:val="1"/>
    <w:qFormat/>
    <w:uiPriority w:val="0"/>
    <w:pPr>
      <w:spacing w:line="400" w:lineRule="exact"/>
    </w:pPr>
    <w:rPr>
      <w:rFonts w:ascii="Times New Roman" w:hAnsi="Times New Roman"/>
      <w:sz w:val="24"/>
      <w:szCs w:val="24"/>
    </w:rPr>
  </w:style>
  <w:style w:type="paragraph" w:customStyle="1" w:styleId="133">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4">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5">
    <w:name w:val="Char Char Char Char Char Char Char Char Char Char Char Char Char"/>
    <w:basedOn w:val="18"/>
    <w:qFormat/>
    <w:uiPriority w:val="0"/>
    <w:rPr>
      <w:rFonts w:ascii="Tahoma" w:hAnsi="Tahoma"/>
      <w:sz w:val="24"/>
      <w:szCs w:val="24"/>
    </w:rPr>
  </w:style>
  <w:style w:type="paragraph" w:customStyle="1" w:styleId="136">
    <w:name w:val="MM Topic 3"/>
    <w:basedOn w:val="4"/>
    <w:qFormat/>
    <w:uiPriority w:val="0"/>
    <w:pPr>
      <w:numPr>
        <w:ilvl w:val="0"/>
        <w:numId w:val="0"/>
      </w:numPr>
      <w:tabs>
        <w:tab w:val="left" w:pos="1418"/>
        <w:tab w:val="clear" w:pos="704"/>
        <w:tab w:val="clear" w:pos="2630"/>
      </w:tabs>
    </w:pPr>
    <w:rPr>
      <w:rFonts w:cs="Times New Roman"/>
    </w:rPr>
  </w:style>
  <w:style w:type="paragraph" w:customStyle="1" w:styleId="137">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8">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9">
    <w:name w:val="Char Char Char Char"/>
    <w:basedOn w:val="1"/>
    <w:qFormat/>
    <w:uiPriority w:val="0"/>
    <w:rPr>
      <w:rFonts w:ascii="Tahoma" w:hAnsi="Tahoma"/>
      <w:sz w:val="24"/>
      <w:szCs w:val="20"/>
    </w:rPr>
  </w:style>
  <w:style w:type="paragraph" w:customStyle="1" w:styleId="140">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1">
    <w:name w:val="MM Topic 9"/>
    <w:basedOn w:val="10"/>
    <w:qFormat/>
    <w:uiPriority w:val="0"/>
    <w:pPr>
      <w:tabs>
        <w:tab w:val="left" w:pos="5102"/>
      </w:tabs>
    </w:pPr>
  </w:style>
  <w:style w:type="paragraph" w:customStyle="1" w:styleId="142">
    <w:name w:val="MM Topic 5"/>
    <w:basedOn w:val="6"/>
    <w:qFormat/>
    <w:uiPriority w:val="0"/>
    <w:pPr>
      <w:tabs>
        <w:tab w:val="left" w:pos="2551"/>
        <w:tab w:val="clear" w:pos="1134"/>
        <w:tab w:val="clear" w:pos="1560"/>
      </w:tabs>
      <w:ind w:left="0" w:firstLine="0"/>
    </w:pPr>
    <w:rPr>
      <w:rFonts w:cs="Times New Roman"/>
    </w:rPr>
  </w:style>
  <w:style w:type="paragraph" w:customStyle="1" w:styleId="143">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4">
    <w:name w:val="MM Topic 4"/>
    <w:basedOn w:val="5"/>
    <w:qFormat/>
    <w:uiPriority w:val="0"/>
    <w:pPr>
      <w:tabs>
        <w:tab w:val="left" w:pos="1984"/>
      </w:tabs>
      <w:ind w:left="0" w:firstLine="0"/>
    </w:p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7">
    <w:name w:val="样式 标题 2H2第一章 标题 2Heading 2 HiddenHeading 2 CCBSheading 2h2..."/>
    <w:basedOn w:val="3"/>
    <w:qFormat/>
    <w:uiPriority w:val="0"/>
    <w:pPr>
      <w:tabs>
        <w:tab w:val="left" w:pos="-2493"/>
      </w:tabs>
    </w:pPr>
    <w:rPr>
      <w:rFonts w:cs="Times New Roman"/>
      <w:szCs w:val="20"/>
    </w:rPr>
  </w:style>
  <w:style w:type="paragraph" w:customStyle="1" w:styleId="148">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9">
    <w:name w:val="列出段落2"/>
    <w:basedOn w:val="1"/>
    <w:qFormat/>
    <w:uiPriority w:val="0"/>
    <w:pPr>
      <w:ind w:firstLine="420" w:firstLineChars="200"/>
    </w:pPr>
  </w:style>
  <w:style w:type="paragraph" w:customStyle="1" w:styleId="150">
    <w:name w:val="列出段落4"/>
    <w:basedOn w:val="1"/>
    <w:qFormat/>
    <w:uiPriority w:val="0"/>
    <w:pPr>
      <w:ind w:firstLine="420" w:firstLineChars="200"/>
    </w:pPr>
    <w:rPr>
      <w:rFonts w:ascii="Times New Roman" w:hAnsi="Times New Roman"/>
      <w:szCs w:val="24"/>
    </w:rPr>
  </w:style>
  <w:style w:type="paragraph" w:customStyle="1" w:styleId="151">
    <w:name w:val="列出段落1"/>
    <w:basedOn w:val="1"/>
    <w:qFormat/>
    <w:uiPriority w:val="0"/>
    <w:pPr>
      <w:ind w:firstLine="420" w:firstLineChars="200"/>
    </w:pPr>
  </w:style>
  <w:style w:type="paragraph" w:customStyle="1" w:styleId="152">
    <w:name w:val="修订1"/>
    <w:qFormat/>
    <w:uiPriority w:val="99"/>
    <w:rPr>
      <w:rFonts w:ascii="Calibri" w:hAnsi="Calibri" w:eastAsia="宋体" w:cs="Times New Roman"/>
      <w:kern w:val="2"/>
      <w:sz w:val="21"/>
      <w:szCs w:val="22"/>
      <w:lang w:val="en-US" w:eastAsia="zh-CN" w:bidi="ar-SA"/>
    </w:rPr>
  </w:style>
  <w:style w:type="paragraph" w:customStyle="1" w:styleId="153">
    <w:name w:val="彩色列表 - 强调文字颜色 12"/>
    <w:basedOn w:val="1"/>
    <w:qFormat/>
    <w:uiPriority w:val="0"/>
    <w:pPr>
      <w:ind w:firstLine="420" w:firstLineChars="200"/>
    </w:pPr>
  </w:style>
  <w:style w:type="paragraph" w:customStyle="1" w:styleId="15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5">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156">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character" w:customStyle="1" w:styleId="157">
    <w:name w:val="0-CD Char"/>
    <w:link w:val="158"/>
    <w:qFormat/>
    <w:locked/>
    <w:uiPriority w:val="0"/>
    <w:rPr>
      <w:rFonts w:ascii="宋体" w:hAnsi="宋体" w:eastAsia="宋体"/>
      <w:sz w:val="28"/>
      <w:szCs w:val="24"/>
    </w:rPr>
  </w:style>
  <w:style w:type="paragraph" w:customStyle="1" w:styleId="158">
    <w:name w:val="0-CD"/>
    <w:basedOn w:val="1"/>
    <w:link w:val="157"/>
    <w:qFormat/>
    <w:uiPriority w:val="0"/>
    <w:pPr>
      <w:spacing w:line="360" w:lineRule="auto"/>
      <w:ind w:firstLine="708" w:firstLineChars="253"/>
      <w:jc w:val="left"/>
    </w:pPr>
    <w:rPr>
      <w:rFonts w:ascii="宋体" w:hAnsi="宋体" w:cstheme="minorBidi"/>
      <w:sz w:val="28"/>
      <w:szCs w:val="24"/>
    </w:rPr>
  </w:style>
  <w:style w:type="character" w:customStyle="1" w:styleId="159">
    <w:name w:val="Char Char8"/>
    <w:qFormat/>
    <w:uiPriority w:val="0"/>
    <w:rPr>
      <w:rFonts w:hint="eastAsia" w:ascii="宋体" w:hAnsi="宋体" w:eastAsia="宋体"/>
      <w:kern w:val="2"/>
      <w:sz w:val="28"/>
      <w:szCs w:val="28"/>
    </w:rPr>
  </w:style>
  <w:style w:type="character" w:customStyle="1" w:styleId="160">
    <w:name w:val="Char Char5"/>
    <w:qFormat/>
    <w:uiPriority w:val="0"/>
    <w:rPr>
      <w:kern w:val="2"/>
      <w:sz w:val="21"/>
      <w:szCs w:val="24"/>
    </w:rPr>
  </w:style>
  <w:style w:type="character" w:customStyle="1" w:styleId="161">
    <w:name w:val="列出段落 Char Char"/>
    <w:qFormat/>
    <w:uiPriority w:val="0"/>
    <w:rPr>
      <w:rFonts w:hint="default" w:ascii="Calibri" w:hAnsi="Calibri" w:cs="Calibri"/>
      <w:kern w:val="2"/>
      <w:sz w:val="21"/>
      <w:szCs w:val="22"/>
    </w:rPr>
  </w:style>
  <w:style w:type="character" w:customStyle="1" w:styleId="162">
    <w:name w:val="正文文本 Char Char"/>
    <w:qFormat/>
    <w:uiPriority w:val="0"/>
    <w:rPr>
      <w:kern w:val="2"/>
      <w:sz w:val="21"/>
      <w:szCs w:val="24"/>
    </w:rPr>
  </w:style>
  <w:style w:type="character" w:customStyle="1" w:styleId="163">
    <w:name w:val="Char Char11"/>
    <w:qFormat/>
    <w:uiPriority w:val="0"/>
    <w:rPr>
      <w:rFonts w:hint="default" w:ascii="Arial Narrow" w:hAnsi="Arial Narrow"/>
      <w:b/>
      <w:bCs/>
      <w:iCs/>
      <w:szCs w:val="24"/>
      <w:lang w:eastAsia="en-US"/>
    </w:rPr>
  </w:style>
  <w:style w:type="character" w:customStyle="1" w:styleId="164">
    <w:name w:val="标书（正文） Char Char"/>
    <w:qFormat/>
    <w:uiPriority w:val="0"/>
    <w:rPr>
      <w:rFonts w:hint="eastAsia" w:ascii="宋体" w:hAnsi="宋体" w:eastAsia="宋体"/>
      <w:b/>
      <w:kern w:val="10"/>
      <w:sz w:val="21"/>
      <w:szCs w:val="21"/>
      <w:lang w:val="en-US" w:eastAsia="zh-CN" w:bidi="ar-SA"/>
    </w:rPr>
  </w:style>
  <w:style w:type="character" w:customStyle="1" w:styleId="165">
    <w:name w:val="line2"/>
    <w:basedOn w:val="43"/>
    <w:qFormat/>
    <w:uiPriority w:val="0"/>
  </w:style>
  <w:style w:type="character" w:customStyle="1" w:styleId="166">
    <w:name w:val="Char Char10"/>
    <w:qFormat/>
    <w:uiPriority w:val="0"/>
    <w:rPr>
      <w:kern w:val="2"/>
      <w:sz w:val="24"/>
      <w:szCs w:val="24"/>
    </w:rPr>
  </w:style>
  <w:style w:type="character" w:customStyle="1" w:styleId="167">
    <w:name w:val="MM Topic 4 Char Char"/>
    <w:qFormat/>
    <w:uiPriority w:val="0"/>
    <w:rPr>
      <w:rFonts w:hint="default" w:ascii="Arial" w:hAnsi="Arial" w:cs="Arial"/>
      <w:b/>
      <w:bCs/>
      <w:kern w:val="2"/>
      <w:sz w:val="28"/>
      <w:szCs w:val="28"/>
    </w:rPr>
  </w:style>
  <w:style w:type="character" w:customStyle="1" w:styleId="168">
    <w:name w:val="标书正文:  0.74 厘米 Char Char"/>
    <w:qFormat/>
    <w:uiPriority w:val="0"/>
    <w:rPr>
      <w:kern w:val="2"/>
      <w:sz w:val="24"/>
    </w:rPr>
  </w:style>
  <w:style w:type="character" w:customStyle="1" w:styleId="169">
    <w:name w:val="访问过的超链接1"/>
    <w:qFormat/>
    <w:uiPriority w:val="99"/>
    <w:rPr>
      <w:color w:val="800080"/>
      <w:u w:val="single"/>
    </w:rPr>
  </w:style>
  <w:style w:type="character" w:customStyle="1" w:styleId="170">
    <w:name w:val="标题 3 Char Char Char"/>
    <w:qFormat/>
    <w:uiPriority w:val="0"/>
    <w:rPr>
      <w:rFonts w:hint="eastAsia" w:ascii="宋体" w:hAnsi="宋体" w:eastAsia="宋体"/>
      <w:b/>
      <w:kern w:val="2"/>
      <w:sz w:val="32"/>
      <w:lang w:val="en-US" w:eastAsia="zh-CN" w:bidi="ar-SA"/>
    </w:rPr>
  </w:style>
  <w:style w:type="character" w:customStyle="1" w:styleId="171">
    <w:name w:val="（符号）邀请函中一、"/>
    <w:qFormat/>
    <w:uiPriority w:val="0"/>
    <w:rPr>
      <w:rFonts w:hint="eastAsia" w:ascii="黑体" w:hAnsi="黑体" w:eastAsia="黑体"/>
      <w:b/>
      <w:bCs/>
      <w:sz w:val="24"/>
    </w:rPr>
  </w:style>
  <w:style w:type="character" w:customStyle="1" w:styleId="172">
    <w:name w:val="tt Char"/>
    <w:qFormat/>
    <w:uiPriority w:val="0"/>
    <w:rPr>
      <w:rFonts w:hint="default" w:ascii="Arial" w:hAnsi="Arial" w:eastAsia="黑体" w:cs="Arial"/>
      <w:kern w:val="2"/>
      <w:sz w:val="21"/>
      <w:szCs w:val="21"/>
    </w:rPr>
  </w:style>
  <w:style w:type="character" w:customStyle="1" w:styleId="173">
    <w:name w:val="Char Char9"/>
    <w:qFormat/>
    <w:uiPriority w:val="0"/>
    <w:rPr>
      <w:kern w:val="2"/>
      <w:sz w:val="18"/>
      <w:szCs w:val="18"/>
    </w:rPr>
  </w:style>
  <w:style w:type="character" w:customStyle="1" w:styleId="174">
    <w:name w:val="MM Topic 3 Char Char"/>
    <w:qFormat/>
    <w:uiPriority w:val="0"/>
    <w:rPr>
      <w:rFonts w:hint="eastAsia" w:ascii="宋体" w:hAnsi="宋体" w:eastAsia="宋体"/>
      <w:b/>
      <w:bCs/>
      <w:color w:val="000000"/>
      <w:kern w:val="2"/>
      <w:sz w:val="28"/>
      <w:szCs w:val="28"/>
    </w:rPr>
  </w:style>
  <w:style w:type="character" w:customStyle="1" w:styleId="175">
    <w:name w:val="样式 小四2 Char Char"/>
    <w:qFormat/>
    <w:uiPriority w:val="0"/>
    <w:rPr>
      <w:rFonts w:hint="eastAsia" w:ascii="宋体" w:hAnsi="宋体" w:eastAsia="宋体"/>
      <w:kern w:val="2"/>
      <w:sz w:val="24"/>
      <w:szCs w:val="24"/>
    </w:rPr>
  </w:style>
  <w:style w:type="character" w:customStyle="1" w:styleId="176">
    <w:name w:val="Char Char7"/>
    <w:qFormat/>
    <w:uiPriority w:val="0"/>
    <w:rPr>
      <w:kern w:val="2"/>
      <w:sz w:val="18"/>
      <w:szCs w:val="18"/>
    </w:rPr>
  </w:style>
  <w:style w:type="character" w:customStyle="1" w:styleId="177">
    <w:name w:val="Char Char3"/>
    <w:qFormat/>
    <w:uiPriority w:val="0"/>
    <w:rPr>
      <w:b/>
      <w:bCs/>
      <w:kern w:val="2"/>
      <w:sz w:val="18"/>
      <w:szCs w:val="18"/>
    </w:rPr>
  </w:style>
  <w:style w:type="character" w:customStyle="1" w:styleId="178">
    <w:name w:val="apple-style-span"/>
    <w:basedOn w:val="43"/>
    <w:qFormat/>
    <w:uiPriority w:val="0"/>
  </w:style>
  <w:style w:type="character" w:customStyle="1" w:styleId="179">
    <w:name w:val="Char Char4"/>
    <w:qFormat/>
    <w:uiPriority w:val="0"/>
    <w:rPr>
      <w:kern w:val="2"/>
      <w:sz w:val="18"/>
      <w:szCs w:val="18"/>
    </w:rPr>
  </w:style>
  <w:style w:type="character" w:customStyle="1" w:styleId="180">
    <w:name w:val="副标题 Char1"/>
    <w:qFormat/>
    <w:uiPriority w:val="11"/>
    <w:rPr>
      <w:rFonts w:hint="default" w:ascii="Cambria" w:hAnsi="Cambria" w:cs="Times New Roman"/>
      <w:b/>
      <w:bCs/>
      <w:kern w:val="28"/>
      <w:sz w:val="32"/>
      <w:szCs w:val="32"/>
    </w:rPr>
  </w:style>
  <w:style w:type="character" w:customStyle="1" w:styleId="181">
    <w:name w:val="small"/>
    <w:basedOn w:val="43"/>
    <w:qFormat/>
    <w:uiPriority w:val="0"/>
  </w:style>
  <w:style w:type="character" w:customStyle="1" w:styleId="182">
    <w:name w:val="Legal Level 1.1.1. Char"/>
    <w:qFormat/>
    <w:uiPriority w:val="0"/>
    <w:rPr>
      <w:rFonts w:hint="default" w:ascii="Arial" w:hAnsi="Arial" w:eastAsia="黑体" w:cs="Arial"/>
      <w:kern w:val="2"/>
      <w:sz w:val="24"/>
      <w:szCs w:val="24"/>
    </w:rPr>
  </w:style>
  <w:style w:type="character" w:customStyle="1" w:styleId="183">
    <w:name w:val="文章正文 Char Char"/>
    <w:qFormat/>
    <w:uiPriority w:val="0"/>
    <w:rPr>
      <w:rFonts w:hint="eastAsia" w:ascii="宋体" w:hAnsi="宋体" w:eastAsia="宋体"/>
      <w:kern w:val="2"/>
      <w:sz w:val="24"/>
      <w:szCs w:val="24"/>
      <w:lang w:val="en-US" w:eastAsia="zh-CN" w:bidi="ar-SA"/>
    </w:rPr>
  </w:style>
  <w:style w:type="character" w:customStyle="1" w:styleId="184">
    <w:name w:val="正文文本 Char1"/>
    <w:qFormat/>
    <w:uiPriority w:val="0"/>
    <w:rPr>
      <w:rFonts w:hint="default" w:ascii="Times New Roman" w:hAnsi="Times New Roman" w:eastAsia="宋体" w:cs="Times New Roman"/>
      <w:kern w:val="0"/>
      <w:sz w:val="18"/>
      <w:szCs w:val="18"/>
    </w:rPr>
  </w:style>
  <w:style w:type="character" w:customStyle="1" w:styleId="185">
    <w:name w:val="正文文本 字符"/>
    <w:basedOn w:val="43"/>
    <w:link w:val="15"/>
    <w:qFormat/>
    <w:locked/>
    <w:uiPriority w:val="99"/>
    <w:rPr>
      <w:rFonts w:ascii="Calibri" w:hAnsi="Calibri" w:eastAsia="宋体" w:cs="Times New Roman"/>
    </w:rPr>
  </w:style>
  <w:style w:type="character" w:customStyle="1" w:styleId="186">
    <w:name w:val="CD正文 Char Char"/>
    <w:qFormat/>
    <w:uiPriority w:val="0"/>
    <w:rPr>
      <w:rFonts w:hint="eastAsia" w:ascii="宋体" w:hAnsi="宋体" w:eastAsia="宋体"/>
      <w:kern w:val="2"/>
      <w:sz w:val="30"/>
      <w:szCs w:val="28"/>
      <w:lang w:val="en-US" w:eastAsia="zh-CN" w:bidi="ar-SA"/>
    </w:rPr>
  </w:style>
  <w:style w:type="character" w:customStyle="1" w:styleId="187">
    <w:name w:val="Char Char2"/>
    <w:qFormat/>
    <w:uiPriority w:val="0"/>
    <w:rPr>
      <w:kern w:val="2"/>
      <w:sz w:val="18"/>
      <w:szCs w:val="18"/>
    </w:rPr>
  </w:style>
  <w:style w:type="character" w:customStyle="1" w:styleId="188">
    <w:name w:val="标题 1 Char1"/>
    <w:qFormat/>
    <w:uiPriority w:val="0"/>
    <w:rPr>
      <w:b/>
      <w:bCs/>
      <w:kern w:val="44"/>
      <w:sz w:val="44"/>
      <w:szCs w:val="44"/>
    </w:rPr>
  </w:style>
  <w:style w:type="character" w:customStyle="1" w:styleId="189">
    <w:name w:val="表正文 Char1"/>
    <w:qFormat/>
    <w:uiPriority w:val="0"/>
    <w:rPr>
      <w:rFonts w:hint="eastAsia" w:ascii="宋体" w:hAnsi="宋体" w:eastAsia="宋体"/>
      <w:kern w:val="2"/>
      <w:sz w:val="21"/>
      <w:lang w:val="en-US" w:eastAsia="zh-CN" w:bidi="ar-SA"/>
    </w:rPr>
  </w:style>
  <w:style w:type="character" w:customStyle="1" w:styleId="190">
    <w:name w:val="纯文本 字符"/>
    <w:link w:val="24"/>
    <w:qFormat/>
    <w:locked/>
    <w:uiPriority w:val="99"/>
    <w:rPr>
      <w:rFonts w:ascii="宋体" w:hAnsi="Courier New" w:eastAsia="宋体" w:cs="Times New Roman"/>
      <w:kern w:val="0"/>
      <w:sz w:val="20"/>
      <w:szCs w:val="18"/>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0"/>
    <w:rPr>
      <w:rFonts w:hint="default" w:ascii="Calibri" w:hAnsi="Calibri"/>
      <w:kern w:val="2"/>
      <w:sz w:val="21"/>
      <w:szCs w:val="22"/>
    </w:rPr>
  </w:style>
  <w:style w:type="paragraph" w:customStyle="1" w:styleId="199">
    <w:name w:val="CD正文"/>
    <w:basedOn w:val="97"/>
    <w:link w:val="204"/>
    <w:qFormat/>
    <w:uiPriority w:val="0"/>
  </w:style>
  <w:style w:type="paragraph" w:customStyle="1" w:styleId="200">
    <w:name w:val="项目符号：一级"/>
    <w:basedOn w:val="84"/>
    <w:next w:val="84"/>
    <w:qFormat/>
    <w:uiPriority w:val="0"/>
  </w:style>
  <w:style w:type="character" w:customStyle="1" w:styleId="201">
    <w:name w:val="HTML 预设格式 字符"/>
    <w:basedOn w:val="43"/>
    <w:link w:val="40"/>
    <w:qFormat/>
    <w:uiPriority w:val="0"/>
    <w:rPr>
      <w:rFonts w:ascii="宋体" w:hAnsi="宋体" w:eastAsia="宋体" w:cs="Times New Roman"/>
      <w:kern w:val="0"/>
      <w:sz w:val="24"/>
      <w:szCs w:val="24"/>
    </w:rPr>
  </w:style>
  <w:style w:type="paragraph" w:customStyle="1" w:styleId="202">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character" w:customStyle="1" w:styleId="203">
    <w:name w:val="样式 Char Char"/>
    <w:link w:val="119"/>
    <w:qFormat/>
    <w:locked/>
    <w:uiPriority w:val="0"/>
    <w:rPr>
      <w:rFonts w:ascii="宋体" w:hAnsi="宋体" w:eastAsia="宋体" w:cs="宋体"/>
      <w:kern w:val="0"/>
      <w:sz w:val="24"/>
      <w:szCs w:val="24"/>
    </w:rPr>
  </w:style>
  <w:style w:type="character" w:customStyle="1" w:styleId="204">
    <w:name w:val="CD正文 Char"/>
    <w:link w:val="199"/>
    <w:qFormat/>
    <w:locked/>
    <w:uiPriority w:val="0"/>
    <w:rPr>
      <w:rFonts w:ascii="Times New Roman" w:hAnsi="Times New Roman" w:eastAsia="宋体" w:cs="Times New Roman"/>
      <w:sz w:val="24"/>
      <w:szCs w:val="24"/>
    </w:rPr>
  </w:style>
  <w:style w:type="paragraph" w:customStyle="1" w:styleId="205">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06">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07">
    <w:name w:val="列出段落5"/>
    <w:basedOn w:val="1"/>
    <w:qFormat/>
    <w:uiPriority w:val="0"/>
    <w:pPr>
      <w:ind w:firstLine="420" w:firstLineChars="200"/>
    </w:pPr>
    <w:rPr>
      <w:rFonts w:ascii="Times New Roman" w:hAnsi="Times New Roman"/>
    </w:rPr>
  </w:style>
  <w:style w:type="paragraph" w:customStyle="1" w:styleId="208">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09">
    <w:name w:val="图题标题"/>
    <w:basedOn w:val="1"/>
    <w:qFormat/>
    <w:uiPriority w:val="99"/>
    <w:pPr>
      <w:spacing w:line="400" w:lineRule="exact"/>
      <w:jc w:val="center"/>
    </w:pPr>
    <w:rPr>
      <w:rFonts w:ascii="Times New Roman" w:hAnsi="Times New Roman" w:eastAsia="黑体"/>
      <w:sz w:val="24"/>
      <w:szCs w:val="24"/>
    </w:rPr>
  </w:style>
  <w:style w:type="paragraph" w:customStyle="1" w:styleId="210">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11">
    <w:name w:val="列出段落11"/>
    <w:basedOn w:val="1"/>
    <w:qFormat/>
    <w:uiPriority w:val="99"/>
    <w:pPr>
      <w:spacing w:after="200" w:line="276" w:lineRule="auto"/>
      <w:ind w:firstLine="420" w:firstLineChars="200"/>
    </w:pPr>
  </w:style>
  <w:style w:type="paragraph" w:customStyle="1" w:styleId="212">
    <w:name w:val="修订2"/>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13">
    <w:name w:val="UserStyle_26"/>
    <w:link w:val="214"/>
    <w:qFormat/>
    <w:locked/>
    <w:uiPriority w:val="0"/>
  </w:style>
  <w:style w:type="paragraph" w:customStyle="1" w:styleId="214">
    <w:name w:val="NormalIndent"/>
    <w:basedOn w:val="1"/>
    <w:link w:val="213"/>
    <w:qFormat/>
    <w:uiPriority w:val="0"/>
    <w:pPr>
      <w:widowControl/>
      <w:spacing w:after="200" w:line="276" w:lineRule="auto"/>
      <w:ind w:firstLine="420"/>
    </w:pPr>
    <w:rPr>
      <w:rFonts w:asciiTheme="minorHAnsi" w:hAnsiTheme="minorHAnsi" w:eastAsiaTheme="minorEastAsia" w:cstheme="minorBidi"/>
    </w:rPr>
  </w:style>
  <w:style w:type="paragraph" w:customStyle="1" w:styleId="215">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216">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17">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218">
    <w:name w:val="UserStyle_40"/>
    <w:basedOn w:val="1"/>
    <w:qFormat/>
    <w:uiPriority w:val="99"/>
    <w:pPr>
      <w:widowControl/>
      <w:spacing w:after="200" w:line="276" w:lineRule="auto"/>
      <w:ind w:firstLine="420" w:firstLineChars="200"/>
    </w:pPr>
    <w:rPr>
      <w:szCs w:val="21"/>
    </w:rPr>
  </w:style>
  <w:style w:type="paragraph" w:customStyle="1" w:styleId="219">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20">
    <w:name w:val="BodyText"/>
    <w:basedOn w:val="1"/>
    <w:qFormat/>
    <w:uiPriority w:val="0"/>
    <w:pPr>
      <w:spacing w:after="120" w:line="276" w:lineRule="auto"/>
    </w:pPr>
  </w:style>
  <w:style w:type="paragraph" w:customStyle="1" w:styleId="221">
    <w:name w:val="_Style 2"/>
    <w:basedOn w:val="1"/>
    <w:qFormat/>
    <w:uiPriority w:val="99"/>
    <w:pPr>
      <w:spacing w:after="200" w:line="276" w:lineRule="auto"/>
      <w:ind w:firstLine="420" w:firstLineChars="200"/>
    </w:pPr>
  </w:style>
  <w:style w:type="paragraph" w:customStyle="1" w:styleId="222">
    <w:name w:val="正文2"/>
    <w:qFormat/>
    <w:uiPriority w:val="99"/>
    <w:pPr>
      <w:spacing w:after="200" w:line="276" w:lineRule="auto"/>
      <w:jc w:val="both"/>
    </w:pPr>
    <w:rPr>
      <w:rFonts w:ascii="Calibri" w:hAnsi="Calibri" w:eastAsia="宋体" w:cs="Calibri"/>
      <w:kern w:val="2"/>
      <w:sz w:val="21"/>
      <w:szCs w:val="21"/>
      <w:lang w:val="en-US" w:eastAsia="zh-CN" w:bidi="ar-SA"/>
    </w:rPr>
  </w:style>
  <w:style w:type="character" w:customStyle="1" w:styleId="223">
    <w:name w:val="标准文本 Char Char"/>
    <w:link w:val="224"/>
    <w:qFormat/>
    <w:locked/>
    <w:uiPriority w:val="0"/>
    <w:rPr>
      <w:sz w:val="24"/>
    </w:rPr>
  </w:style>
  <w:style w:type="paragraph" w:customStyle="1" w:styleId="224">
    <w:name w:val="标准文本"/>
    <w:basedOn w:val="1"/>
    <w:link w:val="223"/>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5">
    <w:name w:val="正文360首行缩进 Char"/>
    <w:basedOn w:val="43"/>
    <w:link w:val="226"/>
    <w:qFormat/>
    <w:locked/>
    <w:uiPriority w:val="0"/>
    <w:rPr>
      <w:rFonts w:ascii="Times New Roman" w:hAnsi="Times New Roman" w:eastAsia="宋体" w:cs="Times New Roman"/>
      <w:sz w:val="24"/>
    </w:rPr>
  </w:style>
  <w:style w:type="paragraph" w:customStyle="1" w:styleId="226">
    <w:name w:val="正文360首行缩进"/>
    <w:basedOn w:val="1"/>
    <w:link w:val="225"/>
    <w:qFormat/>
    <w:uiPriority w:val="0"/>
    <w:pPr>
      <w:widowControl/>
      <w:spacing w:before="120" w:line="300" w:lineRule="auto"/>
      <w:ind w:firstLine="200" w:firstLineChars="200"/>
      <w:jc w:val="left"/>
    </w:pPr>
    <w:rPr>
      <w:rFonts w:ascii="Times New Roman" w:hAnsi="Times New Roman"/>
      <w:sz w:val="24"/>
    </w:rPr>
  </w:style>
  <w:style w:type="paragraph" w:customStyle="1" w:styleId="227">
    <w:name w:val="列出段落1_0"/>
    <w:basedOn w:val="1"/>
    <w:qFormat/>
    <w:uiPriority w:val="99"/>
    <w:pPr>
      <w:ind w:firstLine="420" w:firstLineChars="200"/>
    </w:pPr>
    <w:rPr>
      <w:szCs w:val="21"/>
    </w:rPr>
  </w:style>
  <w:style w:type="paragraph" w:customStyle="1" w:styleId="228">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29">
    <w:name w:val="Char1 Char Char Char Char Char Char_0"/>
    <w:basedOn w:val="1"/>
    <w:qFormat/>
    <w:uiPriority w:val="0"/>
    <w:rPr>
      <w:rFonts w:ascii="Tahoma" w:hAnsi="Tahoma"/>
      <w:sz w:val="24"/>
      <w:szCs w:val="20"/>
    </w:rPr>
  </w:style>
  <w:style w:type="paragraph" w:customStyle="1" w:styleId="230">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31">
    <w:name w:val="列出段落111"/>
    <w:basedOn w:val="1"/>
    <w:qFormat/>
    <w:uiPriority w:val="99"/>
    <w:pPr>
      <w:ind w:firstLine="420" w:firstLineChars="200"/>
    </w:pPr>
    <w:rPr>
      <w:rFonts w:ascii="Times New Roman" w:hAnsi="Times New Roman"/>
    </w:rPr>
  </w:style>
  <w:style w:type="paragraph" w:customStyle="1" w:styleId="232">
    <w:name w:val="修订3"/>
    <w:qFormat/>
    <w:uiPriority w:val="99"/>
    <w:rPr>
      <w:rFonts w:ascii="Calibri" w:hAnsi="Calibri" w:eastAsia="宋体" w:cs="Times New Roman"/>
      <w:kern w:val="2"/>
      <w:sz w:val="21"/>
      <w:szCs w:val="22"/>
      <w:lang w:val="en-US" w:eastAsia="zh-CN" w:bidi="ar-SA"/>
    </w:rPr>
  </w:style>
  <w:style w:type="paragraph" w:customStyle="1" w:styleId="233">
    <w:name w:val="List Paragraph1"/>
    <w:basedOn w:val="1"/>
    <w:qFormat/>
    <w:uiPriority w:val="99"/>
    <w:pPr>
      <w:ind w:firstLine="420" w:firstLineChars="200"/>
    </w:pPr>
    <w:rPr>
      <w:rFonts w:ascii="Times New Roman" w:hAnsi="Times New Roman"/>
      <w:szCs w:val="24"/>
    </w:rPr>
  </w:style>
  <w:style w:type="paragraph" w:customStyle="1" w:styleId="234">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5">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36">
    <w:name w:val="标题 5（有编号）（绿盟科技）"/>
    <w:basedOn w:val="1"/>
    <w:next w:val="235"/>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37">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238">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39">
    <w:name w:val="修订11"/>
    <w:qFormat/>
    <w:uiPriority w:val="99"/>
    <w:rPr>
      <w:rFonts w:ascii="Calibri" w:hAnsi="Calibri" w:eastAsia="宋体" w:cs="Times New Roman"/>
      <w:kern w:val="2"/>
      <w:sz w:val="21"/>
      <w:szCs w:val="22"/>
      <w:lang w:val="en-US" w:eastAsia="zh-CN" w:bidi="ar-SA"/>
    </w:rPr>
  </w:style>
  <w:style w:type="paragraph" w:customStyle="1" w:styleId="240">
    <w:name w:val="_Style 32"/>
    <w:basedOn w:val="1"/>
    <w:next w:val="1"/>
    <w:qFormat/>
    <w:uiPriority w:val="99"/>
    <w:pPr>
      <w:spacing w:line="240" w:lineRule="atLeast"/>
      <w:ind w:left="420" w:firstLine="420"/>
      <w:jc w:val="left"/>
    </w:pPr>
    <w:rPr>
      <w:rFonts w:ascii="Times New Roman" w:hAnsi="Times New Roman"/>
      <w:szCs w:val="20"/>
    </w:rPr>
  </w:style>
  <w:style w:type="character" w:customStyle="1" w:styleId="241">
    <w:name w:val="Placeholder Text"/>
    <w:basedOn w:val="43"/>
    <w:semiHidden/>
    <w:qFormat/>
    <w:uiPriority w:val="99"/>
    <w:rPr>
      <w:color w:val="808080"/>
    </w:rPr>
  </w:style>
  <w:style w:type="character" w:customStyle="1" w:styleId="242">
    <w:name w:val="页眉 字符1"/>
    <w:basedOn w:val="43"/>
    <w:semiHidden/>
    <w:qFormat/>
    <w:locked/>
    <w:uiPriority w:val="99"/>
    <w:rPr>
      <w:rFonts w:ascii="Calibri" w:hAnsi="Calibri" w:eastAsia="宋体" w:cs="Times New Roman"/>
      <w:kern w:val="0"/>
      <w:sz w:val="18"/>
      <w:szCs w:val="18"/>
    </w:rPr>
  </w:style>
  <w:style w:type="character" w:customStyle="1" w:styleId="243">
    <w:name w:val="正文文本 字符1"/>
    <w:basedOn w:val="43"/>
    <w:semiHidden/>
    <w:qFormat/>
    <w:locked/>
    <w:uiPriority w:val="99"/>
    <w:rPr>
      <w:rFonts w:ascii="Calibri" w:hAnsi="Calibri" w:eastAsia="宋体" w:cs="Times New Roman"/>
    </w:rPr>
  </w:style>
  <w:style w:type="character" w:customStyle="1" w:styleId="244">
    <w:name w:val="批注框文本 字符1"/>
    <w:basedOn w:val="43"/>
    <w:semiHidden/>
    <w:qFormat/>
    <w:locked/>
    <w:uiPriority w:val="99"/>
    <w:rPr>
      <w:rFonts w:ascii="Times New Roman" w:hAnsi="Times New Roman" w:eastAsia="宋体" w:cs="Times New Roman"/>
      <w:kern w:val="0"/>
      <w:sz w:val="18"/>
      <w:szCs w:val="18"/>
    </w:rPr>
  </w:style>
  <w:style w:type="character" w:customStyle="1" w:styleId="245">
    <w:name w:val="NormalCharacter"/>
    <w:qFormat/>
    <w:uiPriority w:val="0"/>
  </w:style>
  <w:style w:type="paragraph" w:customStyle="1" w:styleId="246">
    <w:name w:val="BodyText1I"/>
    <w:basedOn w:val="1"/>
    <w:link w:val="247"/>
    <w:qFormat/>
    <w:uiPriority w:val="0"/>
  </w:style>
  <w:style w:type="character" w:customStyle="1" w:styleId="247">
    <w:name w:val="UserStyle_9"/>
    <w:basedOn w:val="43"/>
    <w:link w:val="246"/>
    <w:qFormat/>
    <w:locked/>
    <w:uiPriority w:val="0"/>
    <w:rPr>
      <w:rFonts w:ascii="Calibri" w:hAnsi="Calibri" w:eastAsia="宋体" w:cs="Times New Roman"/>
    </w:rPr>
  </w:style>
  <w:style w:type="character" w:customStyle="1" w:styleId="248">
    <w:name w:val="15"/>
    <w:basedOn w:val="43"/>
    <w:qFormat/>
    <w:uiPriority w:val="0"/>
    <w:rPr>
      <w:rFonts w:hint="default" w:ascii="Calibri" w:hAnsi="Calibri"/>
    </w:rPr>
  </w:style>
  <w:style w:type="character" w:customStyle="1" w:styleId="249">
    <w:name w:val="批注文字 Char1"/>
    <w:basedOn w:val="43"/>
    <w:semiHidden/>
    <w:qFormat/>
    <w:locked/>
    <w:uiPriority w:val="0"/>
    <w:rPr>
      <w:rFonts w:hint="default" w:ascii="Calibri" w:hAnsi="Calibri" w:eastAsia="宋体" w:cs="Times New Roman"/>
    </w:rPr>
  </w:style>
  <w:style w:type="character" w:customStyle="1" w:styleId="250">
    <w:name w:val="font21"/>
    <w:qFormat/>
    <w:uiPriority w:val="0"/>
    <w:rPr>
      <w:rFonts w:hint="default" w:ascii="Arial" w:hAnsi="Arial" w:cs="Arial"/>
      <w:color w:val="000000"/>
      <w:sz w:val="18"/>
      <w:szCs w:val="18"/>
      <w:u w:val="none"/>
    </w:rPr>
  </w:style>
  <w:style w:type="character" w:customStyle="1" w:styleId="251">
    <w:name w:val="_Style 8"/>
    <w:qFormat/>
    <w:uiPriority w:val="32"/>
    <w:rPr>
      <w:b/>
      <w:bCs/>
      <w:smallCaps/>
      <w:color w:val="C0504D"/>
      <w:spacing w:val="5"/>
      <w:u w:val="single"/>
    </w:rPr>
  </w:style>
  <w:style w:type="character" w:customStyle="1" w:styleId="252">
    <w:name w:val="l-btn-icon-left"/>
    <w:basedOn w:val="43"/>
    <w:qFormat/>
    <w:uiPriority w:val="0"/>
  </w:style>
  <w:style w:type="character" w:customStyle="1" w:styleId="253">
    <w:name w:val="l-btn-icon-left1"/>
    <w:basedOn w:val="43"/>
    <w:qFormat/>
    <w:uiPriority w:val="0"/>
  </w:style>
  <w:style w:type="character" w:customStyle="1" w:styleId="254">
    <w:name w:val="l-btn-empty"/>
    <w:basedOn w:val="43"/>
    <w:qFormat/>
    <w:uiPriority w:val="0"/>
  </w:style>
  <w:style w:type="character" w:customStyle="1" w:styleId="255">
    <w:name w:val="l-btn-icon-right"/>
    <w:basedOn w:val="43"/>
    <w:qFormat/>
    <w:uiPriority w:val="0"/>
  </w:style>
  <w:style w:type="character" w:customStyle="1" w:styleId="256">
    <w:name w:val="l-btn-left2"/>
    <w:basedOn w:val="43"/>
    <w:qFormat/>
    <w:uiPriority w:val="0"/>
  </w:style>
  <w:style w:type="character" w:customStyle="1" w:styleId="257">
    <w:name w:val="l-btn-left3"/>
    <w:basedOn w:val="43"/>
    <w:qFormat/>
    <w:uiPriority w:val="0"/>
  </w:style>
  <w:style w:type="character" w:customStyle="1" w:styleId="258">
    <w:name w:val="l-btn-left4"/>
    <w:basedOn w:val="43"/>
    <w:qFormat/>
    <w:uiPriority w:val="0"/>
  </w:style>
  <w:style w:type="character" w:customStyle="1" w:styleId="259">
    <w:name w:val="l-btn-left5"/>
    <w:basedOn w:val="43"/>
    <w:qFormat/>
    <w:uiPriority w:val="0"/>
  </w:style>
  <w:style w:type="character" w:customStyle="1" w:styleId="260">
    <w:name w:val="l-btn-left6"/>
    <w:basedOn w:val="43"/>
    <w:qFormat/>
    <w:uiPriority w:val="0"/>
  </w:style>
  <w:style w:type="character" w:customStyle="1" w:styleId="261">
    <w:name w:val="l-btn-text"/>
    <w:basedOn w:val="43"/>
    <w:qFormat/>
    <w:uiPriority w:val="0"/>
    <w:rPr>
      <w:vertAlign w:val="baseline"/>
    </w:rPr>
  </w:style>
  <w:style w:type="character" w:customStyle="1" w:styleId="262">
    <w:name w:val="l-btn-text1"/>
    <w:basedOn w:val="43"/>
    <w:qFormat/>
    <w:uiPriority w:val="0"/>
    <w:rPr>
      <w:vertAlign w:val="baseline"/>
    </w:rPr>
  </w:style>
  <w:style w:type="character" w:customStyle="1" w:styleId="263">
    <w:name w:val="ajaxtitle"/>
    <w:basedOn w:val="43"/>
    <w:qFormat/>
    <w:uiPriority w:val="0"/>
  </w:style>
  <w:style w:type="character" w:customStyle="1" w:styleId="264">
    <w:name w:val="json_key"/>
    <w:basedOn w:val="43"/>
    <w:qFormat/>
    <w:uiPriority w:val="0"/>
  </w:style>
  <w:style w:type="character" w:customStyle="1" w:styleId="265">
    <w:name w:val="json_string"/>
    <w:basedOn w:val="43"/>
    <w:qFormat/>
    <w:uiPriority w:val="0"/>
  </w:style>
  <w:style w:type="character" w:customStyle="1" w:styleId="266">
    <w:name w:val="标题 2 Char1"/>
    <w:basedOn w:val="43"/>
    <w:semiHidden/>
    <w:qFormat/>
    <w:uiPriority w:val="99"/>
    <w:rPr>
      <w:rFonts w:hint="eastAsia" w:asciiTheme="majorHAnsi" w:hAnsiTheme="majorHAnsi" w:eastAsiaTheme="majorEastAsia" w:cstheme="majorBidi"/>
      <w:b/>
      <w:bCs/>
      <w:kern w:val="2"/>
      <w:sz w:val="32"/>
      <w:szCs w:val="32"/>
    </w:rPr>
  </w:style>
  <w:style w:type="character" w:customStyle="1" w:styleId="267">
    <w:name w:val="标题 3 Char1"/>
    <w:basedOn w:val="43"/>
    <w:semiHidden/>
    <w:qFormat/>
    <w:uiPriority w:val="99"/>
    <w:rPr>
      <w:rFonts w:hint="default" w:ascii="Calibri" w:hAnsi="Calibri"/>
      <w:b/>
      <w:bCs/>
      <w:kern w:val="2"/>
      <w:sz w:val="32"/>
      <w:szCs w:val="32"/>
    </w:rPr>
  </w:style>
  <w:style w:type="character" w:customStyle="1" w:styleId="268">
    <w:name w:val="标题 4 Char1"/>
    <w:basedOn w:val="43"/>
    <w:semiHidden/>
    <w:qFormat/>
    <w:uiPriority w:val="9"/>
    <w:rPr>
      <w:rFonts w:hint="eastAsia" w:asciiTheme="majorHAnsi" w:hAnsiTheme="majorHAnsi" w:eastAsiaTheme="majorEastAsia" w:cstheme="majorBidi"/>
      <w:b/>
      <w:bCs/>
      <w:kern w:val="2"/>
      <w:sz w:val="28"/>
      <w:szCs w:val="28"/>
    </w:rPr>
  </w:style>
  <w:style w:type="character" w:customStyle="1" w:styleId="269">
    <w:name w:val="正文文本缩进 2 Char1"/>
    <w:basedOn w:val="43"/>
    <w:semiHidden/>
    <w:qFormat/>
    <w:uiPriority w:val="99"/>
    <w:rPr>
      <w:rFonts w:hint="default" w:ascii="Calibri" w:hAnsi="Calibri" w:cs="Calibri"/>
      <w:kern w:val="2"/>
      <w:sz w:val="21"/>
      <w:szCs w:val="22"/>
    </w:rPr>
  </w:style>
  <w:style w:type="character" w:customStyle="1" w:styleId="270">
    <w:name w:val="正文文本缩进 Char1"/>
    <w:basedOn w:val="43"/>
    <w:semiHidden/>
    <w:qFormat/>
    <w:uiPriority w:val="99"/>
    <w:rPr>
      <w:rFonts w:hint="default" w:ascii="Calibri" w:hAnsi="Calibri" w:cs="Calibri"/>
      <w:kern w:val="2"/>
      <w:sz w:val="21"/>
      <w:szCs w:val="22"/>
    </w:rPr>
  </w:style>
  <w:style w:type="character" w:customStyle="1" w:styleId="271">
    <w:name w:val="正文文本 3 Char1"/>
    <w:basedOn w:val="43"/>
    <w:semiHidden/>
    <w:qFormat/>
    <w:uiPriority w:val="99"/>
    <w:rPr>
      <w:rFonts w:hint="default" w:ascii="Calibri" w:hAnsi="Calibri" w:cs="Calibri"/>
      <w:kern w:val="2"/>
      <w:sz w:val="16"/>
      <w:szCs w:val="16"/>
    </w:rPr>
  </w:style>
  <w:style w:type="character" w:customStyle="1" w:styleId="272">
    <w:name w:val="正文文本缩进 3 Char1"/>
    <w:basedOn w:val="43"/>
    <w:semiHidden/>
    <w:qFormat/>
    <w:uiPriority w:val="99"/>
    <w:rPr>
      <w:rFonts w:hint="default" w:ascii="Calibri" w:hAnsi="Calibri" w:cs="Calibri"/>
      <w:kern w:val="2"/>
      <w:sz w:val="16"/>
      <w:szCs w:val="16"/>
    </w:rPr>
  </w:style>
  <w:style w:type="character" w:customStyle="1" w:styleId="273">
    <w:name w:val="批注框文本 Char1"/>
    <w:basedOn w:val="43"/>
    <w:semiHidden/>
    <w:qFormat/>
    <w:uiPriority w:val="99"/>
    <w:rPr>
      <w:rFonts w:hint="default" w:ascii="Calibri" w:hAnsi="Calibri" w:cs="Calibri"/>
      <w:kern w:val="2"/>
      <w:sz w:val="18"/>
      <w:szCs w:val="18"/>
    </w:rPr>
  </w:style>
  <w:style w:type="character" w:customStyle="1" w:styleId="274">
    <w:name w:val="文档结构图 Char1"/>
    <w:basedOn w:val="43"/>
    <w:semiHidden/>
    <w:qFormat/>
    <w:uiPriority w:val="99"/>
    <w:rPr>
      <w:rFonts w:hint="eastAsia" w:ascii="宋体" w:hAnsi="Calibri" w:eastAsia="宋体"/>
      <w:kern w:val="2"/>
      <w:sz w:val="18"/>
      <w:szCs w:val="18"/>
    </w:rPr>
  </w:style>
  <w:style w:type="character" w:customStyle="1" w:styleId="275">
    <w:name w:val="页眉 Char1"/>
    <w:basedOn w:val="43"/>
    <w:semiHidden/>
    <w:qFormat/>
    <w:uiPriority w:val="99"/>
    <w:rPr>
      <w:rFonts w:hint="default" w:ascii="Calibri" w:hAnsi="Calibri" w:cs="Calibri"/>
      <w:kern w:val="2"/>
      <w:sz w:val="18"/>
      <w:szCs w:val="18"/>
    </w:rPr>
  </w:style>
  <w:style w:type="character" w:customStyle="1" w:styleId="276">
    <w:name w:val="日期 Char1"/>
    <w:basedOn w:val="43"/>
    <w:semiHidden/>
    <w:qFormat/>
    <w:uiPriority w:val="99"/>
    <w:rPr>
      <w:rFonts w:hint="default" w:ascii="Calibri" w:hAnsi="Calibri" w:cs="Calibri"/>
      <w:kern w:val="2"/>
      <w:sz w:val="21"/>
      <w:szCs w:val="22"/>
    </w:rPr>
  </w:style>
  <w:style w:type="character" w:customStyle="1" w:styleId="277">
    <w:name w:val="正文文本 Char3"/>
    <w:basedOn w:val="43"/>
    <w:qFormat/>
    <w:uiPriority w:val="99"/>
    <w:rPr>
      <w:rFonts w:hint="default" w:ascii="Calibri" w:hAnsi="Calibri" w:cs="Calibri"/>
      <w:kern w:val="2"/>
      <w:sz w:val="21"/>
      <w:szCs w:val="22"/>
    </w:rPr>
  </w:style>
  <w:style w:type="character" w:customStyle="1" w:styleId="278">
    <w:name w:val="纯文本 Char2"/>
    <w:basedOn w:val="43"/>
    <w:qFormat/>
    <w:uiPriority w:val="99"/>
    <w:rPr>
      <w:rFonts w:hint="eastAsia" w:ascii="宋体" w:hAnsi="Courier New" w:eastAsia="宋体" w:cs="Courier New"/>
      <w:kern w:val="2"/>
      <w:sz w:val="21"/>
      <w:szCs w:val="21"/>
    </w:rPr>
  </w:style>
  <w:style w:type="character" w:customStyle="1" w:styleId="279">
    <w:name w:val="正文首行缩进 Char1"/>
    <w:basedOn w:val="277"/>
    <w:semiHidden/>
    <w:qFormat/>
    <w:uiPriority w:val="99"/>
    <w:rPr>
      <w:rFonts w:hint="default" w:ascii="Calibri" w:hAnsi="Calibri" w:cs="Calibri"/>
      <w:kern w:val="2"/>
      <w:sz w:val="21"/>
      <w:szCs w:val="22"/>
    </w:rPr>
  </w:style>
  <w:style w:type="character" w:customStyle="1" w:styleId="280">
    <w:name w:val="正文文本 2 Char1"/>
    <w:basedOn w:val="43"/>
    <w:semiHidden/>
    <w:qFormat/>
    <w:uiPriority w:val="99"/>
    <w:rPr>
      <w:rFonts w:hint="default" w:ascii="Calibri" w:hAnsi="Calibri" w:cs="Calibri"/>
      <w:kern w:val="2"/>
      <w:sz w:val="21"/>
      <w:szCs w:val="22"/>
    </w:rPr>
  </w:style>
  <w:style w:type="character" w:customStyle="1" w:styleId="281">
    <w:name w:val="副标题 Char2"/>
    <w:basedOn w:val="43"/>
    <w:qFormat/>
    <w:uiPriority w:val="11"/>
    <w:rPr>
      <w:rFonts w:hint="eastAsia" w:eastAsia="等线 Light" w:asciiTheme="majorHAnsi" w:hAnsiTheme="majorHAnsi" w:cstheme="majorBidi"/>
      <w:b/>
      <w:bCs/>
      <w:kern w:val="28"/>
      <w:sz w:val="32"/>
      <w:szCs w:val="32"/>
    </w:rPr>
  </w:style>
  <w:style w:type="character" w:customStyle="1" w:styleId="282">
    <w:name w:val="font61"/>
    <w:qFormat/>
    <w:uiPriority w:val="0"/>
    <w:rPr>
      <w:rFonts w:hint="eastAsia" w:ascii="仿宋_GB2312" w:eastAsia="仿宋_GB2312" w:cs="仿宋_GB2312"/>
      <w:color w:val="000000"/>
      <w:sz w:val="24"/>
      <w:szCs w:val="24"/>
      <w:u w:val="none"/>
    </w:rPr>
  </w:style>
  <w:style w:type="character" w:customStyle="1" w:styleId="283">
    <w:name w:val="font31"/>
    <w:qFormat/>
    <w:uiPriority w:val="0"/>
    <w:rPr>
      <w:rFonts w:hint="eastAsia" w:ascii="宋体" w:hAnsi="宋体" w:eastAsia="宋体" w:cs="宋体"/>
      <w:color w:val="FF0000"/>
      <w:sz w:val="24"/>
      <w:szCs w:val="24"/>
      <w:u w:val="none"/>
    </w:rPr>
  </w:style>
  <w:style w:type="character" w:customStyle="1" w:styleId="284">
    <w:name w:val="font221"/>
    <w:qFormat/>
    <w:uiPriority w:val="0"/>
    <w:rPr>
      <w:rFonts w:hint="eastAsia" w:ascii="宋体" w:hAnsi="宋体" w:eastAsia="宋体" w:cs="宋体"/>
      <w:color w:val="000000"/>
      <w:sz w:val="24"/>
      <w:szCs w:val="24"/>
      <w:u w:val="none"/>
    </w:rPr>
  </w:style>
  <w:style w:type="character" w:customStyle="1" w:styleId="285">
    <w:name w:val="font121"/>
    <w:basedOn w:val="43"/>
    <w:qFormat/>
    <w:uiPriority w:val="0"/>
    <w:rPr>
      <w:rFonts w:hint="eastAsia" w:ascii="宋体" w:hAnsi="宋体" w:eastAsia="宋体" w:cs="宋体"/>
      <w:color w:val="000000"/>
      <w:sz w:val="22"/>
      <w:szCs w:val="22"/>
      <w:u w:val="none"/>
    </w:rPr>
  </w:style>
  <w:style w:type="character" w:customStyle="1" w:styleId="286">
    <w:name w:val="font41"/>
    <w:basedOn w:val="43"/>
    <w:qFormat/>
    <w:uiPriority w:val="0"/>
    <w:rPr>
      <w:rFonts w:hint="eastAsia" w:ascii="宋体" w:hAnsi="宋体" w:eastAsia="宋体" w:cs="宋体"/>
      <w:b/>
      <w:color w:val="000000"/>
      <w:sz w:val="22"/>
      <w:szCs w:val="22"/>
      <w:u w:val="none"/>
    </w:rPr>
  </w:style>
  <w:style w:type="character" w:customStyle="1" w:styleId="287">
    <w:name w:val="font71"/>
    <w:basedOn w:val="43"/>
    <w:qFormat/>
    <w:uiPriority w:val="0"/>
    <w:rPr>
      <w:rFonts w:hint="eastAsia" w:ascii="宋体" w:hAnsi="宋体" w:eastAsia="宋体" w:cs="宋体"/>
      <w:color w:val="0D0D0D"/>
      <w:sz w:val="22"/>
      <w:szCs w:val="22"/>
      <w:u w:val="none"/>
    </w:rPr>
  </w:style>
  <w:style w:type="character" w:customStyle="1" w:styleId="288">
    <w:name w:val="qowt-font2"/>
    <w:basedOn w:val="43"/>
    <w:qFormat/>
    <w:uiPriority w:val="0"/>
  </w:style>
  <w:style w:type="character" w:customStyle="1" w:styleId="289">
    <w:name w:val="font91"/>
    <w:qFormat/>
    <w:uiPriority w:val="0"/>
    <w:rPr>
      <w:rFonts w:hint="eastAsia" w:ascii="宋体" w:hAnsi="宋体" w:eastAsia="宋体" w:cs="宋体"/>
      <w:color w:val="000000"/>
      <w:sz w:val="20"/>
      <w:szCs w:val="20"/>
      <w:u w:val="none"/>
      <w:vertAlign w:val="superscript"/>
    </w:rPr>
  </w:style>
  <w:style w:type="table" w:customStyle="1" w:styleId="290">
    <w:name w:val="网格型2"/>
    <w:basedOn w:val="48"/>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1">
    <w:name w:val="标题 1 字符1"/>
    <w:basedOn w:val="43"/>
    <w:qFormat/>
    <w:uiPriority w:val="0"/>
    <w:rPr>
      <w:rFonts w:eastAsia="宋体" w:cs="Times New Roman"/>
      <w:b/>
      <w:bCs/>
      <w:kern w:val="44"/>
      <w:sz w:val="44"/>
      <w:szCs w:val="44"/>
    </w:rPr>
  </w:style>
  <w:style w:type="character" w:customStyle="1" w:styleId="292">
    <w:name w:val="标题 2 字符1"/>
    <w:basedOn w:val="43"/>
    <w:semiHidden/>
    <w:qFormat/>
    <w:uiPriority w:val="9"/>
    <w:rPr>
      <w:rFonts w:asciiTheme="majorHAnsi" w:hAnsiTheme="majorHAnsi" w:eastAsiaTheme="majorEastAsia" w:cstheme="majorBidi"/>
      <w:b/>
      <w:bCs/>
      <w:kern w:val="2"/>
      <w:sz w:val="32"/>
      <w:szCs w:val="32"/>
    </w:rPr>
  </w:style>
  <w:style w:type="character" w:customStyle="1" w:styleId="293">
    <w:name w:val="标题 3 字符1"/>
    <w:basedOn w:val="43"/>
    <w:semiHidden/>
    <w:qFormat/>
    <w:uiPriority w:val="9"/>
    <w:rPr>
      <w:rFonts w:eastAsia="宋体" w:cs="Times New Roman"/>
      <w:b/>
      <w:bCs/>
      <w:kern w:val="2"/>
      <w:sz w:val="32"/>
      <w:szCs w:val="32"/>
    </w:rPr>
  </w:style>
  <w:style w:type="character" w:customStyle="1" w:styleId="294">
    <w:name w:val="批注文字 Char"/>
    <w:basedOn w:val="43"/>
    <w:semiHidden/>
    <w:qFormat/>
    <w:uiPriority w:val="99"/>
    <w:rPr>
      <w:rFonts w:ascii="Calibri" w:hAnsi="Calibri" w:eastAsia="宋体" w:cs="Times New Roman"/>
    </w:rPr>
  </w:style>
  <w:style w:type="paragraph" w:customStyle="1" w:styleId="295">
    <w:name w:val="修订4"/>
    <w:semiHidden/>
    <w:qFormat/>
    <w:uiPriority w:val="99"/>
    <w:rPr>
      <w:rFonts w:ascii="Calibri" w:hAnsi="Calibri" w:eastAsia="宋体" w:cs="Times New Roman"/>
      <w:kern w:val="2"/>
      <w:sz w:val="21"/>
      <w:szCs w:val="22"/>
      <w:lang w:val="en-US" w:eastAsia="zh-CN" w:bidi="ar-SA"/>
    </w:rPr>
  </w:style>
  <w:style w:type="paragraph" w:customStyle="1" w:styleId="296">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character" w:customStyle="1" w:styleId="297">
    <w:name w:val="正文文本 Char2"/>
    <w:basedOn w:val="43"/>
    <w:qFormat/>
    <w:locked/>
    <w:uiPriority w:val="99"/>
    <w:rPr>
      <w:rFonts w:hint="default" w:ascii="Times New Roman" w:hAnsi="Times New Roman" w:eastAsia="宋体" w:cs="Times New Roman"/>
      <w:kern w:val="0"/>
      <w:sz w:val="20"/>
      <w:szCs w:val="20"/>
    </w:rPr>
  </w:style>
  <w:style w:type="character" w:customStyle="1" w:styleId="298">
    <w:name w:val="p121"/>
    <w:qFormat/>
    <w:uiPriority w:val="0"/>
    <w:rPr>
      <w:sz w:val="24"/>
    </w:rPr>
  </w:style>
  <w:style w:type="paragraph" w:customStyle="1" w:styleId="299">
    <w:name w:val="列表段落1"/>
    <w:basedOn w:val="1"/>
    <w:qFormat/>
    <w:uiPriority w:val="99"/>
    <w:pPr>
      <w:ind w:firstLine="420" w:firstLineChars="200"/>
    </w:pPr>
    <w:rPr>
      <w:rFonts w:ascii="宋体" w:hAnsi="宋体" w:cs="宋体"/>
      <w:sz w:val="28"/>
      <w:szCs w:val="28"/>
    </w:rPr>
  </w:style>
  <w:style w:type="character" w:customStyle="1" w:styleId="300">
    <w:name w:val="AnnotationReference"/>
    <w:qFormat/>
    <w:uiPriority w:val="0"/>
    <w:rPr>
      <w:sz w:val="21"/>
      <w:szCs w:val="21"/>
    </w:rPr>
  </w:style>
  <w:style w:type="paragraph" w:customStyle="1" w:styleId="301">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302">
    <w:name w:val="Heading3"/>
    <w:basedOn w:val="1"/>
    <w:next w:val="1"/>
    <w:link w:val="303"/>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303">
    <w:name w:val="UserStyle_4"/>
    <w:link w:val="302"/>
    <w:qFormat/>
    <w:uiPriority w:val="0"/>
    <w:rPr>
      <w:rFonts w:ascii="宋体" w:hAnsi="宋体" w:eastAsia="宋体" w:cs="宋体"/>
      <w:b/>
      <w:bCs/>
      <w:kern w:val="0"/>
      <w:sz w:val="27"/>
      <w:szCs w:val="27"/>
    </w:rPr>
  </w:style>
  <w:style w:type="paragraph" w:customStyle="1" w:styleId="304">
    <w:name w:val="_Style 48"/>
    <w:basedOn w:val="1"/>
    <w:qFormat/>
    <w:uiPriority w:val="0"/>
    <w:pPr>
      <w:ind w:firstLine="420" w:firstLineChars="200"/>
    </w:pPr>
    <w:rPr>
      <w:rFonts w:ascii="宋体" w:hAnsi="宋体" w:cs="宋体"/>
      <w:sz w:val="28"/>
      <w:szCs w:val="28"/>
    </w:rPr>
  </w:style>
  <w:style w:type="character" w:customStyle="1" w:styleId="305">
    <w:name w:val="font101"/>
    <w:basedOn w:val="43"/>
    <w:qFormat/>
    <w:uiPriority w:val="0"/>
    <w:rPr>
      <w:rFonts w:hint="eastAsia" w:ascii="宋体" w:hAnsi="宋体" w:eastAsia="宋体" w:cs="宋体"/>
      <w:color w:val="FF0000"/>
      <w:sz w:val="18"/>
      <w:szCs w:val="18"/>
      <w:u w:val="none"/>
    </w:rPr>
  </w:style>
  <w:style w:type="character" w:customStyle="1" w:styleId="306">
    <w:name w:val="font51"/>
    <w:basedOn w:val="43"/>
    <w:qFormat/>
    <w:uiPriority w:val="0"/>
    <w:rPr>
      <w:rFonts w:ascii="Calibri" w:hAnsi="Calibri" w:cs="Calibri"/>
      <w:color w:val="000000"/>
      <w:sz w:val="21"/>
      <w:szCs w:val="21"/>
      <w:u w:val="none"/>
    </w:rPr>
  </w:style>
  <w:style w:type="paragraph" w:customStyle="1" w:styleId="307">
    <w:name w:val="Table Paragraph"/>
    <w:basedOn w:val="1"/>
    <w:qFormat/>
    <w:uiPriority w:val="1"/>
    <w:pPr>
      <w:ind w:firstLine="560" w:firstLineChars="200"/>
    </w:pPr>
    <w:rPr>
      <w:rFonts w:ascii="宋体" w:hAnsi="宋体" w:cs="宋体"/>
      <w:sz w:val="28"/>
      <w:szCs w:val="28"/>
      <w:lang w:val="zh-CN" w:bidi="zh-CN"/>
    </w:rPr>
  </w:style>
  <w:style w:type="character" w:customStyle="1" w:styleId="308">
    <w:name w:val="表格文字 字符"/>
    <w:basedOn w:val="43"/>
    <w:link w:val="96"/>
    <w:qFormat/>
    <w:uiPriority w:val="0"/>
    <w:rPr>
      <w:rFonts w:ascii="Times New (W1)" w:hAnsi="Times New (W1)" w:eastAsia="宋体" w:cs="Times New Roman"/>
      <w:spacing w:val="10"/>
      <w:szCs w:val="24"/>
    </w:rPr>
  </w:style>
  <w:style w:type="paragraph" w:customStyle="1" w:styleId="30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FE2AB-AC03-4BD3-9C3B-0A48DC456D0A}">
  <ds:schemaRefs/>
</ds:datastoreItem>
</file>

<file path=docProps/app.xml><?xml version="1.0" encoding="utf-8"?>
<Properties xmlns="http://schemas.openxmlformats.org/officeDocument/2006/extended-properties" xmlns:vt="http://schemas.openxmlformats.org/officeDocument/2006/docPropsVTypes">
  <Template>Normal</Template>
  <Pages>97</Pages>
  <Words>6099</Words>
  <Characters>34770</Characters>
  <Lines>289</Lines>
  <Paragraphs>81</Paragraphs>
  <ScaleCrop>false</ScaleCrop>
  <LinksUpToDate>false</LinksUpToDate>
  <CharactersWithSpaces>40788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2021-07-20T07:28:00Z</dcterms:created>
  <dc:creator>高文豪</dc:creator>
  <cp:lastModifiedBy>Lenovo</cp:lastModifiedBy>
  <cp:lastPrinted>2021-07-07T01:08:00Z</cp:lastPrinted>
  <dcterms:modified xsi:type="dcterms:W3CDTF">2021-08-02T02:42:41Z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