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采购结果确认谈判工作组成员名单：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360795"/>
            <wp:effectExtent l="0" t="0" r="6985" b="1905"/>
            <wp:docPr id="2" name="图片 2" descr="167815216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1521643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611620"/>
            <wp:effectExtent l="0" t="0" r="5715" b="17780"/>
            <wp:docPr id="1" name="图片 1" descr="167815386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1538629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2.中标人名称：中国核工业第二二建设有限公司（牵头人），地址</w:t>
      </w:r>
      <w:r>
        <w:rPr>
          <w:rFonts w:hint="eastAsia"/>
          <w:lang w:eastAsia="zh-CN"/>
        </w:rPr>
        <w:t>：</w:t>
      </w:r>
      <w:r>
        <w:rPr>
          <w:rFonts w:hint="eastAsia"/>
        </w:rPr>
        <w:t>湖北省宜昌市夷陵区望江路1号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法定代表人：李成富</w:t>
      </w:r>
      <w:r>
        <w:rPr>
          <w:rFonts w:hint="eastAsia"/>
          <w:lang w:eastAsia="zh-CN"/>
        </w:rPr>
        <w:t>；</w:t>
      </w:r>
      <w:r>
        <w:rPr>
          <w:rFonts w:hint="eastAsia"/>
        </w:rPr>
        <w:t>成员名称：武汉名恒工程设计咨询有限公司，地址：武昌区徐家棚街三角路村福星惠誉水岸国际第1幢/单元17层11号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法定代表人：谢绍学</w:t>
      </w:r>
      <w:r>
        <w:rPr>
          <w:rFonts w:hint="eastAsia"/>
          <w:lang w:eastAsia="zh-CN"/>
        </w:rPr>
        <w:t>；</w:t>
      </w:r>
      <w:r>
        <w:rPr>
          <w:rFonts w:hint="eastAsia"/>
        </w:rPr>
        <w:t>中核华纬工程设计研究有限公司</w:t>
      </w:r>
      <w:r>
        <w:rPr>
          <w:rFonts w:hint="eastAsia"/>
          <w:lang w:eastAsia="zh-CN"/>
        </w:rPr>
        <w:t>，</w:t>
      </w:r>
      <w:r>
        <w:rPr>
          <w:rFonts w:hint="eastAsia"/>
        </w:rPr>
        <w:t>地址：江苏省南京市建邺区云龙山路79号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法定代表人：常江</w:t>
      </w:r>
    </w:p>
    <w:p>
      <w:pPr>
        <w:rPr>
          <w:rFonts w:hint="eastAsia"/>
        </w:rPr>
      </w:pPr>
      <w:r>
        <w:rPr>
          <w:rFonts w:hint="eastAsia"/>
        </w:rPr>
        <w:t>3.中标社会资本主要中标信息：</w:t>
      </w:r>
    </w:p>
    <w:p>
      <w:pPr>
        <w:rPr>
          <w:rFonts w:hint="eastAsia"/>
        </w:rPr>
      </w:pPr>
      <w:r>
        <w:rPr>
          <w:rFonts w:hint="eastAsia"/>
        </w:rPr>
        <w:t>建筑安装工程费下浮优惠率：1.02%；</w:t>
      </w:r>
    </w:p>
    <w:p>
      <w:pPr>
        <w:rPr>
          <w:rFonts w:hint="eastAsia"/>
        </w:rPr>
      </w:pPr>
      <w:r>
        <w:rPr>
          <w:rFonts w:hint="eastAsia"/>
        </w:rPr>
        <w:t>投资回报率：7.14%；</w:t>
      </w:r>
    </w:p>
    <w:p>
      <w:pPr>
        <w:rPr>
          <w:rFonts w:hint="eastAsia"/>
        </w:rPr>
      </w:pPr>
      <w:r>
        <w:rPr>
          <w:rFonts w:hint="eastAsia"/>
        </w:rPr>
        <w:t xml:space="preserve">融资利率以当期公布的5年期以上贷款市场报价利率（LPR）为基准加基点个数：120个基点； </w:t>
      </w:r>
    </w:p>
    <w:p>
      <w:pPr>
        <w:rPr>
          <w:rFonts w:hint="eastAsia"/>
        </w:rPr>
      </w:pPr>
      <w:r>
        <w:rPr>
          <w:rFonts w:hint="eastAsia"/>
        </w:rPr>
        <w:t>首年运营维护成本：835.00 万元</w:t>
      </w:r>
    </w:p>
    <w:p>
      <w:pPr>
        <w:rPr>
          <w:rFonts w:hint="eastAsia"/>
        </w:rPr>
      </w:pPr>
      <w:r>
        <w:rPr>
          <w:rFonts w:hint="eastAsia"/>
        </w:rPr>
        <w:t>项目合作期限：23 年，其中：建设期 3 年，运营期 20 年。</w:t>
      </w:r>
    </w:p>
    <w:p>
      <w:pPr>
        <w:rPr>
          <w:rFonts w:hint="eastAsia"/>
        </w:rPr>
      </w:pPr>
      <w:r>
        <w:rPr>
          <w:rFonts w:hint="eastAsia"/>
        </w:rPr>
        <w:t>建设期：自项目开工日起至项目交工/竣工验收合格日止。</w:t>
      </w:r>
    </w:p>
    <w:p>
      <w:pPr>
        <w:rPr>
          <w:rFonts w:hint="eastAsia"/>
        </w:rPr>
      </w:pPr>
      <w:r>
        <w:rPr>
          <w:rFonts w:hint="eastAsia"/>
        </w:rPr>
        <w:t>运营期：自项目交工/竣工验收合格次日起 20 年。</w:t>
      </w:r>
    </w:p>
    <w:p>
      <w:pPr>
        <w:rPr>
          <w:rFonts w:hint="eastAsia"/>
        </w:rPr>
      </w:pPr>
      <w:r>
        <w:rPr>
          <w:rFonts w:hint="eastAsia"/>
        </w:rPr>
        <w:t>项目回报机制：本项目采用“可行性缺口补助”的回报机制。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4.项目概况：本项目包括门诊医技综合楼、住院楼、高压氧舱，设置床位 640 张；本项目建设内容不包括医疗设备的采购，医疗设备的购置由院方负责。配套建设室内给排水系统、消防安全系统、配电及动力照明系统、通讯和计算机系统、通风空调 系统、避雷系统、安防系统、标识引导系统、地面硬化、绿化、围墙、大门、室外给排水、室外照明等设施，同时确保二期建成投入使用前一期能够独立运营，配套建设污水处理站、液氧站、食堂、餐厅、洗衣房、倒班宿舍等工程，以便尽早发挥一期工程投资效益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mNmY3ZDVjYzNiNjE5ODNhMWJhZjFlZDkyZDY5ODEifQ=="/>
    <w:docVar w:name="KSO_WPS_MARK_KEY" w:val="aa1b525e-818d-4e3e-a2db-783e0c30272e"/>
  </w:docVars>
  <w:rsids>
    <w:rsidRoot w:val="53773AD6"/>
    <w:rsid w:val="1D101AB5"/>
    <w:rsid w:val="2EBA280F"/>
    <w:rsid w:val="5377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591</Words>
  <Characters>620</Characters>
  <Lines>0</Lines>
  <Paragraphs>0</Paragraphs>
  <TotalTime>5</TotalTime>
  <ScaleCrop>false</ScaleCrop>
  <LinksUpToDate>false</LinksUpToDate>
  <CharactersWithSpaces>632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2023-03-07T01:21:00Z</dcterms:created>
  <dc:creator>NTKO</dc:creator>
  <cp:lastModifiedBy>NTKO</cp:lastModifiedBy>
  <dcterms:modified xsi:type="dcterms:W3CDTF">2023-03-07T01:51:12Z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1BB64D9C0D064595AF0A055FA9BF29EC</vt:lpwstr>
  </property>
</Properties>
</file>