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360" w:lineRule="auto"/>
        <w:jc w:val="center"/>
        <w:rPr>
          <w:b/>
          <w:bCs/>
          <w:color w:val="auto"/>
          <w:sz w:val="30"/>
          <w:szCs w:val="30"/>
        </w:rPr>
      </w:pPr>
      <w:bookmarkStart w:id="0" w:name="_Toc24402"/>
      <w:r>
        <w:rPr>
          <w:rFonts w:hint="eastAsia"/>
          <w:b/>
          <w:bCs/>
          <w:color w:val="auto"/>
          <w:sz w:val="30"/>
          <w:szCs w:val="30"/>
        </w:rPr>
        <w:t>项目采购需求</w:t>
      </w:r>
      <w:bookmarkEnd w:id="0"/>
    </w:p>
    <w:p>
      <w:pPr>
        <w:pStyle w:val="9"/>
        <w:spacing w:before="0" w:beforeAutospacing="0" w:after="0" w:afterAutospacing="0" w:line="360" w:lineRule="auto"/>
        <w:rPr>
          <w:rFonts w:hint="eastAsia"/>
          <w:b/>
          <w:bCs/>
          <w:color w:val="auto"/>
        </w:rPr>
      </w:pPr>
      <w:r>
        <w:rPr>
          <w:b/>
          <w:bCs/>
          <w:color w:val="auto"/>
        </w:rPr>
        <w:t>一、</w:t>
      </w:r>
      <w:r>
        <w:rPr>
          <w:rFonts w:hint="eastAsia"/>
          <w:b/>
          <w:bCs/>
          <w:color w:val="auto"/>
        </w:rPr>
        <w:t>项目背景</w:t>
      </w:r>
    </w:p>
    <w:p>
      <w:pPr>
        <w:pStyle w:val="9"/>
        <w:spacing w:before="0" w:beforeAutospacing="0" w:after="0" w:afterAutospacing="0" w:line="360" w:lineRule="auto"/>
        <w:ind w:firstLine="480" w:firstLineChars="200"/>
        <w:rPr>
          <w:color w:val="auto"/>
        </w:rPr>
      </w:pPr>
      <w:r>
        <w:rPr>
          <w:rFonts w:hint="eastAsia"/>
          <w:color w:val="auto"/>
        </w:rPr>
        <w:t>为贯彻落实《中共中央国务院关于坚持农业农村优先发展做好“三农”工作的若干意见》（中发[2019]1 号）、《关于进一步做好农村不动产确权登记工作的通知》（自然资登记函〔2019〕6 号）、《广西壮族自治区自然资源厅关于进一步做好农村不动产确权登记工作的通知》（桂自然资发〔2019〕57号）等文件的相关要求，因地制宜开展农村不动产权籍调查，包括宅基地、集体建设用地及其地上房屋等建筑物、构筑物的权籍调查，支撑和保障宅基地和集体建设用地使用权确权登记发证工作，为全面推进农村不动产统一登记打下坚实基础。</w:t>
      </w:r>
    </w:p>
    <w:p>
      <w:pPr>
        <w:pStyle w:val="9"/>
        <w:spacing w:before="0" w:beforeAutospacing="0" w:after="0" w:afterAutospacing="0" w:line="360" w:lineRule="auto"/>
        <w:rPr>
          <w:rFonts w:hint="eastAsia"/>
          <w:color w:val="auto"/>
        </w:rPr>
      </w:pPr>
      <w:r>
        <w:rPr>
          <w:rFonts w:hint="eastAsia"/>
          <w:b/>
          <w:bCs/>
          <w:color w:val="auto"/>
        </w:rPr>
        <w:t>二、项目要求</w:t>
      </w:r>
    </w:p>
    <w:tbl>
      <w:tblPr>
        <w:tblStyle w:val="11"/>
        <w:tblW w:w="9168" w:type="dxa"/>
        <w:tblInd w:w="187" w:type="dxa"/>
        <w:tblLayout w:type="fixed"/>
        <w:tblCellMar>
          <w:top w:w="0" w:type="dxa"/>
          <w:left w:w="108" w:type="dxa"/>
          <w:bottom w:w="0" w:type="dxa"/>
          <w:right w:w="108" w:type="dxa"/>
        </w:tblCellMar>
      </w:tblPr>
      <w:tblGrid>
        <w:gridCol w:w="1280"/>
        <w:gridCol w:w="5970"/>
        <w:gridCol w:w="1918"/>
      </w:tblGrid>
      <w:tr>
        <w:tblPrEx>
          <w:tblLayout w:type="fixed"/>
          <w:tblCellMar>
            <w:top w:w="0" w:type="dxa"/>
            <w:left w:w="108" w:type="dxa"/>
            <w:bottom w:w="0" w:type="dxa"/>
            <w:right w:w="108" w:type="dxa"/>
          </w:tblCellMar>
        </w:tblPrEx>
        <w:trPr>
          <w:trHeight w:val="560" w:hRule="atLeast"/>
        </w:trPr>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rPr>
            </w:pPr>
            <w:r>
              <w:rPr>
                <w:rFonts w:hint="eastAsia" w:ascii="宋体" w:hAnsi="宋体" w:cs="宋体"/>
                <w:color w:val="auto"/>
                <w:kern w:val="0"/>
                <w:sz w:val="24"/>
              </w:rPr>
              <w:t>名称</w:t>
            </w:r>
          </w:p>
        </w:tc>
        <w:tc>
          <w:tcPr>
            <w:tcW w:w="597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24"/>
              </w:rPr>
            </w:pPr>
            <w:r>
              <w:rPr>
                <w:rFonts w:hint="eastAsia" w:ascii="宋体" w:hAnsi="宋体" w:cs="宋体"/>
                <w:color w:val="auto"/>
                <w:kern w:val="0"/>
                <w:sz w:val="24"/>
              </w:rPr>
              <w:t>建设内容</w:t>
            </w:r>
          </w:p>
        </w:tc>
        <w:tc>
          <w:tcPr>
            <w:tcW w:w="191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24"/>
              </w:rPr>
            </w:pPr>
            <w:r>
              <w:rPr>
                <w:rFonts w:hint="eastAsia" w:ascii="宋体" w:hAnsi="宋体" w:cs="宋体"/>
                <w:color w:val="auto"/>
                <w:kern w:val="0"/>
                <w:sz w:val="24"/>
              </w:rPr>
              <w:t>数据量（户）</w:t>
            </w:r>
          </w:p>
        </w:tc>
      </w:tr>
      <w:tr>
        <w:tblPrEx>
          <w:tblLayout w:type="fixed"/>
          <w:tblCellMar>
            <w:top w:w="0" w:type="dxa"/>
            <w:left w:w="108" w:type="dxa"/>
            <w:bottom w:w="0" w:type="dxa"/>
            <w:right w:w="108" w:type="dxa"/>
          </w:tblCellMar>
        </w:tblPrEx>
        <w:trPr>
          <w:trHeight w:val="1400" w:hRule="atLeast"/>
        </w:trPr>
        <w:tc>
          <w:tcPr>
            <w:tcW w:w="128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 w:val="24"/>
              </w:rPr>
            </w:pPr>
            <w:r>
              <w:rPr>
                <w:rFonts w:hint="eastAsia" w:ascii="宋体" w:hAnsi="宋体" w:cs="宋体"/>
                <w:color w:val="auto"/>
                <w:kern w:val="0"/>
                <w:sz w:val="24"/>
              </w:rPr>
              <w:t>鹿寨县农村不动产确权登记项目（鹿寨镇、中渡镇、平山镇）</w:t>
            </w:r>
          </w:p>
        </w:tc>
        <w:tc>
          <w:tcPr>
            <w:tcW w:w="5970" w:type="dxa"/>
            <w:tcBorders>
              <w:top w:val="nil"/>
              <w:left w:val="nil"/>
              <w:bottom w:val="single" w:color="auto" w:sz="4" w:space="0"/>
              <w:right w:val="single" w:color="auto" w:sz="4" w:space="0"/>
            </w:tcBorders>
            <w:vAlign w:val="center"/>
          </w:tcPr>
          <w:p>
            <w:pPr>
              <w:rPr>
                <w:rFonts w:ascii="宋体" w:hAnsi="宋体" w:cs="宋体"/>
                <w:color w:val="auto"/>
                <w:kern w:val="0"/>
                <w:sz w:val="24"/>
              </w:rPr>
            </w:pPr>
            <w:r>
              <w:rPr>
                <w:rFonts w:hint="eastAsia" w:ascii="宋体" w:hAnsi="宋体" w:cs="宋体"/>
                <w:color w:val="auto"/>
                <w:kern w:val="0"/>
                <w:sz w:val="24"/>
              </w:rPr>
              <w:t>对鹿寨镇、中渡镇、平山镇宅基地及地上房屋均未开展过权籍调查的农宅，根据现行不动产权籍调查相关规范、标准，包括不动产测量、调查核实宗地和房屋的权属情况、实地指界；同时绘制宗地图（分宗房产图）等，并公示权属结果、填写不动产权籍调查表和不动产登记申请表，打印及发放证书等。</w:t>
            </w:r>
          </w:p>
        </w:tc>
        <w:tc>
          <w:tcPr>
            <w:tcW w:w="1918" w:type="dxa"/>
            <w:tcBorders>
              <w:top w:val="nil"/>
              <w:left w:val="nil"/>
              <w:bottom w:val="single" w:color="auto" w:sz="4" w:space="0"/>
              <w:right w:val="single" w:color="auto" w:sz="4" w:space="0"/>
            </w:tcBorders>
            <w:vAlign w:val="center"/>
          </w:tcPr>
          <w:p>
            <w:pPr>
              <w:jc w:val="center"/>
              <w:rPr>
                <w:rFonts w:ascii="宋体" w:hAnsi="宋体" w:cs="宋体"/>
                <w:color w:val="auto"/>
                <w:kern w:val="0"/>
                <w:sz w:val="24"/>
              </w:rPr>
            </w:pPr>
            <w:r>
              <w:rPr>
                <w:rFonts w:hint="eastAsia" w:ascii="宋体" w:hAnsi="宋体" w:cs="宋体"/>
                <w:color w:val="auto"/>
                <w:kern w:val="0"/>
                <w:sz w:val="24"/>
              </w:rPr>
              <w:t>47416</w:t>
            </w:r>
          </w:p>
        </w:tc>
      </w:tr>
      <w:tr>
        <w:tblPrEx>
          <w:tblLayout w:type="fixed"/>
          <w:tblCellMar>
            <w:top w:w="0" w:type="dxa"/>
            <w:left w:w="108" w:type="dxa"/>
            <w:bottom w:w="0" w:type="dxa"/>
            <w:right w:w="108" w:type="dxa"/>
          </w:tblCellMar>
        </w:tblPrEx>
        <w:trPr>
          <w:trHeight w:val="2688" w:hRule="atLeast"/>
        </w:trPr>
        <w:tc>
          <w:tcPr>
            <w:tcW w:w="12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kern w:val="0"/>
                <w:sz w:val="24"/>
              </w:rPr>
            </w:pPr>
          </w:p>
        </w:tc>
        <w:tc>
          <w:tcPr>
            <w:tcW w:w="5970" w:type="dxa"/>
            <w:tcBorders>
              <w:top w:val="nil"/>
              <w:left w:val="nil"/>
              <w:bottom w:val="single" w:color="auto" w:sz="4" w:space="0"/>
              <w:right w:val="single" w:color="auto" w:sz="4" w:space="0"/>
            </w:tcBorders>
            <w:vAlign w:val="center"/>
          </w:tcPr>
          <w:p>
            <w:pPr>
              <w:rPr>
                <w:rFonts w:ascii="宋体" w:hAnsi="宋体" w:cs="宋体"/>
                <w:color w:val="auto"/>
                <w:kern w:val="0"/>
                <w:sz w:val="24"/>
              </w:rPr>
            </w:pPr>
            <w:r>
              <w:rPr>
                <w:rFonts w:hint="eastAsia" w:ascii="宋体" w:hAnsi="宋体" w:cs="宋体"/>
                <w:color w:val="auto"/>
                <w:kern w:val="0"/>
                <w:sz w:val="24"/>
              </w:rPr>
              <w:t>对鹿寨镇、中渡镇、平山镇宅基地已开展权籍调查未发证，但地上房屋未开展过权籍调查的农宅，根据现行不动产权籍调查相关规范、标准，进行宅基地调查成果核实和房屋补充调查，完成房屋调查及测量工作，还包括房产平面测量、房屋及其附属设施测量，同时绘制宗地图（分宗房产图）等，并公示权属结果、填写不动产权籍调查表和不动产登记申请表，打印及发放证书等.</w:t>
            </w:r>
          </w:p>
        </w:tc>
        <w:tc>
          <w:tcPr>
            <w:tcW w:w="1918" w:type="dxa"/>
            <w:tcBorders>
              <w:top w:val="nil"/>
              <w:left w:val="nil"/>
              <w:bottom w:val="single" w:color="auto" w:sz="4" w:space="0"/>
              <w:right w:val="single" w:color="auto" w:sz="4" w:space="0"/>
            </w:tcBorders>
            <w:vAlign w:val="center"/>
          </w:tcPr>
          <w:p>
            <w:pPr>
              <w:jc w:val="center"/>
              <w:rPr>
                <w:rFonts w:ascii="宋体" w:hAnsi="宋体" w:cs="宋体"/>
                <w:color w:val="auto"/>
                <w:kern w:val="0"/>
                <w:sz w:val="24"/>
              </w:rPr>
            </w:pPr>
            <w:r>
              <w:rPr>
                <w:rFonts w:hint="eastAsia" w:ascii="宋体" w:hAnsi="宋体" w:cs="宋体"/>
                <w:color w:val="auto"/>
                <w:kern w:val="0"/>
                <w:sz w:val="24"/>
              </w:rPr>
              <w:t>968</w:t>
            </w:r>
          </w:p>
        </w:tc>
      </w:tr>
      <w:tr>
        <w:tblPrEx>
          <w:tblLayout w:type="fixed"/>
          <w:tblCellMar>
            <w:top w:w="0" w:type="dxa"/>
            <w:left w:w="108" w:type="dxa"/>
            <w:bottom w:w="0" w:type="dxa"/>
            <w:right w:w="108" w:type="dxa"/>
          </w:tblCellMar>
        </w:tblPrEx>
        <w:trPr>
          <w:trHeight w:val="3045" w:hRule="atLeast"/>
        </w:trPr>
        <w:tc>
          <w:tcPr>
            <w:tcW w:w="128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kern w:val="0"/>
                <w:sz w:val="24"/>
              </w:rPr>
            </w:pPr>
          </w:p>
        </w:tc>
        <w:tc>
          <w:tcPr>
            <w:tcW w:w="5970" w:type="dxa"/>
            <w:tcBorders>
              <w:top w:val="nil"/>
              <w:left w:val="nil"/>
              <w:bottom w:val="single" w:color="auto" w:sz="4" w:space="0"/>
              <w:right w:val="single" w:color="auto" w:sz="4" w:space="0"/>
            </w:tcBorders>
            <w:vAlign w:val="center"/>
          </w:tcPr>
          <w:p>
            <w:pPr>
              <w:rPr>
                <w:rFonts w:ascii="宋体" w:hAnsi="宋体" w:cs="宋体"/>
                <w:color w:val="auto"/>
                <w:kern w:val="0"/>
                <w:sz w:val="24"/>
              </w:rPr>
            </w:pPr>
            <w:r>
              <w:rPr>
                <w:rFonts w:hint="eastAsia" w:ascii="宋体" w:hAnsi="宋体" w:cs="宋体"/>
                <w:color w:val="auto"/>
                <w:kern w:val="0"/>
                <w:sz w:val="24"/>
              </w:rPr>
              <w:t>档案整理及内业建库：对外业收集的档案附件资料进行规范化整理。对权籍调查表进行矢量化，宅基地宗地、房屋幢上图、图形测算，房屋关联幢、楼幢关联宗地，形成房地一体完整的不动产数据，符合《不动产登记数据库标准》的要求等。对质检后的数据，制作汇交包，对入库后进行不动产审核发证，形成与不动产登记相关技术要求以及《不动产登记数据库标准》要求相符的不动产登记簿。</w:t>
            </w:r>
          </w:p>
        </w:tc>
        <w:tc>
          <w:tcPr>
            <w:tcW w:w="1918" w:type="dxa"/>
            <w:tcBorders>
              <w:top w:val="nil"/>
              <w:left w:val="nil"/>
              <w:bottom w:val="single" w:color="auto" w:sz="4" w:space="0"/>
              <w:right w:val="single" w:color="auto" w:sz="4" w:space="0"/>
            </w:tcBorders>
            <w:vAlign w:val="center"/>
          </w:tcPr>
          <w:p>
            <w:pPr>
              <w:jc w:val="center"/>
              <w:rPr>
                <w:rFonts w:hint="eastAsia" w:ascii="宋体" w:hAnsi="宋体" w:cs="宋体"/>
                <w:color w:val="auto"/>
                <w:kern w:val="0"/>
                <w:sz w:val="24"/>
              </w:rPr>
            </w:pPr>
            <w:r>
              <w:rPr>
                <w:rFonts w:hint="eastAsia" w:ascii="宋体" w:hAnsi="宋体" w:cs="宋体"/>
                <w:color w:val="auto"/>
                <w:kern w:val="0"/>
                <w:sz w:val="24"/>
              </w:rPr>
              <w:t>109015</w:t>
            </w:r>
          </w:p>
        </w:tc>
      </w:tr>
    </w:tbl>
    <w:p>
      <w:pPr>
        <w:pStyle w:val="9"/>
        <w:spacing w:before="0" w:beforeAutospacing="0" w:after="0" w:afterAutospacing="0" w:line="360" w:lineRule="auto"/>
        <w:rPr>
          <w:rFonts w:hint="eastAsia"/>
          <w:color w:val="auto"/>
        </w:rPr>
      </w:pPr>
    </w:p>
    <w:p>
      <w:pPr>
        <w:pStyle w:val="8"/>
        <w:snapToGrid w:val="0"/>
        <w:spacing w:line="400" w:lineRule="exact"/>
        <w:outlineLvl w:val="1"/>
        <w:rPr>
          <w:rFonts w:hint="eastAsia" w:hAnsi="宋体" w:cs="宋体"/>
          <w:b/>
          <w:color w:val="auto"/>
          <w:sz w:val="24"/>
          <w:szCs w:val="24"/>
        </w:rPr>
      </w:pPr>
      <w:r>
        <w:rPr>
          <w:rFonts w:hint="eastAsia" w:hAnsi="宋体" w:cs="宋体"/>
          <w:b/>
          <w:color w:val="auto"/>
          <w:sz w:val="24"/>
          <w:szCs w:val="24"/>
        </w:rPr>
        <w:t>三、工作内容</w:t>
      </w:r>
    </w:p>
    <w:p>
      <w:pPr>
        <w:spacing w:line="400" w:lineRule="exact"/>
        <w:ind w:firstLine="482" w:firstLineChars="200"/>
        <w:rPr>
          <w:rFonts w:hint="eastAsia" w:ascii="宋体" w:hAnsi="宋体" w:cs="宋体"/>
          <w:b/>
          <w:color w:val="auto"/>
          <w:sz w:val="24"/>
        </w:rPr>
      </w:pPr>
      <w:r>
        <w:rPr>
          <w:rFonts w:hint="eastAsia" w:ascii="宋体" w:hAnsi="宋体" w:cs="宋体"/>
          <w:b/>
          <w:color w:val="auto"/>
          <w:sz w:val="24"/>
        </w:rPr>
        <w:t>（一）准备工作</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主要包括标准及方案制定、组织准备、宣传发动、资料收集、技术设计、表册与工具器材的准备、队伍落实和人员培训等。</w:t>
      </w:r>
    </w:p>
    <w:p>
      <w:pPr>
        <w:spacing w:line="400" w:lineRule="exact"/>
        <w:ind w:firstLine="482" w:firstLineChars="200"/>
        <w:rPr>
          <w:rFonts w:hint="eastAsia" w:ascii="宋体" w:hAnsi="宋体" w:cs="宋体"/>
          <w:b/>
          <w:color w:val="auto"/>
          <w:sz w:val="24"/>
        </w:rPr>
      </w:pPr>
      <w:r>
        <w:rPr>
          <w:rFonts w:hint="eastAsia" w:ascii="宋体" w:hAnsi="宋体" w:cs="宋体"/>
          <w:b/>
          <w:color w:val="auto"/>
          <w:sz w:val="24"/>
        </w:rPr>
        <w:t>（二）制作工作底图</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在汇总资料的基础上，对资料进行分析处理、格式转换、坐标转换等。充分利用已有第三次国土调查、不动产、地籍等已有成果资料作为工作底图。</w:t>
      </w:r>
    </w:p>
    <w:p>
      <w:pPr>
        <w:spacing w:line="400" w:lineRule="exact"/>
        <w:ind w:firstLine="482" w:firstLineChars="200"/>
        <w:rPr>
          <w:rFonts w:hint="eastAsia" w:ascii="宋体" w:hAnsi="宋体" w:cs="宋体"/>
          <w:b/>
          <w:color w:val="auto"/>
          <w:sz w:val="24"/>
        </w:rPr>
      </w:pPr>
      <w:bookmarkStart w:id="1" w:name="_Toc38370053"/>
      <w:r>
        <w:rPr>
          <w:rFonts w:hint="eastAsia" w:ascii="宋体" w:hAnsi="宋体" w:cs="宋体"/>
          <w:b/>
          <w:color w:val="auto"/>
          <w:sz w:val="24"/>
        </w:rPr>
        <w:t>（三）</w:t>
      </w:r>
      <w:bookmarkEnd w:id="1"/>
      <w:bookmarkStart w:id="2" w:name="_Toc38370054"/>
      <w:r>
        <w:rPr>
          <w:rFonts w:hint="eastAsia" w:ascii="宋体" w:hAnsi="宋体" w:cs="宋体"/>
          <w:b/>
          <w:color w:val="auto"/>
          <w:sz w:val="24"/>
        </w:rPr>
        <w:t>预划不动产单元及预编单元代码</w:t>
      </w:r>
      <w:bookmarkEnd w:id="2"/>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利用已有（比例尺1:500~1:2000 ）的地形图、正射影像图或已有地籍图作为基础图件，参考已有的地籍调查、土地登记等资料，会同农村集体经济组织负责人、村民委员会成员或村民代表，在地籍区、地籍子区界线和集体土地所有权界线范围内，划分不动产单元，预编单元代码。</w:t>
      </w:r>
    </w:p>
    <w:p>
      <w:pPr>
        <w:spacing w:line="400" w:lineRule="exact"/>
        <w:ind w:firstLine="482" w:firstLineChars="200"/>
        <w:rPr>
          <w:rFonts w:hint="eastAsia" w:ascii="宋体" w:hAnsi="宋体" w:cs="宋体"/>
          <w:b/>
          <w:color w:val="auto"/>
          <w:sz w:val="24"/>
        </w:rPr>
      </w:pPr>
      <w:bookmarkStart w:id="3" w:name="_Toc38370055"/>
      <w:r>
        <w:rPr>
          <w:rFonts w:hint="eastAsia" w:ascii="宋体" w:hAnsi="宋体" w:cs="宋体"/>
          <w:b/>
          <w:color w:val="auto"/>
          <w:sz w:val="24"/>
        </w:rPr>
        <w:t>（四）权属调查</w:t>
      </w:r>
      <w:bookmarkEnd w:id="3"/>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权属调查主要包括：土地权属状况调查、房屋权属状况调查、界址调查（宗地界址、房屋权属界线）、实地指界、设置界标、丈量宗地界址边长和房屋边长及相关距离及房屋权界线示意图、填写不动产权籍调查表等。</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1.土地权属状况调查</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（1）宗地状况调查。根据《不动产权籍调查技术方案》（试行）要求，借助工作底图和权属来源证明材料，结合现场核实，调查每宗地的土地坐落与四至。</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宗地权利人状况调查。包括调查核实权利人或实际使用人的姓名或者名称、单位性质、行业代码、组织机构代码、法定代表人（或负责人）姓名及其身份证明、代理人姓名及其身份证明等，属于宅基地的，除了调查记录土地权利人的情况外，还应调查权利人家庭成员情况，复印权利人家庭户口簿等资料。</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（3）宗地权属状况调查。调查核实确定土地权属性质、使用期限等，以及宗地是否有抵押权、地役权等他项权利和共有情况；宗地批准用途和实际用途等。</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2.房屋权属状况调查</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房屋权属来源调查。依据房屋产权人提供的房屋建设批准手续、符合规划材料等，以及房屋买卖、互换、赠与、受遗赠、继承、查封、抵押等其他房屋产权证明，记录产权人，并将产权证明留复印件或拍照留存。产权共有或有争议的，记录共有或争议情况。</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（2）房屋状况调查．宅基地范围内的房屋，调查主要建筑物的建筑结构、层数、墙体归属、建成年份等。按《不动产权籍调查技术方案》（试行）相关规定调查。</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3.界址调查</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（1）宗地界址调查。按照《地籍调查规程》(TD/T1001-2012)要求做好宅基地和集体建设用地权属调查指界，实地设置宗地界标并丈量边长和关系距离，确保宗地权属清楚、界址清晰（界址空间相对位置关系准确）。</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（2）房屋权属界线调查。房屋权属界线是指房屋所有权范围的界线，包括专有部分和共有部分的所有权界线。应实地采用钢尺和测距仪丈量房屋边长，标注在房屋权属线示意图上，并填写房屋调查表。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4.填写不动产权籍调查表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按照《不动产权籍调查技术方案》（试行）的要求填写不动产权籍调查表。对集体建设地使用权宗地和宅基地使用权宗地，填写地籍调查表；如果其上存在房屋，则需填写房屋调查表。如果其上存在构（建）筑物，则需填写构（建）筑物调查表。</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5.绘制草图</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根据宗地和房屋权属状况调查信息、指界与界址点设置情况、界址边长及相关距离丈量结果，根据需要绘制房屋权界线示意图等。</w:t>
      </w:r>
    </w:p>
    <w:p>
      <w:pPr>
        <w:spacing w:line="400" w:lineRule="exact"/>
        <w:ind w:firstLine="482" w:firstLineChars="200"/>
        <w:rPr>
          <w:rFonts w:hint="eastAsia" w:ascii="宋体" w:hAnsi="宋体" w:cs="宋体"/>
          <w:b/>
          <w:color w:val="auto"/>
          <w:sz w:val="24"/>
        </w:rPr>
      </w:pPr>
      <w:bookmarkStart w:id="4" w:name="_Toc38370056"/>
      <w:r>
        <w:rPr>
          <w:rFonts w:hint="eastAsia" w:ascii="宋体" w:hAnsi="宋体" w:cs="宋体"/>
          <w:b/>
          <w:color w:val="auto"/>
          <w:sz w:val="24"/>
        </w:rPr>
        <w:t>（五）不动产测量</w:t>
      </w:r>
      <w:bookmarkEnd w:id="4"/>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不动产测量包括界址点测量、不动产权籍图测绘和宗地面积、房产面积的量算等。测量成果应包括</w:t>
      </w:r>
      <w:r>
        <w:rPr>
          <w:rFonts w:hint="eastAsia" w:ascii="宋体" w:hAnsi="宋体" w:cs="宋体"/>
          <w:color w:val="auto"/>
          <w:sz w:val="24"/>
          <w:lang w:eastAsia="zh-CN"/>
        </w:rPr>
        <w:t>：</w:t>
      </w:r>
      <w:r>
        <w:rPr>
          <w:rFonts w:hint="eastAsia" w:ascii="宋体" w:hAnsi="宋体" w:cs="宋体"/>
          <w:color w:val="auto"/>
          <w:sz w:val="24"/>
        </w:rPr>
        <w:t>（1）实景三维模型；（2）分辨率优于10CM的正射影像；（3）地籍图。</w:t>
      </w:r>
    </w:p>
    <w:p>
      <w:pPr>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1.数学基础</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平面坐标系统采用2000国家大地坐标系统，高斯-克吕格正形投影，中央子午线为东经</w:t>
      </w:r>
      <w:r>
        <w:rPr>
          <w:rFonts w:hint="eastAsia" w:ascii="宋体" w:hAnsi="宋体" w:cs="宋体"/>
          <w:color w:val="auto"/>
          <w:sz w:val="24"/>
          <w:shd w:val="clear" w:color="FFFFFF" w:fill="auto"/>
        </w:rPr>
        <w:t>111度</w:t>
      </w:r>
      <w:r>
        <w:rPr>
          <w:rFonts w:hint="eastAsia" w:ascii="宋体" w:hAnsi="宋体" w:cs="宋体"/>
          <w:color w:val="auto"/>
          <w:sz w:val="24"/>
        </w:rPr>
        <w:t>。高程系统采用“1985国家高程基准”。</w:t>
      </w:r>
    </w:p>
    <w:p>
      <w:pPr>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2.控制测量</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按照相关技术要求，本项目控制测量主要利用GXCORS和高等级控制点，结合实时动态差分技术及RTK来进行布设图根控制点或像控点，从而来满足测图或像控需要。在建筑物密集区或地形复杂隐蔽区域，无法达到RTK观测条件的区域，采用导线测量的方法进行控制点布设，并满足有关技术标准。</w:t>
      </w:r>
    </w:p>
    <w:p>
      <w:pPr>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3.界址点测量</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根据鹿寨县农村不动产确权登记项目实际特点，采用解析法和图解法结合共同开展测量工作。</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解析法。对于工作基础和经济条件较好、技术力量较强的地区或调查精度影响土地产权人切身利益的，如各类农村改革试点、征地拆迁地区等，可釆用解析法测量，即利用测量仪器实地获取宗地界址点精确坐标，绘制权籍图，提取宗地面积等要素信息。</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图解法。利用时相较新、分辨率优于0.2米的正射影像图，已有大比例尺（不小于1:2000)地籍图、地形图等资料在图上釆集界址点坐标，实地丈量界址边长，形成权籍图，并计算宗地面积等要素信息。</w:t>
      </w:r>
    </w:p>
    <w:p>
      <w:pPr>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4.房屋测量</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房屋测量的基本原则和要求：</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（1）对于已颁发房屋产权证的，经核实权利人未发生变化，房屋未进行翻改建的，只需将房屋登记的相关信息与宗地权籍调查成果一并录入不动产权籍调查数据库中，无需重新开展测量。</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（2）新型农村社区或搬迁上楼等高层多户的，已有户型图经核实无变化的，通过户型图获取房屋内部边长，没有户型图的需实地测量。</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（3）房屋测量结合实际需求，选用解析法、图解法测量房角点坐标，也可采用勘丈法用钢尺丈量房屋边长。</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（4）无法丈量房屋边长的，应丈量至少两条房角点与界址点或房角点与相邻近地物的相关距离，便于间接解算房屋边长和房屋面积。</w:t>
      </w:r>
    </w:p>
    <w:p>
      <w:pPr>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5.精度指标</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宗地界址点和房间点精度指标要求如下表1-表4所示。</w:t>
      </w:r>
    </w:p>
    <w:p>
      <w:pPr>
        <w:spacing w:line="360" w:lineRule="exact"/>
        <w:ind w:firstLine="420"/>
        <w:rPr>
          <w:rFonts w:hint="eastAsia" w:ascii="宋体" w:hAnsi="宋体" w:cs="宋体"/>
          <w:color w:val="auto"/>
          <w:sz w:val="24"/>
        </w:rPr>
      </w:pPr>
      <w:r>
        <w:rPr>
          <w:rFonts w:hint="eastAsia" w:ascii="宋体" w:hAnsi="宋体" w:cs="宋体"/>
          <w:color w:val="auto"/>
          <w:sz w:val="24"/>
        </w:rPr>
        <w:t>表1  解析界址点（房角点）的精度</w:t>
      </w:r>
    </w:p>
    <w:tbl>
      <w:tblPr>
        <w:tblStyle w:val="11"/>
        <w:tblW w:w="8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25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00" w:type="dxa"/>
            <w:vMerge w:val="restart"/>
            <w:vAlign w:val="center"/>
          </w:tcPr>
          <w:p>
            <w:pPr>
              <w:spacing w:line="360" w:lineRule="exact"/>
              <w:rPr>
                <w:rFonts w:hint="eastAsia" w:ascii="宋体" w:hAnsi="宋体" w:cs="宋体"/>
                <w:color w:val="auto"/>
                <w:sz w:val="24"/>
              </w:rPr>
            </w:pPr>
            <w:r>
              <w:rPr>
                <w:rFonts w:hint="eastAsia" w:ascii="宋体" w:hAnsi="宋体" w:cs="宋体"/>
                <w:color w:val="auto"/>
                <w:sz w:val="24"/>
              </w:rPr>
              <w:t>级别</w:t>
            </w:r>
          </w:p>
        </w:tc>
        <w:tc>
          <w:tcPr>
            <w:tcW w:w="7610" w:type="dxa"/>
            <w:gridSpan w:val="2"/>
            <w:vAlign w:val="center"/>
          </w:tcPr>
          <w:p>
            <w:pPr>
              <w:spacing w:line="360" w:lineRule="exact"/>
              <w:ind w:firstLine="420"/>
              <w:rPr>
                <w:rFonts w:hint="eastAsia" w:ascii="宋体" w:hAnsi="宋体" w:cs="宋体"/>
                <w:color w:val="auto"/>
                <w:sz w:val="24"/>
              </w:rPr>
            </w:pPr>
            <w:r>
              <w:rPr>
                <w:rFonts w:hint="eastAsia" w:ascii="宋体" w:hAnsi="宋体" w:cs="宋体"/>
                <w:color w:val="auto"/>
                <w:sz w:val="24"/>
              </w:rPr>
              <w:t>相对邻近控制点的点位误差，相邻界址点或房角点间距误差（cm）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0" w:type="dxa"/>
            <w:vMerge w:val="continue"/>
            <w:vAlign w:val="center"/>
          </w:tcPr>
          <w:p>
            <w:pPr>
              <w:spacing w:line="360" w:lineRule="exact"/>
              <w:ind w:firstLine="420"/>
              <w:jc w:val="center"/>
              <w:rPr>
                <w:rFonts w:hint="eastAsia" w:ascii="宋体" w:hAnsi="宋体" w:cs="宋体"/>
                <w:color w:val="auto"/>
                <w:sz w:val="24"/>
              </w:rPr>
            </w:pPr>
          </w:p>
        </w:tc>
        <w:tc>
          <w:tcPr>
            <w:tcW w:w="525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中误差</w:t>
            </w:r>
          </w:p>
        </w:tc>
        <w:tc>
          <w:tcPr>
            <w:tcW w:w="2360" w:type="dxa"/>
            <w:vAlign w:val="center"/>
          </w:tcPr>
          <w:p>
            <w:pPr>
              <w:spacing w:line="360" w:lineRule="exact"/>
              <w:ind w:firstLine="420"/>
              <w:rPr>
                <w:rFonts w:hint="eastAsia" w:ascii="宋体" w:hAnsi="宋体" w:cs="宋体"/>
                <w:color w:val="auto"/>
                <w:sz w:val="24"/>
              </w:rPr>
            </w:pPr>
            <w:r>
              <w:rPr>
                <w:rFonts w:hint="eastAsia" w:ascii="宋体" w:hAnsi="宋体" w:cs="宋体"/>
                <w:color w:val="auto"/>
                <w:sz w:val="24"/>
              </w:rPr>
              <w:t>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0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一</w:t>
            </w:r>
          </w:p>
        </w:tc>
        <w:tc>
          <w:tcPr>
            <w:tcW w:w="525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±2.0</w:t>
            </w:r>
          </w:p>
        </w:tc>
        <w:tc>
          <w:tcPr>
            <w:tcW w:w="236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0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二</w:t>
            </w:r>
          </w:p>
        </w:tc>
        <w:tc>
          <w:tcPr>
            <w:tcW w:w="525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±5.0</w:t>
            </w:r>
          </w:p>
        </w:tc>
        <w:tc>
          <w:tcPr>
            <w:tcW w:w="236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0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三</w:t>
            </w:r>
          </w:p>
        </w:tc>
        <w:tc>
          <w:tcPr>
            <w:tcW w:w="525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±7.5</w:t>
            </w:r>
          </w:p>
        </w:tc>
        <w:tc>
          <w:tcPr>
            <w:tcW w:w="236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8510" w:type="dxa"/>
            <w:gridSpan w:val="3"/>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注：明显界址点或房角点精度不低于二级，隐蔽界址点精度不低于三级。</w:t>
            </w:r>
          </w:p>
        </w:tc>
      </w:tr>
    </w:tbl>
    <w:p>
      <w:pPr>
        <w:spacing w:line="360" w:lineRule="exact"/>
        <w:ind w:firstLine="420"/>
        <w:rPr>
          <w:rFonts w:hint="eastAsia" w:ascii="宋体" w:hAnsi="宋体" w:cs="宋体"/>
          <w:color w:val="auto"/>
          <w:sz w:val="24"/>
        </w:rPr>
      </w:pPr>
      <w:r>
        <w:rPr>
          <w:rFonts w:hint="eastAsia" w:ascii="宋体" w:hAnsi="宋体" w:cs="宋体"/>
          <w:color w:val="auto"/>
          <w:sz w:val="24"/>
        </w:rPr>
        <w:t>表2 图解界址点精度指标（全野外数字测图）</w:t>
      </w:r>
    </w:p>
    <w:tbl>
      <w:tblPr>
        <w:tblStyle w:val="11"/>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281"/>
        <w:gridCol w:w="1946"/>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017"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1</w:t>
            </w:r>
          </w:p>
        </w:tc>
        <w:tc>
          <w:tcPr>
            <w:tcW w:w="3281"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相邻界址点的间距误差</w:t>
            </w:r>
          </w:p>
        </w:tc>
        <w:tc>
          <w:tcPr>
            <w:tcW w:w="1946"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±0.3</w:t>
            </w:r>
          </w:p>
        </w:tc>
        <w:tc>
          <w:tcPr>
            <w:tcW w:w="2306"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017"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2</w:t>
            </w:r>
          </w:p>
        </w:tc>
        <w:tc>
          <w:tcPr>
            <w:tcW w:w="3281"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界址点相对于邻近控制点的点位误差</w:t>
            </w:r>
          </w:p>
        </w:tc>
        <w:tc>
          <w:tcPr>
            <w:tcW w:w="1946"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±0.3</w:t>
            </w:r>
          </w:p>
        </w:tc>
        <w:tc>
          <w:tcPr>
            <w:tcW w:w="2306"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017"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3</w:t>
            </w:r>
          </w:p>
        </w:tc>
        <w:tc>
          <w:tcPr>
            <w:tcW w:w="3281"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界址点相对于邻近地物点的间距误差</w:t>
            </w:r>
          </w:p>
        </w:tc>
        <w:tc>
          <w:tcPr>
            <w:tcW w:w="1946"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±0.3</w:t>
            </w:r>
          </w:p>
        </w:tc>
        <w:tc>
          <w:tcPr>
            <w:tcW w:w="2306"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8550" w:type="dxa"/>
            <w:gridSpan w:val="4"/>
            <w:vAlign w:val="center"/>
          </w:tcPr>
          <w:p>
            <w:pPr>
              <w:spacing w:line="360" w:lineRule="exact"/>
              <w:ind w:firstLine="420"/>
              <w:rPr>
                <w:rFonts w:hint="eastAsia" w:ascii="宋体" w:hAnsi="宋体" w:cs="宋体"/>
                <w:color w:val="auto"/>
                <w:sz w:val="24"/>
              </w:rPr>
            </w:pPr>
            <w:r>
              <w:rPr>
                <w:rFonts w:hint="eastAsia" w:ascii="宋体" w:hAnsi="宋体" w:cs="宋体"/>
                <w:color w:val="auto"/>
                <w:sz w:val="24"/>
              </w:rPr>
              <w:t>注：本表规定的平原、丘陵地区明显界址点精度指标，荒漠、高原、山地、森林及隐蔽地区等可放宽至1.5倍。</w:t>
            </w:r>
          </w:p>
        </w:tc>
      </w:tr>
    </w:tbl>
    <w:p>
      <w:pPr>
        <w:spacing w:line="360" w:lineRule="exact"/>
        <w:ind w:firstLine="420"/>
        <w:rPr>
          <w:rFonts w:hint="eastAsia" w:ascii="宋体" w:hAnsi="宋体" w:cs="宋体"/>
          <w:color w:val="auto"/>
          <w:sz w:val="24"/>
        </w:rPr>
      </w:pPr>
      <w:r>
        <w:rPr>
          <w:rFonts w:hint="eastAsia" w:ascii="宋体" w:hAnsi="宋体" w:cs="宋体"/>
          <w:color w:val="auto"/>
          <w:sz w:val="24"/>
        </w:rPr>
        <w:t>表3 图解界址点精度指标（数字编绘法成图）</w:t>
      </w:r>
    </w:p>
    <w:tbl>
      <w:tblPr>
        <w:tblStyle w:val="11"/>
        <w:tblW w:w="8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19"/>
        <w:gridCol w:w="2314"/>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14" w:type="dxa"/>
            <w:vAlign w:val="center"/>
          </w:tcPr>
          <w:p>
            <w:pPr>
              <w:spacing w:line="360" w:lineRule="exact"/>
              <w:rPr>
                <w:rFonts w:hint="eastAsia" w:ascii="宋体" w:hAnsi="宋体" w:cs="宋体"/>
                <w:color w:val="auto"/>
                <w:sz w:val="24"/>
              </w:rPr>
            </w:pPr>
            <w:r>
              <w:rPr>
                <w:rFonts w:hint="eastAsia" w:ascii="宋体" w:hAnsi="宋体" w:cs="宋体"/>
                <w:color w:val="auto"/>
                <w:sz w:val="24"/>
              </w:rPr>
              <w:t>序号</w:t>
            </w:r>
          </w:p>
        </w:tc>
        <w:tc>
          <w:tcPr>
            <w:tcW w:w="3419"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项  目</w:t>
            </w:r>
          </w:p>
        </w:tc>
        <w:tc>
          <w:tcPr>
            <w:tcW w:w="2314"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图上中误差（mm）</w:t>
            </w:r>
          </w:p>
        </w:tc>
        <w:tc>
          <w:tcPr>
            <w:tcW w:w="211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图上允许误差（mm）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14"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1</w:t>
            </w:r>
          </w:p>
        </w:tc>
        <w:tc>
          <w:tcPr>
            <w:tcW w:w="3419"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相邻界址点的间距误差</w:t>
            </w:r>
          </w:p>
        </w:tc>
        <w:tc>
          <w:tcPr>
            <w:tcW w:w="2314"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±0.6</w:t>
            </w:r>
          </w:p>
        </w:tc>
        <w:tc>
          <w:tcPr>
            <w:tcW w:w="211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714"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2</w:t>
            </w:r>
          </w:p>
        </w:tc>
        <w:tc>
          <w:tcPr>
            <w:tcW w:w="3419"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界址点相对于邻近控制点的点位误差</w:t>
            </w:r>
          </w:p>
        </w:tc>
        <w:tc>
          <w:tcPr>
            <w:tcW w:w="2314"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±0.6</w:t>
            </w:r>
          </w:p>
        </w:tc>
        <w:tc>
          <w:tcPr>
            <w:tcW w:w="211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14"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3</w:t>
            </w:r>
          </w:p>
        </w:tc>
        <w:tc>
          <w:tcPr>
            <w:tcW w:w="3419"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界址点相对于邻近地物点的间距误差</w:t>
            </w:r>
          </w:p>
        </w:tc>
        <w:tc>
          <w:tcPr>
            <w:tcW w:w="2314"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±0.6</w:t>
            </w:r>
          </w:p>
        </w:tc>
        <w:tc>
          <w:tcPr>
            <w:tcW w:w="211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8557" w:type="dxa"/>
            <w:gridSpan w:val="4"/>
            <w:vAlign w:val="center"/>
          </w:tcPr>
          <w:p>
            <w:pPr>
              <w:spacing w:line="360" w:lineRule="exact"/>
              <w:ind w:firstLine="420"/>
              <w:rPr>
                <w:rFonts w:hint="eastAsia" w:ascii="宋体" w:hAnsi="宋体" w:cs="宋体"/>
                <w:color w:val="auto"/>
                <w:sz w:val="24"/>
              </w:rPr>
            </w:pPr>
            <w:r>
              <w:rPr>
                <w:rFonts w:hint="eastAsia" w:ascii="宋体" w:hAnsi="宋体" w:cs="宋体"/>
                <w:color w:val="auto"/>
                <w:sz w:val="24"/>
              </w:rPr>
              <w:t>注：本表规定的平原、丘陵地区明显界址点精度指标，荒漠、高原、山地、森林及隐蔽地区等可放宽至1.5倍。</w:t>
            </w:r>
          </w:p>
        </w:tc>
      </w:tr>
    </w:tbl>
    <w:p>
      <w:pPr>
        <w:spacing w:line="360" w:lineRule="exact"/>
        <w:ind w:firstLine="420"/>
        <w:rPr>
          <w:rFonts w:hint="eastAsia" w:ascii="宋体" w:hAnsi="宋体" w:cs="宋体"/>
          <w:color w:val="auto"/>
          <w:sz w:val="24"/>
        </w:rPr>
      </w:pPr>
      <w:r>
        <w:rPr>
          <w:rFonts w:hint="eastAsia" w:ascii="宋体" w:hAnsi="宋体" w:cs="宋体"/>
          <w:color w:val="auto"/>
          <w:sz w:val="24"/>
        </w:rPr>
        <w:t>表4 图解界址点精度指标（无人机倾斜摄影测量成图）</w:t>
      </w:r>
    </w:p>
    <w:tbl>
      <w:tblPr>
        <w:tblStyle w:val="11"/>
        <w:tblW w:w="8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50"/>
        <w:gridCol w:w="229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20" w:type="dxa"/>
            <w:vAlign w:val="center"/>
          </w:tcPr>
          <w:p>
            <w:pPr>
              <w:spacing w:line="360" w:lineRule="exact"/>
              <w:rPr>
                <w:rFonts w:hint="eastAsia" w:ascii="宋体" w:hAnsi="宋体" w:cs="宋体"/>
                <w:color w:val="auto"/>
                <w:sz w:val="24"/>
              </w:rPr>
            </w:pPr>
            <w:r>
              <w:rPr>
                <w:rFonts w:hint="eastAsia" w:ascii="宋体" w:hAnsi="宋体" w:cs="宋体"/>
                <w:color w:val="auto"/>
                <w:sz w:val="24"/>
              </w:rPr>
              <w:t>序号</w:t>
            </w:r>
          </w:p>
        </w:tc>
        <w:tc>
          <w:tcPr>
            <w:tcW w:w="345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项  目</w:t>
            </w:r>
          </w:p>
        </w:tc>
        <w:tc>
          <w:tcPr>
            <w:tcW w:w="2295"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图上中误差（mm）</w:t>
            </w:r>
          </w:p>
        </w:tc>
        <w:tc>
          <w:tcPr>
            <w:tcW w:w="207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图上允许误差（mm）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3" w:hRule="atLeast"/>
          <w:jc w:val="center"/>
        </w:trPr>
        <w:tc>
          <w:tcPr>
            <w:tcW w:w="72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1</w:t>
            </w:r>
          </w:p>
        </w:tc>
        <w:tc>
          <w:tcPr>
            <w:tcW w:w="345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相邻界址点的间距误差</w:t>
            </w:r>
          </w:p>
        </w:tc>
        <w:tc>
          <w:tcPr>
            <w:tcW w:w="2295"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±0.4</w:t>
            </w:r>
          </w:p>
        </w:tc>
        <w:tc>
          <w:tcPr>
            <w:tcW w:w="207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2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2</w:t>
            </w:r>
          </w:p>
        </w:tc>
        <w:tc>
          <w:tcPr>
            <w:tcW w:w="345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界址点相对于邻近控制点的点位误差</w:t>
            </w:r>
          </w:p>
        </w:tc>
        <w:tc>
          <w:tcPr>
            <w:tcW w:w="2295"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±0.5</w:t>
            </w:r>
          </w:p>
        </w:tc>
        <w:tc>
          <w:tcPr>
            <w:tcW w:w="207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2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3</w:t>
            </w:r>
          </w:p>
        </w:tc>
        <w:tc>
          <w:tcPr>
            <w:tcW w:w="345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界址点相对于邻近地物点的间距误差</w:t>
            </w:r>
          </w:p>
        </w:tc>
        <w:tc>
          <w:tcPr>
            <w:tcW w:w="2295"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±0.5</w:t>
            </w:r>
          </w:p>
        </w:tc>
        <w:tc>
          <w:tcPr>
            <w:tcW w:w="2070" w:type="dxa"/>
            <w:vAlign w:val="center"/>
          </w:tcPr>
          <w:p>
            <w:pPr>
              <w:spacing w:line="360" w:lineRule="exact"/>
              <w:ind w:firstLine="420"/>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8535" w:type="dxa"/>
            <w:gridSpan w:val="4"/>
            <w:vAlign w:val="center"/>
          </w:tcPr>
          <w:p>
            <w:pPr>
              <w:spacing w:line="360" w:lineRule="exact"/>
              <w:ind w:firstLine="420"/>
              <w:rPr>
                <w:rFonts w:hint="eastAsia" w:ascii="宋体" w:hAnsi="宋体" w:cs="宋体"/>
                <w:color w:val="auto"/>
                <w:sz w:val="24"/>
              </w:rPr>
            </w:pPr>
            <w:r>
              <w:rPr>
                <w:rFonts w:hint="eastAsia" w:ascii="宋体" w:hAnsi="宋体" w:cs="宋体"/>
                <w:color w:val="auto"/>
                <w:sz w:val="24"/>
              </w:rPr>
              <w:t>注：本表规定的平原、丘陵地区明显界址点精度指标，荒漠、高原、山地、森林及隐蔽地区等可放宽至1.5倍。</w:t>
            </w:r>
          </w:p>
        </w:tc>
      </w:tr>
    </w:tbl>
    <w:p>
      <w:pPr>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6.不动产权籍图绘制</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农村不动产权籍图包括地籍图、不动产单元图等。其中不动产单元图主要包括宗地图和房产分户图等。地籍图、宗地图测绘按《地籍调查规程》(GB/T1001~2012)5.3.规定。房产分户图在地籍图、宗地图的基础主，以不动产单元为单位，编制要求和内容参照《房产测量规范》(GB/T17986.1)7.3的规定。</w:t>
      </w:r>
    </w:p>
    <w:p>
      <w:pPr>
        <w:spacing w:line="400" w:lineRule="exact"/>
        <w:ind w:firstLine="482" w:firstLineChars="200"/>
        <w:rPr>
          <w:rFonts w:hint="eastAsia" w:ascii="宋体" w:hAnsi="宋体" w:cs="宋体"/>
          <w:b/>
          <w:bCs/>
          <w:color w:val="auto"/>
          <w:sz w:val="24"/>
        </w:rPr>
      </w:pPr>
      <w:r>
        <w:rPr>
          <w:rFonts w:hint="eastAsia" w:ascii="宋体" w:hAnsi="宋体" w:cs="宋体"/>
          <w:b/>
          <w:bCs/>
          <w:color w:val="auto"/>
          <w:sz w:val="24"/>
        </w:rPr>
        <w:t>7.面积计算</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（1）采用坐标法或几何要素法计算面积</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坐标法。采用解析法获取宗地界址点和房角点坐标的，通过坐标法计算宗地和房屋面积。</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几何要素法。采用图解法获取界址点坐标或其他简易方法的，可以通过实地丈量的房屋边长和房屋占地范围的几何图形计算面积，如简单的矩形房屋可以根据量取的长和款直接计算出其面积。</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（2）宅基地范围内只对其主要建筑物计算建筑面积。按《房产测量规范》要求计算面积，也可以采取简便易行的方式，如以一层建筑面积乘以层数计算。</w:t>
      </w:r>
    </w:p>
    <w:p>
      <w:pPr>
        <w:spacing w:line="400" w:lineRule="exact"/>
        <w:ind w:firstLine="482" w:firstLineChars="200"/>
        <w:rPr>
          <w:rFonts w:hint="eastAsia" w:ascii="宋体" w:hAnsi="宋体" w:cs="宋体"/>
          <w:b/>
          <w:color w:val="auto"/>
          <w:sz w:val="24"/>
        </w:rPr>
      </w:pPr>
      <w:bookmarkStart w:id="5" w:name="_Toc38370058"/>
      <w:r>
        <w:rPr>
          <w:rFonts w:hint="eastAsia" w:ascii="宋体" w:hAnsi="宋体" w:cs="宋体"/>
          <w:b/>
          <w:color w:val="auto"/>
          <w:sz w:val="24"/>
        </w:rPr>
        <w:t>（六）调查结果公示</w:t>
      </w:r>
      <w:bookmarkEnd w:id="5"/>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将权籍调查结果在本集体经济组织范围内进行公示，公示期15个工作日，公示期满无异议，进行建库归档。</w:t>
      </w:r>
    </w:p>
    <w:p>
      <w:pPr>
        <w:spacing w:line="400" w:lineRule="exact"/>
        <w:ind w:firstLine="482" w:firstLineChars="200"/>
        <w:rPr>
          <w:rFonts w:hint="eastAsia" w:ascii="宋体" w:hAnsi="宋体" w:cs="宋体"/>
          <w:b/>
          <w:color w:val="auto"/>
          <w:sz w:val="24"/>
        </w:rPr>
      </w:pPr>
      <w:bookmarkStart w:id="6" w:name="_Toc38370059"/>
      <w:r>
        <w:rPr>
          <w:rFonts w:hint="eastAsia" w:ascii="宋体" w:hAnsi="宋体" w:cs="宋体"/>
          <w:b/>
          <w:color w:val="auto"/>
          <w:sz w:val="24"/>
        </w:rPr>
        <w:t>（七）数据整理入库</w:t>
      </w:r>
      <w:bookmarkEnd w:id="6"/>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严格按照《不动产登记数据标准（试行）》等技术标准要求建设不动产权籍数据库，将不动产权籍调查信息录入数据库，实行电子化管理。结合日常调查做好数据库更新维护，确保权籍调查成果的现势性和准确性。</w:t>
      </w:r>
    </w:p>
    <w:p>
      <w:pPr>
        <w:spacing w:line="400" w:lineRule="exact"/>
        <w:ind w:firstLine="482" w:firstLineChars="200"/>
        <w:rPr>
          <w:rFonts w:hint="eastAsia" w:ascii="宋体" w:hAnsi="宋体" w:cs="宋体"/>
          <w:b/>
          <w:color w:val="auto"/>
          <w:sz w:val="24"/>
        </w:rPr>
      </w:pPr>
      <w:bookmarkStart w:id="7" w:name="_Toc38370060"/>
      <w:r>
        <w:rPr>
          <w:rFonts w:hint="eastAsia" w:ascii="宋体" w:hAnsi="宋体" w:cs="宋体"/>
          <w:b/>
          <w:color w:val="auto"/>
          <w:sz w:val="24"/>
        </w:rPr>
        <w:t>（八）调查成果归档验收</w:t>
      </w:r>
      <w:bookmarkEnd w:id="7"/>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应以宗地为单位形成农村房地一体的不动产权籍调查档案资料，并做好归档、管理和应用工作。按照自治区自然资源厅的有关要求及时对农村不动产权籍调查成果进行验收。</w:t>
      </w:r>
    </w:p>
    <w:p>
      <w:pPr>
        <w:pStyle w:val="8"/>
        <w:numPr>
          <w:ilvl w:val="0"/>
          <w:numId w:val="1"/>
        </w:numPr>
        <w:snapToGrid w:val="0"/>
        <w:spacing w:line="400" w:lineRule="exact"/>
        <w:outlineLvl w:val="1"/>
        <w:rPr>
          <w:rFonts w:hint="eastAsia" w:hAnsi="宋体" w:cs="宋体"/>
          <w:b/>
          <w:color w:val="auto"/>
          <w:sz w:val="24"/>
          <w:szCs w:val="24"/>
        </w:rPr>
      </w:pPr>
      <w:r>
        <w:rPr>
          <w:rFonts w:hint="eastAsia" w:hAnsi="宋体" w:cs="宋体"/>
          <w:b/>
          <w:color w:val="auto"/>
          <w:sz w:val="24"/>
          <w:szCs w:val="24"/>
        </w:rPr>
        <w:t>执行标准</w:t>
      </w:r>
    </w:p>
    <w:p>
      <w:pPr>
        <w:pStyle w:val="8"/>
        <w:snapToGrid w:val="0"/>
        <w:spacing w:line="400" w:lineRule="exact"/>
        <w:ind w:firstLine="480" w:firstLineChars="200"/>
        <w:outlineLvl w:val="1"/>
        <w:rPr>
          <w:rFonts w:hint="eastAsia" w:hAnsi="宋体" w:cs="宋体"/>
          <w:color w:val="auto"/>
          <w:sz w:val="24"/>
          <w:szCs w:val="24"/>
        </w:rPr>
      </w:pPr>
      <w:r>
        <w:rPr>
          <w:rFonts w:hint="eastAsia" w:hAnsi="宋体" w:cs="宋体"/>
          <w:color w:val="auto"/>
          <w:sz w:val="24"/>
          <w:szCs w:val="24"/>
        </w:rPr>
        <w:t>（1）《卫星定位城市测量技术规范》（CJJ∕T 73-2010）；</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（2）《土地利用现状分类》（GB/T 21010-2017）；</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（3）《土地利用数据库标准（试行）》；</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（4）《国家基本比例尺地形图分幅和编号》（GB/T13989-2012）；</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（5）《地籍调查规程》（TD 1001-2012）；</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（6）《房产测量规范第 1 单元：房产测量规定》（ GB∕T 17986.1-2000）；</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（7）《数字测绘产品检查验收规定和质量评定》（GB/T18316）；</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（8）《测绘成果质量检查与验收》（GB/T 24356-2009）；</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（9）《不动产登记暂行条例》（中华人民共和国国务院令第 656 号）；</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（10）《不动产登记暂行条例实施细则》（中华人民共和国国土资源部令第 63 号）；</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（11）《不动产登记数据库标准和不动产登记数据整合建库技术规范》（国土资发〔2015〕103 号）；</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（12）地形图航空摄影测量数字化测图规范(GB/T15967)、《城市测量规范》（CJJ/T8）；</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（13）《全球定位系统实时动态测量（RTK）技术规范》(CH/T2009)；</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（14）《国土资源部办公厅关于印发&lt;不动产单元设定与代码编制规则&gt;的函》（国土资厅函〔2017〕1029 号）；</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（15）《国土资源部关于进一步加快宅基地和集体建设用地确权登记发证有关问题的通知》（国土资发[2016]191 号）；</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（16）《关于进一步做好农村不动产确权登记工作的通知》（自然资登记函〔2019〕6 号）；</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（17）《广西壮族自治区自然资源厅关于进一步做好农村不动产确权登记工作的通知》（桂自然资发〔2019〕57 号）。</w:t>
      </w:r>
    </w:p>
    <w:p>
      <w:pPr>
        <w:pStyle w:val="8"/>
        <w:snapToGrid w:val="0"/>
        <w:spacing w:line="400" w:lineRule="exact"/>
        <w:outlineLvl w:val="1"/>
        <w:rPr>
          <w:rFonts w:hint="eastAsia" w:hAnsi="宋体" w:cs="宋体"/>
          <w:b/>
          <w:color w:val="auto"/>
          <w:sz w:val="24"/>
          <w:szCs w:val="24"/>
        </w:rPr>
      </w:pPr>
      <w:r>
        <w:rPr>
          <w:rFonts w:hint="eastAsia" w:hAnsi="宋体" w:cs="宋体"/>
          <w:b/>
          <w:color w:val="auto"/>
          <w:sz w:val="24"/>
          <w:szCs w:val="24"/>
        </w:rPr>
        <w:t>五、现有资料情况</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（1）控制测量资料</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广西 CORS－RTK 系统已经覆盖测区范围，可以用于图根点测量和界址点测绘。控制资料可以采用该县已有的各级控制点作为起算点。</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（2）城镇地籍及农村宅基地和集体建设用地使用权确权登记发证一、二期工程成果。</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城镇地籍及农村宅基地和集体建设用地使用权确权登记发证一、二期工程成果仅供参考，与实际不符时以实地为准。</w:t>
      </w:r>
    </w:p>
    <w:p>
      <w:pPr>
        <w:pStyle w:val="8"/>
        <w:snapToGrid w:val="0"/>
        <w:spacing w:line="400" w:lineRule="exact"/>
        <w:outlineLvl w:val="1"/>
        <w:rPr>
          <w:rFonts w:hint="eastAsia" w:hAnsi="宋体" w:cs="宋体"/>
          <w:b/>
          <w:color w:val="auto"/>
          <w:sz w:val="24"/>
          <w:szCs w:val="24"/>
        </w:rPr>
      </w:pPr>
      <w:r>
        <w:rPr>
          <w:rFonts w:hint="eastAsia" w:hAnsi="宋体" w:cs="宋体"/>
          <w:b/>
          <w:color w:val="auto"/>
          <w:sz w:val="24"/>
          <w:szCs w:val="24"/>
        </w:rPr>
        <w:t>六、采用系统及有关参数</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（1）平面坐标系统：采用2000国家大地坐标系，高斯－克吕格正形投影，3°带，中央子午线111度。</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（2）高程系统：采用1985国家高程基准。</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（3）成图方法：解析法、图解法。</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（4）成图比例尺：不小于1:2000。</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（5）计量单位：长度单位采用米(m)，面积计算单位采用平方米(㎡)，面积汇总单位采用平方米(㎡)。</w:t>
      </w:r>
    </w:p>
    <w:p>
      <w:pPr>
        <w:pStyle w:val="8"/>
        <w:snapToGrid w:val="0"/>
        <w:spacing w:line="400" w:lineRule="exact"/>
        <w:outlineLvl w:val="1"/>
        <w:rPr>
          <w:rFonts w:hint="eastAsia" w:hAnsi="宋体" w:cs="宋体"/>
          <w:b/>
          <w:color w:val="auto"/>
          <w:sz w:val="24"/>
          <w:szCs w:val="24"/>
        </w:rPr>
      </w:pPr>
      <w:r>
        <w:rPr>
          <w:rFonts w:hint="eastAsia" w:hAnsi="宋体" w:cs="宋体"/>
          <w:b/>
          <w:color w:val="auto"/>
          <w:sz w:val="24"/>
          <w:szCs w:val="24"/>
        </w:rPr>
        <w:t>七、调查原则</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以地籍调查、房产测绘资料为基础，以不动产登记发证档案为依据，以宗地为依托，以满足不动产登记要求为出发点，充分利用已有不动产权籍调查、登记以及前期业务办理、交易等成果资料，采用已有城镇地籍图、地形图等图件做工作底图，通过内外业核实、实地调查测量的方法，完成不动产权属调查和不动产测量等工作。</w:t>
      </w:r>
    </w:p>
    <w:p>
      <w:pPr>
        <w:pStyle w:val="8"/>
        <w:snapToGrid w:val="0"/>
        <w:spacing w:line="400" w:lineRule="exact"/>
        <w:outlineLvl w:val="1"/>
        <w:rPr>
          <w:rFonts w:hint="eastAsia" w:hAnsi="宋体" w:cs="宋体"/>
          <w:b/>
          <w:color w:val="auto"/>
          <w:sz w:val="24"/>
          <w:szCs w:val="24"/>
        </w:rPr>
      </w:pPr>
      <w:r>
        <w:rPr>
          <w:rFonts w:hint="eastAsia" w:hAnsi="宋体" w:cs="宋体"/>
          <w:b/>
          <w:color w:val="auto"/>
          <w:sz w:val="24"/>
          <w:szCs w:val="24"/>
        </w:rPr>
        <w:t>八、主要成果</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（一）档案成果</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（1）权属来源证明材料；</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（2）身份证明材料、指界委托书、违约缺席指界通知书；</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（3）不动产权籍调查表；</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（4）房屋调查表；</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（5）现场照片；</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（二）图件成果</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（1）宗地图；</w:t>
      </w:r>
    </w:p>
    <w:p>
      <w:pPr>
        <w:pStyle w:val="8"/>
        <w:adjustRightInd w:val="0"/>
        <w:snapToGrid w:val="0"/>
        <w:spacing w:line="400" w:lineRule="exact"/>
        <w:ind w:firstLine="480" w:firstLineChars="200"/>
        <w:rPr>
          <w:rFonts w:hAnsi="宋体" w:cs="宋体"/>
          <w:color w:val="auto"/>
          <w:sz w:val="24"/>
          <w:szCs w:val="24"/>
        </w:rPr>
      </w:pPr>
      <w:r>
        <w:rPr>
          <w:rFonts w:hint="eastAsia" w:hAnsi="宋体" w:cs="宋体"/>
          <w:color w:val="auto"/>
          <w:sz w:val="24"/>
          <w:szCs w:val="24"/>
        </w:rPr>
        <w:t>（2）房产分层分户图；</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w:t>
      </w:r>
      <w:r>
        <w:rPr>
          <w:rFonts w:hAnsi="宋体" w:cs="宋体"/>
          <w:color w:val="auto"/>
          <w:sz w:val="24"/>
          <w:szCs w:val="24"/>
        </w:rPr>
        <w:t>3</w:t>
      </w:r>
      <w:r>
        <w:rPr>
          <w:rFonts w:hint="eastAsia" w:hAnsi="宋体" w:cs="宋体"/>
          <w:color w:val="auto"/>
          <w:sz w:val="24"/>
          <w:szCs w:val="24"/>
        </w:rPr>
        <w:t>）实景三维模型数据；</w:t>
      </w:r>
    </w:p>
    <w:p>
      <w:pPr>
        <w:pStyle w:val="8"/>
        <w:adjustRightInd w:val="0"/>
        <w:snapToGrid w:val="0"/>
        <w:spacing w:line="400" w:lineRule="exact"/>
        <w:ind w:firstLine="480" w:firstLineChars="200"/>
        <w:rPr>
          <w:rFonts w:hint="eastAsia" w:hAnsi="宋体" w:eastAsia="宋体" w:cs="宋体"/>
          <w:color w:val="auto"/>
          <w:sz w:val="24"/>
          <w:szCs w:val="24"/>
        </w:rPr>
      </w:pPr>
      <w:r>
        <w:rPr>
          <w:rFonts w:hint="eastAsia" w:hAnsi="宋体" w:eastAsia="宋体" w:cs="宋体"/>
          <w:color w:val="auto"/>
          <w:sz w:val="24"/>
          <w:szCs w:val="24"/>
        </w:rPr>
        <w:t>（4）正射影像图（分辨率优于</w:t>
      </w:r>
      <w:r>
        <w:rPr>
          <w:rFonts w:hint="eastAsia" w:hAnsi="宋体" w:eastAsia="宋体" w:cs="宋体"/>
          <w:color w:val="auto"/>
          <w:sz w:val="24"/>
          <w:szCs w:val="24"/>
          <w:lang w:val="en-US" w:eastAsia="zh-CN"/>
        </w:rPr>
        <w:t>10CM</w:t>
      </w:r>
      <w:r>
        <w:rPr>
          <w:rFonts w:hint="eastAsia" w:hAnsi="宋体" w:eastAsia="宋体" w:cs="宋体"/>
          <w:color w:val="auto"/>
          <w:sz w:val="24"/>
          <w:szCs w:val="24"/>
        </w:rPr>
        <w:t>）；</w:t>
      </w:r>
    </w:p>
    <w:p>
      <w:pPr>
        <w:pStyle w:val="8"/>
        <w:adjustRightInd w:val="0"/>
        <w:snapToGrid w:val="0"/>
        <w:spacing w:line="400" w:lineRule="exact"/>
        <w:ind w:firstLine="480" w:firstLineChars="200"/>
        <w:rPr>
          <w:rFonts w:hint="eastAsia" w:hAnsi="宋体" w:eastAsia="宋体" w:cs="宋体"/>
          <w:color w:val="auto"/>
          <w:sz w:val="24"/>
          <w:szCs w:val="24"/>
        </w:rPr>
      </w:pPr>
      <w:r>
        <w:rPr>
          <w:rFonts w:hint="eastAsia" w:hAnsi="宋体" w:eastAsia="宋体" w:cs="宋体"/>
          <w:color w:val="auto"/>
          <w:sz w:val="24"/>
          <w:szCs w:val="24"/>
        </w:rPr>
        <w:t>（5）地籍图；</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（三）数据库成果</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（1）鹿寨县农村不确权登记数据库；</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（2）鹿寨县农村不确权登记数据汇交包；</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（四）文档成果</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（1）实施方案；</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（2）工作报告；</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（3）检查报告等。</w:t>
      </w:r>
    </w:p>
    <w:p>
      <w:pPr>
        <w:pStyle w:val="7"/>
        <w:ind w:left="0" w:leftChars="0" w:firstLine="480" w:firstLineChars="200"/>
        <w:rPr>
          <w:rFonts w:hint="eastAsia" w:hAnsi="宋体" w:cs="宋体"/>
          <w:color w:val="auto"/>
          <w:sz w:val="24"/>
        </w:rPr>
      </w:pPr>
      <w:r>
        <w:rPr>
          <w:rFonts w:hint="eastAsia" w:hAnsi="宋体" w:cs="宋体"/>
          <w:color w:val="auto"/>
          <w:sz w:val="24"/>
        </w:rPr>
        <w:t>（五）登记发证预处理</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1、中标供应商需按要求在广西不动产登记信息管理云平台进行农村（房地一体）不动产登记信息、登记申请电子材料入库、出资购买不动产权证证书并协助甲方在不动产登记完成登薄后制作不动产权证书、电子和纸质档案材料整理移交。</w:t>
      </w:r>
    </w:p>
    <w:p>
      <w:pPr>
        <w:pStyle w:val="8"/>
        <w:adjustRightInd w:val="0"/>
        <w:snapToGrid w:val="0"/>
        <w:spacing w:line="400" w:lineRule="exact"/>
        <w:ind w:firstLine="480" w:firstLineChars="200"/>
        <w:rPr>
          <w:rFonts w:hAnsi="宋体" w:cs="宋体"/>
          <w:color w:val="auto"/>
          <w:sz w:val="24"/>
          <w:szCs w:val="24"/>
        </w:rPr>
      </w:pPr>
      <w:r>
        <w:rPr>
          <w:rFonts w:hint="eastAsia" w:hAnsi="宋体" w:cs="宋体"/>
          <w:color w:val="auto"/>
          <w:sz w:val="24"/>
          <w:szCs w:val="24"/>
        </w:rPr>
        <w:t>2、中标供应商应在业主方的协调配合下将成果导入广西不动产登记信息管理平台，确保成果导入的信息内容（列如：姓名、身份证号、坐落、面积等）与其上传到不动产登记系统的电子化档案和移交的电子或纸质材料【含不动产登记表、权利人身证明材料、土地权属来源证明材料、相关公示公告材料、不动产测绘成果、权籍调查材料及相关图件等不动产登记申请材料的内容】相互关联一致；同时还需在不动产登记系统中关联匹配原已登记的农村宅基地及集体建设用地，方便在本次农村房地一体不动产登记登薄后在不动产登记系统中关联注销原已登记的农村宅基地和集体建设用地。</w:t>
      </w:r>
    </w:p>
    <w:p>
      <w:pPr>
        <w:pStyle w:val="7"/>
        <w:ind w:left="2940"/>
        <w:rPr>
          <w:rFonts w:hint="eastAsia"/>
          <w:color w:val="auto"/>
        </w:rPr>
      </w:pPr>
    </w:p>
    <w:p>
      <w:pPr>
        <w:pStyle w:val="8"/>
        <w:snapToGrid w:val="0"/>
        <w:spacing w:line="400" w:lineRule="exact"/>
        <w:outlineLvl w:val="1"/>
        <w:rPr>
          <w:rFonts w:hint="eastAsia" w:hAnsi="宋体" w:cs="宋体"/>
          <w:b/>
          <w:color w:val="auto"/>
          <w:sz w:val="24"/>
          <w:szCs w:val="24"/>
        </w:rPr>
      </w:pPr>
      <w:bookmarkStart w:id="8" w:name="_Toc38370065"/>
      <w:r>
        <w:rPr>
          <w:rFonts w:hint="eastAsia" w:hAnsi="宋体" w:cs="宋体"/>
          <w:b/>
          <w:color w:val="auto"/>
          <w:sz w:val="24"/>
          <w:szCs w:val="24"/>
        </w:rPr>
        <w:t>九、</w:t>
      </w:r>
      <w:bookmarkEnd w:id="8"/>
      <w:r>
        <w:rPr>
          <w:rFonts w:hint="eastAsia" w:hAnsi="宋体" w:cs="宋体"/>
          <w:b/>
          <w:color w:val="auto"/>
          <w:sz w:val="24"/>
          <w:szCs w:val="24"/>
        </w:rPr>
        <w:t>成果交付时间及地点</w:t>
      </w:r>
    </w:p>
    <w:p>
      <w:pPr>
        <w:pStyle w:val="8"/>
        <w:adjustRightInd w:val="0"/>
        <w:snapToGrid w:val="0"/>
        <w:spacing w:line="400" w:lineRule="exact"/>
        <w:ind w:firstLine="480" w:firstLineChars="200"/>
        <w:rPr>
          <w:rFonts w:hint="eastAsia" w:hAnsi="宋体" w:cs="宋体"/>
          <w:color w:val="auto"/>
          <w:sz w:val="24"/>
          <w:szCs w:val="24"/>
        </w:rPr>
      </w:pPr>
      <w:r>
        <w:rPr>
          <w:rFonts w:hint="eastAsia" w:hAnsi="宋体" w:cs="宋体"/>
          <w:color w:val="auto"/>
          <w:sz w:val="24"/>
          <w:szCs w:val="24"/>
        </w:rPr>
        <w:t>服务成果交付时间：2021年12月底前完成。</w:t>
      </w:r>
    </w:p>
    <w:p>
      <w:pPr>
        <w:pStyle w:val="8"/>
        <w:adjustRightInd w:val="0"/>
        <w:snapToGrid w:val="0"/>
        <w:spacing w:line="400" w:lineRule="exact"/>
        <w:ind w:firstLine="480" w:firstLineChars="200"/>
        <w:rPr>
          <w:rFonts w:hint="eastAsia" w:hAnsi="宋体" w:cs="宋体"/>
          <w:bCs/>
          <w:color w:val="auto"/>
          <w:sz w:val="24"/>
          <w:szCs w:val="24"/>
        </w:rPr>
      </w:pPr>
      <w:r>
        <w:rPr>
          <w:rFonts w:hint="eastAsia" w:hAnsi="宋体" w:cs="宋体"/>
          <w:bCs/>
          <w:color w:val="auto"/>
          <w:sz w:val="24"/>
          <w:szCs w:val="24"/>
        </w:rPr>
        <w:t>服务成果交付地点：采购单位指定地点。</w:t>
      </w:r>
    </w:p>
    <w:p>
      <w:pPr>
        <w:pStyle w:val="8"/>
        <w:snapToGrid w:val="0"/>
        <w:spacing w:line="400" w:lineRule="exact"/>
        <w:outlineLvl w:val="1"/>
        <w:rPr>
          <w:rFonts w:hint="eastAsia" w:hAnsi="宋体" w:cs="宋体"/>
          <w:b/>
          <w:color w:val="auto"/>
          <w:sz w:val="24"/>
          <w:szCs w:val="24"/>
        </w:rPr>
      </w:pPr>
      <w:r>
        <w:rPr>
          <w:rFonts w:hint="eastAsia" w:hAnsi="宋体" w:cs="宋体"/>
          <w:b/>
          <w:color w:val="auto"/>
          <w:sz w:val="24"/>
          <w:szCs w:val="24"/>
        </w:rPr>
        <w:t>十、付款方式</w:t>
      </w:r>
    </w:p>
    <w:p>
      <w:pPr>
        <w:pStyle w:val="9"/>
        <w:spacing w:before="0" w:beforeAutospacing="0" w:after="0" w:afterAutospacing="0" w:line="360" w:lineRule="auto"/>
        <w:ind w:firstLine="480" w:firstLineChars="200"/>
        <w:rPr>
          <w:rFonts w:hint="eastAsia" w:cs="宋体"/>
          <w:color w:val="auto"/>
          <w:sz w:val="24"/>
          <w:szCs w:val="24"/>
        </w:rPr>
      </w:pPr>
      <w:r>
        <w:rPr>
          <w:rFonts w:hint="eastAsia" w:cs="宋体"/>
          <w:color w:val="auto"/>
          <w:sz w:val="24"/>
          <w:szCs w:val="24"/>
        </w:rPr>
        <w:t>1、三维航拍和地形图采集完成，并得到采购方确认后，支付中标费用的30%；</w:t>
      </w:r>
    </w:p>
    <w:p>
      <w:pPr>
        <w:pStyle w:val="9"/>
        <w:spacing w:before="0" w:beforeAutospacing="0" w:after="0" w:afterAutospacing="0" w:line="360" w:lineRule="auto"/>
        <w:ind w:firstLine="480" w:firstLineChars="200"/>
        <w:rPr>
          <w:rFonts w:hint="eastAsia" w:cs="宋体"/>
          <w:color w:val="auto"/>
          <w:sz w:val="24"/>
          <w:szCs w:val="24"/>
        </w:rPr>
      </w:pPr>
      <w:r>
        <w:rPr>
          <w:rFonts w:hint="eastAsia" w:cs="宋体"/>
          <w:color w:val="auto"/>
          <w:sz w:val="24"/>
          <w:szCs w:val="24"/>
        </w:rPr>
        <w:t>2、项目完成，并提交成果到甲方后，支付项目中标费用40%；</w:t>
      </w:r>
    </w:p>
    <w:p>
      <w:pPr>
        <w:ind w:firstLine="480" w:firstLineChars="200"/>
        <w:rPr>
          <w:rFonts w:hint="eastAsia"/>
          <w:b/>
          <w:bCs/>
          <w:sz w:val="24"/>
          <w:szCs w:val="24"/>
          <w:lang w:val="en-US" w:eastAsia="zh-CN"/>
        </w:rPr>
      </w:pPr>
      <w:bookmarkStart w:id="9" w:name="_GoBack"/>
      <w:bookmarkEnd w:id="9"/>
      <w:r>
        <w:rPr>
          <w:rFonts w:hint="eastAsia" w:cs="宋体"/>
          <w:color w:val="auto"/>
          <w:sz w:val="24"/>
          <w:szCs w:val="24"/>
        </w:rPr>
        <w:t>3、项目完成验收后支付项目中标费用的30%。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037F8"/>
    <w:multiLevelType w:val="singleLevel"/>
    <w:tmpl w:val="A94037F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76F9F"/>
    <w:rsid w:val="01605127"/>
    <w:rsid w:val="073304D0"/>
    <w:rsid w:val="086C6419"/>
    <w:rsid w:val="0CCE5161"/>
    <w:rsid w:val="103D75DA"/>
    <w:rsid w:val="188D0421"/>
    <w:rsid w:val="19F11FA2"/>
    <w:rsid w:val="2B23236E"/>
    <w:rsid w:val="2E2532CF"/>
    <w:rsid w:val="36365C68"/>
    <w:rsid w:val="3D9978EF"/>
    <w:rsid w:val="45212525"/>
    <w:rsid w:val="47956960"/>
    <w:rsid w:val="49CE0FD5"/>
    <w:rsid w:val="4A6541C0"/>
    <w:rsid w:val="4BF66C21"/>
    <w:rsid w:val="4C2020C6"/>
    <w:rsid w:val="4D761711"/>
    <w:rsid w:val="4E2624DC"/>
    <w:rsid w:val="4EB10EA4"/>
    <w:rsid w:val="4ED95189"/>
    <w:rsid w:val="523D22BB"/>
    <w:rsid w:val="52E65CD3"/>
    <w:rsid w:val="54757930"/>
    <w:rsid w:val="575773FA"/>
    <w:rsid w:val="57B83603"/>
    <w:rsid w:val="5C256DCC"/>
    <w:rsid w:val="634108EE"/>
    <w:rsid w:val="681F340A"/>
    <w:rsid w:val="784825DE"/>
    <w:rsid w:val="78C7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spacing w:before="340" w:beforeLines="0" w:beforeAutospacing="0" w:after="330" w:afterLines="0" w:afterAutospacing="0" w:line="240" w:lineRule="auto"/>
      <w:jc w:val="left"/>
      <w:outlineLvl w:val="0"/>
    </w:pPr>
    <w:rPr>
      <w:rFonts w:ascii="宋体" w:hAnsi="宋体" w:eastAsia="华文仿宋" w:cs="宋体"/>
      <w:b/>
      <w:kern w:val="44"/>
      <w:sz w:val="30"/>
      <w:szCs w:val="22"/>
      <w:lang w:val="zh-CN" w:bidi="zh-CN"/>
    </w:rPr>
  </w:style>
  <w:style w:type="paragraph" w:styleId="4">
    <w:name w:val="heading 2"/>
    <w:basedOn w:val="1"/>
    <w:next w:val="1"/>
    <w:link w:val="12"/>
    <w:semiHidden/>
    <w:unhideWhenUsed/>
    <w:qFormat/>
    <w:uiPriority w:val="0"/>
    <w:pPr>
      <w:keepNext/>
      <w:keepLines/>
      <w:spacing w:before="260" w:beforeLines="0" w:beforeAutospacing="0" w:after="260" w:afterLines="0" w:afterAutospacing="0" w:line="500" w:lineRule="exact"/>
      <w:jc w:val="center"/>
      <w:outlineLvl w:val="1"/>
    </w:pPr>
    <w:rPr>
      <w:rFonts w:ascii="Arial" w:hAnsi="Arial" w:eastAsia="华文仿宋" w:cs="宋体"/>
      <w:b/>
      <w:sz w:val="28"/>
      <w:szCs w:val="22"/>
      <w:lang w:val="zh-CN" w:bidi="zh-CN"/>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宋体" w:cs="Times New Roman" w:asciiTheme="minorAscii" w:hAnsiTheme="minorAscii"/>
      <w:b/>
      <w:sz w:val="28"/>
      <w:szCs w:val="22"/>
    </w:rPr>
  </w:style>
  <w:style w:type="paragraph" w:styleId="6">
    <w:name w:val="heading 4"/>
    <w:basedOn w:val="1"/>
    <w:next w:val="1"/>
    <w:semiHidden/>
    <w:unhideWhenUsed/>
    <w:qFormat/>
    <w:uiPriority w:val="0"/>
    <w:pPr>
      <w:keepNext/>
      <w:keepLines/>
      <w:spacing w:before="40" w:beforeLines="0" w:beforeAutospacing="0" w:after="50" w:afterLines="0" w:afterAutospacing="0" w:line="372" w:lineRule="auto"/>
      <w:outlineLvl w:val="3"/>
    </w:pPr>
    <w:rPr>
      <w:rFonts w:ascii="Arial" w:hAnsi="Arial" w:eastAsia="宋体" w:cs="Times New Roman"/>
      <w:b/>
      <w:sz w:val="28"/>
      <w:szCs w:val="22"/>
    </w:rPr>
  </w:style>
  <w:style w:type="character" w:default="1" w:styleId="10">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line="380" w:lineRule="exact"/>
    </w:pPr>
    <w:rPr>
      <w:sz w:val="24"/>
    </w:rPr>
  </w:style>
  <w:style w:type="paragraph" w:styleId="7">
    <w:name w:val="index 8"/>
    <w:basedOn w:val="1"/>
    <w:next w:val="1"/>
    <w:unhideWhenUsed/>
    <w:qFormat/>
    <w:uiPriority w:val="99"/>
    <w:pPr>
      <w:ind w:left="1400" w:leftChars="1400"/>
    </w:pPr>
  </w:style>
  <w:style w:type="paragraph" w:styleId="8">
    <w:name w:val="Plain Text"/>
    <w:basedOn w:val="1"/>
    <w:next w:val="7"/>
    <w:qFormat/>
    <w:uiPriority w:val="0"/>
    <w:rPr>
      <w:rFonts w:ascii="宋体" w:hAnsi="Courier New" w:cs="Courier New"/>
      <w:szCs w:val="21"/>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customStyle="1" w:styleId="12">
    <w:name w:val="标题 2 Char"/>
    <w:link w:val="4"/>
    <w:qFormat/>
    <w:uiPriority w:val="0"/>
    <w:rPr>
      <w:rFonts w:ascii="Arial" w:hAnsi="Arial" w:eastAsia="华文仿宋" w:cs="宋体"/>
      <w:b/>
      <w:sz w:val="28"/>
      <w:szCs w:val="22"/>
      <w:lang w:val="zh-CN" w:bidi="zh-CN"/>
    </w:rPr>
  </w:style>
  <w:style w:type="character" w:customStyle="1" w:styleId="13">
    <w:name w:val="标题 1 字符"/>
    <w:link w:val="3"/>
    <w:qFormat/>
    <w:uiPriority w:val="0"/>
    <w:rPr>
      <w:rFonts w:ascii="宋体" w:hAnsi="宋体" w:eastAsia="华文仿宋" w:cs="宋体"/>
      <w:b/>
      <w:kern w:val="44"/>
      <w:sz w:val="30"/>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2021-09-10T02:17:15Z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