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bookmarkStart w:id="0" w:name="_GoBack"/>
      <w:bookmarkEnd w:id="0"/>
      <w:r>
        <w:rPr>
          <w:rFonts w:hint="eastAsia" w:asciiTheme="minorEastAsia" w:hAnsiTheme="minorEastAsia" w:cstheme="minorEastAsia"/>
          <w:b/>
          <w:sz w:val="32"/>
          <w:szCs w:val="32"/>
          <w:lang w:val="zh-TW" w:eastAsia="zh-CN"/>
        </w:rPr>
        <w:t>崇左市江州区黑水河（江州区新和段作字屯）生态保护修复治理工程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CZZC2020-C2-20001-GXJQ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09时30分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崇左市江州区黑水河（江州区新和段作字屯）生态保护修复治理工程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崇左市江州区黑水河（江州区新和段作字屯）生态保护修复治理工程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CZZC2020-C2-20001-GXJQ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崇左市江州区黑水河（江州区新和段作字屯）生态保护修复治理工程，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谈判日期：20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09</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30</w:t>
      </w:r>
      <w:r>
        <w:rPr>
          <w:rFonts w:hint="eastAsia" w:asciiTheme="minorEastAsia" w:hAnsiTheme="minorEastAsia" w:cstheme="minorEastAsia"/>
          <w:bCs/>
          <w:sz w:val="24"/>
          <w:szCs w:val="24"/>
        </w:rPr>
        <w:t>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val="en-US" w:eastAsia="zh-CN"/>
        </w:rPr>
        <w:t>唐毓行、赵杰飞、覃志办</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壹佰万零玖仟壹佰玖拾伍元整（¥1009195.00）</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934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5"/>
        <w:gridCol w:w="1875"/>
        <w:gridCol w:w="17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345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87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1725" w:type="dxa"/>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1525" w:type="dxa"/>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345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87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1009195.00</w:t>
            </w:r>
          </w:p>
        </w:tc>
        <w:tc>
          <w:tcPr>
            <w:tcW w:w="1725"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1525" w:type="dxa"/>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widowControl/>
        <w:spacing w:line="480" w:lineRule="exact"/>
        <w:rPr>
          <w:rFonts w:hint="eastAsia" w:asciiTheme="minorEastAsia" w:hAnsiTheme="minorEastAsia" w:cstheme="minorEastAsia"/>
          <w:bCs/>
          <w:sz w:val="24"/>
          <w:szCs w:val="24"/>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8月12</w:t>
      </w:r>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92A2F09"/>
    <w:rsid w:val="096F55DB"/>
    <w:rsid w:val="0C5F3356"/>
    <w:rsid w:val="0D6B2E3C"/>
    <w:rsid w:val="0E5138BD"/>
    <w:rsid w:val="11D522A1"/>
    <w:rsid w:val="169D5F93"/>
    <w:rsid w:val="16B413FD"/>
    <w:rsid w:val="182008F2"/>
    <w:rsid w:val="1D0F3F86"/>
    <w:rsid w:val="21557A06"/>
    <w:rsid w:val="24327826"/>
    <w:rsid w:val="29603638"/>
    <w:rsid w:val="2BA67FAA"/>
    <w:rsid w:val="2F866689"/>
    <w:rsid w:val="2F8F4F32"/>
    <w:rsid w:val="303B1170"/>
    <w:rsid w:val="30B37156"/>
    <w:rsid w:val="3382293B"/>
    <w:rsid w:val="339F2B20"/>
    <w:rsid w:val="37EB4220"/>
    <w:rsid w:val="39DB669F"/>
    <w:rsid w:val="3D361933"/>
    <w:rsid w:val="3EC1753C"/>
    <w:rsid w:val="40660767"/>
    <w:rsid w:val="41045682"/>
    <w:rsid w:val="465047BA"/>
    <w:rsid w:val="518304C2"/>
    <w:rsid w:val="5F7003B6"/>
    <w:rsid w:val="602D0AA8"/>
    <w:rsid w:val="620C716E"/>
    <w:rsid w:val="674F134B"/>
    <w:rsid w:val="681E4020"/>
    <w:rsid w:val="6889379F"/>
    <w:rsid w:val="68C7036D"/>
    <w:rsid w:val="6AD1076F"/>
    <w:rsid w:val="6C655C94"/>
    <w:rsid w:val="72E6758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4</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LCC</cp:lastModifiedBy>
  <dcterms:modified xsi:type="dcterms:W3CDTF">2020-08-12T02:16:46Z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