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ind w:firstLine="105"/>
        <w:jc w:val="center"/>
        <w:rPr>
          <w:rFonts w:hint="eastAsia" w:ascii="华康简魏碑" w:eastAsia="华康简魏碑"/>
          <w:b/>
          <w:bCs/>
          <w:color w:val="000000"/>
          <w:spacing w:val="80"/>
          <w:sz w:val="64"/>
        </w:rPr>
      </w:pPr>
    </w:p>
    <w:p>
      <w:pPr>
        <w:pStyle w:val="20"/>
        <w:jc w:val="center"/>
        <w:rPr>
          <w:rFonts w:hint="eastAsia" w:hAnsi="宋体" w:cs="宋体"/>
          <w:b/>
          <w:bCs/>
          <w:color w:val="000000"/>
          <w:sz w:val="72"/>
        </w:rPr>
      </w:pPr>
      <w:r>
        <w:rPr>
          <w:rFonts w:hint="eastAsia" w:hAnsi="宋体" w:cs="宋体"/>
          <w:b/>
          <w:bCs/>
          <w:color w:val="000000"/>
          <w:sz w:val="64"/>
        </w:rPr>
        <w:t>广西科联招标中心有限公司</w:t>
      </w:r>
    </w:p>
    <w:p>
      <w:pPr>
        <w:pStyle w:val="20"/>
        <w:jc w:val="center"/>
        <w:rPr>
          <w:rFonts w:hint="eastAsia" w:hAnsi="宋体" w:cs="宋体"/>
          <w:b/>
          <w:color w:val="000000"/>
          <w:sz w:val="72"/>
          <w:szCs w:val="72"/>
        </w:rPr>
      </w:pPr>
    </w:p>
    <w:p>
      <w:pPr>
        <w:pStyle w:val="20"/>
        <w:jc w:val="center"/>
        <w:rPr>
          <w:rFonts w:hint="eastAsia" w:hAnsi="宋体" w:cs="宋体"/>
          <w:b/>
          <w:color w:val="000000"/>
          <w:sz w:val="72"/>
          <w:szCs w:val="72"/>
        </w:rPr>
      </w:pPr>
    </w:p>
    <w:p>
      <w:pPr>
        <w:pStyle w:val="20"/>
        <w:jc w:val="center"/>
        <w:rPr>
          <w:rFonts w:hint="eastAsia" w:hAnsi="宋体" w:cs="宋体"/>
          <w:b/>
          <w:bCs/>
          <w:color w:val="000000"/>
          <w:sz w:val="72"/>
        </w:rPr>
      </w:pPr>
      <w:r>
        <w:rPr>
          <w:rFonts w:hint="eastAsia" w:hAnsi="宋体" w:cs="宋体"/>
          <w:b/>
          <w:color w:val="000000"/>
          <w:sz w:val="72"/>
          <w:szCs w:val="72"/>
        </w:rPr>
        <w:t>竞争性磋商文件</w:t>
      </w:r>
    </w:p>
    <w:p>
      <w:pPr>
        <w:pStyle w:val="20"/>
        <w:jc w:val="center"/>
        <w:rPr>
          <w:rFonts w:hint="eastAsia" w:hAnsi="宋体" w:cs="宋体"/>
          <w:b/>
          <w:bCs/>
          <w:color w:val="000000"/>
          <w:sz w:val="72"/>
        </w:rPr>
      </w:pPr>
    </w:p>
    <w:p>
      <w:pPr>
        <w:pStyle w:val="20"/>
        <w:rPr>
          <w:rFonts w:hint="eastAsia" w:hAnsi="宋体" w:cs="宋体"/>
          <w:color w:val="000000"/>
        </w:rPr>
      </w:pPr>
    </w:p>
    <w:p>
      <w:pPr>
        <w:pStyle w:val="20"/>
        <w:rPr>
          <w:rFonts w:hint="eastAsia" w:hAnsi="宋体" w:cs="宋体"/>
          <w:color w:val="000000"/>
        </w:rPr>
      </w:pPr>
    </w:p>
    <w:p>
      <w:pPr>
        <w:pStyle w:val="20"/>
        <w:rPr>
          <w:rFonts w:hint="eastAsia" w:hAnsi="宋体" w:cs="宋体"/>
          <w:color w:val="000000"/>
        </w:rPr>
      </w:pPr>
    </w:p>
    <w:p>
      <w:pPr>
        <w:pStyle w:val="20"/>
        <w:jc w:val="left"/>
        <w:rPr>
          <w:rFonts w:hint="eastAsia" w:hAnsi="宋体" w:cs="宋体"/>
          <w:b/>
          <w:bCs/>
          <w:color w:val="000000"/>
          <w:spacing w:val="16"/>
          <w:sz w:val="32"/>
        </w:rPr>
      </w:pPr>
    </w:p>
    <w:p>
      <w:pPr>
        <w:pStyle w:val="20"/>
        <w:spacing w:line="360" w:lineRule="auto"/>
        <w:ind w:firstLine="643" w:firstLineChars="200"/>
        <w:rPr>
          <w:rFonts w:hint="eastAsia" w:hAnsi="宋体" w:cs="宋体"/>
          <w:b/>
          <w:bCs/>
          <w:color w:val="000000"/>
          <w:sz w:val="32"/>
          <w:u w:val="single"/>
        </w:rPr>
      </w:pPr>
      <w:r>
        <w:rPr>
          <w:rFonts w:hint="eastAsia" w:hAnsi="宋体" w:cs="宋体"/>
          <w:b/>
          <w:bCs/>
          <w:color w:val="000000"/>
          <w:sz w:val="32"/>
        </w:rPr>
        <w:t>项目名称：</w:t>
      </w:r>
      <w:r>
        <w:rPr>
          <w:rFonts w:hint="eastAsia" w:hAnsi="宋体" w:cs="宋体"/>
          <w:b/>
          <w:bCs/>
          <w:color w:val="000000"/>
          <w:sz w:val="32"/>
          <w:u w:val="none"/>
        </w:rPr>
        <w:t>河池市机动车排放摇感监测系统二期项目</w:t>
      </w:r>
    </w:p>
    <w:p>
      <w:pPr>
        <w:spacing w:line="400" w:lineRule="exact"/>
        <w:ind w:firstLine="643" w:firstLineChars="200"/>
        <w:rPr>
          <w:rFonts w:hint="default" w:ascii="宋体" w:hAnsi="宋体" w:eastAsia="宋体"/>
          <w:b/>
          <w:color w:val="FF0000"/>
          <w:sz w:val="28"/>
          <w:szCs w:val="28"/>
          <w:lang w:val="en-US" w:eastAsia="zh-CN"/>
        </w:rPr>
      </w:pPr>
      <w:r>
        <w:rPr>
          <w:rFonts w:hint="eastAsia" w:hAnsi="宋体" w:cs="宋体"/>
          <w:b/>
          <w:bCs/>
          <w:color w:val="000000"/>
          <w:sz w:val="32"/>
        </w:rPr>
        <w:t>项目编号：</w:t>
      </w:r>
      <w:r>
        <w:rPr>
          <w:rFonts w:hint="eastAsia" w:ascii="宋体" w:hAnsi="宋体" w:cs="宋体"/>
          <w:b/>
          <w:bCs/>
          <w:color w:val="000000"/>
          <w:kern w:val="2"/>
          <w:sz w:val="32"/>
          <w:szCs w:val="20"/>
          <w:lang w:val="en-US" w:eastAsia="zh-CN" w:bidi="ar-SA"/>
        </w:rPr>
        <w:t>HCZC2020-C1-01816-KLZB</w:t>
      </w:r>
    </w:p>
    <w:p>
      <w:pPr>
        <w:pStyle w:val="20"/>
        <w:spacing w:line="360" w:lineRule="auto"/>
        <w:ind w:firstLine="1594" w:firstLineChars="397"/>
        <w:rPr>
          <w:rFonts w:hint="eastAsia" w:hAnsi="宋体" w:cs="宋体"/>
          <w:b/>
          <w:bCs/>
          <w:color w:val="000000"/>
          <w:sz w:val="40"/>
          <w:szCs w:val="22"/>
        </w:rPr>
      </w:pPr>
    </w:p>
    <w:p>
      <w:pPr>
        <w:pStyle w:val="20"/>
        <w:spacing w:line="360" w:lineRule="auto"/>
        <w:rPr>
          <w:rFonts w:hint="eastAsia" w:hAnsi="宋体" w:cs="宋体"/>
          <w:b/>
          <w:bCs/>
          <w:color w:val="000000"/>
          <w:sz w:val="32"/>
        </w:rPr>
      </w:pPr>
    </w:p>
    <w:p>
      <w:pPr>
        <w:pStyle w:val="20"/>
        <w:spacing w:line="360" w:lineRule="auto"/>
        <w:rPr>
          <w:rFonts w:hint="eastAsia" w:hAnsi="宋体" w:cs="宋体"/>
          <w:color w:val="000000"/>
          <w:kern w:val="0"/>
          <w:sz w:val="24"/>
          <w:szCs w:val="24"/>
        </w:rPr>
      </w:pPr>
    </w:p>
    <w:p>
      <w:pPr>
        <w:pStyle w:val="20"/>
        <w:spacing w:line="360" w:lineRule="auto"/>
        <w:rPr>
          <w:rFonts w:hint="eastAsia" w:hAnsi="宋体" w:cs="宋体"/>
          <w:color w:val="000000"/>
          <w:kern w:val="0"/>
          <w:sz w:val="24"/>
          <w:szCs w:val="24"/>
        </w:rPr>
      </w:pPr>
      <w:r>
        <w:rPr>
          <w:rFonts w:hint="eastAsia" w:hAnsi="宋体" w:cs="宋体"/>
          <w:color w:val="000000"/>
          <w:kern w:val="0"/>
          <w:sz w:val="24"/>
          <w:szCs w:val="24"/>
        </w:rPr>
        <w:br w:type="textWrapping"/>
      </w:r>
    </w:p>
    <w:p>
      <w:pPr>
        <w:pStyle w:val="20"/>
        <w:spacing w:line="360" w:lineRule="auto"/>
        <w:rPr>
          <w:rFonts w:hint="eastAsia" w:hAnsi="宋体" w:cs="宋体"/>
          <w:b/>
          <w:bCs/>
          <w:color w:val="000000"/>
          <w:sz w:val="32"/>
        </w:rPr>
      </w:pPr>
    </w:p>
    <w:p>
      <w:pPr>
        <w:pStyle w:val="20"/>
        <w:spacing w:line="360" w:lineRule="auto"/>
        <w:rPr>
          <w:rFonts w:hint="eastAsia" w:hAnsi="宋体" w:cs="宋体"/>
          <w:b/>
          <w:bCs/>
          <w:color w:val="000000"/>
          <w:sz w:val="32"/>
        </w:rPr>
      </w:pPr>
    </w:p>
    <w:p>
      <w:pPr>
        <w:pStyle w:val="20"/>
        <w:ind w:firstLine="1902" w:firstLineChars="592"/>
        <w:rPr>
          <w:rFonts w:hint="eastAsia" w:hAnsi="宋体" w:cs="宋体"/>
          <w:b/>
          <w:bCs/>
          <w:color w:val="000000"/>
          <w:sz w:val="32"/>
        </w:rPr>
      </w:pPr>
      <w:r>
        <w:rPr>
          <w:rFonts w:hint="eastAsia" w:hAnsi="宋体" w:cs="宋体"/>
          <w:b/>
          <w:bCs/>
          <w:color w:val="000000"/>
          <w:sz w:val="32"/>
        </w:rPr>
        <w:t>采购单位：河池市生态环境局</w:t>
      </w:r>
    </w:p>
    <w:p>
      <w:pPr>
        <w:pStyle w:val="20"/>
        <w:ind w:firstLine="1902" w:firstLineChars="592"/>
        <w:rPr>
          <w:rFonts w:hint="eastAsia" w:hAnsi="宋体" w:cs="宋体"/>
          <w:b/>
          <w:bCs/>
          <w:color w:val="000000"/>
          <w:sz w:val="32"/>
        </w:rPr>
      </w:pPr>
    </w:p>
    <w:p>
      <w:pPr>
        <w:pStyle w:val="20"/>
        <w:ind w:firstLine="1902" w:firstLineChars="592"/>
        <w:rPr>
          <w:rFonts w:hint="eastAsia" w:hAnsi="宋体" w:cs="宋体"/>
          <w:b/>
          <w:bCs/>
          <w:color w:val="000000"/>
          <w:sz w:val="32"/>
        </w:rPr>
      </w:pPr>
      <w:r>
        <w:rPr>
          <w:rFonts w:hint="eastAsia" w:hAnsi="宋体" w:cs="宋体"/>
          <w:b/>
          <w:bCs/>
          <w:color w:val="000000"/>
          <w:sz w:val="32"/>
        </w:rPr>
        <w:t>采购代理机构：广西科联招标中心有限公司</w:t>
      </w:r>
    </w:p>
    <w:p>
      <w:pPr>
        <w:pStyle w:val="20"/>
        <w:spacing w:line="360" w:lineRule="auto"/>
        <w:ind w:firstLine="1968" w:firstLineChars="557"/>
        <w:rPr>
          <w:rFonts w:hint="eastAsia" w:hAnsi="宋体" w:cs="宋体"/>
          <w:b/>
          <w:bCs/>
          <w:color w:val="000000"/>
          <w:spacing w:val="16"/>
          <w:sz w:val="32"/>
        </w:rPr>
      </w:pPr>
    </w:p>
    <w:p>
      <w:pPr>
        <w:spacing w:line="400" w:lineRule="exact"/>
        <w:jc w:val="center"/>
        <w:rPr>
          <w:rFonts w:hint="eastAsia" w:ascii="宋体" w:hAnsi="宋体"/>
          <w:b/>
          <w:color w:val="000000"/>
          <w:sz w:val="44"/>
          <w:szCs w:val="44"/>
        </w:rPr>
      </w:pPr>
    </w:p>
    <w:p>
      <w:pPr>
        <w:pStyle w:val="108"/>
        <w:jc w:val="center"/>
        <w:rPr>
          <w:rFonts w:hint="eastAsia"/>
          <w:color w:val="000000"/>
          <w:sz w:val="44"/>
          <w:lang w:val="zh-CN"/>
        </w:rPr>
      </w:pPr>
      <w:bookmarkStart w:id="0" w:name="_Toc13434"/>
      <w:r>
        <w:rPr>
          <w:color w:val="000000"/>
          <w:sz w:val="44"/>
          <w:lang w:val="zh-CN"/>
        </w:rPr>
        <w:t>目</w:t>
      </w:r>
      <w:r>
        <w:rPr>
          <w:rFonts w:hint="eastAsia"/>
          <w:color w:val="000000"/>
          <w:sz w:val="44"/>
          <w:lang w:val="zh-CN"/>
        </w:rPr>
        <w:t xml:space="preserve">  </w:t>
      </w:r>
      <w:r>
        <w:rPr>
          <w:color w:val="000000"/>
          <w:sz w:val="44"/>
          <w:lang w:val="zh-CN"/>
        </w:rPr>
        <w:t>录</w:t>
      </w:r>
      <w:bookmarkEnd w:id="0"/>
    </w:p>
    <w:p>
      <w:pPr>
        <w:rPr>
          <w:color w:val="000000"/>
          <w:lang w:val="zh-CN"/>
        </w:rPr>
      </w:pPr>
    </w:p>
    <w:p>
      <w:pPr>
        <w:pStyle w:val="27"/>
        <w:tabs>
          <w:tab w:val="right" w:leader="dot" w:pos="9072"/>
          <w:tab w:val="clear" w:pos="9628"/>
        </w:tabs>
        <w:rPr>
          <w:rFonts w:hint="eastAsia" w:ascii="宋体" w:hAnsi="宋体"/>
          <w:b/>
          <w:color w:val="000000"/>
          <w:sz w:val="24"/>
        </w:rPr>
      </w:pPr>
    </w:p>
    <w:p>
      <w:pPr>
        <w:pStyle w:val="27"/>
        <w:tabs>
          <w:tab w:val="right" w:leader="dot" w:pos="8900"/>
          <w:tab w:val="clear" w:pos="9628"/>
        </w:tabs>
      </w:pPr>
      <w:r>
        <w:rPr>
          <w:rFonts w:ascii="宋体" w:hAnsi="宋体"/>
          <w:color w:val="000000"/>
          <w:sz w:val="24"/>
        </w:rPr>
        <w:fldChar w:fldCharType="begin"/>
      </w:r>
      <w:r>
        <w:rPr>
          <w:rFonts w:ascii="宋体" w:hAnsi="宋体"/>
          <w:color w:val="000000"/>
          <w:sz w:val="24"/>
        </w:rPr>
        <w:instrText xml:space="preserve"> TOC \o "1-3" \h \z \u </w:instrText>
      </w:r>
      <w:r>
        <w:rPr>
          <w:rFonts w:ascii="宋体" w:hAnsi="宋体"/>
          <w:color w:val="000000"/>
          <w:sz w:val="24"/>
        </w:rPr>
        <w:fldChar w:fldCharType="separate"/>
      </w:r>
    </w:p>
    <w:p>
      <w:pPr>
        <w:pStyle w:val="27"/>
        <w:tabs>
          <w:tab w:val="right" w:leader="dot" w:pos="8900"/>
          <w:tab w:val="clear" w:pos="9628"/>
        </w:tabs>
        <w:spacing w:line="480" w:lineRule="auto"/>
        <w:rPr>
          <w:rFonts w:hint="eastAsia" w:ascii="宋体" w:hAnsi="宋体" w:cs="宋体"/>
          <w:sz w:val="24"/>
        </w:rPr>
      </w:pPr>
      <w:r>
        <w:rPr>
          <w:rFonts w:hint="eastAsia" w:ascii="宋体" w:hAnsi="宋体" w:cs="宋体"/>
          <w:bCs/>
          <w:color w:val="000000"/>
          <w:sz w:val="24"/>
          <w:lang w:val="zh-CN"/>
        </w:rPr>
        <w:fldChar w:fldCharType="begin"/>
      </w:r>
      <w:r>
        <w:rPr>
          <w:rFonts w:hint="eastAsia" w:ascii="宋体" w:hAnsi="宋体" w:cs="宋体"/>
          <w:bCs/>
          <w:sz w:val="24"/>
          <w:lang w:val="zh-CN"/>
        </w:rPr>
        <w:instrText xml:space="preserve"> HYPERLINK \l _Toc6139 </w:instrText>
      </w:r>
      <w:r>
        <w:rPr>
          <w:rFonts w:hint="eastAsia" w:ascii="宋体" w:hAnsi="宋体" w:cs="宋体"/>
          <w:bCs/>
          <w:sz w:val="24"/>
          <w:lang w:val="zh-CN"/>
        </w:rPr>
        <w:fldChar w:fldCharType="separate"/>
      </w:r>
      <w:r>
        <w:rPr>
          <w:rFonts w:hint="eastAsia" w:ascii="宋体" w:hAnsi="宋体" w:cs="宋体"/>
          <w:sz w:val="24"/>
        </w:rPr>
        <w:t>第一章  竞争性磋商公告</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_Toc6139 </w:instrText>
      </w:r>
      <w:r>
        <w:rPr>
          <w:rFonts w:hint="eastAsia" w:ascii="宋体" w:hAnsi="宋体" w:cs="宋体"/>
          <w:sz w:val="24"/>
        </w:rPr>
        <w:fldChar w:fldCharType="separate"/>
      </w:r>
      <w:r>
        <w:rPr>
          <w:rFonts w:hint="eastAsia" w:ascii="宋体" w:hAnsi="宋体" w:cs="宋体"/>
          <w:sz w:val="24"/>
        </w:rPr>
        <w:t>2</w:t>
      </w:r>
      <w:r>
        <w:rPr>
          <w:rFonts w:hint="eastAsia" w:ascii="宋体" w:hAnsi="宋体" w:cs="宋体"/>
          <w:sz w:val="24"/>
        </w:rPr>
        <w:fldChar w:fldCharType="end"/>
      </w:r>
      <w:r>
        <w:rPr>
          <w:rFonts w:hint="eastAsia" w:ascii="宋体" w:hAnsi="宋体" w:cs="宋体"/>
          <w:bCs/>
          <w:color w:val="000000"/>
          <w:sz w:val="24"/>
          <w:lang w:val="zh-CN"/>
        </w:rPr>
        <w:fldChar w:fldCharType="end"/>
      </w:r>
    </w:p>
    <w:p>
      <w:pPr>
        <w:pStyle w:val="27"/>
        <w:tabs>
          <w:tab w:val="right" w:leader="dot" w:pos="8900"/>
          <w:tab w:val="clear" w:pos="9628"/>
        </w:tabs>
        <w:spacing w:line="480" w:lineRule="auto"/>
        <w:rPr>
          <w:rFonts w:hint="eastAsia" w:ascii="宋体" w:hAnsi="宋体" w:cs="宋体"/>
          <w:sz w:val="24"/>
        </w:rPr>
      </w:pPr>
      <w:r>
        <w:rPr>
          <w:rFonts w:hint="eastAsia" w:ascii="宋体" w:hAnsi="宋体" w:cs="宋体"/>
          <w:bCs/>
          <w:color w:val="000000"/>
          <w:sz w:val="24"/>
          <w:lang w:val="zh-CN"/>
        </w:rPr>
        <w:fldChar w:fldCharType="begin"/>
      </w:r>
      <w:r>
        <w:rPr>
          <w:rFonts w:hint="eastAsia" w:ascii="宋体" w:hAnsi="宋体" w:cs="宋体"/>
          <w:bCs/>
          <w:sz w:val="24"/>
          <w:lang w:val="zh-CN"/>
        </w:rPr>
        <w:instrText xml:space="preserve"> HYPERLINK \l _Toc4752 </w:instrText>
      </w:r>
      <w:r>
        <w:rPr>
          <w:rFonts w:hint="eastAsia" w:ascii="宋体" w:hAnsi="宋体" w:cs="宋体"/>
          <w:bCs/>
          <w:sz w:val="24"/>
          <w:lang w:val="zh-CN"/>
        </w:rPr>
        <w:fldChar w:fldCharType="separate"/>
      </w:r>
      <w:r>
        <w:rPr>
          <w:rFonts w:hint="eastAsia" w:ascii="宋体" w:hAnsi="宋体" w:cs="宋体"/>
          <w:sz w:val="24"/>
        </w:rPr>
        <w:t>第二章  供应商须知及前附表</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_Toc4752 </w:instrText>
      </w:r>
      <w:r>
        <w:rPr>
          <w:rFonts w:hint="eastAsia" w:ascii="宋体" w:hAnsi="宋体" w:cs="宋体"/>
          <w:sz w:val="24"/>
        </w:rPr>
        <w:fldChar w:fldCharType="separate"/>
      </w:r>
      <w:r>
        <w:rPr>
          <w:rFonts w:hint="eastAsia" w:ascii="宋体" w:hAnsi="宋体" w:cs="宋体"/>
          <w:sz w:val="24"/>
        </w:rPr>
        <w:t>5</w:t>
      </w:r>
      <w:r>
        <w:rPr>
          <w:rFonts w:hint="eastAsia" w:ascii="宋体" w:hAnsi="宋体" w:cs="宋体"/>
          <w:sz w:val="24"/>
        </w:rPr>
        <w:fldChar w:fldCharType="end"/>
      </w:r>
      <w:r>
        <w:rPr>
          <w:rFonts w:hint="eastAsia" w:ascii="宋体" w:hAnsi="宋体" w:cs="宋体"/>
          <w:bCs/>
          <w:color w:val="000000"/>
          <w:sz w:val="24"/>
          <w:lang w:val="zh-CN"/>
        </w:rPr>
        <w:fldChar w:fldCharType="end"/>
      </w:r>
    </w:p>
    <w:p>
      <w:pPr>
        <w:pStyle w:val="27"/>
        <w:tabs>
          <w:tab w:val="right" w:leader="dot" w:pos="8900"/>
          <w:tab w:val="clear" w:pos="9628"/>
        </w:tabs>
        <w:spacing w:line="480" w:lineRule="auto"/>
        <w:rPr>
          <w:rFonts w:hint="eastAsia" w:ascii="宋体" w:hAnsi="宋体" w:cs="宋体"/>
          <w:sz w:val="24"/>
        </w:rPr>
      </w:pPr>
      <w:r>
        <w:rPr>
          <w:rFonts w:hint="eastAsia" w:ascii="宋体" w:hAnsi="宋体" w:cs="宋体"/>
          <w:bCs/>
          <w:color w:val="000000"/>
          <w:sz w:val="24"/>
          <w:lang w:val="zh-CN"/>
        </w:rPr>
        <w:fldChar w:fldCharType="begin"/>
      </w:r>
      <w:r>
        <w:rPr>
          <w:rFonts w:hint="eastAsia" w:ascii="宋体" w:hAnsi="宋体" w:cs="宋体"/>
          <w:bCs/>
          <w:sz w:val="24"/>
          <w:lang w:val="zh-CN"/>
        </w:rPr>
        <w:instrText xml:space="preserve"> HYPERLINK \l _Toc28407 </w:instrText>
      </w:r>
      <w:r>
        <w:rPr>
          <w:rFonts w:hint="eastAsia" w:ascii="宋体" w:hAnsi="宋体" w:cs="宋体"/>
          <w:bCs/>
          <w:sz w:val="24"/>
          <w:lang w:val="zh-CN"/>
        </w:rPr>
        <w:fldChar w:fldCharType="separate"/>
      </w:r>
      <w:r>
        <w:rPr>
          <w:rFonts w:hint="eastAsia" w:ascii="宋体" w:hAnsi="宋体" w:cs="宋体"/>
          <w:sz w:val="24"/>
        </w:rPr>
        <w:t>供应商须知前附表</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_Toc28407 </w:instrText>
      </w:r>
      <w:r>
        <w:rPr>
          <w:rFonts w:hint="eastAsia" w:ascii="宋体" w:hAnsi="宋体" w:cs="宋体"/>
          <w:sz w:val="24"/>
        </w:rPr>
        <w:fldChar w:fldCharType="separate"/>
      </w:r>
      <w:r>
        <w:rPr>
          <w:rFonts w:hint="eastAsia" w:ascii="宋体" w:hAnsi="宋体" w:cs="宋体"/>
          <w:sz w:val="24"/>
        </w:rPr>
        <w:t>6</w:t>
      </w:r>
      <w:r>
        <w:rPr>
          <w:rFonts w:hint="eastAsia" w:ascii="宋体" w:hAnsi="宋体" w:cs="宋体"/>
          <w:sz w:val="24"/>
        </w:rPr>
        <w:fldChar w:fldCharType="end"/>
      </w:r>
      <w:r>
        <w:rPr>
          <w:rFonts w:hint="eastAsia" w:ascii="宋体" w:hAnsi="宋体" w:cs="宋体"/>
          <w:bCs/>
          <w:color w:val="000000"/>
          <w:sz w:val="24"/>
          <w:lang w:val="zh-CN"/>
        </w:rPr>
        <w:fldChar w:fldCharType="end"/>
      </w:r>
    </w:p>
    <w:p>
      <w:pPr>
        <w:pStyle w:val="27"/>
        <w:tabs>
          <w:tab w:val="right" w:leader="dot" w:pos="8900"/>
          <w:tab w:val="clear" w:pos="9628"/>
        </w:tabs>
        <w:spacing w:line="480" w:lineRule="auto"/>
        <w:rPr>
          <w:rFonts w:hint="eastAsia" w:ascii="宋体" w:hAnsi="宋体" w:cs="宋体"/>
          <w:sz w:val="24"/>
        </w:rPr>
      </w:pPr>
      <w:r>
        <w:rPr>
          <w:rFonts w:hint="eastAsia" w:ascii="宋体" w:hAnsi="宋体" w:cs="宋体"/>
          <w:bCs/>
          <w:color w:val="000000"/>
          <w:sz w:val="24"/>
          <w:lang w:val="zh-CN"/>
        </w:rPr>
        <w:fldChar w:fldCharType="begin"/>
      </w:r>
      <w:r>
        <w:rPr>
          <w:rFonts w:hint="eastAsia" w:ascii="宋体" w:hAnsi="宋体" w:cs="宋体"/>
          <w:bCs/>
          <w:sz w:val="24"/>
          <w:lang w:val="zh-CN"/>
        </w:rPr>
        <w:instrText xml:space="preserve"> HYPERLINK \l _Toc764 </w:instrText>
      </w:r>
      <w:r>
        <w:rPr>
          <w:rFonts w:hint="eastAsia" w:ascii="宋体" w:hAnsi="宋体" w:cs="宋体"/>
          <w:bCs/>
          <w:sz w:val="24"/>
          <w:lang w:val="zh-CN"/>
        </w:rPr>
        <w:fldChar w:fldCharType="separate"/>
      </w:r>
      <w:r>
        <w:rPr>
          <w:rFonts w:hint="eastAsia" w:ascii="宋体" w:hAnsi="宋体" w:cs="宋体"/>
          <w:sz w:val="24"/>
        </w:rPr>
        <w:t>第三章  服务需求一览表</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_Toc764 </w:instrText>
      </w:r>
      <w:r>
        <w:rPr>
          <w:rFonts w:hint="eastAsia" w:ascii="宋体" w:hAnsi="宋体" w:cs="宋体"/>
          <w:sz w:val="24"/>
        </w:rPr>
        <w:fldChar w:fldCharType="separate"/>
      </w:r>
      <w:r>
        <w:rPr>
          <w:rFonts w:hint="eastAsia" w:ascii="宋体" w:hAnsi="宋体" w:cs="宋体"/>
          <w:sz w:val="24"/>
        </w:rPr>
        <w:t>17</w:t>
      </w:r>
      <w:r>
        <w:rPr>
          <w:rFonts w:hint="eastAsia" w:ascii="宋体" w:hAnsi="宋体" w:cs="宋体"/>
          <w:sz w:val="24"/>
        </w:rPr>
        <w:fldChar w:fldCharType="end"/>
      </w:r>
      <w:r>
        <w:rPr>
          <w:rFonts w:hint="eastAsia" w:ascii="宋体" w:hAnsi="宋体" w:cs="宋体"/>
          <w:bCs/>
          <w:color w:val="000000"/>
          <w:sz w:val="24"/>
          <w:lang w:val="zh-CN"/>
        </w:rPr>
        <w:fldChar w:fldCharType="end"/>
      </w:r>
    </w:p>
    <w:p>
      <w:pPr>
        <w:pStyle w:val="27"/>
        <w:tabs>
          <w:tab w:val="right" w:leader="dot" w:pos="8900"/>
          <w:tab w:val="clear" w:pos="9628"/>
        </w:tabs>
        <w:spacing w:line="480" w:lineRule="auto"/>
        <w:rPr>
          <w:rFonts w:hint="eastAsia" w:ascii="宋体" w:hAnsi="宋体" w:cs="宋体"/>
          <w:sz w:val="24"/>
        </w:rPr>
      </w:pPr>
      <w:r>
        <w:rPr>
          <w:rFonts w:hint="eastAsia" w:ascii="宋体" w:hAnsi="宋体" w:cs="宋体"/>
          <w:bCs/>
          <w:color w:val="000000"/>
          <w:sz w:val="24"/>
          <w:lang w:val="zh-CN"/>
        </w:rPr>
        <w:fldChar w:fldCharType="begin"/>
      </w:r>
      <w:r>
        <w:rPr>
          <w:rFonts w:hint="eastAsia" w:ascii="宋体" w:hAnsi="宋体" w:cs="宋体"/>
          <w:bCs/>
          <w:sz w:val="24"/>
          <w:lang w:val="zh-CN"/>
        </w:rPr>
        <w:instrText xml:space="preserve"> HYPERLINK \l _Toc28145 </w:instrText>
      </w:r>
      <w:r>
        <w:rPr>
          <w:rFonts w:hint="eastAsia" w:ascii="宋体" w:hAnsi="宋体" w:cs="宋体"/>
          <w:bCs/>
          <w:sz w:val="24"/>
          <w:lang w:val="zh-CN"/>
        </w:rPr>
        <w:fldChar w:fldCharType="separate"/>
      </w:r>
      <w:r>
        <w:rPr>
          <w:rFonts w:hint="eastAsia" w:ascii="宋体" w:hAnsi="宋体" w:cs="宋体"/>
          <w:sz w:val="24"/>
        </w:rPr>
        <w:t>第四章  评标方法和定标标准</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_Toc28145 </w:instrText>
      </w:r>
      <w:r>
        <w:rPr>
          <w:rFonts w:hint="eastAsia" w:ascii="宋体" w:hAnsi="宋体" w:cs="宋体"/>
          <w:sz w:val="24"/>
        </w:rPr>
        <w:fldChar w:fldCharType="separate"/>
      </w:r>
      <w:r>
        <w:rPr>
          <w:rFonts w:hint="eastAsia" w:ascii="宋体" w:hAnsi="宋体" w:cs="宋体"/>
          <w:sz w:val="24"/>
        </w:rPr>
        <w:t>29</w:t>
      </w:r>
      <w:r>
        <w:rPr>
          <w:rFonts w:hint="eastAsia" w:ascii="宋体" w:hAnsi="宋体" w:cs="宋体"/>
          <w:sz w:val="24"/>
        </w:rPr>
        <w:fldChar w:fldCharType="end"/>
      </w:r>
      <w:r>
        <w:rPr>
          <w:rFonts w:hint="eastAsia" w:ascii="宋体" w:hAnsi="宋体" w:cs="宋体"/>
          <w:bCs/>
          <w:color w:val="000000"/>
          <w:sz w:val="24"/>
          <w:lang w:val="zh-CN"/>
        </w:rPr>
        <w:fldChar w:fldCharType="end"/>
      </w:r>
    </w:p>
    <w:p>
      <w:pPr>
        <w:pStyle w:val="31"/>
        <w:tabs>
          <w:tab w:val="right" w:leader="dot" w:pos="8900"/>
          <w:tab w:val="clear" w:pos="9060"/>
        </w:tabs>
        <w:spacing w:line="480" w:lineRule="auto"/>
        <w:rPr>
          <w:rFonts w:hint="eastAsia" w:ascii="宋体" w:hAnsi="宋体" w:eastAsia="宋体" w:cs="宋体"/>
          <w:sz w:val="24"/>
        </w:rPr>
      </w:pPr>
      <w:r>
        <w:rPr>
          <w:rFonts w:hint="eastAsia" w:ascii="宋体" w:hAnsi="宋体" w:eastAsia="宋体" w:cs="宋体"/>
          <w:bCs/>
          <w:sz w:val="24"/>
          <w:lang w:val="zh-CN"/>
        </w:rPr>
        <w:fldChar w:fldCharType="begin"/>
      </w:r>
      <w:r>
        <w:rPr>
          <w:rFonts w:hint="eastAsia" w:ascii="宋体" w:hAnsi="宋体" w:eastAsia="宋体" w:cs="宋体"/>
          <w:bCs/>
          <w:sz w:val="24"/>
          <w:lang w:val="zh-CN"/>
        </w:rPr>
        <w:instrText xml:space="preserve"> HYPERLINK \l _Toc7424 </w:instrText>
      </w:r>
      <w:r>
        <w:rPr>
          <w:rFonts w:hint="eastAsia" w:ascii="宋体" w:hAnsi="宋体" w:eastAsia="宋体" w:cs="宋体"/>
          <w:bCs/>
          <w:sz w:val="24"/>
          <w:lang w:val="zh-CN"/>
        </w:rPr>
        <w:fldChar w:fldCharType="separate"/>
      </w:r>
      <w:r>
        <w:rPr>
          <w:rFonts w:hint="eastAsia" w:ascii="宋体" w:hAnsi="宋体" w:eastAsia="宋体" w:cs="宋体"/>
          <w:bCs/>
          <w:sz w:val="24"/>
        </w:rPr>
        <w:t>评标方法和定标标准</w:t>
      </w:r>
      <w:r>
        <w:rPr>
          <w:rFonts w:hint="eastAsia" w:ascii="宋体" w:hAnsi="宋体" w:eastAsia="宋体" w:cs="宋体"/>
          <w:sz w:val="24"/>
        </w:rPr>
        <w:tab/>
      </w:r>
      <w:r>
        <w:rPr>
          <w:rFonts w:hint="eastAsia" w:ascii="宋体" w:hAnsi="宋体" w:eastAsia="宋体" w:cs="宋体"/>
          <w:sz w:val="24"/>
        </w:rPr>
        <w:fldChar w:fldCharType="begin"/>
      </w:r>
      <w:r>
        <w:rPr>
          <w:rFonts w:hint="eastAsia" w:ascii="宋体" w:hAnsi="宋体" w:eastAsia="宋体" w:cs="宋体"/>
          <w:sz w:val="24"/>
        </w:rPr>
        <w:instrText xml:space="preserve"> PAGEREF _Toc7424 </w:instrText>
      </w:r>
      <w:r>
        <w:rPr>
          <w:rFonts w:hint="eastAsia" w:ascii="宋体" w:hAnsi="宋体" w:eastAsia="宋体" w:cs="宋体"/>
          <w:sz w:val="24"/>
        </w:rPr>
        <w:fldChar w:fldCharType="separate"/>
      </w:r>
      <w:r>
        <w:rPr>
          <w:rFonts w:hint="eastAsia" w:ascii="宋体" w:hAnsi="宋体" w:eastAsia="宋体" w:cs="宋体"/>
          <w:sz w:val="24"/>
        </w:rPr>
        <w:t>30</w:t>
      </w:r>
      <w:r>
        <w:rPr>
          <w:rFonts w:hint="eastAsia" w:ascii="宋体" w:hAnsi="宋体" w:eastAsia="宋体" w:cs="宋体"/>
          <w:sz w:val="24"/>
        </w:rPr>
        <w:fldChar w:fldCharType="end"/>
      </w:r>
      <w:r>
        <w:rPr>
          <w:rFonts w:hint="eastAsia" w:ascii="宋体" w:hAnsi="宋体" w:eastAsia="宋体" w:cs="宋体"/>
          <w:bCs/>
          <w:sz w:val="24"/>
          <w:lang w:val="zh-CN"/>
        </w:rPr>
        <w:fldChar w:fldCharType="end"/>
      </w:r>
    </w:p>
    <w:p>
      <w:pPr>
        <w:pStyle w:val="27"/>
        <w:tabs>
          <w:tab w:val="right" w:leader="dot" w:pos="8900"/>
          <w:tab w:val="clear" w:pos="9628"/>
        </w:tabs>
        <w:spacing w:line="480" w:lineRule="auto"/>
        <w:rPr>
          <w:rFonts w:hint="eastAsia" w:ascii="宋体" w:hAnsi="宋体" w:cs="宋体"/>
          <w:sz w:val="24"/>
        </w:rPr>
      </w:pPr>
      <w:r>
        <w:rPr>
          <w:rFonts w:hint="eastAsia" w:ascii="宋体" w:hAnsi="宋体" w:cs="宋体"/>
          <w:bCs/>
          <w:color w:val="000000"/>
          <w:sz w:val="24"/>
          <w:lang w:val="zh-CN"/>
        </w:rPr>
        <w:fldChar w:fldCharType="begin"/>
      </w:r>
      <w:r>
        <w:rPr>
          <w:rFonts w:hint="eastAsia" w:ascii="宋体" w:hAnsi="宋体" w:cs="宋体"/>
          <w:bCs/>
          <w:sz w:val="24"/>
          <w:lang w:val="zh-CN"/>
        </w:rPr>
        <w:instrText xml:space="preserve"> HYPERLINK \l _Toc28059 </w:instrText>
      </w:r>
      <w:r>
        <w:rPr>
          <w:rFonts w:hint="eastAsia" w:ascii="宋体" w:hAnsi="宋体" w:cs="宋体"/>
          <w:bCs/>
          <w:sz w:val="24"/>
          <w:lang w:val="zh-CN"/>
        </w:rPr>
        <w:fldChar w:fldCharType="separate"/>
      </w:r>
      <w:r>
        <w:rPr>
          <w:rFonts w:hint="eastAsia" w:ascii="宋体" w:hAnsi="宋体" w:cs="宋体"/>
          <w:sz w:val="24"/>
        </w:rPr>
        <w:t>第五章  响应文件（格式）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_Toc28059 </w:instrText>
      </w:r>
      <w:r>
        <w:rPr>
          <w:rFonts w:hint="eastAsia" w:ascii="宋体" w:hAnsi="宋体" w:cs="宋体"/>
          <w:sz w:val="24"/>
        </w:rPr>
        <w:fldChar w:fldCharType="separate"/>
      </w:r>
      <w:r>
        <w:rPr>
          <w:rFonts w:hint="eastAsia" w:ascii="宋体" w:hAnsi="宋体" w:cs="宋体"/>
          <w:sz w:val="24"/>
        </w:rPr>
        <w:t>35</w:t>
      </w:r>
      <w:r>
        <w:rPr>
          <w:rFonts w:hint="eastAsia" w:ascii="宋体" w:hAnsi="宋体" w:cs="宋体"/>
          <w:sz w:val="24"/>
        </w:rPr>
        <w:fldChar w:fldCharType="end"/>
      </w:r>
      <w:r>
        <w:rPr>
          <w:rFonts w:hint="eastAsia" w:ascii="宋体" w:hAnsi="宋体" w:cs="宋体"/>
          <w:bCs/>
          <w:color w:val="000000"/>
          <w:sz w:val="24"/>
          <w:lang w:val="zh-CN"/>
        </w:rPr>
        <w:fldChar w:fldCharType="end"/>
      </w:r>
    </w:p>
    <w:p>
      <w:pPr>
        <w:pStyle w:val="27"/>
        <w:tabs>
          <w:tab w:val="right" w:leader="dot" w:pos="8900"/>
          <w:tab w:val="clear" w:pos="9628"/>
        </w:tabs>
        <w:spacing w:line="480" w:lineRule="auto"/>
        <w:rPr>
          <w:rFonts w:hint="eastAsia" w:ascii="宋体" w:hAnsi="宋体" w:cs="宋体"/>
          <w:sz w:val="24"/>
        </w:rPr>
      </w:pPr>
      <w:r>
        <w:rPr>
          <w:rFonts w:hint="eastAsia" w:ascii="宋体" w:hAnsi="宋体" w:cs="宋体"/>
          <w:bCs/>
          <w:color w:val="000000"/>
          <w:sz w:val="24"/>
          <w:lang w:val="zh-CN"/>
        </w:rPr>
        <w:fldChar w:fldCharType="begin"/>
      </w:r>
      <w:r>
        <w:rPr>
          <w:rFonts w:hint="eastAsia" w:ascii="宋体" w:hAnsi="宋体" w:cs="宋体"/>
          <w:bCs/>
          <w:sz w:val="24"/>
          <w:lang w:val="zh-CN"/>
        </w:rPr>
        <w:instrText xml:space="preserve"> HYPERLINK \l _Toc9315 </w:instrText>
      </w:r>
      <w:r>
        <w:rPr>
          <w:rFonts w:hint="eastAsia" w:ascii="宋体" w:hAnsi="宋体" w:cs="宋体"/>
          <w:bCs/>
          <w:sz w:val="24"/>
          <w:lang w:val="zh-CN"/>
        </w:rPr>
        <w:fldChar w:fldCharType="separate"/>
      </w:r>
      <w:r>
        <w:rPr>
          <w:rFonts w:hint="eastAsia" w:ascii="宋体" w:hAnsi="宋体" w:cs="宋体"/>
          <w:sz w:val="24"/>
        </w:rPr>
        <w:t>第六章  合同书（格式）</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_Toc9315 </w:instrText>
      </w:r>
      <w:r>
        <w:rPr>
          <w:rFonts w:hint="eastAsia" w:ascii="宋体" w:hAnsi="宋体" w:cs="宋体"/>
          <w:sz w:val="24"/>
        </w:rPr>
        <w:fldChar w:fldCharType="separate"/>
      </w:r>
      <w:r>
        <w:rPr>
          <w:rFonts w:hint="eastAsia" w:ascii="宋体" w:hAnsi="宋体" w:cs="宋体"/>
          <w:sz w:val="24"/>
        </w:rPr>
        <w:t>44</w:t>
      </w:r>
      <w:r>
        <w:rPr>
          <w:rFonts w:hint="eastAsia" w:ascii="宋体" w:hAnsi="宋体" w:cs="宋体"/>
          <w:sz w:val="24"/>
        </w:rPr>
        <w:fldChar w:fldCharType="end"/>
      </w:r>
      <w:r>
        <w:rPr>
          <w:rFonts w:hint="eastAsia" w:ascii="宋体" w:hAnsi="宋体" w:cs="宋体"/>
          <w:bCs/>
          <w:color w:val="000000"/>
          <w:sz w:val="24"/>
          <w:lang w:val="zh-CN"/>
        </w:rPr>
        <w:fldChar w:fldCharType="end"/>
      </w:r>
    </w:p>
    <w:p>
      <w:pPr>
        <w:tabs>
          <w:tab w:val="right" w:leader="dot" w:pos="8789"/>
        </w:tabs>
        <w:rPr>
          <w:color w:val="000000"/>
        </w:rPr>
      </w:pPr>
      <w:r>
        <w:rPr>
          <w:rFonts w:ascii="宋体" w:hAnsi="宋体"/>
          <w:bCs/>
          <w:color w:val="000000"/>
          <w:lang w:val="zh-CN"/>
        </w:rPr>
        <w:fldChar w:fldCharType="end"/>
      </w:r>
    </w:p>
    <w:p>
      <w:pPr>
        <w:spacing w:line="700" w:lineRule="exact"/>
        <w:jc w:val="left"/>
        <w:rPr>
          <w:rFonts w:hint="eastAsia" w:ascii="宋体" w:hAnsi="宋体"/>
          <w:b/>
          <w:color w:val="000000"/>
          <w:sz w:val="32"/>
          <w:szCs w:val="32"/>
        </w:rPr>
      </w:pPr>
    </w:p>
    <w:p>
      <w:pPr>
        <w:pStyle w:val="20"/>
        <w:spacing w:line="360" w:lineRule="auto"/>
        <w:ind w:firstLine="1968" w:firstLineChars="557"/>
        <w:rPr>
          <w:rFonts w:hint="eastAsia" w:ascii="黑体" w:hAnsi="华文中宋" w:eastAsia="黑体"/>
          <w:b/>
          <w:bCs/>
          <w:color w:val="000000"/>
          <w:spacing w:val="16"/>
          <w:sz w:val="32"/>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spacing w:line="240" w:lineRule="exact"/>
        <w:ind w:firstLine="300"/>
        <w:jc w:val="center"/>
        <w:rPr>
          <w:rFonts w:hint="eastAsia"/>
          <w:color w:val="000000"/>
          <w:sz w:val="15"/>
        </w:rPr>
      </w:pPr>
    </w:p>
    <w:p>
      <w:pPr>
        <w:pStyle w:val="3"/>
        <w:spacing w:after="0"/>
        <w:rPr>
          <w:rFonts w:hint="eastAsia"/>
          <w:color w:val="000000"/>
        </w:rPr>
      </w:pPr>
      <w:bookmarkStart w:id="1" w:name="_Toc373333685"/>
      <w:bookmarkStart w:id="2" w:name="_Toc6139"/>
      <w:r>
        <w:rPr>
          <w:rFonts w:hint="eastAsia"/>
          <w:color w:val="000000"/>
        </w:rPr>
        <w:t>第一章  竞争性磋商公告</w:t>
      </w:r>
      <w:bookmarkEnd w:id="1"/>
      <w:bookmarkEnd w:id="2"/>
    </w:p>
    <w:p>
      <w:pPr>
        <w:pStyle w:val="14"/>
        <w:spacing w:line="240" w:lineRule="auto"/>
        <w:jc w:val="center"/>
        <w:rPr>
          <w:rFonts w:hint="eastAsia" w:ascii="宋体" w:hAnsi="宋体" w:eastAsia="宋体" w:cs="宋体"/>
          <w:bCs/>
          <w:color w:val="000000"/>
          <w:spacing w:val="0"/>
          <w:sz w:val="32"/>
          <w:szCs w:val="32"/>
          <w:lang w:eastAsia="zh-CN"/>
        </w:rPr>
      </w:pPr>
      <w:bookmarkStart w:id="3" w:name="OLE_LINK6"/>
      <w:r>
        <w:rPr>
          <w:rFonts w:hint="eastAsia" w:ascii="宋体" w:hAnsi="宋体" w:eastAsia="宋体" w:cs="宋体"/>
          <w:bCs/>
          <w:color w:val="000000"/>
          <w:spacing w:val="0"/>
          <w:sz w:val="32"/>
          <w:szCs w:val="32"/>
          <w:lang w:eastAsia="zh-CN"/>
        </w:rPr>
        <w:t>广西科联招标中心有限公司</w:t>
      </w:r>
    </w:p>
    <w:p>
      <w:pPr>
        <w:pStyle w:val="20"/>
        <w:snapToGrid w:val="0"/>
        <w:spacing w:before="120" w:after="120" w:line="240" w:lineRule="auto"/>
        <w:ind w:right="-197" w:rightChars="-94"/>
        <w:jc w:val="center"/>
        <w:rPr>
          <w:rFonts w:hint="eastAsia" w:ascii="宋体" w:hAnsi="宋体"/>
          <w:b/>
          <w:color w:val="000000"/>
          <w:kern w:val="2"/>
          <w:sz w:val="28"/>
          <w:szCs w:val="28"/>
          <w:lang w:val="en-US" w:eastAsia="zh-CN" w:bidi="ar-SA"/>
        </w:rPr>
      </w:pPr>
      <w:r>
        <w:rPr>
          <w:rFonts w:hint="eastAsia" w:ascii="宋体" w:hAnsi="宋体"/>
          <w:b/>
          <w:color w:val="000000"/>
          <w:kern w:val="2"/>
          <w:sz w:val="28"/>
          <w:szCs w:val="28"/>
          <w:lang w:val="en-US" w:eastAsia="zh-CN" w:bidi="ar-SA"/>
        </w:rPr>
        <w:t>河池市机动车排放摇感监测系统二期项目</w:t>
      </w:r>
    </w:p>
    <w:p>
      <w:pPr>
        <w:spacing w:line="240" w:lineRule="auto"/>
        <w:jc w:val="center"/>
        <w:rPr>
          <w:rFonts w:hint="eastAsia" w:ascii="宋体" w:hAnsi="宋体"/>
          <w:b/>
          <w:color w:val="000000"/>
          <w:kern w:val="2"/>
          <w:sz w:val="28"/>
          <w:szCs w:val="28"/>
          <w:lang w:val="en-US" w:eastAsia="zh-CN" w:bidi="ar-SA"/>
        </w:rPr>
      </w:pPr>
      <w:r>
        <w:rPr>
          <w:rFonts w:hint="eastAsia" w:ascii="宋体" w:hAnsi="宋体"/>
          <w:b/>
          <w:color w:val="000000"/>
          <w:kern w:val="2"/>
          <w:sz w:val="28"/>
          <w:szCs w:val="28"/>
          <w:lang w:val="en-US" w:eastAsia="zh-CN" w:bidi="ar-SA"/>
        </w:rPr>
        <w:t>项目编号：HCZC2020-C1-01816-KLZB</w:t>
      </w:r>
    </w:p>
    <w:p>
      <w:pPr>
        <w:spacing w:line="240" w:lineRule="auto"/>
        <w:jc w:val="center"/>
        <w:rPr>
          <w:rFonts w:hint="eastAsia" w:ascii="宋体" w:hAnsi="宋体"/>
          <w:b/>
          <w:sz w:val="28"/>
          <w:szCs w:val="28"/>
        </w:rPr>
      </w:pPr>
      <w:r>
        <w:rPr>
          <w:rFonts w:hint="eastAsia" w:ascii="宋体" w:hAnsi="宋体"/>
          <w:b/>
          <w:sz w:val="28"/>
          <w:szCs w:val="28"/>
        </w:rPr>
        <w:t>竞争性磋商公告</w:t>
      </w:r>
    </w:p>
    <w:p>
      <w:pPr>
        <w:spacing w:line="360" w:lineRule="auto"/>
        <w:rPr>
          <w:rFonts w:hint="eastAsia" w:ascii="宋体" w:hAnsi="宋体"/>
          <w:color w:val="000000"/>
          <w:szCs w:val="21"/>
        </w:rPr>
      </w:pPr>
      <w:r>
        <w:rPr>
          <w:rFonts w:hint="eastAsia" w:ascii="宋体" w:hAnsi="宋体"/>
          <w:color w:val="000000"/>
          <w:szCs w:val="21"/>
        </w:rPr>
        <w:t>项目概况</w:t>
      </w:r>
    </w:p>
    <w:p>
      <w:pPr>
        <w:spacing w:line="380" w:lineRule="exact"/>
        <w:ind w:firstLine="420" w:firstLineChars="200"/>
        <w:rPr>
          <w:rFonts w:hint="eastAsia" w:ascii="宋体" w:hAnsi="宋体"/>
          <w:color w:val="000000"/>
          <w:szCs w:val="21"/>
        </w:rPr>
      </w:pPr>
      <w:r>
        <w:rPr>
          <w:rFonts w:hint="eastAsia" w:ascii="宋体" w:hAnsi="宋体"/>
          <w:color w:val="000000"/>
          <w:szCs w:val="21"/>
        </w:rPr>
        <w:t>河池市机动车排放摇感监测系统二期项目的潜在</w:t>
      </w:r>
      <w:r>
        <w:rPr>
          <w:rFonts w:hint="eastAsia" w:ascii="宋体" w:hAnsi="宋体" w:cs="宋体"/>
          <w:kern w:val="0"/>
          <w:szCs w:val="21"/>
        </w:rPr>
        <w:t>供应商应登录</w:t>
      </w:r>
      <w:r>
        <w:rPr>
          <w:rFonts w:hint="eastAsia" w:ascii="宋体" w:hAnsi="宋体" w:cs="宋体"/>
          <w:color w:val="000000"/>
          <w:szCs w:val="21"/>
        </w:rPr>
        <w:t>河池市公共资源交易中心网站(</w:t>
      </w:r>
      <w:r>
        <w:rPr>
          <w:rFonts w:hint="eastAsia" w:ascii="宋体" w:hAnsi="宋体" w:cs="宋体"/>
          <w:kern w:val="0"/>
          <w:szCs w:val="21"/>
        </w:rPr>
        <w:t>http://www.hcjyxxw.com/</w:t>
      </w:r>
      <w:r>
        <w:rPr>
          <w:rFonts w:hint="eastAsia" w:ascii="宋体" w:hAnsi="宋体" w:cs="宋体"/>
          <w:color w:val="000000"/>
          <w:szCs w:val="21"/>
        </w:rPr>
        <w:t>)</w:t>
      </w:r>
      <w:r>
        <w:rPr>
          <w:rFonts w:hint="eastAsia" w:ascii="宋体" w:hAnsi="宋体" w:cs="宋体"/>
          <w:kern w:val="0"/>
          <w:szCs w:val="21"/>
        </w:rPr>
        <w:t>，获取采购文件，并于2020年</w:t>
      </w:r>
      <w:r>
        <w:rPr>
          <w:rFonts w:hint="eastAsia" w:ascii="宋体" w:hAnsi="宋体" w:cs="宋体"/>
          <w:kern w:val="0"/>
          <w:szCs w:val="21"/>
          <w:lang w:val="en-US" w:eastAsia="zh-CN"/>
        </w:rPr>
        <w:t>12</w:t>
      </w:r>
      <w:r>
        <w:rPr>
          <w:rFonts w:hint="eastAsia" w:ascii="宋体" w:hAnsi="宋体" w:cs="宋体"/>
          <w:kern w:val="0"/>
          <w:szCs w:val="21"/>
        </w:rPr>
        <w:t>月</w:t>
      </w:r>
      <w:r>
        <w:rPr>
          <w:rFonts w:hint="eastAsia" w:ascii="宋体" w:hAnsi="宋体" w:cs="宋体"/>
          <w:kern w:val="0"/>
          <w:szCs w:val="21"/>
          <w:lang w:val="en-US" w:eastAsia="zh-CN"/>
        </w:rPr>
        <w:t>08</w:t>
      </w:r>
      <w:r>
        <w:rPr>
          <w:rFonts w:hint="eastAsia" w:ascii="宋体" w:hAnsi="宋体" w:cs="宋体"/>
          <w:kern w:val="0"/>
          <w:szCs w:val="21"/>
        </w:rPr>
        <w:t>日上午10点30分（北京时间）前提交响应文件。</w:t>
      </w:r>
    </w:p>
    <w:p>
      <w:pPr>
        <w:spacing w:line="360" w:lineRule="auto"/>
        <w:rPr>
          <w:rFonts w:hint="eastAsia" w:ascii="宋体" w:hAnsi="宋体"/>
          <w:b/>
          <w:bCs/>
          <w:color w:val="000000"/>
          <w:szCs w:val="21"/>
        </w:rPr>
      </w:pPr>
      <w:r>
        <w:rPr>
          <w:rFonts w:hint="eastAsia" w:ascii="宋体" w:hAnsi="宋体"/>
          <w:b/>
          <w:bCs/>
          <w:color w:val="000000"/>
          <w:szCs w:val="21"/>
        </w:rPr>
        <w:t>一、项目基本情况</w:t>
      </w:r>
    </w:p>
    <w:p>
      <w:pPr>
        <w:spacing w:line="360" w:lineRule="auto"/>
        <w:ind w:firstLine="420" w:firstLineChars="200"/>
        <w:rPr>
          <w:rFonts w:hint="eastAsia" w:ascii="宋体" w:hAnsi="宋体"/>
          <w:color w:val="000000"/>
          <w:szCs w:val="21"/>
          <w:lang w:val="en-US" w:eastAsia="zh-CN"/>
        </w:rPr>
      </w:pPr>
      <w:r>
        <w:rPr>
          <w:rFonts w:hint="eastAsia" w:ascii="宋体" w:hAnsi="宋体"/>
          <w:color w:val="000000"/>
          <w:szCs w:val="21"/>
        </w:rPr>
        <w:t>项目编号：</w:t>
      </w:r>
      <w:r>
        <w:rPr>
          <w:rFonts w:hint="eastAsia" w:ascii="宋体" w:hAnsi="宋体"/>
          <w:color w:val="000000"/>
          <w:szCs w:val="21"/>
          <w:lang w:val="en-US" w:eastAsia="zh-CN"/>
        </w:rPr>
        <w:t>HCZC2020-C1-01816-KLZB</w:t>
      </w:r>
    </w:p>
    <w:p>
      <w:pPr>
        <w:spacing w:line="360" w:lineRule="auto"/>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采购计划备案文号：HCZC2020-C1-01816-001</w:t>
      </w:r>
      <w:r>
        <w:rPr>
          <w:rFonts w:hint="eastAsia" w:ascii="宋体" w:hAnsi="宋体"/>
          <w:color w:val="000000"/>
          <w:szCs w:val="21"/>
        </w:rPr>
        <w:t>～</w:t>
      </w:r>
      <w:r>
        <w:rPr>
          <w:rFonts w:hint="eastAsia" w:ascii="宋体" w:hAnsi="宋体"/>
          <w:color w:val="000000"/>
          <w:szCs w:val="21"/>
          <w:lang w:val="en-US" w:eastAsia="zh-CN"/>
        </w:rPr>
        <w:t>004</w:t>
      </w:r>
    </w:p>
    <w:p>
      <w:pPr>
        <w:spacing w:line="360" w:lineRule="auto"/>
        <w:ind w:firstLine="420" w:firstLineChars="200"/>
        <w:rPr>
          <w:rFonts w:hint="eastAsia" w:ascii="宋体" w:hAnsi="宋体"/>
          <w:color w:val="000000"/>
          <w:szCs w:val="21"/>
        </w:rPr>
      </w:pPr>
      <w:r>
        <w:rPr>
          <w:rFonts w:hint="eastAsia" w:ascii="宋体" w:hAnsi="宋体"/>
          <w:color w:val="000000"/>
          <w:szCs w:val="21"/>
        </w:rPr>
        <w:t>项目名称：河池市机动车排放摇感监测系统二期项目</w:t>
      </w:r>
    </w:p>
    <w:p>
      <w:pPr>
        <w:spacing w:line="360" w:lineRule="auto"/>
        <w:ind w:firstLine="420" w:firstLineChars="200"/>
        <w:rPr>
          <w:rFonts w:hint="eastAsia" w:ascii="宋体" w:hAnsi="宋体"/>
          <w:color w:val="000000"/>
          <w:szCs w:val="21"/>
        </w:rPr>
      </w:pPr>
      <w:r>
        <w:rPr>
          <w:rFonts w:hint="eastAsia" w:ascii="宋体" w:hAnsi="宋体"/>
          <w:color w:val="000000"/>
          <w:szCs w:val="21"/>
        </w:rPr>
        <w:t>采购方式：竞争性磋商</w:t>
      </w:r>
    </w:p>
    <w:p>
      <w:pPr>
        <w:spacing w:line="360" w:lineRule="auto"/>
        <w:ind w:firstLine="420" w:firstLineChars="200"/>
        <w:rPr>
          <w:rFonts w:hint="eastAsia" w:ascii="宋体" w:hAnsi="宋体"/>
          <w:color w:val="000000"/>
          <w:szCs w:val="21"/>
        </w:rPr>
      </w:pPr>
      <w:r>
        <w:rPr>
          <w:rFonts w:hint="eastAsia" w:ascii="宋体" w:hAnsi="宋体"/>
          <w:color w:val="000000"/>
          <w:szCs w:val="21"/>
        </w:rPr>
        <w:t>预算金额：人民币194万元</w:t>
      </w:r>
    </w:p>
    <w:p>
      <w:pPr>
        <w:spacing w:line="360" w:lineRule="auto"/>
        <w:ind w:firstLine="420" w:firstLineChars="200"/>
        <w:rPr>
          <w:rFonts w:hint="eastAsia" w:ascii="宋体" w:hAnsi="宋体"/>
          <w:color w:val="000000"/>
          <w:szCs w:val="21"/>
        </w:rPr>
      </w:pPr>
      <w:r>
        <w:rPr>
          <w:rFonts w:hint="eastAsia"/>
          <w:szCs w:val="21"/>
        </w:rPr>
        <w:t>最高限价：</w:t>
      </w:r>
      <w:r>
        <w:rPr>
          <w:rFonts w:hint="eastAsia" w:ascii="宋体" w:hAnsi="宋体"/>
          <w:color w:val="000000"/>
          <w:szCs w:val="21"/>
        </w:rPr>
        <w:t>人民币1940000.00元，大写：壹佰玖拾肆万元整</w:t>
      </w:r>
    </w:p>
    <w:p>
      <w:pPr>
        <w:spacing w:line="360" w:lineRule="auto"/>
        <w:ind w:firstLine="420" w:firstLineChars="200"/>
        <w:rPr>
          <w:rFonts w:hint="eastAsia" w:ascii="宋体" w:hAnsi="宋体"/>
          <w:color w:val="000000"/>
          <w:szCs w:val="21"/>
        </w:rPr>
      </w:pPr>
      <w:r>
        <w:rPr>
          <w:rFonts w:hint="eastAsia" w:ascii="宋体" w:hAnsi="宋体"/>
          <w:color w:val="000000"/>
          <w:szCs w:val="21"/>
        </w:rPr>
        <w:t>采购需求：机动车排放摇感监测系统二期项目1项；如需进一步了解详细内容，具体内容详见磋商文件</w:t>
      </w:r>
    </w:p>
    <w:p>
      <w:pPr>
        <w:spacing w:line="360" w:lineRule="auto"/>
        <w:ind w:firstLine="420" w:firstLineChars="200"/>
        <w:rPr>
          <w:rFonts w:hint="eastAsia" w:ascii="宋体" w:hAnsi="宋体"/>
          <w:color w:val="000000"/>
          <w:szCs w:val="21"/>
        </w:rPr>
      </w:pPr>
      <w:r>
        <w:rPr>
          <w:rFonts w:hint="eastAsia" w:ascii="宋体" w:hAnsi="宋体"/>
          <w:color w:val="000000"/>
          <w:szCs w:val="21"/>
        </w:rPr>
        <w:t>交付期：自签订合同后30天完成。</w:t>
      </w:r>
    </w:p>
    <w:p>
      <w:pPr>
        <w:spacing w:line="360" w:lineRule="auto"/>
        <w:ind w:firstLine="420" w:firstLineChars="200"/>
        <w:rPr>
          <w:rFonts w:hint="eastAsia" w:ascii="宋体" w:hAnsi="宋体"/>
          <w:color w:val="000000"/>
          <w:szCs w:val="21"/>
        </w:rPr>
      </w:pPr>
      <w:r>
        <w:rPr>
          <w:rFonts w:hint="eastAsia" w:ascii="宋体" w:hAnsi="宋体"/>
          <w:color w:val="000000"/>
          <w:szCs w:val="21"/>
        </w:rPr>
        <w:t>合同履行期限：1年。</w:t>
      </w:r>
    </w:p>
    <w:p>
      <w:pPr>
        <w:spacing w:line="360" w:lineRule="auto"/>
        <w:ind w:firstLine="420" w:firstLineChars="200"/>
        <w:rPr>
          <w:rFonts w:hint="eastAsia" w:ascii="宋体" w:hAnsi="宋体"/>
          <w:color w:val="000000"/>
          <w:szCs w:val="21"/>
        </w:rPr>
      </w:pPr>
      <w:r>
        <w:rPr>
          <w:rFonts w:hint="eastAsia" w:ascii="宋体" w:hAnsi="宋体"/>
          <w:color w:val="000000"/>
          <w:szCs w:val="21"/>
        </w:rPr>
        <w:t>本项目（是/否）接受联合体投标：否</w:t>
      </w:r>
    </w:p>
    <w:p>
      <w:pPr>
        <w:spacing w:line="360" w:lineRule="auto"/>
        <w:rPr>
          <w:rFonts w:hint="eastAsia" w:ascii="宋体" w:hAnsi="宋体"/>
          <w:b/>
          <w:bCs/>
          <w:color w:val="000000"/>
          <w:szCs w:val="21"/>
        </w:rPr>
      </w:pPr>
      <w:r>
        <w:rPr>
          <w:rFonts w:hint="eastAsia" w:ascii="宋体" w:hAnsi="宋体"/>
          <w:b/>
          <w:bCs/>
          <w:color w:val="000000"/>
          <w:szCs w:val="21"/>
        </w:rPr>
        <w:t>二、申请人的资格要求：</w:t>
      </w:r>
    </w:p>
    <w:p>
      <w:pPr>
        <w:spacing w:line="360" w:lineRule="auto"/>
        <w:ind w:firstLine="420" w:firstLineChars="200"/>
        <w:rPr>
          <w:rFonts w:hint="eastAsia" w:ascii="宋体" w:hAnsi="宋体"/>
          <w:color w:val="000000"/>
          <w:szCs w:val="21"/>
        </w:rPr>
      </w:pPr>
      <w:r>
        <w:rPr>
          <w:rFonts w:hint="eastAsia" w:ascii="宋体" w:hAnsi="宋体"/>
          <w:color w:val="000000"/>
          <w:szCs w:val="21"/>
        </w:rPr>
        <w:t>1、符合《中华人民共和国政府采购法》第二十二条规定。</w:t>
      </w:r>
    </w:p>
    <w:p>
      <w:pPr>
        <w:spacing w:line="360" w:lineRule="auto"/>
        <w:ind w:firstLine="420" w:firstLineChars="200"/>
        <w:rPr>
          <w:rFonts w:hint="eastAsia" w:ascii="宋体" w:hAnsi="宋体"/>
          <w:color w:val="000000"/>
          <w:szCs w:val="21"/>
        </w:rPr>
      </w:pPr>
      <w:r>
        <w:rPr>
          <w:rFonts w:hint="eastAsia" w:ascii="宋体" w:hAnsi="宋体"/>
          <w:color w:val="000000"/>
          <w:szCs w:val="21"/>
        </w:rPr>
        <w:t>2、落实政府采购政策需满足的资格要求：无</w:t>
      </w:r>
    </w:p>
    <w:p>
      <w:pPr>
        <w:spacing w:line="360" w:lineRule="auto"/>
        <w:ind w:firstLine="420" w:firstLineChars="200"/>
        <w:rPr>
          <w:rFonts w:hint="eastAsia" w:ascii="宋体" w:hAnsi="宋体"/>
          <w:color w:val="000000"/>
          <w:szCs w:val="21"/>
        </w:rPr>
      </w:pPr>
      <w:r>
        <w:rPr>
          <w:rFonts w:hint="eastAsia" w:ascii="宋体" w:hAnsi="宋体"/>
          <w:color w:val="000000"/>
          <w:szCs w:val="21"/>
        </w:rPr>
        <w:t>3、本项目的特定资格要求：无</w:t>
      </w:r>
    </w:p>
    <w:p>
      <w:pPr>
        <w:spacing w:line="360" w:lineRule="auto"/>
        <w:rPr>
          <w:rFonts w:hint="eastAsia" w:ascii="宋体" w:hAnsi="宋体"/>
          <w:b w:val="0"/>
          <w:bCs w:val="0"/>
          <w:color w:val="000000"/>
          <w:szCs w:val="21"/>
        </w:rPr>
      </w:pPr>
      <w:r>
        <w:rPr>
          <w:rFonts w:hint="eastAsia" w:ascii="宋体" w:hAnsi="宋体"/>
          <w:b w:val="0"/>
          <w:bCs w:val="0"/>
          <w:color w:val="000000"/>
          <w:szCs w:val="21"/>
        </w:rPr>
        <w:t>三、获取采购文件</w:t>
      </w:r>
    </w:p>
    <w:p>
      <w:pPr>
        <w:spacing w:line="360" w:lineRule="auto"/>
        <w:ind w:firstLine="420" w:firstLineChars="200"/>
        <w:rPr>
          <w:rFonts w:hint="eastAsia" w:ascii="宋体" w:hAnsi="宋体"/>
          <w:color w:val="000000"/>
          <w:szCs w:val="21"/>
        </w:rPr>
      </w:pPr>
      <w:r>
        <w:rPr>
          <w:rFonts w:hint="eastAsia" w:ascii="宋体" w:hAnsi="宋体"/>
          <w:color w:val="000000"/>
          <w:szCs w:val="21"/>
        </w:rPr>
        <w:t>1、由潜在磋商供应商的委托代理人于2020年</w:t>
      </w:r>
      <w:r>
        <w:rPr>
          <w:rFonts w:hint="eastAsia" w:ascii="宋体" w:hAnsi="宋体"/>
          <w:color w:val="000000"/>
          <w:szCs w:val="21"/>
          <w:lang w:val="en-US" w:eastAsia="zh-CN"/>
        </w:rPr>
        <w:t>11</w:t>
      </w:r>
      <w:r>
        <w:rPr>
          <w:rFonts w:hint="eastAsia" w:ascii="宋体" w:hAnsi="宋体"/>
          <w:color w:val="000000"/>
          <w:szCs w:val="21"/>
        </w:rPr>
        <w:t>月</w:t>
      </w:r>
      <w:r>
        <w:rPr>
          <w:rFonts w:hint="eastAsia" w:ascii="宋体" w:hAnsi="宋体"/>
          <w:color w:val="000000"/>
          <w:szCs w:val="21"/>
          <w:lang w:val="en-US" w:eastAsia="zh-CN"/>
        </w:rPr>
        <w:t>24</w:t>
      </w:r>
      <w:r>
        <w:rPr>
          <w:rFonts w:hint="eastAsia" w:ascii="宋体" w:hAnsi="宋体"/>
          <w:color w:val="000000"/>
          <w:szCs w:val="21"/>
        </w:rPr>
        <w:t>日08时30分至</w:t>
      </w:r>
      <w:r>
        <w:rPr>
          <w:rFonts w:hint="eastAsia" w:ascii="宋体" w:hAnsi="宋体"/>
          <w:color w:val="000000"/>
          <w:szCs w:val="21"/>
          <w:lang w:eastAsia="zh-CN"/>
        </w:rPr>
        <w:t>截标前</w:t>
      </w:r>
      <w:r>
        <w:rPr>
          <w:rFonts w:hint="eastAsia" w:ascii="宋体" w:hAnsi="宋体"/>
          <w:color w:val="000000"/>
          <w:szCs w:val="21"/>
        </w:rPr>
        <w:t>登陆</w:t>
      </w:r>
      <w:r>
        <w:rPr>
          <w:rFonts w:hint="eastAsia" w:ascii="宋体" w:hAnsi="宋体" w:cs="宋体"/>
          <w:color w:val="000000"/>
          <w:szCs w:val="21"/>
        </w:rPr>
        <w:t>录河池市公共资源交易中心网站(http://www.hcjyxxw.com/)</w:t>
      </w:r>
      <w:r>
        <w:rPr>
          <w:rFonts w:hint="eastAsia" w:ascii="宋体" w:hAnsi="宋体"/>
          <w:color w:val="000000"/>
          <w:szCs w:val="21"/>
        </w:rPr>
        <w:t>下载采购文件，逾期下载无效。</w:t>
      </w:r>
    </w:p>
    <w:p>
      <w:pPr>
        <w:spacing w:line="360" w:lineRule="auto"/>
        <w:ind w:firstLine="420" w:firstLineChars="200"/>
        <w:rPr>
          <w:rFonts w:hint="eastAsia" w:ascii="宋体" w:hAnsi="宋体" w:cs="宋体"/>
          <w:color w:val="000000"/>
          <w:szCs w:val="21"/>
        </w:rPr>
      </w:pPr>
      <w:r>
        <w:rPr>
          <w:rFonts w:hint="eastAsia" w:ascii="宋体" w:hAnsi="宋体"/>
          <w:color w:val="000000"/>
          <w:szCs w:val="21"/>
        </w:rPr>
        <w:t>2、地点：</w:t>
      </w:r>
      <w:r>
        <w:rPr>
          <w:rFonts w:hint="eastAsia" w:ascii="宋体" w:hAnsi="宋体" w:cs="宋体"/>
          <w:color w:val="000000"/>
          <w:szCs w:val="21"/>
        </w:rPr>
        <w:t>河池市公共资源交易中心网站(http://www.hcjyxxw.com/)</w:t>
      </w:r>
    </w:p>
    <w:p>
      <w:pPr>
        <w:spacing w:line="360" w:lineRule="auto"/>
        <w:ind w:firstLine="420" w:firstLineChars="200"/>
        <w:rPr>
          <w:rFonts w:hint="eastAsia" w:ascii="宋体" w:hAnsi="宋体"/>
          <w:color w:val="000000"/>
          <w:szCs w:val="21"/>
        </w:rPr>
      </w:pPr>
      <w:r>
        <w:rPr>
          <w:rFonts w:hint="eastAsia" w:ascii="宋体" w:hAnsi="宋体"/>
          <w:color w:val="000000"/>
          <w:szCs w:val="21"/>
        </w:rPr>
        <w:t>3、方式：交易中心系统</w:t>
      </w:r>
    </w:p>
    <w:p>
      <w:pPr>
        <w:spacing w:line="380" w:lineRule="exact"/>
        <w:rPr>
          <w:rFonts w:hint="eastAsia" w:ascii="宋体" w:hAnsi="宋体" w:cs="宋体"/>
          <w:b/>
          <w:bCs/>
          <w:kern w:val="0"/>
          <w:szCs w:val="21"/>
        </w:rPr>
      </w:pPr>
      <w:r>
        <w:rPr>
          <w:rFonts w:hint="eastAsia" w:ascii="宋体" w:hAnsi="宋体" w:cs="宋体"/>
          <w:b/>
          <w:bCs/>
          <w:kern w:val="0"/>
          <w:szCs w:val="21"/>
        </w:rPr>
        <w:t>四、提交响应文件截止时间、开标时间和地点</w:t>
      </w:r>
    </w:p>
    <w:p>
      <w:pPr>
        <w:spacing w:line="380" w:lineRule="exact"/>
        <w:ind w:firstLine="420" w:firstLineChars="200"/>
        <w:rPr>
          <w:rFonts w:hint="eastAsia" w:ascii="宋体" w:hAnsi="宋体" w:cs="宋体"/>
          <w:kern w:val="0"/>
          <w:szCs w:val="21"/>
        </w:rPr>
      </w:pPr>
      <w:r>
        <w:rPr>
          <w:rFonts w:hint="eastAsia" w:ascii="宋体" w:hAnsi="宋体" w:cs="宋体"/>
          <w:kern w:val="0"/>
          <w:szCs w:val="21"/>
        </w:rPr>
        <w:t>截止时间：2020年</w:t>
      </w:r>
      <w:r>
        <w:rPr>
          <w:rFonts w:hint="eastAsia" w:ascii="宋体" w:hAnsi="宋体" w:cs="宋体"/>
          <w:kern w:val="0"/>
          <w:szCs w:val="21"/>
          <w:lang w:val="en-US" w:eastAsia="zh-CN"/>
        </w:rPr>
        <w:t>12</w:t>
      </w:r>
      <w:r>
        <w:rPr>
          <w:rFonts w:hint="eastAsia" w:ascii="宋体" w:hAnsi="宋体" w:cs="宋体"/>
          <w:kern w:val="0"/>
          <w:szCs w:val="21"/>
        </w:rPr>
        <w:t>月</w:t>
      </w:r>
      <w:r>
        <w:rPr>
          <w:rFonts w:hint="eastAsia" w:ascii="宋体" w:hAnsi="宋体" w:cs="宋体"/>
          <w:kern w:val="0"/>
          <w:szCs w:val="21"/>
          <w:lang w:val="en-US" w:eastAsia="zh-CN"/>
        </w:rPr>
        <w:t>08</w:t>
      </w:r>
      <w:r>
        <w:rPr>
          <w:rFonts w:hint="eastAsia" w:ascii="宋体" w:hAnsi="宋体" w:cs="宋体"/>
          <w:kern w:val="0"/>
          <w:szCs w:val="21"/>
        </w:rPr>
        <w:t>日</w:t>
      </w:r>
      <w:r>
        <w:rPr>
          <w:rFonts w:hint="eastAsia" w:ascii="宋体" w:hAnsi="宋体" w:cs="宋体"/>
          <w:kern w:val="0"/>
          <w:szCs w:val="21"/>
          <w:lang w:eastAsia="zh-CN"/>
        </w:rPr>
        <w:t>上</w:t>
      </w:r>
      <w:r>
        <w:rPr>
          <w:rFonts w:hint="eastAsia" w:ascii="宋体" w:hAnsi="宋体" w:cs="宋体"/>
          <w:kern w:val="0"/>
          <w:szCs w:val="21"/>
        </w:rPr>
        <w:t>午1</w:t>
      </w:r>
      <w:r>
        <w:rPr>
          <w:rFonts w:hint="eastAsia" w:ascii="宋体" w:hAnsi="宋体" w:cs="宋体"/>
          <w:kern w:val="0"/>
          <w:szCs w:val="21"/>
          <w:lang w:val="en-US" w:eastAsia="zh-CN"/>
        </w:rPr>
        <w:t>0</w:t>
      </w:r>
      <w:r>
        <w:rPr>
          <w:rFonts w:hint="eastAsia" w:ascii="宋体" w:hAnsi="宋体" w:cs="宋体"/>
          <w:kern w:val="0"/>
          <w:szCs w:val="21"/>
        </w:rPr>
        <w:t>点30分（北京时间），逾期送达的将予以拒收。</w:t>
      </w:r>
    </w:p>
    <w:p>
      <w:pPr>
        <w:pStyle w:val="20"/>
        <w:spacing w:line="340" w:lineRule="exact"/>
        <w:ind w:firstLine="420" w:firstLineChars="200"/>
        <w:rPr>
          <w:rFonts w:hint="eastAsia" w:hAnsi="宋体" w:cs="宋体"/>
          <w:kern w:val="0"/>
          <w:szCs w:val="21"/>
        </w:rPr>
      </w:pPr>
      <w:r>
        <w:rPr>
          <w:rFonts w:hint="eastAsia" w:hAnsi="宋体" w:cs="宋体"/>
          <w:kern w:val="0"/>
          <w:szCs w:val="21"/>
        </w:rPr>
        <w:t>地点：</w:t>
      </w:r>
      <w:r>
        <w:rPr>
          <w:rFonts w:hint="eastAsia" w:hAnsi="宋体" w:cs="宋体"/>
          <w:bCs/>
          <w:color w:val="000000"/>
          <w:kern w:val="0"/>
          <w:szCs w:val="21"/>
        </w:rPr>
        <w:t>河池市公共资源交易中心（河池市金城江区城东新区肯旺桥西侧北面市工人文化宫办公大楼五楼）</w:t>
      </w:r>
    </w:p>
    <w:p>
      <w:pPr>
        <w:spacing w:line="380" w:lineRule="exact"/>
        <w:rPr>
          <w:rFonts w:hint="eastAsia" w:ascii="宋体" w:hAnsi="宋体" w:cs="宋体"/>
          <w:b/>
          <w:bCs/>
          <w:kern w:val="0"/>
          <w:szCs w:val="21"/>
          <w:lang w:val="en-US" w:eastAsia="zh-CN"/>
        </w:rPr>
      </w:pPr>
      <w:r>
        <w:rPr>
          <w:rFonts w:hint="eastAsia" w:ascii="宋体" w:hAnsi="宋体" w:cs="宋体"/>
          <w:b/>
          <w:bCs/>
          <w:kern w:val="0"/>
          <w:szCs w:val="21"/>
          <w:lang w:val="en-US" w:eastAsia="zh-CN"/>
        </w:rPr>
        <w:t>五、响应文件开启 </w:t>
      </w:r>
    </w:p>
    <w:p>
      <w:pPr>
        <w:spacing w:line="380" w:lineRule="exact"/>
        <w:rPr>
          <w:rFonts w:hint="default" w:ascii="宋体" w:hAnsi="宋体" w:cs="宋体"/>
          <w:b w:val="0"/>
          <w:bCs w:val="0"/>
          <w:kern w:val="0"/>
          <w:szCs w:val="21"/>
          <w:lang w:val="en-US" w:eastAsia="zh-CN"/>
        </w:rPr>
      </w:pPr>
      <w:r>
        <w:rPr>
          <w:rFonts w:hint="eastAsia" w:ascii="宋体" w:hAnsi="宋体" w:cs="宋体"/>
          <w:b/>
          <w:bCs/>
          <w:kern w:val="0"/>
          <w:szCs w:val="21"/>
          <w:lang w:val="en-US" w:eastAsia="zh-CN"/>
        </w:rPr>
        <w:t xml:space="preserve">    </w:t>
      </w:r>
      <w:r>
        <w:rPr>
          <w:rFonts w:hint="eastAsia" w:ascii="宋体" w:hAnsi="宋体" w:cs="宋体"/>
          <w:b w:val="0"/>
          <w:bCs w:val="0"/>
          <w:kern w:val="0"/>
          <w:szCs w:val="21"/>
          <w:lang w:val="en-US" w:eastAsia="zh-CN"/>
        </w:rPr>
        <w:t>开启时间：</w:t>
      </w:r>
      <w:r>
        <w:rPr>
          <w:rFonts w:hint="eastAsia" w:ascii="宋体" w:hAnsi="宋体" w:cs="宋体"/>
          <w:kern w:val="0"/>
          <w:szCs w:val="21"/>
        </w:rPr>
        <w:t>2020年</w:t>
      </w:r>
      <w:r>
        <w:rPr>
          <w:rFonts w:hint="eastAsia" w:ascii="宋体" w:hAnsi="宋体" w:cs="宋体"/>
          <w:kern w:val="0"/>
          <w:szCs w:val="21"/>
          <w:lang w:val="en-US" w:eastAsia="zh-CN"/>
        </w:rPr>
        <w:t>12</w:t>
      </w:r>
      <w:r>
        <w:rPr>
          <w:rFonts w:hint="eastAsia" w:ascii="宋体" w:hAnsi="宋体" w:cs="宋体"/>
          <w:kern w:val="0"/>
          <w:szCs w:val="21"/>
        </w:rPr>
        <w:t>月</w:t>
      </w:r>
      <w:r>
        <w:rPr>
          <w:rFonts w:hint="eastAsia" w:ascii="宋体" w:hAnsi="宋体" w:cs="宋体"/>
          <w:kern w:val="0"/>
          <w:szCs w:val="21"/>
          <w:lang w:val="en-US" w:eastAsia="zh-CN"/>
        </w:rPr>
        <w:t>08</w:t>
      </w:r>
      <w:r>
        <w:rPr>
          <w:rFonts w:hint="eastAsia" w:ascii="宋体" w:hAnsi="宋体" w:cs="宋体"/>
          <w:kern w:val="0"/>
          <w:szCs w:val="21"/>
        </w:rPr>
        <w:t>日</w:t>
      </w:r>
      <w:r>
        <w:rPr>
          <w:rFonts w:hint="eastAsia" w:ascii="宋体" w:hAnsi="宋体" w:cs="宋体"/>
          <w:kern w:val="0"/>
          <w:szCs w:val="21"/>
          <w:lang w:eastAsia="zh-CN"/>
        </w:rPr>
        <w:t>上</w:t>
      </w:r>
      <w:r>
        <w:rPr>
          <w:rFonts w:hint="eastAsia" w:ascii="宋体" w:hAnsi="宋体" w:cs="宋体"/>
          <w:kern w:val="0"/>
          <w:szCs w:val="21"/>
        </w:rPr>
        <w:t>午1</w:t>
      </w:r>
      <w:r>
        <w:rPr>
          <w:rFonts w:hint="eastAsia" w:ascii="宋体" w:hAnsi="宋体" w:cs="宋体"/>
          <w:kern w:val="0"/>
          <w:szCs w:val="21"/>
          <w:lang w:val="en-US" w:eastAsia="zh-CN"/>
        </w:rPr>
        <w:t>0</w:t>
      </w:r>
      <w:r>
        <w:rPr>
          <w:rFonts w:hint="eastAsia" w:ascii="宋体" w:hAnsi="宋体" w:cs="宋体"/>
          <w:kern w:val="0"/>
          <w:szCs w:val="21"/>
        </w:rPr>
        <w:t>点30分</w:t>
      </w:r>
      <w:r>
        <w:rPr>
          <w:rFonts w:hint="eastAsia" w:ascii="宋体" w:hAnsi="宋体" w:cs="宋体"/>
          <w:b w:val="0"/>
          <w:bCs w:val="0"/>
          <w:kern w:val="0"/>
          <w:szCs w:val="21"/>
          <w:lang w:val="en-US" w:eastAsia="zh-CN"/>
        </w:rPr>
        <w:t>后（北京时间）</w:t>
      </w:r>
    </w:p>
    <w:p>
      <w:pPr>
        <w:spacing w:line="380" w:lineRule="exact"/>
        <w:ind w:firstLine="630"/>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地点：河池市公共资源交易中心（河池市金城江区城东新区肯旺桥西侧北面市工人文化宫办公大楼五楼） </w:t>
      </w:r>
    </w:p>
    <w:p>
      <w:pPr>
        <w:spacing w:line="380" w:lineRule="exact"/>
        <w:rPr>
          <w:rFonts w:hint="eastAsia" w:ascii="宋体" w:hAnsi="宋体" w:cs="宋体"/>
          <w:b/>
          <w:bCs/>
          <w:kern w:val="0"/>
          <w:szCs w:val="21"/>
        </w:rPr>
      </w:pPr>
      <w:r>
        <w:rPr>
          <w:rFonts w:hint="eastAsia" w:ascii="宋体" w:hAnsi="宋体" w:cs="宋体"/>
          <w:b/>
          <w:bCs/>
          <w:kern w:val="0"/>
          <w:szCs w:val="21"/>
          <w:lang w:eastAsia="zh-CN"/>
        </w:rPr>
        <w:t>六</w:t>
      </w:r>
      <w:r>
        <w:rPr>
          <w:rFonts w:hint="eastAsia" w:ascii="宋体" w:hAnsi="宋体" w:cs="宋体"/>
          <w:b/>
          <w:bCs/>
          <w:kern w:val="0"/>
          <w:szCs w:val="21"/>
        </w:rPr>
        <w:t>、</w:t>
      </w:r>
      <w:bookmarkStart w:id="4" w:name="_Toc35393794"/>
      <w:bookmarkStart w:id="5" w:name="_Toc28359084"/>
      <w:bookmarkStart w:id="6" w:name="_Toc35393625"/>
      <w:bookmarkStart w:id="7" w:name="_Toc28359007"/>
      <w:r>
        <w:rPr>
          <w:rFonts w:hint="eastAsia" w:ascii="宋体" w:hAnsi="宋体" w:cs="宋体"/>
          <w:b/>
          <w:bCs/>
          <w:kern w:val="0"/>
          <w:szCs w:val="21"/>
        </w:rPr>
        <w:t>公告期限</w:t>
      </w:r>
      <w:bookmarkEnd w:id="4"/>
      <w:bookmarkEnd w:id="5"/>
      <w:bookmarkEnd w:id="6"/>
      <w:bookmarkEnd w:id="7"/>
    </w:p>
    <w:p>
      <w:pPr>
        <w:spacing w:line="380" w:lineRule="exact"/>
        <w:ind w:firstLine="420" w:firstLineChars="200"/>
        <w:rPr>
          <w:rFonts w:hint="eastAsia" w:ascii="宋体" w:hAnsi="宋体" w:cs="宋体"/>
          <w:kern w:val="0"/>
          <w:szCs w:val="21"/>
        </w:rPr>
      </w:pPr>
      <w:r>
        <w:rPr>
          <w:rFonts w:hint="eastAsia" w:ascii="宋体" w:hAnsi="宋体" w:cs="宋体"/>
          <w:kern w:val="0"/>
          <w:szCs w:val="21"/>
        </w:rPr>
        <w:t>自本公告发布之日起5个工作日。</w:t>
      </w:r>
    </w:p>
    <w:p>
      <w:pPr>
        <w:spacing w:line="380" w:lineRule="exact"/>
        <w:rPr>
          <w:rFonts w:hint="eastAsia" w:ascii="宋体" w:hAnsi="宋体" w:cs="宋体"/>
          <w:b/>
          <w:bCs/>
          <w:kern w:val="0"/>
          <w:szCs w:val="21"/>
        </w:rPr>
      </w:pPr>
      <w:bookmarkStart w:id="8" w:name="_Toc35393626"/>
      <w:bookmarkStart w:id="9" w:name="_Toc35393795"/>
      <w:r>
        <w:rPr>
          <w:rFonts w:hint="eastAsia" w:ascii="宋体" w:hAnsi="宋体" w:cs="宋体"/>
          <w:b/>
          <w:bCs/>
          <w:kern w:val="0"/>
          <w:szCs w:val="21"/>
          <w:lang w:eastAsia="zh-CN"/>
        </w:rPr>
        <w:t>七</w:t>
      </w:r>
      <w:r>
        <w:rPr>
          <w:rFonts w:hint="eastAsia" w:ascii="宋体" w:hAnsi="宋体" w:cs="宋体"/>
          <w:b/>
          <w:bCs/>
          <w:kern w:val="0"/>
          <w:szCs w:val="21"/>
        </w:rPr>
        <w:t>、其他补充事宜</w:t>
      </w:r>
      <w:bookmarkEnd w:id="8"/>
      <w:bookmarkEnd w:id="9"/>
    </w:p>
    <w:p>
      <w:pPr>
        <w:spacing w:line="380" w:lineRule="exact"/>
        <w:ind w:firstLine="420" w:firstLineChars="200"/>
        <w:rPr>
          <w:rFonts w:hint="eastAsia" w:ascii="宋体" w:hAnsi="宋体" w:cs="宋体"/>
          <w:kern w:val="0"/>
          <w:szCs w:val="21"/>
        </w:rPr>
      </w:pPr>
      <w:r>
        <w:rPr>
          <w:rFonts w:hint="eastAsia" w:ascii="宋体" w:hAnsi="宋体" w:cs="宋体"/>
          <w:kern w:val="0"/>
          <w:szCs w:val="21"/>
        </w:rPr>
        <w:t>1、磋商保证金(人民币)：叁万元整（¥30000.00）</w:t>
      </w:r>
    </w:p>
    <w:p>
      <w:pPr>
        <w:spacing w:line="380" w:lineRule="exact"/>
        <w:ind w:firstLine="420" w:firstLineChars="200"/>
        <w:rPr>
          <w:rFonts w:hint="eastAsia" w:ascii="宋体" w:hAnsi="宋体" w:cs="宋体"/>
          <w:kern w:val="0"/>
          <w:szCs w:val="21"/>
        </w:rPr>
      </w:pPr>
      <w:r>
        <w:rPr>
          <w:rFonts w:hint="eastAsia" w:ascii="宋体" w:hAnsi="宋体" w:cs="宋体"/>
          <w:kern w:val="0"/>
          <w:szCs w:val="21"/>
        </w:rPr>
        <w:t>磋商保证金的缴纳方式：银行转账、支票、汇票、本票或者银行、保险机构出具的保函，禁止采用现钞方式，采用银行转账方式的，在响应文件递交截止时间交至采购代理机构指定账户【开户名称：</w:t>
      </w:r>
      <w:r>
        <w:rPr>
          <w:rFonts w:hint="eastAsia" w:hAnsi="宋体" w:cs="宋体"/>
          <w:bCs/>
          <w:color w:val="000000"/>
          <w:kern w:val="0"/>
          <w:szCs w:val="21"/>
        </w:rPr>
        <w:t>河池市公共资源交易中心</w:t>
      </w:r>
      <w:r>
        <w:rPr>
          <w:rFonts w:hint="eastAsia" w:ascii="宋体" w:hAnsi="宋体" w:cs="宋体"/>
          <w:kern w:val="0"/>
          <w:szCs w:val="21"/>
        </w:rPr>
        <w:t>，开户银行及银行账号：在系统内自行查看】：采用支票、支票、汇票、本票或者保函等方式的，在投标截止前，磋商供应商应当递交单独的支票、支票、汇票、本票或者保函原件。否则视为无效磋商保证金。</w:t>
      </w:r>
    </w:p>
    <w:p>
      <w:pPr>
        <w:spacing w:line="380" w:lineRule="exact"/>
        <w:ind w:firstLine="420" w:firstLineChars="200"/>
        <w:rPr>
          <w:rFonts w:hint="eastAsia" w:ascii="宋体" w:hAnsi="宋体" w:cs="宋体"/>
          <w:kern w:val="0"/>
          <w:szCs w:val="21"/>
        </w:rPr>
      </w:pPr>
      <w:r>
        <w:rPr>
          <w:rFonts w:hint="eastAsia" w:ascii="宋体" w:hAnsi="宋体" w:cs="宋体"/>
          <w:kern w:val="0"/>
          <w:szCs w:val="21"/>
        </w:rPr>
        <w:t>2、节能产品、环境标志产品依据品目清单和认证证书实施政府优先采购和强制采购（财库〔2019〕9号）和《关于印发节能产品政府采购品目清单的通知》（财库〔2019〕19号）。</w:t>
      </w:r>
      <w:r>
        <w:rPr>
          <w:rFonts w:hint="eastAsia" w:ascii="宋体" w:hAnsi="宋体" w:cs="宋体"/>
          <w:kern w:val="0"/>
          <w:szCs w:val="21"/>
        </w:rPr>
        <w:br w:type="textWrapping"/>
      </w:r>
      <w:r>
        <w:rPr>
          <w:rFonts w:hint="eastAsia" w:ascii="宋体" w:hAnsi="宋体" w:cs="宋体"/>
          <w:kern w:val="0"/>
          <w:szCs w:val="21"/>
        </w:rPr>
        <w:t xml:space="preserve">   3.扶持中小企业政策：小型和微型企业评审时提供小型和微型企业产品的给予价格扣除。监狱企业、残疾人福利性单位视同小型、微型企业，其提供小型和微型企业产品在评审时给予相同的价格扣除（财库〔2011〕181号）。</w:t>
      </w:r>
      <w:r>
        <w:rPr>
          <w:rFonts w:hint="eastAsia" w:ascii="宋体" w:hAnsi="宋体" w:cs="宋体"/>
          <w:kern w:val="0"/>
          <w:szCs w:val="21"/>
        </w:rPr>
        <w:br w:type="textWrapping"/>
      </w:r>
      <w:r>
        <w:rPr>
          <w:rFonts w:hint="eastAsia" w:ascii="宋体" w:hAnsi="宋体" w:cs="宋体"/>
          <w:kern w:val="0"/>
          <w:szCs w:val="21"/>
        </w:rPr>
        <w:t xml:space="preserve">    4.对在“信用中国”网站(</w:t>
      </w:r>
      <w:r>
        <w:rPr>
          <w:rFonts w:hint="eastAsia" w:ascii="宋体" w:hAnsi="宋体" w:cs="宋体"/>
          <w:kern w:val="0"/>
          <w:szCs w:val="21"/>
        </w:rPr>
        <w:drawing>
          <wp:inline distT="0" distB="0" distL="114300" distR="114300">
            <wp:extent cx="190500" cy="142875"/>
            <wp:effectExtent l="0" t="0" r="0" b="9525"/>
            <wp:docPr id="1" name="图片 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7"/>
                    <pic:cNvPicPr>
                      <a:picLocks noChangeAspect="1"/>
                    </pic:cNvPicPr>
                  </pic:nvPicPr>
                  <pic:blipFill>
                    <a:blip r:embed="rId10"/>
                    <a:stretch>
                      <a:fillRect/>
                    </a:stretch>
                  </pic:blipFill>
                  <pic:spPr>
                    <a:xfrm>
                      <a:off x="0" y="0"/>
                      <a:ext cx="190500" cy="142875"/>
                    </a:xfrm>
                    <a:prstGeom prst="rect">
                      <a:avLst/>
                    </a:prstGeom>
                    <a:noFill/>
                    <a:ln>
                      <a:noFill/>
                    </a:ln>
                  </pic:spPr>
                </pic:pic>
              </a:graphicData>
            </a:graphic>
          </wp:inline>
        </w:drawing>
      </w:r>
      <w:r>
        <w:rPr>
          <w:rFonts w:hint="eastAsia" w:ascii="宋体" w:hAnsi="宋体" w:cs="宋体"/>
          <w:kern w:val="0"/>
          <w:szCs w:val="21"/>
        </w:rPr>
        <w:t>www.creditchina.gov.cn)、中国政府采购网(</w:t>
      </w:r>
      <w:r>
        <w:rPr>
          <w:rFonts w:hint="eastAsia" w:ascii="宋体" w:hAnsi="宋体" w:cs="宋体"/>
          <w:kern w:val="0"/>
          <w:szCs w:val="21"/>
        </w:rPr>
        <w:drawing>
          <wp:inline distT="0" distB="0" distL="114300" distR="114300">
            <wp:extent cx="190500" cy="14287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10"/>
                    <a:stretch>
                      <a:fillRect/>
                    </a:stretch>
                  </pic:blipFill>
                  <pic:spPr>
                    <a:xfrm>
                      <a:off x="0" y="0"/>
                      <a:ext cx="190500" cy="142875"/>
                    </a:xfrm>
                    <a:prstGeom prst="rect">
                      <a:avLst/>
                    </a:prstGeom>
                    <a:noFill/>
                    <a:ln>
                      <a:noFill/>
                    </a:ln>
                  </pic:spPr>
                </pic:pic>
              </a:graphicData>
            </a:graphic>
          </wp:inline>
        </w:drawing>
      </w:r>
      <w:r>
        <w:rPr>
          <w:rFonts w:hint="eastAsia" w:ascii="宋体" w:hAnsi="宋体" w:cs="宋体"/>
          <w:kern w:val="0"/>
          <w:szCs w:val="21"/>
        </w:rPr>
        <w:t>www.ccgp.gov.cn)等渠道列入失信被执行人、重大税收违法案件当事人名单、政府采购严重违法失信行为记录名单及其他不符合《中华人民共和国政府采购法》第二十二条规定条件的供应商，拒绝其参与政府采购活动。</w:t>
      </w:r>
    </w:p>
    <w:p>
      <w:pPr>
        <w:spacing w:line="380" w:lineRule="exact"/>
        <w:ind w:firstLine="420" w:firstLineChars="200"/>
        <w:rPr>
          <w:rFonts w:hint="eastAsia" w:ascii="宋体" w:hAnsi="宋体" w:cs="宋体"/>
          <w:kern w:val="0"/>
          <w:szCs w:val="21"/>
        </w:rPr>
      </w:pPr>
      <w:r>
        <w:rPr>
          <w:rFonts w:hint="eastAsia" w:ascii="宋体" w:hAnsi="宋体" w:cs="宋体"/>
          <w:kern w:val="0"/>
          <w:szCs w:val="21"/>
        </w:rPr>
        <w:t xml:space="preserve">5、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  </w:t>
      </w:r>
    </w:p>
    <w:p>
      <w:pPr>
        <w:spacing w:line="380" w:lineRule="exact"/>
        <w:ind w:firstLine="420" w:firstLineChars="200"/>
        <w:rPr>
          <w:rFonts w:hint="eastAsia" w:ascii="宋体" w:hAnsi="宋体" w:cs="宋体"/>
          <w:kern w:val="0"/>
          <w:szCs w:val="21"/>
        </w:rPr>
      </w:pPr>
      <w:r>
        <w:rPr>
          <w:rFonts w:hint="eastAsia" w:ascii="宋体" w:hAnsi="宋体" w:cs="宋体"/>
          <w:kern w:val="0"/>
          <w:szCs w:val="21"/>
        </w:rPr>
        <w:t>6、</w:t>
      </w:r>
      <w:r>
        <w:rPr>
          <w:rFonts w:ascii="宋体" w:hAnsi="宋体" w:cs="宋体"/>
          <w:kern w:val="0"/>
          <w:szCs w:val="21"/>
        </w:rPr>
        <w:t>中国政府采购网（http://www.ccgp.gov.cn/）、广西壮族自治区政府采购网(http://zfcg.gxzf.gov.cn/)</w:t>
      </w:r>
      <w:r>
        <w:rPr>
          <w:rFonts w:hint="eastAsia" w:ascii="宋体" w:hAnsi="宋体" w:cs="宋体"/>
          <w:kern w:val="0"/>
          <w:szCs w:val="21"/>
        </w:rPr>
        <w:t>、河池市公共资源交易中心网站(http://www.hcjyxxw.com/)</w:t>
      </w:r>
    </w:p>
    <w:p>
      <w:pPr>
        <w:spacing w:line="380" w:lineRule="exact"/>
        <w:rPr>
          <w:rFonts w:hint="eastAsia" w:ascii="宋体" w:hAnsi="宋体" w:cs="宋体"/>
          <w:kern w:val="0"/>
          <w:szCs w:val="21"/>
        </w:rPr>
      </w:pPr>
      <w:r>
        <w:rPr>
          <w:rFonts w:hint="eastAsia" w:ascii="宋体" w:hAnsi="宋体" w:cs="宋体"/>
          <w:b/>
          <w:bCs/>
          <w:kern w:val="0"/>
          <w:szCs w:val="21"/>
          <w:lang w:eastAsia="zh-CN"/>
        </w:rPr>
        <w:t>八</w:t>
      </w:r>
      <w:r>
        <w:rPr>
          <w:rFonts w:hint="eastAsia" w:ascii="宋体" w:hAnsi="宋体" w:cs="宋体"/>
          <w:b/>
          <w:bCs/>
          <w:kern w:val="0"/>
          <w:szCs w:val="21"/>
        </w:rPr>
        <w:t>、凡对本次采购提出询问，请按以下方式联系。</w:t>
      </w:r>
    </w:p>
    <w:p>
      <w:pPr>
        <w:spacing w:line="380" w:lineRule="exact"/>
        <w:ind w:firstLine="420" w:firstLineChars="200"/>
        <w:rPr>
          <w:rFonts w:hint="eastAsia" w:ascii="宋体" w:hAnsi="宋体" w:cs="宋体"/>
          <w:kern w:val="0"/>
          <w:szCs w:val="21"/>
        </w:rPr>
      </w:pPr>
      <w:r>
        <w:rPr>
          <w:rFonts w:hint="eastAsia" w:ascii="宋体" w:hAnsi="宋体" w:cs="宋体"/>
          <w:kern w:val="0"/>
          <w:szCs w:val="21"/>
        </w:rPr>
        <w:t>1.采购人信息：河池市生态环境局</w:t>
      </w:r>
    </w:p>
    <w:p>
      <w:pPr>
        <w:spacing w:line="380" w:lineRule="exact"/>
        <w:ind w:firstLine="630" w:firstLineChars="300"/>
        <w:rPr>
          <w:rFonts w:hint="default" w:ascii="宋体" w:hAnsi="宋体" w:eastAsia="宋体" w:cs="宋体"/>
          <w:kern w:val="0"/>
          <w:szCs w:val="21"/>
          <w:lang w:val="en-US" w:eastAsia="zh-CN"/>
        </w:rPr>
      </w:pPr>
      <w:r>
        <w:rPr>
          <w:rFonts w:hint="eastAsia" w:ascii="宋体" w:hAnsi="宋体" w:cs="宋体"/>
          <w:kern w:val="0"/>
          <w:szCs w:val="21"/>
        </w:rPr>
        <w:t>联系人：王景       联系电话：</w:t>
      </w:r>
      <w:r>
        <w:rPr>
          <w:rFonts w:hint="eastAsia" w:ascii="宋体" w:hAnsi="宋体" w:cs="宋体"/>
          <w:kern w:val="0"/>
          <w:szCs w:val="21"/>
          <w:lang w:val="en-US" w:eastAsia="zh-CN"/>
        </w:rPr>
        <w:t>18007786215</w:t>
      </w:r>
    </w:p>
    <w:p>
      <w:pPr>
        <w:spacing w:line="380" w:lineRule="exact"/>
        <w:ind w:firstLine="630" w:firstLineChars="300"/>
        <w:rPr>
          <w:rFonts w:hint="eastAsia" w:ascii="宋体" w:hAnsi="宋体" w:cs="宋体"/>
          <w:kern w:val="0"/>
          <w:szCs w:val="21"/>
        </w:rPr>
      </w:pPr>
      <w:r>
        <w:rPr>
          <w:rFonts w:hint="eastAsia" w:ascii="宋体" w:hAnsi="宋体" w:cs="宋体"/>
          <w:kern w:val="0"/>
          <w:szCs w:val="21"/>
        </w:rPr>
        <w:t>地址：河池市金城江区文体路41号</w:t>
      </w:r>
    </w:p>
    <w:p>
      <w:pPr>
        <w:spacing w:line="380" w:lineRule="exact"/>
        <w:ind w:firstLine="420" w:firstLineChars="200"/>
        <w:rPr>
          <w:rFonts w:hint="eastAsia" w:ascii="宋体" w:hAnsi="宋体" w:cs="宋体"/>
          <w:kern w:val="0"/>
          <w:szCs w:val="21"/>
        </w:rPr>
      </w:pPr>
      <w:r>
        <w:rPr>
          <w:rFonts w:hint="eastAsia" w:ascii="宋体" w:hAnsi="宋体" w:cs="宋体"/>
          <w:kern w:val="0"/>
          <w:szCs w:val="21"/>
        </w:rPr>
        <w:t>2.采购代理机构信息</w:t>
      </w:r>
    </w:p>
    <w:p>
      <w:pPr>
        <w:spacing w:line="380" w:lineRule="exact"/>
        <w:ind w:firstLine="630" w:firstLineChars="300"/>
        <w:rPr>
          <w:rFonts w:hint="eastAsia" w:ascii="宋体" w:hAnsi="宋体" w:cs="宋体"/>
          <w:kern w:val="0"/>
          <w:szCs w:val="21"/>
        </w:rPr>
      </w:pPr>
      <w:r>
        <w:rPr>
          <w:rFonts w:hint="eastAsia" w:ascii="宋体" w:hAnsi="宋体" w:cs="宋体"/>
          <w:kern w:val="0"/>
          <w:szCs w:val="21"/>
        </w:rPr>
        <w:t>名    称：广西科联招标中心有限公司</w:t>
      </w:r>
    </w:p>
    <w:p>
      <w:pPr>
        <w:spacing w:line="380" w:lineRule="exact"/>
        <w:ind w:firstLine="630" w:firstLineChars="300"/>
        <w:rPr>
          <w:rFonts w:hint="eastAsia" w:ascii="宋体" w:hAnsi="宋体" w:cs="宋体"/>
          <w:kern w:val="0"/>
          <w:szCs w:val="21"/>
        </w:rPr>
      </w:pPr>
      <w:r>
        <w:rPr>
          <w:rFonts w:hint="eastAsia" w:ascii="宋体" w:hAnsi="宋体" w:cs="宋体"/>
          <w:kern w:val="0"/>
          <w:szCs w:val="21"/>
        </w:rPr>
        <w:t>地　　址：河池市金城江区金城中路铜鼓巷10-13号</w:t>
      </w:r>
    </w:p>
    <w:p>
      <w:pPr>
        <w:spacing w:line="380" w:lineRule="exact"/>
        <w:ind w:firstLine="630" w:firstLineChars="300"/>
        <w:rPr>
          <w:rFonts w:hint="eastAsia" w:ascii="宋体" w:hAnsi="宋体" w:cs="宋体"/>
          <w:kern w:val="0"/>
          <w:szCs w:val="21"/>
        </w:rPr>
      </w:pPr>
      <w:r>
        <w:rPr>
          <w:rFonts w:hint="eastAsia" w:ascii="宋体" w:hAnsi="宋体" w:cs="宋体"/>
          <w:kern w:val="0"/>
          <w:szCs w:val="21"/>
        </w:rPr>
        <w:t>联系方式：0778-2105620</w:t>
      </w:r>
    </w:p>
    <w:p>
      <w:pPr>
        <w:spacing w:line="380" w:lineRule="exact"/>
        <w:ind w:firstLine="420" w:firstLineChars="200"/>
        <w:rPr>
          <w:rFonts w:hint="eastAsia" w:ascii="宋体" w:hAnsi="宋体" w:cs="宋体"/>
          <w:kern w:val="0"/>
          <w:szCs w:val="21"/>
        </w:rPr>
      </w:pPr>
      <w:r>
        <w:rPr>
          <w:rFonts w:hint="eastAsia" w:ascii="宋体" w:hAnsi="宋体" w:cs="宋体"/>
          <w:kern w:val="0"/>
          <w:szCs w:val="21"/>
        </w:rPr>
        <w:t>3.项目联系方式</w:t>
      </w:r>
    </w:p>
    <w:p>
      <w:pPr>
        <w:spacing w:line="380" w:lineRule="exact"/>
        <w:ind w:firstLine="630" w:firstLineChars="300"/>
        <w:rPr>
          <w:rFonts w:hint="eastAsia" w:ascii="宋体" w:hAnsi="宋体" w:cs="宋体"/>
          <w:kern w:val="0"/>
          <w:szCs w:val="21"/>
        </w:rPr>
      </w:pPr>
      <w:r>
        <w:rPr>
          <w:rFonts w:hint="eastAsia" w:ascii="宋体" w:hAnsi="宋体" w:cs="宋体"/>
          <w:kern w:val="0"/>
          <w:szCs w:val="21"/>
        </w:rPr>
        <w:t>项目联系人：李秀英</w:t>
      </w:r>
    </w:p>
    <w:p>
      <w:pPr>
        <w:spacing w:line="380" w:lineRule="exact"/>
        <w:ind w:firstLine="630" w:firstLineChars="300"/>
        <w:rPr>
          <w:rFonts w:hint="eastAsia" w:ascii="宋体" w:hAnsi="宋体"/>
          <w:bCs/>
          <w:szCs w:val="21"/>
        </w:rPr>
      </w:pPr>
      <w:r>
        <w:rPr>
          <w:rFonts w:hint="eastAsia" w:ascii="宋体" w:hAnsi="宋体" w:cs="宋体"/>
          <w:kern w:val="0"/>
          <w:szCs w:val="21"/>
        </w:rPr>
        <w:t>电　话：0778-2105620</w:t>
      </w:r>
    </w:p>
    <w:p>
      <w:pPr>
        <w:snapToGrid w:val="0"/>
        <w:spacing w:line="240" w:lineRule="atLeast"/>
        <w:ind w:right="840" w:firstLine="5460" w:firstLineChars="2600"/>
        <w:rPr>
          <w:rFonts w:hint="eastAsia" w:ascii="宋体" w:hAnsi="宋体"/>
          <w:bCs/>
          <w:szCs w:val="21"/>
        </w:rPr>
      </w:pPr>
    </w:p>
    <w:p>
      <w:pPr>
        <w:snapToGrid w:val="0"/>
        <w:spacing w:line="240" w:lineRule="atLeast"/>
        <w:ind w:right="840"/>
        <w:jc w:val="right"/>
        <w:rPr>
          <w:rFonts w:ascii="宋体" w:hAnsi="宋体"/>
          <w:szCs w:val="21"/>
        </w:rPr>
      </w:pPr>
      <w:r>
        <w:rPr>
          <w:rFonts w:hint="eastAsia" w:ascii="宋体" w:hAnsi="宋体"/>
          <w:bCs/>
          <w:szCs w:val="21"/>
        </w:rPr>
        <w:t>广西科联招标中心有限公司</w:t>
      </w:r>
    </w:p>
    <w:p>
      <w:r>
        <w:rPr>
          <w:rFonts w:hint="eastAsia"/>
        </w:rPr>
        <w:t xml:space="preserve">                                            </w:t>
      </w:r>
      <w:r>
        <w:rPr>
          <w:rFonts w:hint="eastAsia" w:ascii="宋体" w:hAnsi="宋体" w:cs="宋体"/>
          <w:kern w:val="0"/>
          <w:szCs w:val="21"/>
        </w:rPr>
        <w:t xml:space="preserve"> </w:t>
      </w:r>
      <w:r>
        <w:rPr>
          <w:rFonts w:hint="eastAsia" w:ascii="宋体" w:hAnsi="宋体" w:cs="宋体"/>
          <w:kern w:val="0"/>
          <w:szCs w:val="21"/>
          <w:lang w:val="en-US" w:eastAsia="zh-CN"/>
        </w:rPr>
        <w:t xml:space="preserve">           </w:t>
      </w:r>
      <w:r>
        <w:rPr>
          <w:rFonts w:hint="eastAsia" w:ascii="宋体" w:hAnsi="宋体" w:cs="宋体"/>
          <w:kern w:val="0"/>
          <w:szCs w:val="21"/>
        </w:rPr>
        <w:t>2020年</w:t>
      </w:r>
      <w:r>
        <w:rPr>
          <w:rFonts w:hint="eastAsia" w:ascii="宋体" w:hAnsi="宋体" w:cs="宋体"/>
          <w:kern w:val="0"/>
          <w:szCs w:val="21"/>
          <w:lang w:val="en-US" w:eastAsia="zh-CN"/>
        </w:rPr>
        <w:t>11</w:t>
      </w:r>
      <w:r>
        <w:rPr>
          <w:rFonts w:hint="eastAsia" w:ascii="宋体" w:hAnsi="宋体" w:cs="宋体"/>
          <w:kern w:val="0"/>
          <w:szCs w:val="21"/>
        </w:rPr>
        <w:t>月</w:t>
      </w:r>
      <w:r>
        <w:rPr>
          <w:rFonts w:hint="eastAsia" w:ascii="宋体" w:hAnsi="宋体" w:cs="宋体"/>
          <w:kern w:val="0"/>
          <w:szCs w:val="21"/>
          <w:lang w:val="en-US" w:eastAsia="zh-CN"/>
        </w:rPr>
        <w:t>24</w:t>
      </w:r>
      <w:r>
        <w:rPr>
          <w:rFonts w:hint="eastAsia" w:ascii="宋体" w:hAnsi="宋体" w:cs="宋体"/>
          <w:kern w:val="0"/>
          <w:szCs w:val="21"/>
        </w:rPr>
        <w:t>日</w:t>
      </w:r>
      <w:bookmarkEnd w:id="3"/>
    </w:p>
    <w:p>
      <w:pPr>
        <w:spacing w:line="240" w:lineRule="atLeast"/>
        <w:ind w:firstLine="1260" w:firstLineChars="600"/>
        <w:rPr>
          <w:rFonts w:hint="eastAsia" w:ascii="宋体" w:hAnsi="宋体" w:cs="宋体"/>
          <w:kern w:val="0"/>
          <w:szCs w:val="21"/>
        </w:rPr>
      </w:pPr>
    </w:p>
    <w:p>
      <w:pPr>
        <w:pStyle w:val="3"/>
        <w:rPr>
          <w:rFonts w:hint="eastAsia"/>
          <w:color w:val="000000"/>
        </w:rPr>
      </w:pPr>
      <w:bookmarkStart w:id="10" w:name="_Toc381103818"/>
      <w:bookmarkStart w:id="11" w:name="_Toc4752"/>
    </w:p>
    <w:p>
      <w:pPr>
        <w:pStyle w:val="3"/>
        <w:rPr>
          <w:rFonts w:hint="eastAsia"/>
          <w:color w:val="000000"/>
        </w:rPr>
      </w:pPr>
    </w:p>
    <w:p>
      <w:pPr>
        <w:pStyle w:val="3"/>
        <w:rPr>
          <w:rFonts w:hint="eastAsia"/>
          <w:color w:val="000000"/>
        </w:rPr>
      </w:pPr>
    </w:p>
    <w:p>
      <w:pPr>
        <w:pStyle w:val="3"/>
        <w:rPr>
          <w:rFonts w:hint="eastAsia"/>
          <w:color w:val="000000"/>
        </w:rPr>
      </w:pPr>
    </w:p>
    <w:p>
      <w:pPr>
        <w:pStyle w:val="3"/>
        <w:rPr>
          <w:rFonts w:hint="eastAsia"/>
          <w:color w:val="000000"/>
        </w:rPr>
      </w:pPr>
    </w:p>
    <w:p>
      <w:pPr>
        <w:pStyle w:val="3"/>
        <w:rPr>
          <w:rFonts w:hint="eastAsia"/>
          <w:color w:val="000000"/>
        </w:rPr>
      </w:pPr>
    </w:p>
    <w:p>
      <w:pPr>
        <w:pStyle w:val="3"/>
        <w:rPr>
          <w:rFonts w:hint="eastAsia"/>
          <w:color w:val="000000"/>
        </w:rPr>
      </w:pPr>
    </w:p>
    <w:p>
      <w:pPr>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2"/>
        <w:rPr>
          <w:rFonts w:hint="eastAsia"/>
          <w:color w:val="000000"/>
        </w:rPr>
      </w:pPr>
    </w:p>
    <w:p>
      <w:pPr>
        <w:pStyle w:val="3"/>
        <w:rPr>
          <w:rFonts w:hint="eastAsia"/>
          <w:color w:val="000000"/>
        </w:rPr>
      </w:pPr>
    </w:p>
    <w:p>
      <w:pPr>
        <w:pStyle w:val="3"/>
        <w:rPr>
          <w:rFonts w:hint="eastAsia"/>
          <w:color w:val="000000"/>
        </w:rPr>
      </w:pPr>
      <w:r>
        <w:rPr>
          <w:rFonts w:hint="eastAsia"/>
          <w:color w:val="000000"/>
        </w:rPr>
        <w:t>第二章  供应商须知及前附表</w:t>
      </w:r>
      <w:bookmarkEnd w:id="10"/>
      <w:bookmarkEnd w:id="11"/>
    </w:p>
    <w:p>
      <w:pPr>
        <w:pStyle w:val="3"/>
        <w:jc w:val="center"/>
        <w:rPr>
          <w:rFonts w:hint="eastAsia"/>
          <w:color w:val="000000"/>
        </w:rPr>
      </w:pPr>
      <w:bookmarkStart w:id="12" w:name="_Toc381103819"/>
      <w:bookmarkStart w:id="13" w:name="_Toc28407"/>
      <w:r>
        <w:rPr>
          <w:rFonts w:hint="eastAsia"/>
          <w:color w:val="000000"/>
          <w:sz w:val="32"/>
        </w:rPr>
        <w:t>供应商须知前附表</w:t>
      </w:r>
      <w:bookmarkEnd w:id="12"/>
      <w:bookmarkEnd w:id="13"/>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8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项号</w:t>
            </w:r>
          </w:p>
        </w:tc>
        <w:tc>
          <w:tcPr>
            <w:tcW w:w="8473"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1</w:t>
            </w:r>
          </w:p>
        </w:tc>
        <w:tc>
          <w:tcPr>
            <w:tcW w:w="8473" w:type="dxa"/>
            <w:noWrap w:val="0"/>
            <w:vAlign w:val="center"/>
          </w:tcPr>
          <w:p>
            <w:pPr>
              <w:pStyle w:val="20"/>
              <w:spacing w:line="340" w:lineRule="exact"/>
              <w:rPr>
                <w:rFonts w:hint="eastAsia" w:hAnsi="宋体" w:eastAsia="宋体" w:cs="Times New Roman"/>
                <w:bCs/>
                <w:color w:val="000000"/>
                <w:szCs w:val="21"/>
              </w:rPr>
            </w:pPr>
            <w:r>
              <w:rPr>
                <w:rFonts w:hint="eastAsia" w:hAnsi="宋体" w:eastAsia="宋体" w:cs="Times New Roman"/>
                <w:color w:val="000000"/>
                <w:szCs w:val="21"/>
              </w:rPr>
              <w:t>项目名称：河池市机动车排放摇感监测系统二期项目</w:t>
            </w:r>
          </w:p>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项目编号：</w:t>
            </w:r>
            <w:r>
              <w:rPr>
                <w:rFonts w:hint="eastAsia" w:ascii="宋体" w:hAnsi="宋体" w:eastAsia="宋体" w:cs="Times New Roman"/>
                <w:color w:val="000000"/>
                <w:szCs w:val="21"/>
                <w:lang w:val="en-US" w:eastAsia="zh-CN"/>
              </w:rPr>
              <w:t>HCZC2020-C1-01816-KLZB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2</w:t>
            </w:r>
          </w:p>
        </w:tc>
        <w:tc>
          <w:tcPr>
            <w:tcW w:w="8473" w:type="dxa"/>
            <w:noWrap w:val="0"/>
            <w:vAlign w:val="center"/>
          </w:tcPr>
          <w:p>
            <w:pPr>
              <w:numPr>
                <w:ilvl w:val="0"/>
                <w:numId w:val="3"/>
              </w:numPr>
              <w:spacing w:line="360" w:lineRule="auto"/>
              <w:rPr>
                <w:rFonts w:hint="eastAsia" w:ascii="宋体" w:hAnsi="宋体" w:eastAsia="宋体" w:cs="Times New Roman"/>
                <w:color w:val="000000"/>
                <w:szCs w:val="21"/>
              </w:rPr>
            </w:pPr>
            <w:r>
              <w:rPr>
                <w:rFonts w:hint="eastAsia" w:ascii="宋体" w:hAnsi="宋体" w:eastAsia="宋体" w:cs="Times New Roman"/>
                <w:color w:val="000000"/>
                <w:szCs w:val="21"/>
              </w:rPr>
              <w:t>申请人的资格要求：</w:t>
            </w:r>
          </w:p>
          <w:p>
            <w:pPr>
              <w:pStyle w:val="15"/>
              <w:spacing w:line="350" w:lineRule="exact"/>
              <w:ind w:right="143" w:rightChars="68"/>
              <w:rPr>
                <w:rFonts w:hint="eastAsia" w:hAnsi="宋体" w:eastAsia="宋体" w:cs="Times New Roman"/>
                <w:color w:val="000000"/>
                <w:spacing w:val="0"/>
                <w:sz w:val="21"/>
                <w:szCs w:val="21"/>
              </w:rPr>
            </w:pPr>
            <w:r>
              <w:rPr>
                <w:rFonts w:hint="eastAsia" w:hAnsi="宋体" w:eastAsia="宋体" w:cs="Times New Roman"/>
                <w:color w:val="000000"/>
                <w:spacing w:val="0"/>
                <w:sz w:val="21"/>
                <w:szCs w:val="21"/>
              </w:rPr>
              <w:t xml:space="preserve">1、符合《中华人民共和国政府采购法》第二十二条规定。 </w:t>
            </w:r>
          </w:p>
          <w:p>
            <w:pPr>
              <w:spacing w:line="38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2、节能产品、环境标志产品依据品目清单和认证证书实施政府优先采购和强制采购（财库〔2019〕9号）和《关于印发节能产品政府采购品目清单的通知》（财库〔2019〕19号）。</w:t>
            </w:r>
            <w:r>
              <w:rPr>
                <w:rFonts w:hint="eastAsia" w:ascii="宋体" w:hAnsi="宋体" w:eastAsia="宋体" w:cs="宋体"/>
                <w:kern w:val="0"/>
                <w:szCs w:val="21"/>
              </w:rPr>
              <w:br w:type="textWrapping"/>
            </w:r>
            <w:r>
              <w:rPr>
                <w:rFonts w:hint="eastAsia" w:ascii="宋体" w:hAnsi="宋体" w:eastAsia="宋体" w:cs="宋体"/>
                <w:kern w:val="0"/>
                <w:szCs w:val="21"/>
              </w:rPr>
              <w:t xml:space="preserve">   3.扶持中小企业政策：小型和微型企业评审时提供小型和微型企业产品的给予价格扣除。监狱企业、残疾人福利性单位视同小型、微型企业，其提供小型和微型企业产品在评审时给予相同的价格扣除（财库〔2011〕181号）。</w:t>
            </w:r>
            <w:r>
              <w:rPr>
                <w:rFonts w:hint="eastAsia" w:ascii="宋体" w:hAnsi="宋体" w:eastAsia="宋体" w:cs="宋体"/>
                <w:kern w:val="0"/>
                <w:szCs w:val="21"/>
              </w:rPr>
              <w:br w:type="textWrapping"/>
            </w:r>
            <w:r>
              <w:rPr>
                <w:rFonts w:hint="eastAsia" w:ascii="宋体" w:hAnsi="宋体" w:eastAsia="宋体" w:cs="宋体"/>
                <w:kern w:val="0"/>
                <w:szCs w:val="21"/>
              </w:rPr>
              <w:t xml:space="preserve">    4.对在“信用中国”网站(</w:t>
            </w:r>
            <w:r>
              <w:rPr>
                <w:rFonts w:hint="eastAsia" w:ascii="宋体" w:hAnsi="宋体" w:eastAsia="宋体" w:cs="宋体"/>
                <w:kern w:val="0"/>
                <w:szCs w:val="21"/>
              </w:rPr>
              <w:drawing>
                <wp:inline distT="0" distB="0" distL="114300" distR="114300">
                  <wp:extent cx="190500" cy="142875"/>
                  <wp:effectExtent l="0" t="0" r="0" b="9525"/>
                  <wp:docPr id="3"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7"/>
                          <pic:cNvPicPr>
                            <a:picLocks noChangeAspect="1"/>
                          </pic:cNvPicPr>
                        </pic:nvPicPr>
                        <pic:blipFill>
                          <a:blip r:embed="rId10"/>
                          <a:stretch>
                            <a:fillRect/>
                          </a:stretch>
                        </pic:blipFill>
                        <pic:spPr>
                          <a:xfrm>
                            <a:off x="0" y="0"/>
                            <a:ext cx="190500" cy="142875"/>
                          </a:xfrm>
                          <a:prstGeom prst="rect">
                            <a:avLst/>
                          </a:prstGeom>
                          <a:noFill/>
                          <a:ln>
                            <a:noFill/>
                          </a:ln>
                        </pic:spPr>
                      </pic:pic>
                    </a:graphicData>
                  </a:graphic>
                </wp:inline>
              </w:drawing>
            </w:r>
            <w:r>
              <w:rPr>
                <w:rFonts w:hint="eastAsia" w:ascii="宋体" w:hAnsi="宋体" w:eastAsia="宋体" w:cs="宋体"/>
                <w:kern w:val="0"/>
                <w:szCs w:val="21"/>
              </w:rPr>
              <w:t>www.creditchina.gov.cn)、中国政府采购网(</w:t>
            </w:r>
            <w:r>
              <w:rPr>
                <w:rFonts w:hint="eastAsia" w:ascii="宋体" w:hAnsi="宋体" w:eastAsia="宋体" w:cs="宋体"/>
                <w:kern w:val="0"/>
                <w:szCs w:val="21"/>
              </w:rPr>
              <w:drawing>
                <wp:inline distT="0" distB="0" distL="114300" distR="114300">
                  <wp:extent cx="190500" cy="142875"/>
                  <wp:effectExtent l="0" t="0" r="0" b="9525"/>
                  <wp:docPr id="4"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7"/>
                          <pic:cNvPicPr>
                            <a:picLocks noChangeAspect="1"/>
                          </pic:cNvPicPr>
                        </pic:nvPicPr>
                        <pic:blipFill>
                          <a:blip r:embed="rId10"/>
                          <a:stretch>
                            <a:fillRect/>
                          </a:stretch>
                        </pic:blipFill>
                        <pic:spPr>
                          <a:xfrm>
                            <a:off x="0" y="0"/>
                            <a:ext cx="190500" cy="142875"/>
                          </a:xfrm>
                          <a:prstGeom prst="rect">
                            <a:avLst/>
                          </a:prstGeom>
                          <a:noFill/>
                          <a:ln>
                            <a:noFill/>
                          </a:ln>
                        </pic:spPr>
                      </pic:pic>
                    </a:graphicData>
                  </a:graphic>
                </wp:inline>
              </w:drawing>
            </w:r>
            <w:r>
              <w:rPr>
                <w:rFonts w:hint="eastAsia" w:ascii="宋体" w:hAnsi="宋体" w:eastAsia="宋体" w:cs="宋体"/>
                <w:kern w:val="0"/>
                <w:szCs w:val="21"/>
              </w:rPr>
              <w:t>www.ccgp.gov.cn)等渠道列入失信被执行人、重大税收违法案件当事人名单、政府采购严重违法失信行为记录名单及其他不符合《中华人民共和国政府采购法》第二十二条规定条件的供应商，拒绝其参与政府采购活动。</w:t>
            </w:r>
          </w:p>
          <w:p>
            <w:pPr>
              <w:spacing w:line="380" w:lineRule="exact"/>
              <w:ind w:firstLine="420" w:firstLineChars="200"/>
              <w:rPr>
                <w:rFonts w:hint="eastAsia" w:ascii="宋体" w:hAnsi="宋体" w:eastAsia="宋体" w:cs="宋体"/>
                <w:kern w:val="0"/>
                <w:szCs w:val="21"/>
              </w:rPr>
            </w:pPr>
            <w:r>
              <w:rPr>
                <w:rFonts w:hint="eastAsia" w:ascii="宋体" w:hAnsi="宋体" w:eastAsia="宋体" w:cs="宋体"/>
                <w:kern w:val="0"/>
                <w:szCs w:val="21"/>
              </w:rPr>
              <w:t xml:space="preserve">5、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  </w:t>
            </w:r>
          </w:p>
          <w:p>
            <w:pPr>
              <w:pStyle w:val="15"/>
              <w:spacing w:line="350" w:lineRule="exact"/>
              <w:ind w:right="143" w:rightChars="68"/>
              <w:rPr>
                <w:rFonts w:hint="eastAsia" w:hAnsi="宋体" w:eastAsia="宋体" w:cs="Times New Roman"/>
                <w:color w:val="000000"/>
                <w:szCs w:val="21"/>
              </w:rPr>
            </w:pPr>
            <w:r>
              <w:rPr>
                <w:rFonts w:hint="eastAsia" w:hAnsi="宋体" w:eastAsia="宋体" w:cs="Times New Roman"/>
                <w:color w:val="000000"/>
                <w:spacing w:val="0"/>
                <w:sz w:val="21"/>
                <w:szCs w:val="21"/>
                <w:lang w:val="en-US" w:eastAsia="zh-CN"/>
              </w:rPr>
              <w:t>6</w:t>
            </w:r>
            <w:r>
              <w:rPr>
                <w:rFonts w:hint="eastAsia" w:hAnsi="宋体" w:eastAsia="宋体" w:cs="Times New Roman"/>
                <w:color w:val="000000"/>
                <w:spacing w:val="0"/>
                <w:sz w:val="21"/>
                <w:szCs w:val="21"/>
              </w:rPr>
              <w:t>、 本项目的特定资格要求：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3</w:t>
            </w:r>
          </w:p>
        </w:tc>
        <w:tc>
          <w:tcPr>
            <w:tcW w:w="8473" w:type="dxa"/>
            <w:noWrap w:val="0"/>
            <w:vAlign w:val="center"/>
          </w:tcPr>
          <w:p>
            <w:pPr>
              <w:pStyle w:val="15"/>
              <w:spacing w:line="340" w:lineRule="exact"/>
              <w:ind w:left="-4" w:leftChars="-2" w:firstLine="4" w:firstLineChars="2"/>
              <w:rPr>
                <w:rFonts w:hint="eastAsia" w:hAnsi="宋体" w:eastAsia="宋体" w:cs="Times New Roman"/>
                <w:color w:val="000000"/>
                <w:spacing w:val="0"/>
                <w:sz w:val="21"/>
                <w:szCs w:val="21"/>
              </w:rPr>
            </w:pPr>
            <w:r>
              <w:rPr>
                <w:rFonts w:hint="eastAsia" w:hAnsi="宋体" w:eastAsia="宋体" w:cs="Times New Roman"/>
                <w:color w:val="000000"/>
                <w:spacing w:val="0"/>
                <w:sz w:val="21"/>
                <w:szCs w:val="21"/>
              </w:rPr>
              <w:t>磋商报价：</w:t>
            </w:r>
            <w:r>
              <w:rPr>
                <w:rFonts w:hint="eastAsia" w:hAnsi="宋体" w:eastAsia="宋体" w:cs="Times New Roman"/>
                <w:color w:val="000000"/>
                <w:spacing w:val="0"/>
                <w:sz w:val="21"/>
                <w:szCs w:val="21"/>
                <w:lang w:eastAsia="zh-CN"/>
              </w:rPr>
              <w:t>磋商供应商</w:t>
            </w:r>
            <w:r>
              <w:rPr>
                <w:rFonts w:hint="eastAsia" w:hAnsi="宋体" w:eastAsia="宋体" w:cs="Times New Roman"/>
                <w:color w:val="000000"/>
                <w:spacing w:val="0"/>
                <w:sz w:val="21"/>
                <w:szCs w:val="21"/>
              </w:rPr>
              <w:t>必须就《服务需求一览表》中的所有内容作完整唯一报价，否则，其竞标将被拒绝。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4</w:t>
            </w:r>
          </w:p>
        </w:tc>
        <w:tc>
          <w:tcPr>
            <w:tcW w:w="8473" w:type="dxa"/>
            <w:noWrap w:val="0"/>
            <w:vAlign w:val="center"/>
          </w:tcPr>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响应文件：一套正本、四套副本（A4标准胶装装订）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5</w:t>
            </w:r>
          </w:p>
        </w:tc>
        <w:tc>
          <w:tcPr>
            <w:tcW w:w="8473" w:type="dxa"/>
            <w:noWrap w:val="0"/>
            <w:vAlign w:val="center"/>
          </w:tcPr>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响应文件有效期：竞标截止之日起60天内。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6</w:t>
            </w:r>
          </w:p>
        </w:tc>
        <w:tc>
          <w:tcPr>
            <w:tcW w:w="8473" w:type="dxa"/>
            <w:noWrap w:val="0"/>
            <w:vAlign w:val="center"/>
          </w:tcPr>
          <w:p>
            <w:pPr>
              <w:widowControl/>
              <w:shd w:val="clear" w:color="auto" w:fill="FFFFFF"/>
              <w:spacing w:line="340" w:lineRule="exact"/>
              <w:jc w:val="left"/>
              <w:rPr>
                <w:rFonts w:hint="eastAsia" w:ascii="宋体" w:hAnsi="宋体" w:eastAsia="宋体" w:cs="宋体"/>
                <w:color w:val="000000"/>
                <w:kern w:val="0"/>
                <w:szCs w:val="21"/>
              </w:rPr>
            </w:pPr>
            <w:r>
              <w:rPr>
                <w:rFonts w:hint="eastAsia" w:ascii="宋体" w:hAnsi="宋体" w:eastAsia="宋体" w:cs="Times New Roman"/>
                <w:b/>
                <w:bCs/>
                <w:color w:val="000000"/>
                <w:kern w:val="0"/>
                <w:szCs w:val="21"/>
              </w:rPr>
              <w:t>磋商保证金金额：叁万元整（¥30000.00元）</w:t>
            </w:r>
          </w:p>
          <w:p>
            <w:pPr>
              <w:spacing w:line="380" w:lineRule="exact"/>
              <w:ind w:firstLine="420" w:firstLineChars="200"/>
              <w:rPr>
                <w:rFonts w:hint="eastAsia" w:ascii="Times New Roman" w:hAnsi="宋体" w:eastAsia="宋体" w:cs="Times New Roman"/>
                <w:color w:val="000000"/>
                <w:szCs w:val="21"/>
              </w:rPr>
            </w:pPr>
            <w:r>
              <w:rPr>
                <w:rFonts w:hint="eastAsia" w:ascii="宋体" w:hAnsi="宋体" w:eastAsia="宋体" w:cs="宋体"/>
                <w:kern w:val="0"/>
                <w:szCs w:val="21"/>
              </w:rPr>
              <w:t>1、磋商保证金的缴纳方式：银行转账、支票、汇票、本票或者银行、保险机构出具的保函，禁止采用现钞方式，采用银行转账方式的，在磋商截止时间前交至采购代理机构指定账户【开户银行：</w:t>
            </w:r>
            <w:r>
              <w:rPr>
                <w:rFonts w:hint="eastAsia" w:ascii="宋体" w:hAnsi="宋体" w:eastAsia="宋体" w:cs="宋体"/>
                <w:color w:val="000000"/>
                <w:szCs w:val="21"/>
              </w:rPr>
              <w:t>河池市区农村信用合作联社兴业信用社</w:t>
            </w:r>
            <w:r>
              <w:rPr>
                <w:rFonts w:hint="eastAsia" w:ascii="宋体" w:hAnsi="宋体" w:eastAsia="宋体" w:cs="宋体"/>
                <w:kern w:val="0"/>
                <w:szCs w:val="21"/>
              </w:rPr>
              <w:t>，开户名称：</w:t>
            </w:r>
            <w:r>
              <w:rPr>
                <w:rFonts w:hint="eastAsia" w:ascii="宋体" w:hAnsi="宋体" w:eastAsia="宋体" w:cs="宋体"/>
                <w:color w:val="000000"/>
                <w:szCs w:val="21"/>
              </w:rPr>
              <w:t>河池市公共资源交易中心</w:t>
            </w:r>
            <w:r>
              <w:rPr>
                <w:rFonts w:hint="eastAsia" w:ascii="宋体" w:hAnsi="宋体" w:eastAsia="宋体" w:cs="宋体"/>
                <w:kern w:val="0"/>
                <w:szCs w:val="21"/>
              </w:rPr>
              <w:t>，银行账号：在系统内自行查看】：采用支票、支票、汇票、本票或者保函等方式的，在磋商截止前，磋商人应当递交单独的支票、支票、汇票、本票或者保函原件。否则视为无效磋商保证金。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7</w:t>
            </w:r>
          </w:p>
        </w:tc>
        <w:tc>
          <w:tcPr>
            <w:tcW w:w="8473" w:type="dxa"/>
            <w:noWrap w:val="0"/>
            <w:vAlign w:val="center"/>
          </w:tcPr>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响应文件以密封形式递交</w:t>
            </w:r>
          </w:p>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接收地点：</w:t>
            </w:r>
            <w:r>
              <w:rPr>
                <w:rFonts w:hint="eastAsia" w:hAnsi="宋体" w:eastAsia="宋体" w:cs="宋体"/>
                <w:bCs/>
                <w:color w:val="000000"/>
                <w:kern w:val="0"/>
                <w:szCs w:val="21"/>
              </w:rPr>
              <w:t>河池市公共资源交易中心（河池市金城江区城东新区肯旺桥西侧北面市工人文化宫办公大楼五楼）</w:t>
            </w:r>
          </w:p>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响应文件递交起止时间为：2020年</w:t>
            </w:r>
            <w:r>
              <w:rPr>
                <w:rFonts w:hint="eastAsia" w:hAnsi="宋体" w:eastAsia="宋体" w:cs="Times New Roman"/>
                <w:color w:val="000000"/>
                <w:szCs w:val="21"/>
                <w:lang w:val="en-US" w:eastAsia="zh-CN"/>
              </w:rPr>
              <w:t>12</w:t>
            </w:r>
            <w:r>
              <w:rPr>
                <w:rFonts w:hint="eastAsia" w:hAnsi="宋体" w:eastAsia="宋体" w:cs="Times New Roman"/>
                <w:color w:val="000000"/>
                <w:szCs w:val="21"/>
              </w:rPr>
              <w:t>月</w:t>
            </w:r>
            <w:r>
              <w:rPr>
                <w:rFonts w:hint="eastAsia" w:hAnsi="宋体" w:eastAsia="宋体" w:cs="Times New Roman"/>
                <w:color w:val="000000"/>
                <w:szCs w:val="21"/>
                <w:lang w:val="en-US" w:eastAsia="zh-CN"/>
              </w:rPr>
              <w:t>08</w:t>
            </w:r>
            <w:r>
              <w:rPr>
                <w:rFonts w:hint="eastAsia" w:hAnsi="宋体" w:eastAsia="宋体" w:cs="Times New Roman"/>
                <w:color w:val="000000"/>
                <w:szCs w:val="21"/>
              </w:rPr>
              <w:t>日</w:t>
            </w:r>
            <w:r>
              <w:rPr>
                <w:rFonts w:hint="eastAsia" w:hAnsi="宋体" w:eastAsia="宋体" w:cs="Times New Roman"/>
                <w:color w:val="000000"/>
                <w:szCs w:val="21"/>
                <w:lang w:val="en-US" w:eastAsia="zh-CN"/>
              </w:rPr>
              <w:t>10</w:t>
            </w:r>
            <w:r>
              <w:rPr>
                <w:rFonts w:hint="eastAsia" w:hAnsi="宋体" w:eastAsia="宋体" w:cs="Times New Roman"/>
                <w:color w:val="000000"/>
                <w:szCs w:val="21"/>
              </w:rPr>
              <w:t>时</w:t>
            </w:r>
            <w:r>
              <w:rPr>
                <w:rFonts w:hint="eastAsia" w:hAnsi="宋体" w:eastAsia="宋体" w:cs="Times New Roman"/>
                <w:color w:val="000000"/>
                <w:szCs w:val="21"/>
                <w:lang w:val="en-US" w:eastAsia="zh-CN"/>
              </w:rPr>
              <w:t>00</w:t>
            </w:r>
            <w:r>
              <w:rPr>
                <w:rFonts w:hint="eastAsia" w:hAnsi="宋体" w:eastAsia="宋体" w:cs="Times New Roman"/>
                <w:color w:val="000000"/>
                <w:szCs w:val="21"/>
              </w:rPr>
              <w:t>分～</w:t>
            </w:r>
            <w:r>
              <w:rPr>
                <w:rFonts w:hint="eastAsia" w:hAnsi="宋体" w:eastAsia="宋体" w:cs="Times New Roman"/>
                <w:color w:val="000000"/>
                <w:szCs w:val="21"/>
                <w:lang w:val="en-US" w:eastAsia="zh-CN"/>
              </w:rPr>
              <w:t>10</w:t>
            </w:r>
            <w:r>
              <w:rPr>
                <w:rFonts w:hint="eastAsia" w:hAnsi="宋体" w:eastAsia="宋体" w:cs="Times New Roman"/>
                <w:color w:val="000000"/>
                <w:szCs w:val="21"/>
              </w:rPr>
              <w:t>时30分止</w:t>
            </w:r>
          </w:p>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响应文件递交截止时间为：</w:t>
            </w:r>
            <w:r>
              <w:rPr>
                <w:rFonts w:hint="eastAsia" w:ascii="宋体" w:hAnsi="宋体" w:eastAsia="宋体" w:cs="宋体"/>
                <w:kern w:val="0"/>
                <w:szCs w:val="21"/>
              </w:rPr>
              <w:t>2020年</w:t>
            </w:r>
            <w:r>
              <w:rPr>
                <w:rFonts w:hint="eastAsia" w:ascii="宋体" w:hAnsi="宋体" w:eastAsia="宋体" w:cs="宋体"/>
                <w:kern w:val="0"/>
                <w:szCs w:val="21"/>
                <w:lang w:val="en-US" w:eastAsia="zh-CN"/>
              </w:rPr>
              <w:t>12</w:t>
            </w:r>
            <w:r>
              <w:rPr>
                <w:rFonts w:hint="eastAsia" w:ascii="宋体" w:hAnsi="宋体" w:eastAsia="宋体" w:cs="宋体"/>
                <w:kern w:val="0"/>
                <w:szCs w:val="21"/>
              </w:rPr>
              <w:t>月</w:t>
            </w:r>
            <w:r>
              <w:rPr>
                <w:rFonts w:hint="eastAsia" w:ascii="宋体" w:hAnsi="宋体" w:eastAsia="宋体" w:cs="宋体"/>
                <w:kern w:val="0"/>
                <w:szCs w:val="21"/>
                <w:lang w:val="en-US" w:eastAsia="zh-CN"/>
              </w:rPr>
              <w:t>08</w:t>
            </w:r>
            <w:r>
              <w:rPr>
                <w:rFonts w:hint="eastAsia" w:ascii="宋体" w:hAnsi="宋体" w:eastAsia="宋体" w:cs="宋体"/>
                <w:kern w:val="0"/>
                <w:szCs w:val="21"/>
              </w:rPr>
              <w:t>日</w:t>
            </w:r>
            <w:r>
              <w:rPr>
                <w:rFonts w:hint="eastAsia" w:ascii="宋体" w:hAnsi="宋体" w:eastAsia="宋体" w:cs="宋体"/>
                <w:kern w:val="0"/>
                <w:szCs w:val="21"/>
                <w:lang w:eastAsia="zh-CN"/>
              </w:rPr>
              <w:t>上</w:t>
            </w:r>
            <w:r>
              <w:rPr>
                <w:rFonts w:hint="eastAsia" w:ascii="宋体" w:hAnsi="宋体" w:eastAsia="宋体" w:cs="宋体"/>
                <w:kern w:val="0"/>
                <w:szCs w:val="21"/>
              </w:rPr>
              <w:t>午1</w:t>
            </w:r>
            <w:r>
              <w:rPr>
                <w:rFonts w:hint="eastAsia" w:ascii="宋体" w:hAnsi="宋体" w:eastAsia="宋体" w:cs="宋体"/>
                <w:kern w:val="0"/>
                <w:szCs w:val="21"/>
                <w:lang w:val="en-US" w:eastAsia="zh-CN"/>
              </w:rPr>
              <w:t>0</w:t>
            </w:r>
            <w:r>
              <w:rPr>
                <w:rFonts w:hint="eastAsia" w:ascii="宋体" w:hAnsi="宋体" w:eastAsia="宋体" w:cs="宋体"/>
                <w:kern w:val="0"/>
                <w:szCs w:val="21"/>
              </w:rPr>
              <w:t>点30分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8</w:t>
            </w:r>
          </w:p>
        </w:tc>
        <w:tc>
          <w:tcPr>
            <w:tcW w:w="8473" w:type="dxa"/>
            <w:noWrap w:val="0"/>
            <w:vAlign w:val="center"/>
          </w:tcPr>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磋商开始时间：</w:t>
            </w:r>
            <w:r>
              <w:rPr>
                <w:rFonts w:hint="eastAsia" w:ascii="宋体" w:hAnsi="宋体" w:eastAsia="宋体" w:cs="宋体"/>
                <w:kern w:val="0"/>
                <w:szCs w:val="21"/>
              </w:rPr>
              <w:t>2020年</w:t>
            </w:r>
            <w:r>
              <w:rPr>
                <w:rFonts w:hint="eastAsia" w:ascii="宋体" w:hAnsi="宋体" w:eastAsia="宋体" w:cs="宋体"/>
                <w:kern w:val="0"/>
                <w:szCs w:val="21"/>
                <w:lang w:val="en-US" w:eastAsia="zh-CN"/>
              </w:rPr>
              <w:t>12</w:t>
            </w:r>
            <w:r>
              <w:rPr>
                <w:rFonts w:hint="eastAsia" w:ascii="宋体" w:hAnsi="宋体" w:eastAsia="宋体" w:cs="宋体"/>
                <w:kern w:val="0"/>
                <w:szCs w:val="21"/>
              </w:rPr>
              <w:t>月</w:t>
            </w:r>
            <w:r>
              <w:rPr>
                <w:rFonts w:hint="eastAsia" w:ascii="宋体" w:hAnsi="宋体" w:eastAsia="宋体" w:cs="宋体"/>
                <w:kern w:val="0"/>
                <w:szCs w:val="21"/>
                <w:lang w:val="en-US" w:eastAsia="zh-CN"/>
              </w:rPr>
              <w:t>08</w:t>
            </w:r>
            <w:r>
              <w:rPr>
                <w:rFonts w:hint="eastAsia" w:ascii="宋体" w:hAnsi="宋体" w:eastAsia="宋体" w:cs="宋体"/>
                <w:kern w:val="0"/>
                <w:szCs w:val="21"/>
              </w:rPr>
              <w:t>日</w:t>
            </w:r>
            <w:r>
              <w:rPr>
                <w:rFonts w:hint="eastAsia" w:ascii="宋体" w:hAnsi="宋体" w:eastAsia="宋体" w:cs="宋体"/>
                <w:kern w:val="0"/>
                <w:szCs w:val="21"/>
                <w:lang w:eastAsia="zh-CN"/>
              </w:rPr>
              <w:t>上</w:t>
            </w:r>
            <w:r>
              <w:rPr>
                <w:rFonts w:hint="eastAsia" w:ascii="宋体" w:hAnsi="宋体" w:eastAsia="宋体" w:cs="宋体"/>
                <w:kern w:val="0"/>
                <w:szCs w:val="21"/>
              </w:rPr>
              <w:t>午1</w:t>
            </w:r>
            <w:r>
              <w:rPr>
                <w:rFonts w:hint="eastAsia" w:ascii="宋体" w:hAnsi="宋体" w:eastAsia="宋体" w:cs="宋体"/>
                <w:kern w:val="0"/>
                <w:szCs w:val="21"/>
                <w:lang w:val="en-US" w:eastAsia="zh-CN"/>
              </w:rPr>
              <w:t>0</w:t>
            </w:r>
            <w:r>
              <w:rPr>
                <w:rFonts w:hint="eastAsia" w:ascii="宋体" w:hAnsi="宋体" w:eastAsia="宋体" w:cs="宋体"/>
                <w:kern w:val="0"/>
                <w:szCs w:val="21"/>
              </w:rPr>
              <w:t>点30分</w:t>
            </w:r>
            <w:r>
              <w:rPr>
                <w:rFonts w:hint="eastAsia" w:hAnsi="宋体" w:eastAsia="宋体" w:cs="Times New Roman"/>
                <w:color w:val="000000"/>
                <w:szCs w:val="21"/>
              </w:rPr>
              <w:t>后（具体时间由采购代理机构另行通知）。</w:t>
            </w:r>
          </w:p>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磋商地点：</w:t>
            </w:r>
            <w:r>
              <w:rPr>
                <w:rFonts w:hint="eastAsia" w:hAnsi="宋体" w:eastAsia="宋体" w:cs="宋体"/>
                <w:bCs/>
                <w:color w:val="000000"/>
                <w:kern w:val="0"/>
                <w:szCs w:val="21"/>
              </w:rPr>
              <w:t>河池市公共资源交易中心（河池市金城江区城东新区肯旺桥西侧北面市工人文化宫办公大楼五楼）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660" w:type="dxa"/>
            <w:noWrap w:val="0"/>
            <w:vAlign w:val="center"/>
          </w:tcPr>
          <w:p>
            <w:pPr>
              <w:pStyle w:val="20"/>
              <w:spacing w:line="340" w:lineRule="exact"/>
              <w:jc w:val="center"/>
              <w:rPr>
                <w:rFonts w:hAnsi="宋体" w:eastAsia="宋体" w:cs="Times New Roman"/>
                <w:color w:val="000000"/>
                <w:szCs w:val="21"/>
              </w:rPr>
            </w:pPr>
            <w:r>
              <w:rPr>
                <w:rFonts w:hAnsi="宋体" w:eastAsia="宋体" w:cs="Times New Roman"/>
                <w:color w:val="000000"/>
                <w:szCs w:val="21"/>
              </w:rPr>
              <w:t>9</w:t>
            </w:r>
          </w:p>
        </w:tc>
        <w:tc>
          <w:tcPr>
            <w:tcW w:w="8473" w:type="dxa"/>
            <w:noWrap w:val="0"/>
            <w:vAlign w:val="center"/>
          </w:tcPr>
          <w:p>
            <w:pPr>
              <w:pStyle w:val="20"/>
              <w:spacing w:line="340" w:lineRule="exact"/>
              <w:rPr>
                <w:rFonts w:hint="eastAsia" w:hAnsi="宋体" w:eastAsia="宋体" w:cs="Times New Roman"/>
                <w:color w:val="000000"/>
                <w:szCs w:val="21"/>
              </w:rPr>
            </w:pPr>
            <w:r>
              <w:rPr>
                <w:rFonts w:hint="eastAsia" w:hAnsi="宋体" w:eastAsia="宋体" w:cs="Times New Roman"/>
                <w:color w:val="000000"/>
                <w:szCs w:val="21"/>
              </w:rPr>
              <w:t>评标方法：综合评分法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10</w:t>
            </w:r>
          </w:p>
        </w:tc>
        <w:tc>
          <w:tcPr>
            <w:tcW w:w="8473" w:type="dxa"/>
            <w:noWrap w:val="0"/>
            <w:vAlign w:val="center"/>
          </w:tcPr>
          <w:p>
            <w:pPr>
              <w:pStyle w:val="20"/>
              <w:spacing w:line="340" w:lineRule="exact"/>
              <w:rPr>
                <w:rFonts w:hint="eastAsia" w:hAnsi="宋体" w:eastAsia="宋体" w:cs="Times New Roman"/>
                <w:b/>
                <w:color w:val="000000"/>
                <w:szCs w:val="21"/>
                <w:u w:val="single"/>
              </w:rPr>
            </w:pPr>
            <w:r>
              <w:rPr>
                <w:rFonts w:hint="eastAsia" w:hAnsi="宋体" w:eastAsia="宋体" w:cs="Times New Roman"/>
                <w:color w:val="000000"/>
                <w:szCs w:val="21"/>
              </w:rPr>
              <w:t>履约保证金：无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11</w:t>
            </w:r>
          </w:p>
        </w:tc>
        <w:tc>
          <w:tcPr>
            <w:tcW w:w="8473" w:type="dxa"/>
            <w:noWrap w:val="0"/>
            <w:vAlign w:val="center"/>
          </w:tcPr>
          <w:p>
            <w:pPr>
              <w:pStyle w:val="20"/>
              <w:spacing w:line="340" w:lineRule="exact"/>
              <w:rPr>
                <w:rFonts w:hint="eastAsia" w:hAnsi="宋体" w:eastAsia="宋体" w:cs="宋体"/>
                <w:color w:val="000000"/>
                <w:szCs w:val="21"/>
              </w:rPr>
            </w:pPr>
            <w:r>
              <w:rPr>
                <w:rFonts w:hint="eastAsia" w:hAnsi="宋体" w:eastAsia="宋体" w:cs="宋体"/>
                <w:color w:val="000000"/>
                <w:szCs w:val="21"/>
              </w:rPr>
              <w:t>招标代理服务费：本项目采购代理服务费按</w:t>
            </w:r>
            <w:r>
              <w:rPr>
                <w:rFonts w:hint="eastAsia" w:ascii="仿宋" w:hAnsi="仿宋" w:eastAsia="仿宋" w:cs="仿宋"/>
                <w:color w:val="000000"/>
                <w:szCs w:val="21"/>
              </w:rPr>
              <w:t>〔</w:t>
            </w:r>
            <w:r>
              <w:rPr>
                <w:rFonts w:hint="eastAsia" w:hAnsi="宋体" w:eastAsia="宋体" w:cs="宋体"/>
                <w:color w:val="000000"/>
                <w:szCs w:val="21"/>
              </w:rPr>
              <w:t>2011</w:t>
            </w:r>
            <w:r>
              <w:rPr>
                <w:rFonts w:hint="eastAsia" w:ascii="仿宋" w:hAnsi="仿宋" w:eastAsia="仿宋" w:cs="仿宋"/>
                <w:color w:val="000000"/>
                <w:szCs w:val="21"/>
              </w:rPr>
              <w:t>〕</w:t>
            </w:r>
            <w:r>
              <w:rPr>
                <w:rFonts w:hint="eastAsia" w:hAnsi="宋体" w:eastAsia="宋体" w:cs="宋体"/>
                <w:color w:val="000000"/>
                <w:szCs w:val="21"/>
              </w:rPr>
              <w:t>55号文（服务类）规定收取，由成交人在领取</w:t>
            </w:r>
            <w:r>
              <w:rPr>
                <w:rFonts w:hint="eastAsia" w:hAnsi="宋体" w:eastAsia="宋体" w:cs="宋体"/>
                <w:color w:val="000000"/>
                <w:szCs w:val="21"/>
                <w:lang w:eastAsia="zh-CN"/>
              </w:rPr>
              <w:t>签订合同签</w:t>
            </w:r>
            <w:r>
              <w:rPr>
                <w:rFonts w:hint="eastAsia" w:hAnsi="宋体" w:eastAsia="宋体" w:cs="宋体"/>
                <w:color w:val="000000"/>
                <w:szCs w:val="21"/>
              </w:rPr>
              <w:t>前一次性向采购代理机构支付。按标准计算采购代理服务费不足伍仟元的，按伍仟元收取。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12</w:t>
            </w:r>
          </w:p>
        </w:tc>
        <w:tc>
          <w:tcPr>
            <w:tcW w:w="8473" w:type="dxa"/>
            <w:noWrap w:val="0"/>
            <w:vAlign w:val="center"/>
          </w:tcPr>
          <w:p>
            <w:pPr>
              <w:pStyle w:val="20"/>
              <w:spacing w:line="340" w:lineRule="exact"/>
              <w:rPr>
                <w:rFonts w:hint="eastAsia" w:hAnsi="宋体" w:eastAsia="宋体" w:cs="宋体"/>
                <w:color w:val="000000"/>
                <w:szCs w:val="21"/>
              </w:rPr>
            </w:pPr>
            <w:r>
              <w:rPr>
                <w:rFonts w:hint="eastAsia" w:hAnsi="宋体" w:eastAsia="宋体" w:cs="Times New Roman"/>
                <w:color w:val="000000"/>
                <w:kern w:val="0"/>
                <w:szCs w:val="21"/>
              </w:rPr>
              <w:t>现场勘察：自行考察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60" w:type="dxa"/>
            <w:noWrap w:val="0"/>
            <w:vAlign w:val="center"/>
          </w:tcPr>
          <w:p>
            <w:pPr>
              <w:pStyle w:val="20"/>
              <w:spacing w:line="340" w:lineRule="exact"/>
              <w:jc w:val="center"/>
              <w:rPr>
                <w:rFonts w:hint="eastAsia" w:hAnsi="宋体" w:eastAsia="宋体" w:cs="Times New Roman"/>
                <w:color w:val="000000"/>
                <w:szCs w:val="21"/>
              </w:rPr>
            </w:pPr>
            <w:r>
              <w:rPr>
                <w:rFonts w:hint="eastAsia" w:hAnsi="宋体" w:eastAsia="宋体" w:cs="Times New Roman"/>
                <w:color w:val="000000"/>
                <w:szCs w:val="21"/>
              </w:rPr>
              <w:t>13</w:t>
            </w:r>
          </w:p>
        </w:tc>
        <w:tc>
          <w:tcPr>
            <w:tcW w:w="8473" w:type="dxa"/>
            <w:noWrap w:val="0"/>
            <w:vAlign w:val="center"/>
          </w:tcPr>
          <w:p>
            <w:pPr>
              <w:spacing w:line="340" w:lineRule="exact"/>
              <w:rPr>
                <w:rFonts w:hint="eastAsia" w:ascii="宋体" w:hAnsi="宋体" w:eastAsia="宋体" w:cs="宋体"/>
                <w:color w:val="000000"/>
                <w:szCs w:val="21"/>
              </w:rPr>
            </w:pPr>
            <w:r>
              <w:rPr>
                <w:rFonts w:hint="eastAsia" w:ascii="宋体" w:hAnsi="宋体" w:eastAsia="宋体" w:cs="宋体"/>
                <w:color w:val="000000"/>
                <w:szCs w:val="21"/>
              </w:rPr>
              <w:t>需要补充的其他内容：</w:t>
            </w:r>
          </w:p>
          <w:p>
            <w:pPr>
              <w:spacing w:line="38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1、招标人如需要发布补遗书，则在竞标截止时间1天前在中国政府采购网（http://www.ccgp.gov.cn）、广西壮族自治区政府采购网（http://www.gxzfcg.gov.cn）</w:t>
            </w:r>
            <w:r>
              <w:rPr>
                <w:rFonts w:hint="eastAsia" w:ascii="宋体" w:hAnsi="宋体" w:eastAsia="宋体" w:cs="宋体"/>
                <w:color w:val="000000"/>
                <w:szCs w:val="21"/>
                <w:lang w:eastAsia="zh-CN"/>
              </w:rPr>
              <w:t>、</w:t>
            </w:r>
            <w:r>
              <w:rPr>
                <w:rFonts w:hint="eastAsia" w:ascii="宋体" w:hAnsi="宋体" w:eastAsia="宋体" w:cs="宋体"/>
                <w:kern w:val="0"/>
                <w:szCs w:val="21"/>
              </w:rPr>
              <w:t>河池市公共资源交易中心网站(http://ggzyjy.hechi.gov.cn/)</w:t>
            </w:r>
            <w:r>
              <w:rPr>
                <w:rFonts w:hint="eastAsia" w:ascii="宋体" w:hAnsi="宋体" w:eastAsia="宋体" w:cs="宋体"/>
                <w:color w:val="000000"/>
                <w:szCs w:val="21"/>
              </w:rPr>
              <w:t>上发布，不再另行电话通知各</w:t>
            </w:r>
            <w:r>
              <w:rPr>
                <w:rFonts w:hint="eastAsia" w:ascii="宋体" w:hAnsi="宋体" w:eastAsia="宋体" w:cs="宋体"/>
                <w:color w:val="000000"/>
                <w:szCs w:val="21"/>
                <w:lang w:eastAsia="zh-CN"/>
              </w:rPr>
              <w:t>磋商供应商</w:t>
            </w:r>
            <w:r>
              <w:rPr>
                <w:rFonts w:hint="eastAsia" w:ascii="宋体" w:hAnsi="宋体" w:eastAsia="宋体" w:cs="宋体"/>
                <w:color w:val="000000"/>
                <w:szCs w:val="21"/>
              </w:rPr>
              <w:t>，请各</w:t>
            </w:r>
            <w:r>
              <w:rPr>
                <w:rFonts w:hint="eastAsia" w:ascii="宋体" w:hAnsi="宋体" w:eastAsia="宋体" w:cs="宋体"/>
                <w:color w:val="000000"/>
                <w:szCs w:val="21"/>
                <w:lang w:eastAsia="zh-CN"/>
              </w:rPr>
              <w:t>磋商供应商</w:t>
            </w:r>
            <w:r>
              <w:rPr>
                <w:rFonts w:hint="eastAsia" w:ascii="宋体" w:hAnsi="宋体" w:eastAsia="宋体" w:cs="宋体"/>
                <w:color w:val="000000"/>
                <w:szCs w:val="21"/>
              </w:rPr>
              <w:t>注意查询。</w:t>
            </w:r>
          </w:p>
          <w:p>
            <w:pPr>
              <w:spacing w:line="3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2、在对供应商资格审查时进行信用查询：</w:t>
            </w:r>
          </w:p>
          <w:p>
            <w:pPr>
              <w:spacing w:line="3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①查询渠道：“信用中国”网站(www.creditchina.gov.cn)、中国政府采购网(www.ccgp.gov.cn)等；</w:t>
            </w:r>
          </w:p>
          <w:p>
            <w:pPr>
              <w:spacing w:line="3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②查询起止时间：20</w:t>
            </w:r>
            <w:r>
              <w:rPr>
                <w:rFonts w:hint="eastAsia" w:ascii="宋体" w:hAnsi="宋体" w:eastAsia="宋体" w:cs="宋体"/>
                <w:color w:val="000000"/>
                <w:szCs w:val="21"/>
                <w:lang w:val="en-US" w:eastAsia="zh-CN"/>
              </w:rPr>
              <w:t>20</w:t>
            </w:r>
            <w:r>
              <w:rPr>
                <w:rFonts w:hint="eastAsia" w:ascii="宋体" w:hAnsi="宋体" w:eastAsia="宋体" w:cs="宋体"/>
                <w:color w:val="000000"/>
                <w:szCs w:val="21"/>
              </w:rPr>
              <w:t>年</w:t>
            </w:r>
            <w:r>
              <w:rPr>
                <w:rFonts w:hint="eastAsia" w:ascii="宋体" w:hAnsi="宋体" w:eastAsia="宋体" w:cs="宋体"/>
                <w:color w:val="000000"/>
                <w:szCs w:val="21"/>
                <w:lang w:val="en-US" w:eastAsia="zh-CN"/>
              </w:rPr>
              <w:t>6</w:t>
            </w:r>
            <w:r>
              <w:rPr>
                <w:rFonts w:hint="eastAsia" w:ascii="宋体" w:hAnsi="宋体" w:eastAsia="宋体" w:cs="宋体"/>
                <w:color w:val="000000"/>
                <w:szCs w:val="21"/>
              </w:rPr>
              <w:t>月1日至响应文件递交截止时间止；</w:t>
            </w:r>
          </w:p>
          <w:p>
            <w:pPr>
              <w:spacing w:line="3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③查询记录和证据留存方式：在查询网站中直接打印查询记录，打印材料作为评审资料保存。</w:t>
            </w:r>
          </w:p>
          <w:p>
            <w:pPr>
              <w:spacing w:line="340" w:lineRule="exact"/>
              <w:ind w:firstLine="420" w:firstLineChars="200"/>
              <w:rPr>
                <w:rFonts w:hint="eastAsia" w:ascii="宋体" w:hAnsi="宋体" w:eastAsia="宋体" w:cs="宋体"/>
                <w:color w:val="000000"/>
                <w:szCs w:val="21"/>
              </w:rPr>
            </w:pPr>
            <w:r>
              <w:rPr>
                <w:rFonts w:hint="eastAsia" w:ascii="宋体" w:hAnsi="宋体" w:eastAsia="宋体" w:cs="宋体"/>
                <w:color w:val="000000"/>
                <w:szCs w:val="21"/>
              </w:rPr>
              <w:t>④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资格审查不通过，不得参与政府采购活动。</w:t>
            </w:r>
          </w:p>
        </w:tc>
      </w:tr>
    </w:tbl>
    <w:p>
      <w:pPr>
        <w:pStyle w:val="20"/>
        <w:rPr>
          <w:rFonts w:hint="eastAsia"/>
          <w:color w:val="000000"/>
        </w:rPr>
      </w:pPr>
      <w:r>
        <w:rPr>
          <w:color w:val="000000"/>
        </w:rPr>
        <w:br w:type="page"/>
      </w:r>
    </w:p>
    <w:p>
      <w:pPr>
        <w:spacing w:line="400" w:lineRule="exact"/>
        <w:jc w:val="center"/>
        <w:rPr>
          <w:rFonts w:hint="eastAsia" w:ascii="宋体" w:hAnsi="宋体"/>
          <w:b/>
          <w:color w:val="000000"/>
          <w:sz w:val="32"/>
          <w:szCs w:val="32"/>
        </w:rPr>
      </w:pPr>
      <w:bookmarkStart w:id="14" w:name="_Toc381103820"/>
      <w:r>
        <w:rPr>
          <w:rFonts w:hint="eastAsia" w:ascii="宋体" w:hAnsi="宋体"/>
          <w:b/>
          <w:color w:val="000000"/>
          <w:sz w:val="32"/>
          <w:szCs w:val="32"/>
        </w:rPr>
        <w:t>磋商须知</w:t>
      </w:r>
    </w:p>
    <w:p>
      <w:pPr>
        <w:spacing w:line="400" w:lineRule="exact"/>
        <w:rPr>
          <w:rFonts w:hint="eastAsia" w:ascii="宋体" w:hAnsi="宋体"/>
          <w:b/>
          <w:color w:val="000000"/>
          <w:szCs w:val="21"/>
        </w:rPr>
      </w:pPr>
      <w:r>
        <w:rPr>
          <w:rFonts w:hint="eastAsia" w:ascii="宋体" w:hAnsi="宋体"/>
          <w:b/>
          <w:color w:val="000000"/>
          <w:szCs w:val="21"/>
        </w:rPr>
        <w:t>一、总　则</w:t>
      </w:r>
    </w:p>
    <w:p>
      <w:pPr>
        <w:spacing w:line="400" w:lineRule="exact"/>
        <w:rPr>
          <w:rFonts w:hint="eastAsia" w:ascii="宋体" w:hAnsi="宋体"/>
          <w:color w:val="000000"/>
          <w:szCs w:val="21"/>
        </w:rPr>
      </w:pPr>
      <w:r>
        <w:rPr>
          <w:rFonts w:hint="eastAsia" w:ascii="宋体" w:hAnsi="宋体"/>
          <w:color w:val="000000"/>
          <w:szCs w:val="21"/>
        </w:rPr>
        <w:t>1. 适用范围</w:t>
      </w:r>
    </w:p>
    <w:p>
      <w:pPr>
        <w:spacing w:line="400" w:lineRule="exact"/>
        <w:ind w:left="420" w:leftChars="200"/>
        <w:rPr>
          <w:rFonts w:hint="eastAsia" w:ascii="宋体" w:hAnsi="宋体"/>
          <w:color w:val="000000"/>
          <w:szCs w:val="21"/>
        </w:rPr>
      </w:pPr>
      <w:r>
        <w:rPr>
          <w:rFonts w:hint="eastAsia" w:ascii="宋体" w:hAnsi="宋体"/>
          <w:color w:val="000000"/>
          <w:szCs w:val="21"/>
        </w:rPr>
        <w:t>1.1 本文件仅适用于本文件中所叙述的服务类采购项目</w:t>
      </w:r>
    </w:p>
    <w:p>
      <w:pPr>
        <w:spacing w:line="400" w:lineRule="exact"/>
        <w:ind w:firstLine="420" w:firstLineChars="200"/>
        <w:rPr>
          <w:rFonts w:hint="eastAsia" w:ascii="宋体" w:hAnsi="宋体"/>
          <w:color w:val="000000"/>
        </w:rPr>
      </w:pPr>
      <w:r>
        <w:rPr>
          <w:rFonts w:hint="eastAsia" w:ascii="宋体" w:hAnsi="宋体"/>
          <w:color w:val="000000"/>
          <w:szCs w:val="21"/>
        </w:rPr>
        <w:t>1.2本采购项目名称：</w:t>
      </w:r>
      <w:r>
        <w:rPr>
          <w:rFonts w:hint="eastAsia" w:ascii="宋体" w:hAnsi="宋体"/>
          <w:color w:val="000000"/>
        </w:rPr>
        <w:t>河池市机动车排放摇感监测系统二期项目</w:t>
      </w:r>
    </w:p>
    <w:p>
      <w:pPr>
        <w:spacing w:line="400" w:lineRule="exact"/>
        <w:rPr>
          <w:rFonts w:hint="eastAsia" w:ascii="宋体" w:hAnsi="宋体"/>
          <w:b/>
          <w:color w:val="000000"/>
          <w:szCs w:val="21"/>
        </w:rPr>
      </w:pPr>
      <w:r>
        <w:rPr>
          <w:rFonts w:hint="eastAsia" w:ascii="宋体" w:hAnsi="宋体"/>
          <w:b/>
          <w:color w:val="000000"/>
          <w:szCs w:val="21"/>
        </w:rPr>
        <w:t>2. 定义</w:t>
      </w:r>
    </w:p>
    <w:p>
      <w:pPr>
        <w:spacing w:line="400" w:lineRule="exact"/>
        <w:ind w:firstLine="420" w:firstLineChars="200"/>
        <w:rPr>
          <w:rFonts w:hint="eastAsia" w:ascii="宋体" w:hAnsi="宋体"/>
          <w:color w:val="000000"/>
          <w:szCs w:val="21"/>
        </w:rPr>
      </w:pPr>
      <w:r>
        <w:rPr>
          <w:rFonts w:hint="eastAsia" w:ascii="宋体" w:hAnsi="宋体"/>
          <w:color w:val="000000"/>
          <w:szCs w:val="21"/>
        </w:rPr>
        <w:t>2.1“采购人”是指：河池市生态环境局</w:t>
      </w:r>
    </w:p>
    <w:p>
      <w:pPr>
        <w:spacing w:line="400" w:lineRule="exact"/>
        <w:ind w:firstLine="420" w:firstLineChars="200"/>
        <w:rPr>
          <w:rFonts w:hint="eastAsia" w:ascii="宋体" w:hAnsi="宋体"/>
          <w:color w:val="000000"/>
          <w:szCs w:val="21"/>
          <w:u w:val="single"/>
        </w:rPr>
      </w:pPr>
      <w:r>
        <w:rPr>
          <w:rFonts w:hint="eastAsia" w:ascii="宋体" w:hAnsi="宋体"/>
          <w:color w:val="000000"/>
          <w:szCs w:val="21"/>
        </w:rPr>
        <w:t>2.2“采购代理机构”是指：广西科联招标中心有限公司</w:t>
      </w:r>
    </w:p>
    <w:p>
      <w:pPr>
        <w:spacing w:line="400" w:lineRule="exact"/>
        <w:ind w:firstLine="420" w:firstLineChars="200"/>
        <w:rPr>
          <w:rFonts w:hint="eastAsia" w:ascii="宋体" w:hAnsi="宋体"/>
          <w:color w:val="000000"/>
          <w:szCs w:val="21"/>
        </w:rPr>
      </w:pPr>
      <w:r>
        <w:rPr>
          <w:rFonts w:hint="eastAsia" w:ascii="宋体" w:hAnsi="宋体"/>
          <w:color w:val="000000"/>
          <w:szCs w:val="21"/>
        </w:rPr>
        <w:t>2.3“供应商”是指响应本文件要求，参加磋商的供应商。如果该供应商在本次磋商中成交，即成为“成交供应商”。</w:t>
      </w:r>
    </w:p>
    <w:p>
      <w:pPr>
        <w:spacing w:line="400" w:lineRule="exact"/>
        <w:ind w:firstLine="420" w:firstLineChars="200"/>
        <w:rPr>
          <w:rFonts w:hint="eastAsia" w:ascii="宋体" w:hAnsi="宋体"/>
          <w:color w:val="000000"/>
          <w:szCs w:val="21"/>
        </w:rPr>
      </w:pPr>
      <w:r>
        <w:rPr>
          <w:rFonts w:hint="eastAsia" w:ascii="宋体" w:hAnsi="宋体"/>
          <w:color w:val="000000"/>
          <w:szCs w:val="21"/>
        </w:rPr>
        <w:t>2.4“服务”是指河池市机动车排放摇感监测系统二期项目以及其他类似的义务。</w:t>
      </w:r>
    </w:p>
    <w:p>
      <w:pPr>
        <w:spacing w:line="400" w:lineRule="exact"/>
        <w:ind w:firstLine="420" w:firstLineChars="200"/>
        <w:rPr>
          <w:rFonts w:hint="eastAsia" w:ascii="宋体" w:hAnsi="宋体"/>
          <w:color w:val="000000"/>
          <w:szCs w:val="21"/>
        </w:rPr>
      </w:pPr>
      <w:r>
        <w:rPr>
          <w:rFonts w:hint="eastAsia" w:ascii="宋体" w:hAnsi="宋体"/>
          <w:color w:val="000000"/>
          <w:szCs w:val="21"/>
        </w:rPr>
        <w:t>2.5“响应文件”是指：供应商根据本文件要求，编制包含报价、技术和服务等所有内容的响应文件。</w:t>
      </w:r>
    </w:p>
    <w:p>
      <w:pPr>
        <w:spacing w:line="400" w:lineRule="exact"/>
        <w:ind w:firstLine="422" w:firstLineChars="200"/>
        <w:rPr>
          <w:rFonts w:hint="eastAsia" w:ascii="宋体" w:hAnsi="宋体"/>
          <w:bCs/>
          <w:color w:val="000000"/>
          <w:szCs w:val="21"/>
        </w:rPr>
      </w:pPr>
      <w:r>
        <w:rPr>
          <w:rFonts w:hint="eastAsia" w:ascii="宋体" w:hAnsi="宋体"/>
          <w:b/>
          <w:color w:val="000000"/>
          <w:szCs w:val="21"/>
        </w:rPr>
        <w:t>2.6实质性要求：</w:t>
      </w:r>
      <w:r>
        <w:rPr>
          <w:rFonts w:hint="eastAsia" w:ascii="宋体" w:hAnsi="宋体"/>
          <w:bCs/>
          <w:color w:val="000000"/>
          <w:szCs w:val="21"/>
        </w:rPr>
        <w:t>“项目需求”中的所有条款要求及本竞争性磋商文件要求必须提供的均为实质性要求。</w:t>
      </w:r>
    </w:p>
    <w:p>
      <w:pPr>
        <w:spacing w:line="400" w:lineRule="exact"/>
        <w:rPr>
          <w:rFonts w:hint="eastAsia" w:ascii="宋体" w:hAnsi="宋体"/>
          <w:b/>
          <w:color w:val="000000"/>
          <w:szCs w:val="21"/>
        </w:rPr>
      </w:pPr>
      <w:r>
        <w:rPr>
          <w:rFonts w:hint="eastAsia" w:ascii="宋体" w:hAnsi="宋体"/>
          <w:b/>
          <w:color w:val="000000"/>
          <w:szCs w:val="21"/>
        </w:rPr>
        <w:t>3. 供应商的资格</w:t>
      </w:r>
    </w:p>
    <w:p>
      <w:pPr>
        <w:spacing w:line="400" w:lineRule="exact"/>
        <w:ind w:firstLine="420" w:firstLineChars="200"/>
        <w:rPr>
          <w:rFonts w:hint="eastAsia" w:ascii="宋体" w:hAnsi="Courier New"/>
          <w:color w:val="000000"/>
          <w:szCs w:val="21"/>
        </w:rPr>
      </w:pPr>
      <w:r>
        <w:rPr>
          <w:rFonts w:hint="eastAsia" w:ascii="宋体" w:hAnsi="Courier New"/>
          <w:color w:val="000000"/>
          <w:szCs w:val="21"/>
        </w:rPr>
        <w:t>3.1详见供应商须知前附表。</w:t>
      </w:r>
    </w:p>
    <w:p>
      <w:pPr>
        <w:spacing w:line="400" w:lineRule="exact"/>
        <w:rPr>
          <w:rFonts w:hint="eastAsia" w:ascii="宋体" w:hAnsi="宋体"/>
          <w:b/>
          <w:color w:val="000000"/>
          <w:szCs w:val="21"/>
        </w:rPr>
      </w:pPr>
      <w:r>
        <w:rPr>
          <w:rFonts w:hint="eastAsia" w:ascii="宋体" w:hAnsi="宋体"/>
          <w:b/>
          <w:color w:val="000000"/>
          <w:szCs w:val="21"/>
        </w:rPr>
        <w:t>4.</w:t>
      </w:r>
      <w:r>
        <w:rPr>
          <w:rFonts w:hint="eastAsia" w:ascii="宋体" w:hAnsi="宋体"/>
          <w:color w:val="000000"/>
          <w:szCs w:val="21"/>
        </w:rPr>
        <w:t xml:space="preserve"> </w:t>
      </w:r>
      <w:r>
        <w:rPr>
          <w:rFonts w:hint="eastAsia" w:ascii="宋体" w:hAnsi="宋体"/>
          <w:b/>
          <w:color w:val="000000"/>
          <w:szCs w:val="21"/>
        </w:rPr>
        <w:t>磋商费用、采购代理服务费、磋商文件的澄清和修改要求</w:t>
      </w:r>
    </w:p>
    <w:p>
      <w:pPr>
        <w:spacing w:line="400" w:lineRule="exact"/>
        <w:ind w:firstLine="424" w:firstLineChars="202"/>
        <w:rPr>
          <w:rFonts w:hint="eastAsia" w:ascii="宋体" w:hAnsi="宋体"/>
          <w:color w:val="000000"/>
          <w:szCs w:val="21"/>
        </w:rPr>
      </w:pPr>
      <w:r>
        <w:rPr>
          <w:rFonts w:hint="eastAsia" w:ascii="宋体" w:hAnsi="宋体"/>
          <w:color w:val="000000"/>
          <w:szCs w:val="21"/>
        </w:rPr>
        <w:t>4.1</w:t>
      </w:r>
      <w:r>
        <w:rPr>
          <w:rFonts w:hint="eastAsia" w:ascii="宋体" w:hAnsi="宋体"/>
          <w:b/>
          <w:color w:val="000000"/>
          <w:szCs w:val="21"/>
        </w:rPr>
        <w:t>磋商费用：</w:t>
      </w:r>
      <w:r>
        <w:rPr>
          <w:rFonts w:hint="eastAsia" w:ascii="宋体" w:hAnsi="宋体"/>
          <w:color w:val="000000"/>
          <w:szCs w:val="21"/>
        </w:rPr>
        <w:t>供应商应自行承担所有与编写和提交响应文件有关的费用，不论磋商结果如何，采购人和采购代理机构在任何情况下无义务和责任承担此类费用。</w:t>
      </w:r>
    </w:p>
    <w:p>
      <w:pPr>
        <w:spacing w:line="400" w:lineRule="exact"/>
        <w:ind w:firstLine="424" w:firstLineChars="202"/>
        <w:rPr>
          <w:rFonts w:hint="eastAsia" w:ascii="宋体" w:hAnsi="宋体"/>
          <w:color w:val="000000"/>
          <w:szCs w:val="21"/>
        </w:rPr>
      </w:pPr>
      <w:r>
        <w:rPr>
          <w:rFonts w:hint="eastAsia" w:ascii="宋体" w:hAnsi="宋体"/>
          <w:color w:val="000000"/>
          <w:szCs w:val="21"/>
        </w:rPr>
        <w:t>4.2</w:t>
      </w:r>
      <w:r>
        <w:rPr>
          <w:rFonts w:hint="eastAsia" w:ascii="宋体" w:hAnsi="宋体"/>
          <w:b/>
          <w:color w:val="000000"/>
          <w:szCs w:val="21"/>
        </w:rPr>
        <w:t>采购代理服务费：</w:t>
      </w:r>
      <w:r>
        <w:rPr>
          <w:rFonts w:hint="eastAsia"/>
          <w:color w:val="000000"/>
        </w:rPr>
        <w:t>成交供</w:t>
      </w:r>
      <w:r>
        <w:rPr>
          <w:rFonts w:hint="eastAsia" w:ascii="宋体" w:hAnsi="宋体"/>
          <w:color w:val="000000"/>
        </w:rPr>
        <w:t>应商领取成交通知书前，向广西科联招标中心有限公司一次性付清采购代理服务费。</w:t>
      </w:r>
      <w:r>
        <w:rPr>
          <w:rFonts w:hint="eastAsia" w:ascii="宋体" w:hAnsi="宋体"/>
          <w:color w:val="000000"/>
          <w:szCs w:val="21"/>
        </w:rPr>
        <w:t>本项目的采购代理服务收费标准</w:t>
      </w:r>
      <w:r>
        <w:rPr>
          <w:rFonts w:hint="eastAsia" w:hAnsi="宋体" w:cs="宋体"/>
          <w:color w:val="000000"/>
          <w:szCs w:val="21"/>
        </w:rPr>
        <w:t>按</w:t>
      </w:r>
      <w:r>
        <w:rPr>
          <w:rFonts w:hint="eastAsia" w:hAnsi="宋体"/>
          <w:color w:val="000000"/>
          <w:szCs w:val="21"/>
        </w:rPr>
        <w:t>服务期的总报价×1.5%计算，</w:t>
      </w:r>
      <w:r>
        <w:rPr>
          <w:rFonts w:hint="eastAsia" w:ascii="宋体" w:hAnsi="宋体"/>
          <w:color w:val="000000"/>
          <w:szCs w:val="21"/>
        </w:rPr>
        <w:t>向成交供应商收取。</w:t>
      </w:r>
    </w:p>
    <w:p>
      <w:pPr>
        <w:spacing w:line="400" w:lineRule="exact"/>
        <w:ind w:firstLine="426" w:firstLineChars="202"/>
        <w:rPr>
          <w:rFonts w:hint="eastAsia" w:ascii="宋体" w:hAnsi="宋体"/>
          <w:color w:val="000000"/>
          <w:szCs w:val="21"/>
        </w:rPr>
      </w:pPr>
      <w:r>
        <w:rPr>
          <w:rFonts w:hint="eastAsia" w:ascii="宋体" w:hAnsi="宋体"/>
          <w:b/>
          <w:color w:val="000000"/>
          <w:szCs w:val="21"/>
        </w:rPr>
        <w:t>4.3竞争性磋商文件的澄清和修改：</w:t>
      </w:r>
    </w:p>
    <w:p>
      <w:pPr>
        <w:spacing w:line="400" w:lineRule="exact"/>
        <w:ind w:firstLine="424" w:firstLineChars="202"/>
        <w:rPr>
          <w:rFonts w:hint="eastAsia" w:ascii="宋体" w:hAnsi="宋体"/>
          <w:color w:val="000000"/>
          <w:szCs w:val="21"/>
        </w:rPr>
      </w:pPr>
      <w:r>
        <w:rPr>
          <w:rFonts w:hint="eastAsia" w:ascii="宋体" w:hAnsi="宋体"/>
          <w:color w:val="000000"/>
          <w:szCs w:val="21"/>
        </w:rPr>
        <w:t>4.3.1供应商应认真阅读竞争性磋商文件的采购需求，如发现需求中有误或要求不合理的，供应商必须在</w:t>
      </w:r>
      <w:r>
        <w:rPr>
          <w:rFonts w:ascii="宋体" w:hAnsi="宋体"/>
          <w:color w:val="000000"/>
          <w:szCs w:val="21"/>
        </w:rPr>
        <w:t>提交首次响应文件截止之日</w:t>
      </w:r>
      <w:r>
        <w:rPr>
          <w:rFonts w:hint="eastAsia" w:ascii="宋体" w:hAnsi="宋体"/>
          <w:color w:val="000000"/>
          <w:szCs w:val="21"/>
        </w:rPr>
        <w:t>1日</w:t>
      </w:r>
      <w:r>
        <w:rPr>
          <w:rFonts w:ascii="宋体" w:hAnsi="宋体"/>
          <w:color w:val="000000"/>
          <w:szCs w:val="21"/>
        </w:rPr>
        <w:t>前</w:t>
      </w:r>
      <w:r>
        <w:rPr>
          <w:rFonts w:hint="eastAsia" w:ascii="宋体" w:hAnsi="宋体"/>
          <w:color w:val="000000"/>
          <w:szCs w:val="21"/>
        </w:rPr>
        <w:t>，以书面形式向</w:t>
      </w:r>
      <w:r>
        <w:rPr>
          <w:rFonts w:ascii="宋体" w:hAnsi="宋体"/>
          <w:color w:val="000000"/>
          <w:szCs w:val="21"/>
        </w:rPr>
        <w:t>采购人、采购代理机构</w:t>
      </w:r>
      <w:r>
        <w:rPr>
          <w:rFonts w:hint="eastAsia" w:ascii="宋体" w:hAnsi="宋体"/>
          <w:color w:val="000000"/>
          <w:szCs w:val="21"/>
        </w:rPr>
        <w:t>提出。</w:t>
      </w:r>
    </w:p>
    <w:p>
      <w:pPr>
        <w:spacing w:line="400" w:lineRule="exact"/>
        <w:ind w:firstLine="424" w:firstLineChars="202"/>
        <w:rPr>
          <w:rFonts w:hint="eastAsia" w:ascii="宋体" w:hAnsi="宋体"/>
          <w:color w:val="000000"/>
          <w:szCs w:val="21"/>
        </w:rPr>
      </w:pPr>
      <w:r>
        <w:rPr>
          <w:rFonts w:hint="eastAsia" w:ascii="宋体" w:hAnsi="宋体"/>
          <w:color w:val="000000"/>
          <w:szCs w:val="21"/>
        </w:rPr>
        <w:t>4.3.2</w:t>
      </w:r>
      <w:r>
        <w:rPr>
          <w:rFonts w:ascii="宋体" w:hAnsi="宋体"/>
          <w:color w:val="000000"/>
          <w:szCs w:val="21"/>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或者磋商小组应当在提交首次响应文件截止之日</w:t>
      </w:r>
      <w:r>
        <w:rPr>
          <w:rFonts w:hint="eastAsia" w:ascii="宋体" w:hAnsi="宋体"/>
          <w:color w:val="000000"/>
          <w:szCs w:val="21"/>
        </w:rPr>
        <w:t>5</w:t>
      </w:r>
      <w:r>
        <w:rPr>
          <w:rFonts w:ascii="宋体" w:hAnsi="宋体"/>
          <w:color w:val="000000"/>
          <w:szCs w:val="21"/>
        </w:rPr>
        <w:t>日前，以书面形式通知所有接收磋商文件的供应商，不足</w:t>
      </w:r>
      <w:r>
        <w:rPr>
          <w:rFonts w:hint="eastAsia" w:ascii="宋体" w:hAnsi="宋体"/>
          <w:color w:val="000000"/>
          <w:szCs w:val="21"/>
        </w:rPr>
        <w:t>5</w:t>
      </w:r>
      <w:r>
        <w:rPr>
          <w:rFonts w:ascii="宋体" w:hAnsi="宋体"/>
          <w:color w:val="000000"/>
          <w:szCs w:val="21"/>
        </w:rPr>
        <w:t>日的，应当顺延提交首次响应文件截止之日。</w:t>
      </w:r>
    </w:p>
    <w:p>
      <w:pPr>
        <w:spacing w:line="400" w:lineRule="exact"/>
        <w:ind w:firstLine="424" w:firstLineChars="202"/>
        <w:rPr>
          <w:rFonts w:hint="eastAsia" w:ascii="宋体" w:hAnsi="宋体"/>
          <w:b/>
          <w:color w:val="000000"/>
          <w:szCs w:val="21"/>
        </w:rPr>
      </w:pPr>
      <w:r>
        <w:rPr>
          <w:rFonts w:hint="eastAsia" w:ascii="宋体" w:hAnsi="宋体"/>
          <w:color w:val="000000"/>
          <w:szCs w:val="21"/>
        </w:rPr>
        <w:t>4.4</w:t>
      </w:r>
      <w:r>
        <w:rPr>
          <w:rFonts w:hint="eastAsia" w:ascii="宋体" w:hAnsi="宋体"/>
          <w:b/>
          <w:color w:val="000000"/>
          <w:szCs w:val="21"/>
        </w:rPr>
        <w:t>联合体要求：</w:t>
      </w:r>
      <w:r>
        <w:rPr>
          <w:rFonts w:hint="eastAsia" w:ascii="宋体" w:hAnsi="宋体" w:cs="Arial"/>
          <w:b/>
          <w:color w:val="000000"/>
          <w:szCs w:val="21"/>
        </w:rPr>
        <w:t>本项目不接受联合体参与磋商。</w:t>
      </w:r>
    </w:p>
    <w:p>
      <w:pPr>
        <w:spacing w:line="400" w:lineRule="exact"/>
        <w:ind w:left="420" w:hanging="420"/>
        <w:rPr>
          <w:rFonts w:hint="eastAsia" w:ascii="宋体" w:hAnsi="宋体"/>
          <w:b/>
          <w:color w:val="000000"/>
          <w:szCs w:val="21"/>
        </w:rPr>
      </w:pPr>
      <w:r>
        <w:rPr>
          <w:rFonts w:hint="eastAsia" w:ascii="宋体" w:hAnsi="宋体"/>
          <w:b/>
          <w:color w:val="000000"/>
          <w:szCs w:val="21"/>
        </w:rPr>
        <w:t>二、响应文件的编制</w:t>
      </w:r>
      <w:r>
        <w:rPr>
          <w:rFonts w:hint="eastAsia" w:ascii="宋体" w:hAnsi="宋体"/>
          <w:bCs/>
          <w:color w:val="000000"/>
          <w:szCs w:val="21"/>
        </w:rPr>
        <w:t>（格式见第四章）</w:t>
      </w:r>
    </w:p>
    <w:p>
      <w:pPr>
        <w:spacing w:line="400" w:lineRule="exact"/>
        <w:rPr>
          <w:rFonts w:hint="eastAsia" w:ascii="宋体" w:hAnsi="宋体"/>
          <w:b/>
          <w:color w:val="000000"/>
          <w:szCs w:val="21"/>
        </w:rPr>
      </w:pPr>
      <w:r>
        <w:rPr>
          <w:rFonts w:hint="eastAsia" w:ascii="宋体" w:hAnsi="宋体"/>
          <w:b/>
          <w:color w:val="000000"/>
          <w:szCs w:val="21"/>
        </w:rPr>
        <w:t>5. 响应文件编制基本要求</w:t>
      </w:r>
    </w:p>
    <w:p>
      <w:pPr>
        <w:spacing w:line="400" w:lineRule="exact"/>
        <w:ind w:firstLine="420" w:firstLineChars="200"/>
        <w:rPr>
          <w:rFonts w:hint="eastAsia" w:ascii="宋体" w:hAnsi="宋体"/>
          <w:color w:val="000000"/>
          <w:szCs w:val="21"/>
        </w:rPr>
      </w:pPr>
      <w:r>
        <w:rPr>
          <w:rFonts w:hint="eastAsia" w:ascii="宋体" w:hAnsi="宋体"/>
          <w:color w:val="000000"/>
          <w:szCs w:val="21"/>
        </w:rPr>
        <w:t>5.1供应商对响应文件的编制应按要求装订和封装。</w:t>
      </w:r>
    </w:p>
    <w:p>
      <w:pPr>
        <w:spacing w:line="400" w:lineRule="exact"/>
        <w:ind w:firstLine="420" w:firstLineChars="200"/>
        <w:rPr>
          <w:rFonts w:hint="eastAsia" w:ascii="宋体" w:hAnsi="宋体"/>
          <w:color w:val="000000"/>
          <w:szCs w:val="21"/>
        </w:rPr>
      </w:pPr>
      <w:r>
        <w:rPr>
          <w:rFonts w:hint="eastAsia" w:ascii="宋体" w:hAnsi="宋体"/>
          <w:color w:val="000000"/>
          <w:szCs w:val="21"/>
        </w:rPr>
        <w:t>5.2供应商提交的响应文件以及供应商与采购代理机构和采购人就有关磋商的所有来往函电均应使用中文。供应商提交的支持文件和印刷的文献可以使用别的语言，但其相应内容必须附有中文翻译文本，在解释响应文件时以中文翻译文本为主。</w:t>
      </w:r>
    </w:p>
    <w:p>
      <w:pPr>
        <w:spacing w:line="400" w:lineRule="exact"/>
        <w:ind w:firstLine="420" w:firstLineChars="200"/>
        <w:rPr>
          <w:rFonts w:hint="eastAsia" w:ascii="宋体" w:hAnsi="宋体"/>
          <w:color w:val="000000"/>
          <w:szCs w:val="21"/>
        </w:rPr>
      </w:pPr>
      <w:r>
        <w:rPr>
          <w:rFonts w:hint="eastAsia" w:ascii="宋体" w:hAnsi="宋体"/>
          <w:color w:val="000000"/>
          <w:szCs w:val="21"/>
        </w:rPr>
        <w:t>5.3供应商应认真阅读、并充分理解本文件的全部内容（包括所有的补充、修改内容），承诺并履行本文件中各项条款规定及要求。</w:t>
      </w:r>
    </w:p>
    <w:p>
      <w:pPr>
        <w:spacing w:line="400" w:lineRule="exact"/>
        <w:ind w:firstLine="420" w:firstLineChars="200"/>
        <w:rPr>
          <w:rFonts w:hint="eastAsia" w:ascii="宋体" w:hAnsi="宋体"/>
          <w:color w:val="000000"/>
          <w:szCs w:val="21"/>
        </w:rPr>
      </w:pPr>
      <w:r>
        <w:rPr>
          <w:rFonts w:hint="eastAsia" w:ascii="宋体" w:hAnsi="宋体"/>
          <w:color w:val="000000"/>
          <w:szCs w:val="21"/>
        </w:rPr>
        <w:t>5.4响应文件必须按本文件的全部内容，包括所有的补充通知及附件进行编制。</w:t>
      </w:r>
    </w:p>
    <w:p>
      <w:pPr>
        <w:spacing w:line="400" w:lineRule="exact"/>
        <w:ind w:firstLine="420" w:firstLineChars="200"/>
        <w:rPr>
          <w:rFonts w:hint="eastAsia" w:ascii="宋体" w:hAnsi="宋体"/>
          <w:color w:val="000000"/>
          <w:szCs w:val="21"/>
        </w:rPr>
      </w:pPr>
      <w:r>
        <w:rPr>
          <w:rFonts w:hint="eastAsia" w:ascii="宋体" w:hAnsi="宋体"/>
          <w:color w:val="000000"/>
          <w:szCs w:val="21"/>
        </w:rPr>
        <w:t>5.5如因供应商只填写和提供了本文件要求的部分内容和附件，而给评审造成困难，其可能导致的结果和责任由供应商自行承担。</w:t>
      </w:r>
    </w:p>
    <w:p>
      <w:pPr>
        <w:spacing w:line="400" w:lineRule="exact"/>
        <w:ind w:firstLine="420" w:firstLineChars="200"/>
        <w:rPr>
          <w:rFonts w:hint="eastAsia" w:ascii="宋体" w:hAnsi="宋体"/>
          <w:color w:val="000000"/>
          <w:szCs w:val="21"/>
        </w:rPr>
      </w:pPr>
      <w:r>
        <w:rPr>
          <w:rFonts w:hint="eastAsia" w:ascii="宋体" w:hAnsi="宋体"/>
          <w:color w:val="000000"/>
          <w:szCs w:val="21"/>
        </w:rPr>
        <w:t>5.6响应文件的组成（格式见第四章）。</w:t>
      </w:r>
    </w:p>
    <w:p>
      <w:pPr>
        <w:spacing w:line="400" w:lineRule="exact"/>
        <w:ind w:firstLine="420"/>
        <w:rPr>
          <w:rFonts w:hint="eastAsia" w:ascii="宋体" w:hAnsi="宋体"/>
          <w:bCs/>
          <w:color w:val="000000"/>
          <w:szCs w:val="21"/>
        </w:rPr>
      </w:pPr>
      <w:r>
        <w:rPr>
          <w:rFonts w:hint="eastAsia" w:ascii="宋体" w:hAnsi="宋体"/>
          <w:color w:val="000000"/>
          <w:szCs w:val="21"/>
        </w:rPr>
        <w:t>响应文件应分为价格文件和商务技术文件两个部分组成</w:t>
      </w:r>
      <w:r>
        <w:rPr>
          <w:rFonts w:hint="eastAsia" w:ascii="宋体" w:hAnsi="宋体"/>
          <w:bCs/>
          <w:color w:val="000000"/>
          <w:szCs w:val="21"/>
        </w:rPr>
        <w:t>（以下文件应真实有效），</w:t>
      </w:r>
      <w:r>
        <w:rPr>
          <w:rFonts w:hint="eastAsia"/>
          <w:bCs/>
          <w:color w:val="000000"/>
        </w:rPr>
        <w:t>属于“必须提供”的文件均必须提交并盖章，否则，响应文件无效</w:t>
      </w:r>
      <w:r>
        <w:rPr>
          <w:rFonts w:hint="eastAsia" w:ascii="宋体" w:hAnsi="宋体"/>
          <w:bCs/>
          <w:color w:val="000000"/>
          <w:szCs w:val="21"/>
        </w:rPr>
        <w:t>。</w:t>
      </w:r>
    </w:p>
    <w:p>
      <w:pPr>
        <w:spacing w:line="400" w:lineRule="exact"/>
        <w:ind w:firstLine="420" w:firstLineChars="200"/>
        <w:rPr>
          <w:rFonts w:hint="eastAsia" w:ascii="宋体" w:hAnsi="宋体"/>
          <w:color w:val="000000"/>
          <w:szCs w:val="21"/>
        </w:rPr>
      </w:pPr>
      <w:r>
        <w:rPr>
          <w:rFonts w:hint="eastAsia" w:ascii="宋体" w:hAnsi="宋体"/>
          <w:color w:val="000000"/>
          <w:szCs w:val="21"/>
        </w:rPr>
        <w:t>5.6.1价格文件</w:t>
      </w:r>
    </w:p>
    <w:p>
      <w:pPr>
        <w:spacing w:line="400" w:lineRule="exact"/>
        <w:ind w:firstLine="422" w:firstLineChars="200"/>
        <w:rPr>
          <w:rFonts w:hint="eastAsia" w:ascii="宋体" w:hAnsi="宋体"/>
          <w:b/>
          <w:color w:val="000000"/>
          <w:szCs w:val="21"/>
        </w:rPr>
      </w:pPr>
      <w:r>
        <w:rPr>
          <w:rFonts w:hint="eastAsia" w:ascii="宋体" w:hAnsi="宋体"/>
          <w:b/>
          <w:color w:val="000000"/>
          <w:szCs w:val="21"/>
        </w:rPr>
        <w:t>供应商必须按格式填写“磋商报价表”；</w:t>
      </w:r>
    </w:p>
    <w:p>
      <w:pPr>
        <w:spacing w:line="400" w:lineRule="exact"/>
        <w:ind w:firstLine="420" w:firstLineChars="200"/>
        <w:rPr>
          <w:rFonts w:hint="eastAsia" w:ascii="宋体" w:hAnsi="宋体"/>
          <w:color w:val="000000"/>
          <w:szCs w:val="21"/>
        </w:rPr>
      </w:pPr>
      <w:r>
        <w:rPr>
          <w:rFonts w:hint="eastAsia" w:ascii="宋体" w:hAnsi="宋体"/>
          <w:color w:val="000000"/>
          <w:szCs w:val="21"/>
        </w:rPr>
        <w:t>5.6.2商务技术文件：</w:t>
      </w:r>
    </w:p>
    <w:p>
      <w:pPr>
        <w:spacing w:line="400" w:lineRule="exact"/>
        <w:ind w:firstLine="210" w:firstLineChars="100"/>
        <w:rPr>
          <w:rFonts w:ascii="宋体" w:hAnsi="宋体"/>
          <w:color w:val="000000"/>
          <w:szCs w:val="21"/>
        </w:rPr>
      </w:pPr>
      <w:r>
        <w:rPr>
          <w:rFonts w:hint="eastAsia" w:ascii="宋体" w:hAnsi="宋体"/>
          <w:color w:val="000000"/>
          <w:szCs w:val="21"/>
        </w:rPr>
        <w:t>1）供应商必须按格式填写“磋商书”及“磋商声明书”；</w:t>
      </w:r>
    </w:p>
    <w:p>
      <w:pPr>
        <w:spacing w:line="400" w:lineRule="exact"/>
        <w:ind w:left="105" w:firstLine="105" w:firstLineChars="50"/>
        <w:rPr>
          <w:rFonts w:hint="eastAsia" w:ascii="宋体" w:hAnsi="宋体"/>
          <w:color w:val="000000"/>
          <w:szCs w:val="21"/>
        </w:rPr>
      </w:pPr>
      <w:r>
        <w:rPr>
          <w:rFonts w:hint="eastAsia" w:ascii="宋体" w:hAnsi="宋体"/>
          <w:color w:val="000000"/>
          <w:szCs w:val="21"/>
        </w:rPr>
        <w:t>2）供应商提供保证金交纳凭证复印件；</w:t>
      </w:r>
    </w:p>
    <w:p>
      <w:pPr>
        <w:spacing w:line="400" w:lineRule="exact"/>
        <w:ind w:left="105" w:firstLine="105" w:firstLineChars="50"/>
        <w:rPr>
          <w:rFonts w:hint="eastAsia" w:ascii="宋体" w:hAnsi="宋体"/>
          <w:color w:val="000000"/>
          <w:szCs w:val="21"/>
        </w:rPr>
      </w:pPr>
      <w:r>
        <w:rPr>
          <w:rFonts w:hint="eastAsia" w:ascii="宋体" w:hAnsi="宋体"/>
          <w:color w:val="000000"/>
          <w:szCs w:val="21"/>
        </w:rPr>
        <w:t>3）供应商必须提供</w:t>
      </w:r>
      <w:r>
        <w:rPr>
          <w:rFonts w:hint="eastAsia" w:hAnsi="宋体"/>
          <w:bCs/>
          <w:color w:val="000000"/>
          <w:szCs w:val="21"/>
        </w:rPr>
        <w:t>有效的“营业执照”正本或副本复印件</w:t>
      </w:r>
      <w:r>
        <w:rPr>
          <w:rFonts w:hint="eastAsia" w:ascii="宋体" w:hAnsi="宋体"/>
          <w:color w:val="000000"/>
          <w:szCs w:val="21"/>
        </w:rPr>
        <w:t>（</w:t>
      </w:r>
      <w:r>
        <w:rPr>
          <w:rFonts w:hint="eastAsia" w:hAnsi="宋体"/>
          <w:bCs/>
          <w:color w:val="000000"/>
          <w:szCs w:val="21"/>
        </w:rPr>
        <w:t>必须提交</w:t>
      </w:r>
      <w:r>
        <w:rPr>
          <w:rFonts w:hint="eastAsia"/>
          <w:color w:val="000000"/>
        </w:rPr>
        <w:t>，加盖公章</w:t>
      </w:r>
      <w:r>
        <w:rPr>
          <w:rFonts w:hint="eastAsia" w:ascii="宋体" w:hAnsi="宋体"/>
          <w:color w:val="000000"/>
          <w:szCs w:val="21"/>
        </w:rPr>
        <w:t>）；</w:t>
      </w:r>
    </w:p>
    <w:p>
      <w:pPr>
        <w:spacing w:line="400" w:lineRule="exact"/>
        <w:ind w:firstLine="210" w:firstLineChars="100"/>
        <w:rPr>
          <w:rFonts w:hint="eastAsia" w:ascii="宋体" w:hAnsi="宋体"/>
          <w:color w:val="000000"/>
          <w:szCs w:val="21"/>
        </w:rPr>
      </w:pPr>
      <w:r>
        <w:rPr>
          <w:rFonts w:hint="eastAsia" w:ascii="宋体" w:hAnsi="宋体"/>
          <w:color w:val="000000"/>
          <w:szCs w:val="21"/>
        </w:rPr>
        <w:t>4）</w:t>
      </w:r>
      <w:r>
        <w:rPr>
          <w:rFonts w:hint="eastAsia" w:ascii="宋体" w:hAnsi="宋体"/>
          <w:b w:val="0"/>
          <w:bCs/>
          <w:color w:val="000000"/>
          <w:szCs w:val="21"/>
        </w:rPr>
        <w:t>供应商有效的资质证书复印件。（</w:t>
      </w:r>
      <w:r>
        <w:rPr>
          <w:rFonts w:hint="eastAsia" w:hAnsi="宋体"/>
          <w:bCs/>
          <w:color w:val="000000"/>
          <w:szCs w:val="21"/>
        </w:rPr>
        <w:t>必须提交</w:t>
      </w:r>
      <w:r>
        <w:rPr>
          <w:rFonts w:hint="eastAsia"/>
          <w:color w:val="000000"/>
        </w:rPr>
        <w:t>，加盖公章</w:t>
      </w:r>
      <w:r>
        <w:rPr>
          <w:rFonts w:hint="eastAsia" w:ascii="宋体" w:hAnsi="宋体"/>
          <w:color w:val="000000"/>
          <w:szCs w:val="21"/>
        </w:rPr>
        <w:t>）；</w:t>
      </w:r>
    </w:p>
    <w:p>
      <w:pPr>
        <w:spacing w:line="400" w:lineRule="exact"/>
        <w:ind w:firstLine="210" w:firstLineChars="100"/>
        <w:rPr>
          <w:rFonts w:hint="eastAsia" w:ascii="宋体" w:hAnsi="宋体"/>
          <w:color w:val="000000"/>
          <w:szCs w:val="21"/>
        </w:rPr>
      </w:pPr>
      <w:r>
        <w:rPr>
          <w:rFonts w:hint="eastAsia" w:ascii="宋体" w:hAnsi="宋体"/>
          <w:color w:val="000000"/>
          <w:szCs w:val="21"/>
        </w:rPr>
        <w:t>5）</w:t>
      </w:r>
      <w:r>
        <w:rPr>
          <w:rFonts w:hint="eastAsia" w:hAnsi="宋体"/>
          <w:bCs/>
          <w:color w:val="000000"/>
          <w:szCs w:val="21"/>
        </w:rPr>
        <w:t>法定代表人有效的正反面身份证复印件；（必须提交</w:t>
      </w:r>
      <w:r>
        <w:rPr>
          <w:rFonts w:hint="eastAsia"/>
          <w:color w:val="000000"/>
        </w:rPr>
        <w:t>，加盖公章</w:t>
      </w:r>
      <w:r>
        <w:rPr>
          <w:rFonts w:hint="eastAsia" w:hAnsi="宋体"/>
          <w:bCs/>
          <w:color w:val="000000"/>
          <w:szCs w:val="21"/>
        </w:rPr>
        <w:t>）</w:t>
      </w:r>
    </w:p>
    <w:p>
      <w:pPr>
        <w:spacing w:line="400" w:lineRule="exact"/>
        <w:ind w:firstLine="210" w:firstLineChars="100"/>
        <w:rPr>
          <w:rFonts w:hint="eastAsia" w:ascii="宋体" w:hAnsi="宋体"/>
          <w:color w:val="000000"/>
          <w:szCs w:val="21"/>
        </w:rPr>
      </w:pPr>
      <w:r>
        <w:rPr>
          <w:rFonts w:hint="eastAsia" w:ascii="宋体" w:hAnsi="宋体"/>
          <w:color w:val="000000"/>
          <w:szCs w:val="21"/>
        </w:rPr>
        <w:t>6）</w:t>
      </w:r>
      <w:r>
        <w:rPr>
          <w:rFonts w:hint="eastAsia" w:hAnsi="宋体" w:cs="Arial"/>
          <w:snapToGrid w:val="0"/>
          <w:color w:val="000000"/>
          <w:kern w:val="0"/>
          <w:szCs w:val="21"/>
        </w:rPr>
        <w:t>派委托人时还须提供法定代表人授权委托书复印件、委托代理人有效的身份证正反面</w:t>
      </w:r>
      <w:r>
        <w:rPr>
          <w:rFonts w:hint="eastAsia" w:hAnsi="宋体"/>
          <w:color w:val="000000"/>
          <w:szCs w:val="21"/>
        </w:rPr>
        <w:t>复印件</w:t>
      </w:r>
      <w:r>
        <w:rPr>
          <w:rFonts w:hint="eastAsia" w:hAnsi="宋体" w:cs="Arial"/>
          <w:snapToGrid w:val="0"/>
          <w:color w:val="000000"/>
          <w:kern w:val="0"/>
          <w:szCs w:val="21"/>
        </w:rPr>
        <w:t>；（委托代理时必须提供，否则将被当作资格审查不合格而取消磋商资格）；（必须提交</w:t>
      </w:r>
      <w:r>
        <w:rPr>
          <w:rFonts w:hint="eastAsia" w:hAnsi="宋体"/>
          <w:bCs/>
          <w:color w:val="000000"/>
          <w:szCs w:val="21"/>
        </w:rPr>
        <w:t>）</w:t>
      </w:r>
    </w:p>
    <w:p>
      <w:pPr>
        <w:spacing w:line="400" w:lineRule="exact"/>
        <w:ind w:firstLine="205" w:firstLineChars="98"/>
        <w:rPr>
          <w:rFonts w:hint="eastAsia" w:ascii="宋体" w:hAnsi="宋体"/>
          <w:color w:val="000000"/>
          <w:szCs w:val="21"/>
        </w:rPr>
      </w:pPr>
      <w:r>
        <w:rPr>
          <w:rFonts w:hint="eastAsia" w:ascii="宋体" w:hAnsi="宋体"/>
          <w:color w:val="000000"/>
          <w:szCs w:val="21"/>
        </w:rPr>
        <w:t>7）</w:t>
      </w:r>
      <w:r>
        <w:rPr>
          <w:rFonts w:hint="eastAsia" w:ascii="宋体" w:hAnsi="宋体"/>
          <w:color w:val="000000"/>
          <w:szCs w:val="21"/>
          <w:lang w:eastAsia="zh-CN"/>
        </w:rPr>
        <w:t>磋商供应商</w:t>
      </w:r>
      <w:r>
        <w:rPr>
          <w:rFonts w:hint="eastAsia" w:ascii="宋体" w:hAnsi="宋体"/>
          <w:color w:val="000000"/>
          <w:szCs w:val="21"/>
        </w:rPr>
        <w:t>2020年01月至2020月06月的中华人民共和国税收转账专用完税证或税务机关出具的依法缴纳税收证明复印件。（提供复印件，必须提交，否则竞标无效）</w:t>
      </w:r>
    </w:p>
    <w:p>
      <w:pPr>
        <w:spacing w:line="400" w:lineRule="exact"/>
        <w:ind w:firstLine="205" w:firstLineChars="98"/>
        <w:rPr>
          <w:rFonts w:hint="eastAsia"/>
          <w:color w:val="000000"/>
        </w:rPr>
      </w:pPr>
      <w:r>
        <w:rPr>
          <w:rFonts w:hint="eastAsia" w:ascii="宋体" w:hAnsi="宋体"/>
          <w:color w:val="000000"/>
          <w:szCs w:val="21"/>
        </w:rPr>
        <w:t>8）根据《第三章  服务需求一览表》中要求提供相关必须提供的证明材料。</w:t>
      </w:r>
    </w:p>
    <w:p>
      <w:pPr>
        <w:spacing w:line="400" w:lineRule="exact"/>
        <w:ind w:firstLine="205" w:firstLineChars="98"/>
        <w:rPr>
          <w:rFonts w:hint="eastAsia" w:ascii="宋体" w:hAnsi="宋体"/>
          <w:color w:val="000000"/>
          <w:szCs w:val="21"/>
        </w:rPr>
      </w:pPr>
      <w:r>
        <w:rPr>
          <w:rFonts w:hint="eastAsia" w:ascii="宋体" w:hAnsi="宋体" w:cs="Arial"/>
          <w:snapToGrid w:val="0"/>
          <w:color w:val="000000"/>
          <w:kern w:val="0"/>
          <w:szCs w:val="21"/>
        </w:rPr>
        <w:t>9）</w:t>
      </w:r>
      <w:r>
        <w:rPr>
          <w:rFonts w:hint="eastAsia" w:ascii="宋体" w:hAnsi="宋体"/>
          <w:color w:val="000000"/>
          <w:szCs w:val="21"/>
        </w:rPr>
        <w:t>认为必要提供的声明及文件资料。</w:t>
      </w:r>
    </w:p>
    <w:p>
      <w:pPr>
        <w:spacing w:line="400" w:lineRule="exact"/>
        <w:ind w:firstLine="205" w:firstLineChars="98"/>
        <w:rPr>
          <w:rFonts w:ascii="宋体" w:hAnsi="宋体"/>
          <w:color w:val="000000"/>
          <w:szCs w:val="21"/>
        </w:rPr>
      </w:pPr>
      <w:r>
        <w:rPr>
          <w:rFonts w:hint="eastAsia" w:ascii="宋体" w:hAnsi="宋体" w:cs="Courier New"/>
          <w:color w:val="000000"/>
          <w:szCs w:val="21"/>
        </w:rPr>
        <w:t>5.7</w:t>
      </w:r>
      <w:r>
        <w:rPr>
          <w:rFonts w:hint="eastAsia"/>
          <w:b/>
          <w:color w:val="000000"/>
        </w:rPr>
        <w:t>供应商应按竞争性磋商文件第四章“响应文件（格式）”编制响应文件。</w:t>
      </w:r>
    </w:p>
    <w:p>
      <w:pPr>
        <w:spacing w:line="400" w:lineRule="exact"/>
        <w:rPr>
          <w:rFonts w:hint="eastAsia" w:ascii="宋体" w:hAnsi="宋体"/>
          <w:b/>
          <w:color w:val="000000"/>
          <w:szCs w:val="21"/>
        </w:rPr>
      </w:pPr>
      <w:r>
        <w:rPr>
          <w:rFonts w:hint="eastAsia" w:ascii="宋体" w:hAnsi="宋体"/>
          <w:b/>
          <w:color w:val="000000"/>
          <w:szCs w:val="21"/>
        </w:rPr>
        <w:t>6. 计量单位</w:t>
      </w:r>
    </w:p>
    <w:p>
      <w:pPr>
        <w:spacing w:line="400" w:lineRule="exact"/>
        <w:ind w:left="420" w:leftChars="200"/>
        <w:rPr>
          <w:rFonts w:hint="eastAsia" w:ascii="宋体" w:hAnsi="宋体"/>
          <w:color w:val="000000"/>
          <w:szCs w:val="21"/>
        </w:rPr>
      </w:pPr>
      <w:r>
        <w:rPr>
          <w:rFonts w:hint="eastAsia" w:ascii="宋体" w:hAnsi="宋体"/>
          <w:color w:val="000000"/>
          <w:szCs w:val="21"/>
        </w:rPr>
        <w:t>除技术要求中另有规定外，本文件所要求使用的计量单位均应采用国家法定计量单位。</w:t>
      </w:r>
    </w:p>
    <w:p>
      <w:pPr>
        <w:spacing w:line="400" w:lineRule="exact"/>
        <w:rPr>
          <w:rFonts w:hint="eastAsia" w:ascii="宋体" w:hAnsi="宋体"/>
          <w:b/>
          <w:color w:val="000000"/>
          <w:szCs w:val="21"/>
        </w:rPr>
      </w:pPr>
      <w:r>
        <w:rPr>
          <w:rFonts w:hint="eastAsia" w:ascii="宋体" w:hAnsi="宋体"/>
          <w:b/>
          <w:color w:val="000000"/>
          <w:szCs w:val="21"/>
        </w:rPr>
        <w:t>三、磋商报价要求</w:t>
      </w:r>
    </w:p>
    <w:p>
      <w:pPr>
        <w:spacing w:line="400" w:lineRule="exact"/>
        <w:rPr>
          <w:rFonts w:hint="eastAsia" w:ascii="宋体" w:hAnsi="宋体"/>
          <w:b/>
          <w:color w:val="000000"/>
          <w:szCs w:val="21"/>
        </w:rPr>
      </w:pPr>
      <w:r>
        <w:rPr>
          <w:rFonts w:hint="eastAsia" w:ascii="宋体" w:hAnsi="宋体"/>
          <w:b/>
          <w:color w:val="000000"/>
          <w:szCs w:val="21"/>
        </w:rPr>
        <w:t>7. 磋商报价</w:t>
      </w:r>
    </w:p>
    <w:p>
      <w:pPr>
        <w:pStyle w:val="20"/>
        <w:spacing w:line="400" w:lineRule="exact"/>
        <w:ind w:firstLine="420"/>
        <w:rPr>
          <w:rFonts w:hint="eastAsia"/>
          <w:b/>
          <w:bCs/>
          <w:color w:val="000000"/>
        </w:rPr>
      </w:pPr>
      <w:r>
        <w:rPr>
          <w:rFonts w:hint="eastAsia" w:hAnsi="宋体"/>
          <w:b/>
          <w:bCs/>
          <w:color w:val="000000"/>
          <w:szCs w:val="21"/>
        </w:rPr>
        <w:t>7.1竞标报价包含项目服务和售后服务、税金及其他与本项目相关的所有成本费用的总和</w:t>
      </w:r>
      <w:r>
        <w:rPr>
          <w:rFonts w:hint="eastAsia"/>
          <w:b/>
          <w:bCs/>
          <w:color w:val="000000"/>
        </w:rPr>
        <w:t>。</w:t>
      </w:r>
    </w:p>
    <w:p>
      <w:pPr>
        <w:pStyle w:val="20"/>
        <w:spacing w:line="400" w:lineRule="exact"/>
        <w:ind w:firstLine="420"/>
        <w:rPr>
          <w:rFonts w:hint="eastAsia"/>
          <w:bCs/>
          <w:color w:val="000000"/>
        </w:rPr>
      </w:pPr>
      <w:r>
        <w:rPr>
          <w:rFonts w:hint="eastAsia"/>
          <w:bCs/>
          <w:color w:val="000000"/>
        </w:rPr>
        <w:t>7.2</w:t>
      </w:r>
      <w:r>
        <w:rPr>
          <w:rFonts w:hint="eastAsia"/>
          <w:bCs/>
          <w:color w:val="000000"/>
          <w:lang w:eastAsia="zh-CN"/>
        </w:rPr>
        <w:t>磋商供应商</w:t>
      </w:r>
      <w:r>
        <w:rPr>
          <w:rFonts w:hint="eastAsia"/>
          <w:bCs/>
          <w:color w:val="000000"/>
        </w:rPr>
        <w:t>应在开标一览表上标明总价和竞标总报价，在竞标报价表上标明单价和总价。如开标一览表上的竞标报价与竞标报价表上的竞标报价不符，以开标一览表的竞标报价为准；小写与大写不符的，以大写为准；单价累计之和与总价不符，以单价累计之和为准，如单价金额小数点有明显错位的，应以总价为准，并修改单价；对不同文字文本响应文件的解释发生异议的，以中文文本为准；如果</w:t>
      </w:r>
      <w:r>
        <w:rPr>
          <w:rFonts w:hint="eastAsia"/>
          <w:bCs/>
          <w:color w:val="000000"/>
          <w:lang w:eastAsia="zh-CN"/>
        </w:rPr>
        <w:t>磋商供应商</w:t>
      </w:r>
      <w:r>
        <w:rPr>
          <w:rFonts w:hint="eastAsia"/>
          <w:bCs/>
          <w:color w:val="000000"/>
        </w:rPr>
        <w:t>不接受对其错误的更正，其竞标将被拒绝。</w:t>
      </w:r>
    </w:p>
    <w:p>
      <w:pPr>
        <w:pStyle w:val="20"/>
        <w:spacing w:line="400" w:lineRule="exact"/>
        <w:ind w:firstLine="420"/>
        <w:rPr>
          <w:rFonts w:hint="eastAsia"/>
          <w:bCs/>
          <w:color w:val="000000"/>
        </w:rPr>
      </w:pPr>
      <w:r>
        <w:rPr>
          <w:rFonts w:hint="eastAsia"/>
          <w:bCs/>
          <w:color w:val="000000"/>
        </w:rPr>
        <w:t>7.3</w:t>
      </w:r>
      <w:r>
        <w:rPr>
          <w:rFonts w:hint="eastAsia"/>
          <w:bCs/>
          <w:color w:val="000000"/>
          <w:lang w:eastAsia="zh-CN"/>
        </w:rPr>
        <w:t>磋商供应商</w:t>
      </w:r>
      <w:r>
        <w:rPr>
          <w:rFonts w:hint="eastAsia"/>
          <w:bCs/>
          <w:color w:val="000000"/>
        </w:rPr>
        <w:t>必须就《服务需求一览表》中的所有内容作完整唯一报价，否则，其竞标将被拒绝，否则，其竞标将被拒绝。如果</w:t>
      </w:r>
      <w:r>
        <w:rPr>
          <w:rFonts w:hint="eastAsia"/>
          <w:bCs/>
          <w:color w:val="000000"/>
          <w:lang w:eastAsia="zh-CN"/>
        </w:rPr>
        <w:t>磋商供应商</w:t>
      </w:r>
      <w:r>
        <w:rPr>
          <w:rFonts w:hint="eastAsia"/>
          <w:bCs/>
          <w:color w:val="000000"/>
        </w:rPr>
        <w:t>所填报的服务内容与采购文件相比较有存在漏项的状况且在评标时被接受，则将被认为该遗漏项目已包含在竞标价中，成交人在服务时应严格按采购文件要求的内容完整提供服务，不得要求采购人对其漏报的服务追加支付费用。</w:t>
      </w:r>
    </w:p>
    <w:p>
      <w:pPr>
        <w:pStyle w:val="20"/>
        <w:spacing w:line="400" w:lineRule="exact"/>
        <w:rPr>
          <w:rFonts w:hint="eastAsia"/>
          <w:color w:val="000000"/>
        </w:rPr>
      </w:pPr>
      <w:r>
        <w:rPr>
          <w:rFonts w:hint="eastAsia"/>
          <w:b/>
          <w:color w:val="000000"/>
        </w:rPr>
        <w:t>8. 竞标货币</w:t>
      </w:r>
    </w:p>
    <w:p>
      <w:pPr>
        <w:widowControl/>
        <w:spacing w:line="400" w:lineRule="exact"/>
        <w:ind w:firstLine="411" w:firstLineChars="196"/>
        <w:rPr>
          <w:rFonts w:ascii="宋体" w:hAnsi="宋体"/>
          <w:color w:val="000000"/>
          <w:szCs w:val="21"/>
        </w:rPr>
      </w:pPr>
      <w:r>
        <w:rPr>
          <w:rFonts w:hint="eastAsia" w:ascii="宋体" w:hAnsi="宋体"/>
          <w:color w:val="000000"/>
          <w:szCs w:val="21"/>
        </w:rPr>
        <w:t>8.1竞标应以人民币报价。</w:t>
      </w:r>
    </w:p>
    <w:p>
      <w:pPr>
        <w:spacing w:line="400" w:lineRule="exact"/>
        <w:rPr>
          <w:rFonts w:hint="eastAsia" w:ascii="宋体" w:hAnsi="宋体"/>
          <w:b/>
          <w:color w:val="000000"/>
          <w:szCs w:val="21"/>
        </w:rPr>
      </w:pPr>
      <w:r>
        <w:rPr>
          <w:rFonts w:hint="eastAsia" w:ascii="宋体" w:hAnsi="宋体"/>
          <w:b/>
          <w:color w:val="000000"/>
          <w:szCs w:val="21"/>
        </w:rPr>
        <w:t>四、响应文件的份数、装订、封装、签署和递交</w:t>
      </w:r>
    </w:p>
    <w:p>
      <w:pPr>
        <w:spacing w:line="400" w:lineRule="exact"/>
        <w:ind w:left="420" w:hanging="420"/>
        <w:rPr>
          <w:rFonts w:ascii="宋体" w:hAnsi="宋体"/>
          <w:b/>
          <w:color w:val="000000"/>
          <w:szCs w:val="21"/>
        </w:rPr>
      </w:pPr>
      <w:r>
        <w:rPr>
          <w:rFonts w:hint="eastAsia" w:ascii="宋体" w:hAnsi="宋体"/>
          <w:b/>
          <w:color w:val="000000"/>
          <w:szCs w:val="21"/>
        </w:rPr>
        <w:t>9. 响应文件的份数、装订、封装、签署</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9.1响应文件份数：正本壹册，副本肆册，须胶装并完整提交。</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9.2供应商应将响应文件(价格文件、商务技术文件两部份内容按顺序装订成册)，响应文件的封面应注明“正本”、“副本”字样；若响应文件过厚无法装订成壹册的，供应商可进行分装，但须相应标注清楚。</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9.3响应文件的信封上应写明：</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1）竞争性磋商项目编号；</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2）竞争性磋商项目名称；</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3）供应商名称。</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9.4 响应文件的正本需打印或用不褪色的墨水填写，响应文件正本除本竞争性磋商文件中规定的可提供复印件外均须提供原件，副本可以为正本的复印件，一旦正本和副本不符，以正本为准。</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9.5响应文件须由供应商在规定位置盖供应商章并由法定代表人或被授权人签署，供应商应写全称。</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9.6响应文件不得涂改，若有修改错漏处，须加盖供应商章及法定代表人签字；响应文件因字迹潦草或表达不清所引起的后果由供应商负责。</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9.7</w:t>
      </w:r>
      <w:r>
        <w:rPr>
          <w:rFonts w:ascii="宋体" w:hAnsi="宋体"/>
          <w:color w:val="000000"/>
          <w:szCs w:val="21"/>
        </w:rPr>
        <w:t>本文件中描述</w:t>
      </w:r>
      <w:r>
        <w:rPr>
          <w:rFonts w:hint="eastAsia" w:ascii="宋体" w:hAnsi="宋体"/>
          <w:color w:val="000000"/>
          <w:szCs w:val="21"/>
        </w:rPr>
        <w:t>供应商</w:t>
      </w:r>
      <w:r>
        <w:rPr>
          <w:rFonts w:ascii="宋体" w:hAnsi="宋体"/>
          <w:color w:val="000000"/>
          <w:szCs w:val="21"/>
        </w:rPr>
        <w:t>的“</w:t>
      </w:r>
      <w:r>
        <w:rPr>
          <w:rFonts w:hint="eastAsia" w:ascii="宋体" w:hAnsi="宋体"/>
          <w:color w:val="000000"/>
          <w:szCs w:val="21"/>
        </w:rPr>
        <w:t>签字</w:t>
      </w:r>
      <w:r>
        <w:rPr>
          <w:rFonts w:ascii="宋体" w:hAnsi="宋体"/>
          <w:color w:val="000000"/>
          <w:szCs w:val="21"/>
        </w:rPr>
        <w:t>”是指</w:t>
      </w:r>
      <w:r>
        <w:rPr>
          <w:rFonts w:hint="eastAsia" w:ascii="宋体" w:hAnsi="宋体"/>
          <w:color w:val="000000"/>
          <w:szCs w:val="21"/>
        </w:rPr>
        <w:t>供应商的法定代表人或被授权人亲自在文件规定签署处亲笔写上个人的名字的行为，私章、签字章、印鉴、影印等其它形式</w:t>
      </w:r>
      <w:r>
        <w:rPr>
          <w:rFonts w:ascii="宋体" w:hAnsi="宋体"/>
          <w:color w:val="000000"/>
          <w:szCs w:val="21"/>
        </w:rPr>
        <w:t>均不能代替</w:t>
      </w:r>
      <w:r>
        <w:rPr>
          <w:rFonts w:hint="eastAsia" w:ascii="宋体" w:hAnsi="宋体"/>
          <w:color w:val="000000"/>
          <w:szCs w:val="21"/>
        </w:rPr>
        <w:t>亲笔签字</w:t>
      </w:r>
      <w:r>
        <w:rPr>
          <w:rFonts w:ascii="宋体" w:hAnsi="宋体"/>
          <w:color w:val="000000"/>
          <w:szCs w:val="21"/>
        </w:rPr>
        <w:t>。</w:t>
      </w:r>
    </w:p>
    <w:p>
      <w:pPr>
        <w:spacing w:line="400" w:lineRule="exact"/>
        <w:ind w:left="420" w:hanging="420"/>
        <w:rPr>
          <w:rFonts w:hint="eastAsia" w:ascii="宋体" w:hAnsi="宋体"/>
          <w:bCs/>
          <w:color w:val="000000"/>
          <w:szCs w:val="21"/>
        </w:rPr>
      </w:pPr>
      <w:r>
        <w:rPr>
          <w:rFonts w:hint="eastAsia" w:ascii="宋体" w:hAnsi="宋体"/>
          <w:bCs/>
          <w:color w:val="000000"/>
          <w:szCs w:val="21"/>
        </w:rPr>
        <w:t>10. 响应文件有效期</w:t>
      </w:r>
    </w:p>
    <w:p>
      <w:pPr>
        <w:widowControl/>
        <w:spacing w:line="400" w:lineRule="exact"/>
        <w:ind w:firstLine="411" w:firstLineChars="196"/>
        <w:rPr>
          <w:rFonts w:ascii="宋体" w:hAnsi="宋体"/>
          <w:color w:val="000000"/>
          <w:szCs w:val="21"/>
        </w:rPr>
      </w:pPr>
      <w:r>
        <w:rPr>
          <w:rFonts w:hint="eastAsia" w:ascii="宋体" w:hAnsi="宋体"/>
          <w:color w:val="000000"/>
          <w:szCs w:val="21"/>
        </w:rPr>
        <w:t>10.1响应文件有效期：</w:t>
      </w:r>
      <w:bookmarkStart w:id="15" w:name="OLE_LINK13"/>
      <w:r>
        <w:rPr>
          <w:rFonts w:hint="eastAsia" w:ascii="宋体" w:hAnsi="宋体"/>
          <w:color w:val="000000"/>
          <w:szCs w:val="21"/>
        </w:rPr>
        <w:t>详见供应商须知前附表</w:t>
      </w:r>
      <w:bookmarkEnd w:id="15"/>
      <w:r>
        <w:rPr>
          <w:rFonts w:hint="eastAsia" w:ascii="宋体" w:hAnsi="宋体"/>
          <w:color w:val="000000"/>
          <w:szCs w:val="21"/>
        </w:rPr>
        <w:t>。</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10.1.1未成交的响应文件有效期内均应保持有效。</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10.1.2成交供应商的响应文件自递交截止之日起至合同履行完毕止均应保持有效。</w:t>
      </w:r>
    </w:p>
    <w:p>
      <w:pPr>
        <w:spacing w:line="400" w:lineRule="exact"/>
        <w:ind w:left="420" w:hanging="420"/>
        <w:rPr>
          <w:rFonts w:ascii="宋体" w:hAnsi="宋体"/>
          <w:b/>
          <w:color w:val="000000"/>
          <w:szCs w:val="21"/>
        </w:rPr>
      </w:pPr>
      <w:r>
        <w:rPr>
          <w:rFonts w:hint="eastAsia" w:ascii="宋体" w:hAnsi="宋体"/>
          <w:b/>
          <w:color w:val="000000"/>
          <w:szCs w:val="21"/>
        </w:rPr>
        <w:t>11. 保证金</w:t>
      </w:r>
    </w:p>
    <w:p>
      <w:pPr>
        <w:widowControl/>
        <w:spacing w:line="400" w:lineRule="exact"/>
        <w:ind w:firstLine="411" w:firstLineChars="196"/>
        <w:rPr>
          <w:rFonts w:ascii="宋体" w:hAnsi="宋体"/>
          <w:color w:val="000000"/>
          <w:szCs w:val="21"/>
        </w:rPr>
      </w:pPr>
      <w:r>
        <w:rPr>
          <w:rFonts w:hint="eastAsia" w:ascii="宋体" w:hAnsi="宋体"/>
          <w:color w:val="000000"/>
          <w:szCs w:val="21"/>
        </w:rPr>
        <w:t>11.1保证金金额（人民币）：详见供应商须知前附表。保证金应在响应文件有效期内保持有效。</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11.2保证金交纳方式：详见供应商须知前附表。</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注：供应商应按上述要求交纳保证金，并自行考虑到账时间，妥善安排保证金交纳工作，确保按时到账。</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11.3除法律规定不予退还保证金的情形外，保证金的退还均以转账形式退回到供应商银行账户。</w:t>
      </w:r>
    </w:p>
    <w:p>
      <w:pPr>
        <w:widowControl/>
        <w:spacing w:line="400" w:lineRule="exact"/>
        <w:ind w:firstLine="411" w:firstLineChars="196"/>
        <w:rPr>
          <w:rFonts w:ascii="宋体" w:hAnsi="宋体"/>
          <w:color w:val="000000"/>
          <w:szCs w:val="21"/>
        </w:rPr>
      </w:pPr>
      <w:r>
        <w:rPr>
          <w:rFonts w:hint="eastAsia" w:ascii="宋体" w:hAnsi="宋体"/>
          <w:color w:val="000000"/>
          <w:szCs w:val="21"/>
        </w:rPr>
        <w:t>11.3.1对未成交供应商交纳的磋商保证金应当于成交通知书发出之日起5个工作日之内退款，不计息。</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 xml:space="preserve">11.3.2对成交供应商交纳的磋商保证金应当于合同签订之日起，成交供应商将合同复印件提供给招标代理机构，符合条件的将在收到合同复印件之日算起5个工作日内退还，不计息。 </w:t>
      </w:r>
    </w:p>
    <w:p>
      <w:pPr>
        <w:spacing w:line="400" w:lineRule="exact"/>
        <w:ind w:left="420" w:hanging="420"/>
        <w:rPr>
          <w:rFonts w:ascii="宋体" w:hAnsi="宋体"/>
          <w:b/>
          <w:color w:val="000000"/>
          <w:szCs w:val="21"/>
        </w:rPr>
      </w:pPr>
      <w:r>
        <w:rPr>
          <w:rFonts w:hint="eastAsia" w:ascii="宋体" w:hAnsi="宋体"/>
          <w:b/>
          <w:color w:val="000000"/>
          <w:szCs w:val="21"/>
        </w:rPr>
        <w:t>12. 响应文件的递交</w:t>
      </w:r>
    </w:p>
    <w:p>
      <w:pPr>
        <w:widowControl/>
        <w:spacing w:line="400" w:lineRule="exact"/>
        <w:ind w:firstLine="411" w:firstLineChars="196"/>
        <w:rPr>
          <w:rFonts w:ascii="宋体" w:hAnsi="宋体"/>
          <w:color w:val="000000"/>
          <w:szCs w:val="21"/>
        </w:rPr>
      </w:pPr>
      <w:r>
        <w:rPr>
          <w:rFonts w:hint="eastAsia" w:ascii="宋体" w:hAnsi="宋体"/>
          <w:color w:val="000000"/>
          <w:szCs w:val="21"/>
        </w:rPr>
        <w:t>12.1响应文件递交截止时间和地点：详见供应商须知前附表，逾期送达的将予以拒收。</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12.2迟交的响应文件：参照《中华人民共和国政府采购法》的规定，</w:t>
      </w:r>
      <w:r>
        <w:rPr>
          <w:rFonts w:ascii="宋体" w:hAnsi="宋体"/>
          <w:color w:val="000000"/>
          <w:szCs w:val="21"/>
        </w:rPr>
        <w:t>逾期送达的的</w:t>
      </w:r>
      <w:r>
        <w:rPr>
          <w:rFonts w:hint="eastAsia" w:ascii="宋体" w:hAnsi="宋体"/>
          <w:color w:val="000000"/>
          <w:szCs w:val="21"/>
        </w:rPr>
        <w:t>响应</w:t>
      </w:r>
      <w:r>
        <w:rPr>
          <w:rFonts w:ascii="宋体" w:hAnsi="宋体"/>
          <w:color w:val="000000"/>
          <w:szCs w:val="21"/>
        </w:rPr>
        <w:t>文件，</w:t>
      </w:r>
      <w:r>
        <w:rPr>
          <w:rFonts w:hint="eastAsia" w:ascii="宋体" w:hAnsi="宋体"/>
          <w:color w:val="000000"/>
          <w:szCs w:val="21"/>
        </w:rPr>
        <w:t>采购代理机构拒绝接收</w:t>
      </w:r>
      <w:r>
        <w:rPr>
          <w:rFonts w:ascii="宋体" w:hAnsi="宋体"/>
          <w:color w:val="000000"/>
          <w:szCs w:val="21"/>
        </w:rPr>
        <w:t>。</w:t>
      </w:r>
    </w:p>
    <w:p>
      <w:pPr>
        <w:spacing w:line="400" w:lineRule="exact"/>
        <w:rPr>
          <w:rFonts w:hint="eastAsia" w:ascii="宋体" w:hAnsi="宋体"/>
          <w:b/>
          <w:color w:val="000000"/>
          <w:szCs w:val="21"/>
        </w:rPr>
      </w:pPr>
      <w:r>
        <w:rPr>
          <w:rFonts w:hint="eastAsia" w:ascii="宋体" w:hAnsi="宋体"/>
          <w:b/>
          <w:color w:val="000000"/>
          <w:szCs w:val="21"/>
        </w:rPr>
        <w:t>五、磋商小组成立</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13.1竞争性磋商小组成立：磋商小组由评审专家</w:t>
      </w:r>
      <w:r>
        <w:rPr>
          <w:rFonts w:ascii="宋体" w:hAnsi="宋体"/>
          <w:color w:val="000000"/>
          <w:szCs w:val="21"/>
        </w:rPr>
        <w:t>3</w:t>
      </w:r>
      <w:r>
        <w:rPr>
          <w:rFonts w:hint="eastAsia" w:ascii="宋体" w:hAnsi="宋体"/>
          <w:color w:val="000000"/>
          <w:szCs w:val="21"/>
        </w:rPr>
        <w:t>人以上单数组成。采购人代表不得以评审专家身份参加本部门或本单位采购项目的评审。采购代理机构人员不得参加本机构代理的采购项目的评审。</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评审专家于评审前由采购单位及监督管理部门从政府采购专家库中通过随机抽取。采用竞争性磋商方式的采购项目，评审专家应当从政府采购评审专家库内相关专业的专家名单中随机抽取。符合本办法第三条第四项规定情形的项目，以及情况特殊、通过随机方式难以确定合适的评审专家的项目，经主管预算单位同意，可以自行选定评审专家。技术复杂、专业性强的采购项目，评审专家中应当包含</w:t>
      </w:r>
      <w:r>
        <w:rPr>
          <w:rFonts w:ascii="宋体" w:hAnsi="宋体"/>
          <w:color w:val="000000"/>
          <w:szCs w:val="21"/>
        </w:rPr>
        <w:t>1</w:t>
      </w:r>
      <w:r>
        <w:rPr>
          <w:rFonts w:hint="eastAsia" w:ascii="宋体" w:hAnsi="宋体"/>
          <w:color w:val="000000"/>
          <w:szCs w:val="21"/>
        </w:rPr>
        <w:t>名法律专家。</w:t>
      </w:r>
    </w:p>
    <w:p>
      <w:pPr>
        <w:widowControl/>
        <w:spacing w:line="400" w:lineRule="exact"/>
        <w:ind w:firstLine="411" w:firstLineChars="196"/>
        <w:rPr>
          <w:rFonts w:hint="eastAsia" w:ascii="宋体" w:hAnsi="宋体"/>
          <w:color w:val="000000"/>
          <w:szCs w:val="21"/>
        </w:rPr>
      </w:pPr>
      <w:r>
        <w:rPr>
          <w:rFonts w:hint="eastAsia" w:ascii="宋体" w:hAnsi="宋体"/>
          <w:color w:val="000000"/>
          <w:szCs w:val="21"/>
        </w:rPr>
        <w:t>13.2竞争性磋商小组在采购活动过程中应当履行下列职责：</w:t>
      </w:r>
    </w:p>
    <w:p>
      <w:pPr>
        <w:spacing w:line="400" w:lineRule="exact"/>
        <w:ind w:left="420"/>
        <w:rPr>
          <w:rFonts w:hint="eastAsia" w:ascii="宋体" w:hAnsi="宋体"/>
          <w:color w:val="000000"/>
          <w:szCs w:val="21"/>
        </w:rPr>
      </w:pPr>
      <w:r>
        <w:rPr>
          <w:rFonts w:hint="eastAsia"/>
          <w:color w:val="000000"/>
          <w:szCs w:val="21"/>
        </w:rPr>
        <w:t>1）确</w:t>
      </w:r>
      <w:r>
        <w:rPr>
          <w:rFonts w:hint="eastAsia" w:ascii="宋体" w:hAnsi="宋体"/>
          <w:color w:val="000000"/>
          <w:szCs w:val="21"/>
        </w:rPr>
        <w:t xml:space="preserve">认磋商文件； </w:t>
      </w:r>
    </w:p>
    <w:p>
      <w:pPr>
        <w:spacing w:line="400" w:lineRule="exact"/>
        <w:ind w:left="420"/>
        <w:rPr>
          <w:rFonts w:hint="eastAsia" w:ascii="宋体" w:hAnsi="宋体"/>
          <w:color w:val="000000"/>
          <w:szCs w:val="21"/>
        </w:rPr>
      </w:pPr>
      <w:r>
        <w:rPr>
          <w:rFonts w:hint="eastAsia" w:ascii="宋体" w:hAnsi="宋体"/>
          <w:color w:val="000000"/>
          <w:szCs w:val="21"/>
        </w:rPr>
        <w:t>2）从符合相应资格条件的供应商名单中确定不少于3家的供应商参加磋商；</w:t>
      </w:r>
    </w:p>
    <w:p>
      <w:pPr>
        <w:spacing w:line="400" w:lineRule="exact"/>
        <w:ind w:left="420"/>
        <w:rPr>
          <w:rFonts w:hint="eastAsia" w:ascii="宋体" w:hAnsi="宋体"/>
          <w:color w:val="000000"/>
          <w:szCs w:val="21"/>
        </w:rPr>
      </w:pPr>
      <w:r>
        <w:rPr>
          <w:rFonts w:hint="eastAsia" w:ascii="宋体" w:hAnsi="宋体"/>
          <w:color w:val="000000"/>
          <w:szCs w:val="21"/>
        </w:rPr>
        <w:t>3）审查供应商的响应文件并作出评价；</w:t>
      </w:r>
    </w:p>
    <w:p>
      <w:pPr>
        <w:spacing w:line="400" w:lineRule="exact"/>
        <w:ind w:left="420"/>
        <w:rPr>
          <w:rFonts w:hint="eastAsia" w:ascii="宋体" w:hAnsi="宋体"/>
          <w:color w:val="000000"/>
          <w:szCs w:val="21"/>
        </w:rPr>
      </w:pPr>
      <w:r>
        <w:rPr>
          <w:rFonts w:hint="eastAsia" w:ascii="宋体" w:hAnsi="宋体"/>
          <w:color w:val="000000"/>
          <w:szCs w:val="21"/>
        </w:rPr>
        <w:t>4）要求供应商解释或者澄清其响应文件；</w:t>
      </w:r>
    </w:p>
    <w:p>
      <w:pPr>
        <w:spacing w:line="400" w:lineRule="exact"/>
        <w:ind w:left="420"/>
        <w:rPr>
          <w:rFonts w:hint="eastAsia" w:ascii="宋体" w:hAnsi="宋体"/>
          <w:color w:val="000000"/>
          <w:szCs w:val="21"/>
        </w:rPr>
      </w:pPr>
      <w:r>
        <w:rPr>
          <w:rFonts w:hint="eastAsia" w:ascii="宋体" w:hAnsi="宋体"/>
          <w:color w:val="000000"/>
          <w:szCs w:val="21"/>
        </w:rPr>
        <w:t xml:space="preserve">5）编写评审报告； </w:t>
      </w:r>
    </w:p>
    <w:p>
      <w:pPr>
        <w:spacing w:line="400" w:lineRule="exact"/>
        <w:ind w:left="420"/>
        <w:rPr>
          <w:rFonts w:hint="eastAsia" w:ascii="宋体" w:hAnsi="宋体"/>
          <w:color w:val="000000"/>
          <w:szCs w:val="21"/>
        </w:rPr>
      </w:pPr>
      <w:r>
        <w:rPr>
          <w:rFonts w:hint="eastAsia" w:ascii="宋体" w:hAnsi="宋体"/>
          <w:color w:val="000000"/>
          <w:szCs w:val="21"/>
        </w:rPr>
        <w:t>6）告知采购人、采购代理机构在评审过程中发现的供应商的违法违规行为。</w:t>
      </w:r>
    </w:p>
    <w:p>
      <w:pPr>
        <w:spacing w:line="400" w:lineRule="exact"/>
        <w:ind w:left="420"/>
        <w:rPr>
          <w:rFonts w:hint="eastAsia" w:ascii="宋体" w:hAnsi="宋体"/>
          <w:color w:val="000000"/>
          <w:szCs w:val="21"/>
        </w:rPr>
      </w:pPr>
      <w:r>
        <w:rPr>
          <w:rFonts w:hint="eastAsia" w:ascii="宋体" w:hAnsi="宋体"/>
          <w:color w:val="000000"/>
          <w:szCs w:val="21"/>
        </w:rPr>
        <w:t>12.3</w:t>
      </w:r>
      <w:r>
        <w:rPr>
          <w:rFonts w:hint="eastAsia"/>
          <w:color w:val="000000"/>
          <w:szCs w:val="21"/>
        </w:rPr>
        <w:t>竞争性磋商</w:t>
      </w:r>
      <w:r>
        <w:rPr>
          <w:rFonts w:hint="eastAsia" w:ascii="宋体" w:hAnsi="宋体"/>
          <w:color w:val="000000"/>
          <w:szCs w:val="21"/>
        </w:rPr>
        <w:t>小组成员应当履行下列义务：</w:t>
      </w:r>
    </w:p>
    <w:p>
      <w:pPr>
        <w:spacing w:line="400" w:lineRule="exact"/>
        <w:ind w:left="420"/>
        <w:rPr>
          <w:rFonts w:hint="eastAsia" w:ascii="宋体" w:hAnsi="宋体"/>
          <w:color w:val="000000"/>
          <w:szCs w:val="21"/>
        </w:rPr>
      </w:pPr>
      <w:r>
        <w:rPr>
          <w:rFonts w:hint="eastAsia" w:ascii="宋体" w:hAnsi="宋体"/>
          <w:color w:val="000000"/>
          <w:szCs w:val="21"/>
        </w:rPr>
        <w:t>1）遵纪守法，客观、公正、廉洁地履行职责；</w:t>
      </w:r>
    </w:p>
    <w:p>
      <w:pPr>
        <w:spacing w:line="400" w:lineRule="exact"/>
        <w:ind w:left="420"/>
        <w:rPr>
          <w:rFonts w:hint="eastAsia" w:ascii="宋体" w:hAnsi="宋体"/>
          <w:color w:val="000000"/>
          <w:szCs w:val="21"/>
        </w:rPr>
      </w:pPr>
      <w:r>
        <w:rPr>
          <w:rFonts w:hint="eastAsia" w:ascii="宋体" w:hAnsi="宋体"/>
          <w:color w:val="000000"/>
          <w:szCs w:val="21"/>
        </w:rPr>
        <w:t>2）根据采购文件的规定独立进行评审，对个人的评审意见承担法律责任；</w:t>
      </w:r>
    </w:p>
    <w:p>
      <w:pPr>
        <w:spacing w:line="400" w:lineRule="exact"/>
        <w:ind w:left="420"/>
        <w:rPr>
          <w:rFonts w:hint="eastAsia" w:ascii="宋体" w:hAnsi="宋体"/>
          <w:color w:val="000000"/>
          <w:szCs w:val="21"/>
        </w:rPr>
      </w:pPr>
      <w:r>
        <w:rPr>
          <w:rFonts w:hint="eastAsia" w:ascii="宋体" w:hAnsi="宋体"/>
          <w:color w:val="000000"/>
          <w:szCs w:val="21"/>
        </w:rPr>
        <w:t>3）参与评审报告的起草；</w:t>
      </w:r>
    </w:p>
    <w:p>
      <w:pPr>
        <w:spacing w:line="400" w:lineRule="exact"/>
        <w:ind w:left="420"/>
        <w:rPr>
          <w:rFonts w:hint="eastAsia" w:ascii="宋体" w:hAnsi="宋体"/>
          <w:color w:val="000000"/>
          <w:szCs w:val="21"/>
        </w:rPr>
      </w:pPr>
      <w:r>
        <w:rPr>
          <w:rFonts w:hint="eastAsia" w:ascii="宋体" w:hAnsi="宋体"/>
          <w:color w:val="000000"/>
          <w:szCs w:val="21"/>
        </w:rPr>
        <w:t>4）配合采购人、采购代理机构答复供应商提出的质疑；</w:t>
      </w:r>
    </w:p>
    <w:p>
      <w:pPr>
        <w:spacing w:line="400" w:lineRule="exact"/>
        <w:ind w:left="420"/>
        <w:rPr>
          <w:rFonts w:hint="eastAsia"/>
          <w:color w:val="000000"/>
          <w:szCs w:val="21"/>
        </w:rPr>
      </w:pPr>
      <w:r>
        <w:rPr>
          <w:rFonts w:hint="eastAsia" w:ascii="宋体" w:hAnsi="宋体"/>
          <w:color w:val="000000"/>
          <w:szCs w:val="21"/>
        </w:rPr>
        <w:t>5）配合财</w:t>
      </w:r>
      <w:r>
        <w:rPr>
          <w:rFonts w:hint="eastAsia"/>
          <w:color w:val="000000"/>
          <w:szCs w:val="21"/>
        </w:rPr>
        <w:t>政部门的投诉处理和监督检查工作。</w:t>
      </w:r>
    </w:p>
    <w:p>
      <w:pPr>
        <w:tabs>
          <w:tab w:val="left" w:pos="1155"/>
        </w:tabs>
        <w:spacing w:line="400" w:lineRule="exact"/>
        <w:rPr>
          <w:rFonts w:hint="eastAsia" w:ascii="宋体" w:hAnsi="宋体"/>
          <w:b/>
          <w:color w:val="000000"/>
          <w:szCs w:val="21"/>
        </w:rPr>
      </w:pPr>
      <w:r>
        <w:rPr>
          <w:rFonts w:hint="eastAsia" w:ascii="宋体" w:hAnsi="宋体"/>
          <w:b/>
          <w:color w:val="000000"/>
          <w:szCs w:val="21"/>
        </w:rPr>
        <w:t>六、响应文件评审程序</w:t>
      </w:r>
      <w:r>
        <w:rPr>
          <w:rFonts w:ascii="宋体" w:hAnsi="宋体"/>
          <w:b/>
          <w:color w:val="000000"/>
          <w:szCs w:val="21"/>
        </w:rPr>
        <w:tab/>
      </w:r>
    </w:p>
    <w:p>
      <w:pPr>
        <w:spacing w:line="400" w:lineRule="exact"/>
        <w:ind w:firstLine="420" w:firstLineChars="200"/>
        <w:rPr>
          <w:rFonts w:hint="eastAsia" w:ascii="宋体" w:hAnsi="宋体"/>
          <w:color w:val="000000"/>
          <w:szCs w:val="21"/>
        </w:rPr>
      </w:pPr>
      <w:r>
        <w:rPr>
          <w:rFonts w:hint="eastAsia" w:ascii="宋体" w:hAnsi="宋体" w:cs="宋体"/>
          <w:color w:val="000000"/>
          <w:kern w:val="0"/>
          <w:szCs w:val="21"/>
        </w:rPr>
        <w:t>14.1</w:t>
      </w:r>
      <w:r>
        <w:rPr>
          <w:rFonts w:hint="eastAsia" w:ascii="宋体" w:hAnsi="宋体"/>
          <w:b/>
          <w:color w:val="000000"/>
        </w:rPr>
        <w:t>响应文件开启时间、磋商时间及地点</w:t>
      </w:r>
      <w:r>
        <w:rPr>
          <w:rFonts w:hint="eastAsia" w:ascii="宋体" w:hAnsi="宋体"/>
          <w:color w:val="000000"/>
        </w:rPr>
        <w:t>：响应文件递交截止时间后为开启响应文件及与供应商磋商时间，具体时间由采购代理机构另行通知。</w:t>
      </w:r>
      <w:r>
        <w:rPr>
          <w:rFonts w:hint="eastAsia" w:ascii="宋体" w:hAnsi="宋体"/>
          <w:b w:val="0"/>
          <w:bCs/>
          <w:color w:val="000000"/>
          <w:u w:val="none"/>
        </w:rPr>
        <w:t>地点：</w:t>
      </w:r>
      <w:r>
        <w:rPr>
          <w:rFonts w:hint="eastAsia"/>
          <w:b w:val="0"/>
          <w:bCs/>
          <w:color w:val="000000"/>
          <w:u w:val="none"/>
        </w:rPr>
        <w:t>详见供应商须知前附表</w:t>
      </w:r>
      <w:r>
        <w:rPr>
          <w:rFonts w:hint="eastAsia" w:ascii="宋体" w:hAnsi="宋体"/>
          <w:color w:val="000000"/>
        </w:rPr>
        <w:t>，</w:t>
      </w:r>
      <w:r>
        <w:rPr>
          <w:rFonts w:hint="eastAsia" w:ascii="宋体" w:hAnsi="宋体"/>
          <w:color w:val="000000"/>
          <w:szCs w:val="21"/>
        </w:rPr>
        <w:t>参加磋商的法定代表人或相应的被授权人必须持有效证件（法定代表人凭身份证或相应的被授权人凭授权委托书原件和身份证）依时到达指定地点等候当面</w:t>
      </w:r>
      <w:r>
        <w:rPr>
          <w:rFonts w:hint="eastAsia" w:ascii="宋体" w:hAnsi="宋体"/>
          <w:color w:val="000000"/>
        </w:rPr>
        <w:t>磋商</w:t>
      </w:r>
      <w:r>
        <w:rPr>
          <w:rFonts w:hint="eastAsia" w:ascii="宋体" w:hAnsi="宋体"/>
          <w:color w:val="000000"/>
          <w:szCs w:val="21"/>
        </w:rPr>
        <w:t>。</w:t>
      </w:r>
    </w:p>
    <w:p>
      <w:pPr>
        <w:spacing w:line="400" w:lineRule="exact"/>
        <w:ind w:firstLine="420" w:firstLineChars="200"/>
        <w:rPr>
          <w:rFonts w:hint="eastAsia" w:ascii="宋体" w:hAnsi="宋体"/>
          <w:color w:val="000000"/>
          <w:szCs w:val="21"/>
        </w:rPr>
      </w:pPr>
      <w:r>
        <w:rPr>
          <w:rFonts w:hint="eastAsia" w:ascii="宋体" w:hAnsi="宋体"/>
          <w:color w:val="000000"/>
          <w:szCs w:val="21"/>
        </w:rPr>
        <w:t>14.2</w:t>
      </w:r>
      <w:r>
        <w:rPr>
          <w:rFonts w:ascii="宋体" w:hAnsi="宋体"/>
          <w:color w:val="000000"/>
          <w:szCs w:val="21"/>
        </w:rPr>
        <w:t>磋商小组</w:t>
      </w:r>
      <w:r>
        <w:rPr>
          <w:rFonts w:hint="eastAsia" w:ascii="宋体" w:hAnsi="宋体"/>
          <w:color w:val="000000"/>
          <w:szCs w:val="21"/>
        </w:rPr>
        <w:t>确认竞争性磋商文件。</w:t>
      </w:r>
    </w:p>
    <w:p>
      <w:pPr>
        <w:spacing w:line="400" w:lineRule="exact"/>
        <w:ind w:firstLine="420" w:firstLineChars="200"/>
        <w:rPr>
          <w:rFonts w:hint="eastAsia" w:ascii="宋体" w:hAnsi="宋体"/>
          <w:color w:val="000000"/>
          <w:szCs w:val="21"/>
        </w:rPr>
      </w:pPr>
      <w:r>
        <w:rPr>
          <w:rFonts w:hint="eastAsia" w:ascii="宋体" w:hAnsi="宋体"/>
          <w:color w:val="000000"/>
          <w:szCs w:val="21"/>
        </w:rPr>
        <w:t>14.3</w:t>
      </w:r>
      <w:r>
        <w:rPr>
          <w:rFonts w:ascii="宋体" w:hAnsi="宋体"/>
          <w:color w:val="000000"/>
          <w:szCs w:val="21"/>
        </w:rPr>
        <w:t>磋商小组对响应文件进行评审，</w:t>
      </w:r>
      <w:r>
        <w:rPr>
          <w:rFonts w:hint="eastAsia" w:ascii="宋体" w:hAnsi="宋体"/>
          <w:color w:val="000000"/>
          <w:szCs w:val="21"/>
        </w:rPr>
        <w:t>并根据竞争性磋商文件规定的程序、评定成交标准等事项与实质性响应竞争性磋商文件要求的供应商进行磋商</w:t>
      </w:r>
      <w:r>
        <w:rPr>
          <w:rFonts w:ascii="宋体" w:hAnsi="宋体"/>
          <w:color w:val="000000"/>
          <w:szCs w:val="21"/>
        </w:rPr>
        <w:t>。</w:t>
      </w:r>
    </w:p>
    <w:p>
      <w:pPr>
        <w:spacing w:line="400" w:lineRule="exact"/>
        <w:ind w:firstLine="420" w:firstLineChars="200"/>
        <w:rPr>
          <w:rFonts w:hint="eastAsia" w:ascii="宋体" w:hAnsi="宋体"/>
          <w:color w:val="000000"/>
          <w:szCs w:val="21"/>
        </w:rPr>
      </w:pPr>
      <w:r>
        <w:rPr>
          <w:rFonts w:hint="eastAsia" w:ascii="宋体" w:hAnsi="宋体"/>
          <w:color w:val="000000"/>
          <w:szCs w:val="21"/>
        </w:rPr>
        <w:t>14.3.1</w:t>
      </w:r>
      <w:r>
        <w:rPr>
          <w:rFonts w:ascii="宋体" w:hAnsi="宋体"/>
          <w:color w:val="000000"/>
          <w:szCs w:val="21"/>
        </w:rPr>
        <w:t>资格条件</w:t>
      </w:r>
      <w:r>
        <w:rPr>
          <w:rFonts w:hint="eastAsia" w:ascii="宋体" w:hAnsi="宋体"/>
          <w:color w:val="000000"/>
          <w:szCs w:val="21"/>
        </w:rPr>
        <w:t>不符合</w:t>
      </w:r>
      <w:r>
        <w:rPr>
          <w:rFonts w:ascii="宋体" w:hAnsi="宋体"/>
          <w:color w:val="000000"/>
          <w:szCs w:val="21"/>
        </w:rPr>
        <w:t>的供应商</w:t>
      </w:r>
      <w:r>
        <w:rPr>
          <w:rFonts w:hint="eastAsia" w:ascii="宋体" w:hAnsi="宋体"/>
          <w:color w:val="000000"/>
          <w:szCs w:val="21"/>
        </w:rPr>
        <w:t>或</w:t>
      </w:r>
      <w:r>
        <w:rPr>
          <w:rFonts w:ascii="宋体" w:hAnsi="宋体"/>
          <w:color w:val="000000"/>
          <w:szCs w:val="21"/>
        </w:rPr>
        <w:t>未实质性响应竞争性磋商文件的响应文件按无效处理，磋商小组应当告知有关供应商。</w:t>
      </w:r>
    </w:p>
    <w:p>
      <w:pPr>
        <w:spacing w:line="400" w:lineRule="exact"/>
        <w:ind w:firstLine="420" w:firstLineChars="200"/>
        <w:rPr>
          <w:rFonts w:hint="eastAsia" w:ascii="宋体" w:hAnsi="宋体"/>
          <w:color w:val="000000"/>
          <w:szCs w:val="21"/>
        </w:rPr>
      </w:pPr>
      <w:r>
        <w:rPr>
          <w:rFonts w:hint="eastAsia" w:ascii="宋体" w:hAnsi="宋体"/>
          <w:color w:val="000000"/>
          <w:szCs w:val="21"/>
        </w:rPr>
        <w:t>14.3.2澄清</w:t>
      </w:r>
    </w:p>
    <w:p>
      <w:pPr>
        <w:spacing w:line="400" w:lineRule="exact"/>
        <w:ind w:firstLine="420" w:firstLineChars="200"/>
        <w:rPr>
          <w:rFonts w:hint="eastAsia" w:ascii="宋体" w:hAnsi="宋体"/>
          <w:color w:val="000000"/>
          <w:szCs w:val="21"/>
        </w:rPr>
      </w:pPr>
      <w:r>
        <w:rPr>
          <w:rFonts w:hint="eastAsia" w:ascii="宋体" w:hAnsi="宋体"/>
          <w:color w:val="000000"/>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00" w:lineRule="exact"/>
        <w:ind w:firstLine="420" w:firstLineChars="200"/>
        <w:rPr>
          <w:rFonts w:hint="eastAsia" w:ascii="宋体" w:hAnsi="宋体" w:cs="宋体"/>
          <w:color w:val="000000"/>
          <w:kern w:val="0"/>
          <w:szCs w:val="21"/>
        </w:rPr>
      </w:pPr>
      <w:r>
        <w:rPr>
          <w:rFonts w:hint="eastAsia" w:ascii="宋体" w:hAnsi="宋体"/>
          <w:color w:val="000000"/>
          <w:szCs w:val="21"/>
        </w:rPr>
        <w:t>磋商小组要求供应商澄清、说明或者更正响应文件应当以书面形式作出。供应商的澄清、说明或者更正应当由法定代表人或其授权代表签字。由授权代表签字的，应当附法定代表人授权书。</w:t>
      </w:r>
    </w:p>
    <w:p>
      <w:pPr>
        <w:spacing w:line="40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14.4磋商</w:t>
      </w:r>
    </w:p>
    <w:p>
      <w:pPr>
        <w:spacing w:line="400" w:lineRule="exact"/>
        <w:ind w:firstLine="420" w:firstLineChars="200"/>
        <w:rPr>
          <w:rFonts w:hint="eastAsia" w:ascii="宋体" w:hAnsi="宋体"/>
          <w:color w:val="000000"/>
          <w:szCs w:val="21"/>
        </w:rPr>
      </w:pPr>
      <w:r>
        <w:rPr>
          <w:rFonts w:hint="eastAsia" w:ascii="宋体" w:hAnsi="宋体"/>
          <w:color w:val="000000"/>
          <w:szCs w:val="21"/>
        </w:rPr>
        <w:t>14.4.1磋商时间及地点：</w:t>
      </w:r>
      <w:r>
        <w:rPr>
          <w:rFonts w:hint="eastAsia" w:ascii="宋体" w:hAnsi="宋体"/>
          <w:color w:val="000000"/>
          <w:szCs w:val="21"/>
          <w:u w:val="none"/>
        </w:rPr>
        <w:t>磋商时间：响应文件递交截止时间后为与供应商磋商时间，具体时间由采购代理机构另行通知；磋商地点：详见供应商须知前附表。</w:t>
      </w:r>
      <w:r>
        <w:rPr>
          <w:rFonts w:hint="eastAsia" w:ascii="宋体" w:hAnsi="宋体"/>
          <w:color w:val="000000"/>
          <w:szCs w:val="21"/>
        </w:rPr>
        <w:t>参加磋商的法定代表人或相应的委托代理人必须持有效证件（法定代表人凭身份证或相应的被授权人凭授权委托书原件和身份证）依时到达指定地点等候当面</w:t>
      </w:r>
      <w:r>
        <w:rPr>
          <w:rFonts w:hint="eastAsia" w:ascii="宋体" w:hAnsi="宋体"/>
          <w:color w:val="000000"/>
        </w:rPr>
        <w:t>磋商</w:t>
      </w:r>
      <w:r>
        <w:rPr>
          <w:rFonts w:hint="eastAsia" w:ascii="宋体" w:hAnsi="宋体"/>
          <w:color w:val="000000"/>
          <w:szCs w:val="21"/>
        </w:rPr>
        <w:t>。</w:t>
      </w:r>
    </w:p>
    <w:p>
      <w:pPr>
        <w:spacing w:line="400" w:lineRule="exact"/>
        <w:ind w:firstLine="420" w:firstLineChars="200"/>
        <w:rPr>
          <w:rFonts w:hint="eastAsia" w:ascii="宋体" w:hAnsi="宋体" w:cs="宋体"/>
          <w:color w:val="000000"/>
          <w:kern w:val="0"/>
          <w:szCs w:val="21"/>
        </w:rPr>
      </w:pPr>
      <w:r>
        <w:rPr>
          <w:rFonts w:hint="eastAsia" w:ascii="宋体" w:hAnsi="宋体"/>
          <w:color w:val="000000"/>
          <w:szCs w:val="21"/>
        </w:rPr>
        <w:t>14.4.2供应商参加磋商需要携带的材料：</w:t>
      </w:r>
      <w:r>
        <w:rPr>
          <w:rFonts w:hint="eastAsia" w:ascii="宋体" w:hAnsi="宋体"/>
          <w:color w:val="000000"/>
        </w:rPr>
        <w:t>参加磋商的法定代表人或被授权人必须持有效证件（法定代表人凭身份证明书和身份证或被授权人凭授权委托书原件和身份证）</w:t>
      </w:r>
      <w:r>
        <w:rPr>
          <w:rFonts w:hint="eastAsia" w:ascii="宋体" w:hAnsi="宋体"/>
          <w:color w:val="000000"/>
          <w:szCs w:val="21"/>
        </w:rPr>
        <w:t>。</w:t>
      </w:r>
    </w:p>
    <w:p>
      <w:pPr>
        <w:spacing w:line="40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磋商小组按已确定的</w:t>
      </w:r>
      <w:r>
        <w:rPr>
          <w:rFonts w:hint="eastAsia" w:ascii="宋体" w:hAnsi="宋体"/>
          <w:color w:val="000000"/>
          <w:szCs w:val="21"/>
        </w:rPr>
        <w:t>磋商顺序，</w:t>
      </w:r>
      <w:r>
        <w:rPr>
          <w:rFonts w:ascii="宋体" w:hAnsi="宋体"/>
          <w:color w:val="000000"/>
          <w:szCs w:val="21"/>
        </w:rPr>
        <w:t>磋商小组所有成员应当集中与单一供应商分别进行磋商，并给予所有参加磋商的供应商平等的磋商机会。</w:t>
      </w:r>
    </w:p>
    <w:p>
      <w:pPr>
        <w:spacing w:line="400" w:lineRule="exact"/>
        <w:ind w:firstLine="420" w:firstLineChars="200"/>
        <w:rPr>
          <w:rFonts w:ascii="宋体" w:hAnsi="宋体"/>
          <w:color w:val="000000"/>
          <w:szCs w:val="21"/>
        </w:rPr>
      </w:pPr>
      <w:r>
        <w:rPr>
          <w:rFonts w:ascii="宋体" w:hAnsi="宋体"/>
          <w:color w:val="000000"/>
          <w:szCs w:val="21"/>
        </w:rPr>
        <w:t>在磋商过程中，磋商小组可以根据竞争性磋商文件和磋商情况实质性变动采购需求中的技术、服务要求以及合同草案条款，但不得变动竞争性磋商文件中的其他内容。实质性变动的内容，须经采购人代表确认。</w:t>
      </w:r>
    </w:p>
    <w:p>
      <w:pPr>
        <w:spacing w:line="400" w:lineRule="exact"/>
        <w:ind w:firstLine="420" w:firstLineChars="200"/>
        <w:rPr>
          <w:rFonts w:ascii="宋体" w:hAnsi="宋体"/>
          <w:color w:val="000000"/>
          <w:szCs w:val="21"/>
        </w:rPr>
      </w:pPr>
      <w:r>
        <w:rPr>
          <w:rFonts w:ascii="宋体" w:hAnsi="宋体"/>
          <w:color w:val="000000"/>
          <w:szCs w:val="21"/>
        </w:rPr>
        <w:t>对竞争性磋商文件作出的实质性变动是竞争性磋商文件的有效组成部分，磋商小组应当及时以书面形式同时通知所有参加磋商的供应商。</w:t>
      </w:r>
    </w:p>
    <w:p>
      <w:pPr>
        <w:spacing w:line="400" w:lineRule="exact"/>
        <w:ind w:firstLine="420" w:firstLineChars="200"/>
        <w:rPr>
          <w:rFonts w:hint="eastAsia" w:ascii="宋体" w:hAnsi="宋体"/>
          <w:color w:val="000000"/>
          <w:szCs w:val="21"/>
        </w:rPr>
      </w:pPr>
      <w:r>
        <w:rPr>
          <w:rFonts w:ascii="宋体" w:hAnsi="宋体"/>
          <w:color w:val="000000"/>
          <w:szCs w:val="21"/>
        </w:rPr>
        <w:t>供应商应当按照竞争性磋商文件的变动情况和磋商小组的要求重新提交响应文件，并由其法定代表人或</w:t>
      </w:r>
      <w:r>
        <w:rPr>
          <w:rFonts w:hint="eastAsia" w:ascii="宋体" w:hAnsi="宋体"/>
          <w:color w:val="000000"/>
          <w:szCs w:val="21"/>
        </w:rPr>
        <w:t>被</w:t>
      </w:r>
      <w:r>
        <w:rPr>
          <w:rFonts w:ascii="宋体" w:hAnsi="宋体"/>
          <w:color w:val="000000"/>
          <w:szCs w:val="21"/>
        </w:rPr>
        <w:t>授权</w:t>
      </w:r>
      <w:r>
        <w:rPr>
          <w:rFonts w:hint="eastAsia" w:ascii="宋体" w:hAnsi="宋体"/>
          <w:color w:val="000000"/>
          <w:szCs w:val="21"/>
        </w:rPr>
        <w:t>人</w:t>
      </w:r>
      <w:r>
        <w:rPr>
          <w:rFonts w:ascii="宋体" w:hAnsi="宋体"/>
          <w:color w:val="000000"/>
          <w:szCs w:val="21"/>
        </w:rPr>
        <w:t>签字</w:t>
      </w:r>
      <w:r>
        <w:rPr>
          <w:rFonts w:hint="eastAsia" w:ascii="宋体" w:hAnsi="宋体"/>
          <w:color w:val="000000"/>
          <w:szCs w:val="21"/>
        </w:rPr>
        <w:t>。</w:t>
      </w:r>
      <w:r>
        <w:rPr>
          <w:rFonts w:ascii="宋体" w:hAnsi="宋体"/>
          <w:color w:val="000000"/>
          <w:szCs w:val="21"/>
        </w:rPr>
        <w:t>由授权</w:t>
      </w:r>
      <w:r>
        <w:rPr>
          <w:rFonts w:hint="eastAsia" w:ascii="宋体" w:hAnsi="宋体"/>
          <w:color w:val="000000"/>
          <w:szCs w:val="21"/>
        </w:rPr>
        <w:t>人</w:t>
      </w:r>
      <w:r>
        <w:rPr>
          <w:rFonts w:ascii="宋体" w:hAnsi="宋体"/>
          <w:color w:val="000000"/>
          <w:szCs w:val="21"/>
        </w:rPr>
        <w:t>签字的，应当附法定代表人授权书。</w:t>
      </w:r>
    </w:p>
    <w:p>
      <w:pPr>
        <w:spacing w:line="400" w:lineRule="exact"/>
        <w:ind w:firstLine="420" w:firstLineChars="200"/>
        <w:rPr>
          <w:rFonts w:hint="eastAsia" w:ascii="宋体" w:hAnsi="宋体"/>
          <w:color w:val="000000"/>
          <w:szCs w:val="21"/>
        </w:rPr>
      </w:pPr>
      <w:r>
        <w:rPr>
          <w:rFonts w:hint="eastAsia" w:ascii="宋体" w:hAnsi="宋体"/>
          <w:color w:val="000000"/>
          <w:szCs w:val="21"/>
        </w:rPr>
        <w:t>磋商中，磋商的任何一方不得透露与磋商有关的其他供应商的技术资料、价格和其他信息。</w:t>
      </w:r>
    </w:p>
    <w:p>
      <w:pPr>
        <w:widowControl/>
        <w:tabs>
          <w:tab w:val="left" w:pos="540"/>
        </w:tabs>
        <w:spacing w:line="400" w:lineRule="exact"/>
        <w:ind w:firstLine="420" w:firstLineChars="200"/>
        <w:jc w:val="left"/>
        <w:rPr>
          <w:rFonts w:hint="eastAsia" w:ascii="宋体" w:hAnsi="宋体"/>
          <w:color w:val="000000"/>
          <w:szCs w:val="21"/>
        </w:rPr>
      </w:pPr>
      <w:r>
        <w:rPr>
          <w:rFonts w:hint="eastAsia" w:ascii="宋体" w:hAnsi="宋体"/>
          <w:color w:val="000000"/>
          <w:szCs w:val="21"/>
        </w:rPr>
        <w:t>采购代理机构对磋商过程和重要磋商内容进行记录，磋商双方在记录上签字确认。</w:t>
      </w:r>
    </w:p>
    <w:p>
      <w:pPr>
        <w:widowControl/>
        <w:tabs>
          <w:tab w:val="left" w:pos="540"/>
        </w:tabs>
        <w:spacing w:line="400" w:lineRule="exact"/>
        <w:ind w:firstLine="420" w:firstLineChars="200"/>
        <w:jc w:val="left"/>
        <w:rPr>
          <w:rFonts w:hint="eastAsia" w:ascii="宋体" w:hAnsi="宋体"/>
          <w:color w:val="000000"/>
          <w:szCs w:val="21"/>
        </w:rPr>
      </w:pPr>
      <w:r>
        <w:rPr>
          <w:rFonts w:hint="eastAsia" w:ascii="宋体" w:hAnsi="宋体"/>
          <w:color w:val="000000"/>
          <w:szCs w:val="21"/>
        </w:rPr>
        <w:t>14.5最后报价</w:t>
      </w:r>
    </w:p>
    <w:p>
      <w:pPr>
        <w:spacing w:line="400" w:lineRule="exact"/>
        <w:ind w:firstLine="420" w:firstLineChars="200"/>
        <w:rPr>
          <w:rFonts w:ascii="宋体" w:hAnsi="宋体"/>
          <w:color w:val="000000"/>
          <w:szCs w:val="21"/>
        </w:rPr>
      </w:pPr>
      <w:r>
        <w:rPr>
          <w:rFonts w:hint="eastAsia" w:ascii="宋体" w:hAnsi="宋体"/>
          <w:color w:val="000000"/>
          <w:szCs w:val="21"/>
        </w:rPr>
        <w:t>14.5.1</w:t>
      </w:r>
      <w:r>
        <w:rPr>
          <w:rFonts w:ascii="宋体" w:hAnsi="宋体"/>
          <w:color w:val="000000"/>
          <w:szCs w:val="21"/>
        </w:rPr>
        <w:t>磋商结束后，磋商小组应当要求所有继续参加磋商的供应商在规定时间内</w:t>
      </w:r>
      <w:r>
        <w:rPr>
          <w:rFonts w:hint="eastAsia" w:ascii="宋体" w:hAnsi="宋体"/>
          <w:color w:val="000000"/>
          <w:szCs w:val="21"/>
        </w:rPr>
        <w:t>密封</w:t>
      </w:r>
      <w:r>
        <w:rPr>
          <w:rFonts w:ascii="宋体" w:hAnsi="宋体"/>
          <w:color w:val="000000"/>
          <w:szCs w:val="21"/>
        </w:rPr>
        <w:t>提交最后报价，提交最后报价的供应商不得少于3家。</w:t>
      </w:r>
    </w:p>
    <w:p>
      <w:pPr>
        <w:spacing w:line="400" w:lineRule="exact"/>
        <w:ind w:firstLine="420" w:firstLineChars="200"/>
        <w:rPr>
          <w:rFonts w:hint="eastAsia" w:ascii="宋体" w:hAnsi="宋体"/>
          <w:color w:val="000000"/>
          <w:szCs w:val="21"/>
        </w:rPr>
      </w:pPr>
      <w:r>
        <w:rPr>
          <w:rFonts w:hint="eastAsia" w:ascii="宋体" w:hAnsi="宋体"/>
          <w:color w:val="000000"/>
          <w:szCs w:val="21"/>
        </w:rPr>
        <w:t>14.5.2</w:t>
      </w:r>
      <w:r>
        <w:rPr>
          <w:rFonts w:ascii="宋体" w:hAnsi="宋体"/>
          <w:color w:val="000000"/>
          <w:szCs w:val="21"/>
        </w:rPr>
        <w:t>竞争性磋商文件不能详细列明采购标的的技术、服务要求，需经磋商由供应商提供最终设计方案或解决方案的，磋商结束后，磋商小组应当按照少数服从多数的原则投票推荐3家以上</w:t>
      </w:r>
      <w:r>
        <w:rPr>
          <w:rFonts w:hint="eastAsia" w:ascii="宋体" w:hAnsi="宋体"/>
          <w:color w:val="000000"/>
          <w:szCs w:val="21"/>
        </w:rPr>
        <w:t>（含3家）</w:t>
      </w:r>
      <w:r>
        <w:rPr>
          <w:rFonts w:ascii="宋体" w:hAnsi="宋体"/>
          <w:color w:val="000000"/>
          <w:szCs w:val="21"/>
        </w:rPr>
        <w:t>供应商的设计方案或者解决方案，并要求其在规定时间内</w:t>
      </w:r>
      <w:r>
        <w:rPr>
          <w:rFonts w:hint="eastAsia" w:ascii="宋体" w:hAnsi="宋体"/>
          <w:color w:val="000000"/>
          <w:szCs w:val="21"/>
        </w:rPr>
        <w:t>密封</w:t>
      </w:r>
      <w:r>
        <w:rPr>
          <w:rFonts w:ascii="宋体" w:hAnsi="宋体"/>
          <w:color w:val="000000"/>
          <w:szCs w:val="21"/>
        </w:rPr>
        <w:t>提交最后报价。</w:t>
      </w:r>
    </w:p>
    <w:p>
      <w:pPr>
        <w:spacing w:line="400" w:lineRule="exact"/>
        <w:ind w:firstLine="420" w:firstLineChars="200"/>
        <w:rPr>
          <w:rFonts w:hint="eastAsia" w:ascii="宋体" w:hAnsi="宋体"/>
          <w:color w:val="000000"/>
          <w:szCs w:val="21"/>
        </w:rPr>
      </w:pPr>
      <w:r>
        <w:rPr>
          <w:rFonts w:hint="eastAsia" w:ascii="宋体" w:hAnsi="宋体"/>
          <w:color w:val="000000"/>
          <w:szCs w:val="21"/>
        </w:rPr>
        <w:t>14.5.3属于市场竞争不充分的科研项目，以及需要扶持的科技成果转化项目，提交最后报价的供应商可以为2家。</w:t>
      </w:r>
    </w:p>
    <w:p>
      <w:pPr>
        <w:widowControl/>
        <w:tabs>
          <w:tab w:val="left" w:pos="540"/>
        </w:tabs>
        <w:spacing w:line="400" w:lineRule="exact"/>
        <w:ind w:firstLine="420" w:firstLineChars="200"/>
        <w:jc w:val="left"/>
        <w:rPr>
          <w:rFonts w:hint="eastAsia" w:ascii="宋体" w:hAnsi="宋体"/>
          <w:color w:val="000000"/>
          <w:szCs w:val="21"/>
        </w:rPr>
      </w:pPr>
      <w:r>
        <w:rPr>
          <w:rFonts w:hint="eastAsia" w:ascii="宋体" w:hAnsi="宋体"/>
          <w:color w:val="000000"/>
          <w:szCs w:val="21"/>
        </w:rPr>
        <w:t>14.5.4参照财库</w:t>
      </w:r>
      <w:r>
        <w:rPr>
          <w:rFonts w:hint="eastAsia" w:ascii="仿宋" w:hAnsi="仿宋" w:eastAsia="仿宋" w:cs="仿宋"/>
          <w:color w:val="000000"/>
          <w:szCs w:val="21"/>
        </w:rPr>
        <w:t>〔</w:t>
      </w:r>
      <w:r>
        <w:rPr>
          <w:rFonts w:hint="eastAsia" w:ascii="宋体" w:hAnsi="宋体"/>
          <w:color w:val="000000"/>
          <w:szCs w:val="21"/>
        </w:rPr>
        <w:t>2015</w:t>
      </w:r>
      <w:r>
        <w:rPr>
          <w:rFonts w:hint="eastAsia" w:ascii="仿宋" w:hAnsi="仿宋" w:eastAsia="仿宋" w:cs="仿宋"/>
          <w:color w:val="000000"/>
          <w:szCs w:val="21"/>
        </w:rPr>
        <w:t>〕</w:t>
      </w:r>
      <w:r>
        <w:rPr>
          <w:rFonts w:hint="eastAsia" w:ascii="宋体" w:hAnsi="宋体"/>
          <w:color w:val="000000"/>
          <w:szCs w:val="21"/>
        </w:rPr>
        <w:t>124号《财政部关于政府采购竞争性磋商采购方式有关问题的通知》的规定，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w:t>
      </w:r>
    </w:p>
    <w:p>
      <w:pPr>
        <w:spacing w:line="400" w:lineRule="exact"/>
        <w:ind w:firstLine="420" w:firstLineChars="200"/>
        <w:rPr>
          <w:rFonts w:hint="eastAsia" w:ascii="宋体" w:hAnsi="宋体"/>
          <w:color w:val="000000"/>
          <w:szCs w:val="21"/>
        </w:rPr>
      </w:pPr>
      <w:r>
        <w:rPr>
          <w:rFonts w:hint="eastAsia" w:ascii="宋体" w:hAnsi="宋体"/>
          <w:color w:val="000000"/>
          <w:szCs w:val="21"/>
        </w:rPr>
        <w:t>14.5.5</w:t>
      </w:r>
      <w:r>
        <w:rPr>
          <w:rFonts w:ascii="宋体" w:hAnsi="宋体"/>
          <w:color w:val="000000"/>
          <w:szCs w:val="21"/>
        </w:rPr>
        <w:t>最后报价是供应商</w:t>
      </w:r>
      <w:r>
        <w:rPr>
          <w:rFonts w:hint="eastAsia" w:ascii="宋体" w:hAnsi="宋体"/>
          <w:color w:val="000000"/>
          <w:szCs w:val="21"/>
        </w:rPr>
        <w:t>响应文件</w:t>
      </w:r>
      <w:r>
        <w:rPr>
          <w:rFonts w:ascii="宋体" w:hAnsi="宋体"/>
          <w:color w:val="000000"/>
          <w:szCs w:val="21"/>
        </w:rPr>
        <w:t>的有效组成部分。</w:t>
      </w:r>
    </w:p>
    <w:p>
      <w:pPr>
        <w:spacing w:line="400" w:lineRule="exact"/>
        <w:ind w:firstLine="420" w:firstLineChars="200"/>
        <w:rPr>
          <w:rFonts w:hint="eastAsia" w:ascii="宋体" w:hAnsi="宋体"/>
          <w:color w:val="000000"/>
          <w:szCs w:val="21"/>
        </w:rPr>
      </w:pPr>
      <w:r>
        <w:rPr>
          <w:rFonts w:hint="eastAsia" w:ascii="宋体" w:hAnsi="宋体"/>
          <w:color w:val="000000"/>
          <w:szCs w:val="21"/>
        </w:rPr>
        <w:t>14.5.6 已经提交响应文件的供应商，在提交最后报价之前，可以根据磋商情况书面退出磋商。采购人、采购代理机构将退还退出磋商的供应商的保证金。</w:t>
      </w:r>
    </w:p>
    <w:p>
      <w:pPr>
        <w:spacing w:line="400" w:lineRule="exact"/>
        <w:ind w:firstLine="420" w:firstLineChars="200"/>
        <w:rPr>
          <w:rFonts w:hint="eastAsia" w:ascii="宋体" w:hAnsi="宋体"/>
          <w:color w:val="000000"/>
          <w:kern w:val="0"/>
          <w:szCs w:val="21"/>
        </w:rPr>
      </w:pPr>
      <w:r>
        <w:rPr>
          <w:rFonts w:hint="eastAsia" w:ascii="宋体" w:hAnsi="宋体"/>
          <w:color w:val="000000"/>
          <w:kern w:val="0"/>
          <w:szCs w:val="21"/>
        </w:rPr>
        <w:t>未书面退出磋商的</w:t>
      </w:r>
      <w:r>
        <w:rPr>
          <w:rFonts w:ascii="宋体" w:hAnsi="宋体"/>
          <w:color w:val="000000"/>
          <w:kern w:val="0"/>
          <w:szCs w:val="21"/>
        </w:rPr>
        <w:t>供应商在规定时间内</w:t>
      </w:r>
      <w:r>
        <w:rPr>
          <w:rFonts w:hint="eastAsia" w:ascii="宋体" w:hAnsi="宋体"/>
          <w:color w:val="000000"/>
          <w:kern w:val="0"/>
          <w:szCs w:val="21"/>
        </w:rPr>
        <w:t>密封</w:t>
      </w:r>
      <w:r>
        <w:rPr>
          <w:rFonts w:ascii="宋体" w:hAnsi="宋体"/>
          <w:color w:val="000000"/>
          <w:kern w:val="0"/>
          <w:szCs w:val="21"/>
        </w:rPr>
        <w:t>提交最后报价</w:t>
      </w:r>
      <w:r>
        <w:rPr>
          <w:rFonts w:hint="eastAsia" w:ascii="宋体" w:hAnsi="宋体"/>
          <w:color w:val="000000"/>
          <w:kern w:val="0"/>
          <w:szCs w:val="21"/>
        </w:rPr>
        <w:t>，其最后报价超出采购预算导致已通过评审的响应文件无效的，按供应商在提交响应文件截止时间后撤回响应文件处理。</w:t>
      </w:r>
    </w:p>
    <w:p>
      <w:pPr>
        <w:spacing w:line="400" w:lineRule="exact"/>
        <w:ind w:firstLine="420" w:firstLineChars="200"/>
        <w:rPr>
          <w:rFonts w:hint="eastAsia" w:ascii="宋体" w:hAnsi="宋体"/>
          <w:color w:val="000000"/>
          <w:kern w:val="0"/>
          <w:szCs w:val="21"/>
        </w:rPr>
      </w:pPr>
      <w:r>
        <w:rPr>
          <w:rFonts w:hint="eastAsia" w:ascii="宋体" w:hAnsi="宋体"/>
          <w:color w:val="000000"/>
          <w:kern w:val="0"/>
          <w:szCs w:val="21"/>
        </w:rPr>
        <w:t>14.5.7响应供应商的报价均超过了采购预算，采购人不能支付的，磋商活动终止。</w:t>
      </w:r>
    </w:p>
    <w:p>
      <w:pPr>
        <w:widowControl/>
        <w:spacing w:line="400" w:lineRule="exact"/>
        <w:ind w:firstLine="422" w:firstLineChars="201"/>
        <w:jc w:val="left"/>
        <w:rPr>
          <w:rFonts w:hint="eastAsia" w:ascii="宋体" w:hAnsi="宋体"/>
          <w:color w:val="000000"/>
          <w:szCs w:val="21"/>
        </w:rPr>
      </w:pPr>
      <w:r>
        <w:rPr>
          <w:rFonts w:hint="eastAsia" w:ascii="宋体" w:hAnsi="宋体"/>
          <w:color w:val="000000"/>
          <w:szCs w:val="21"/>
        </w:rPr>
        <w:t>14.5.8低于成本报价</w:t>
      </w:r>
    </w:p>
    <w:p>
      <w:pPr>
        <w:spacing w:line="400" w:lineRule="exact"/>
        <w:ind w:firstLine="420" w:firstLineChars="200"/>
        <w:rPr>
          <w:rFonts w:hint="eastAsia" w:ascii="宋体" w:hAnsi="宋体"/>
          <w:color w:val="000000"/>
          <w:kern w:val="0"/>
          <w:szCs w:val="21"/>
        </w:rPr>
      </w:pPr>
      <w:r>
        <w:rPr>
          <w:rFonts w:hint="eastAsia" w:ascii="宋体" w:hAnsi="宋体"/>
          <w:color w:val="000000"/>
          <w:szCs w:val="21"/>
        </w:rPr>
        <w:t>磋商小组在评审过程中发现供应商的总报价明显低于其他供应商的总报价或者明显低于采购预算价，有理由怀疑其报价可能低于其成本的，应当要求该供应商做出书面说明并提供相关证明材料。供应商不能合理说明或者不能提供相关证明材料的，视作该供应商报价以低于成本价，其响应文件无效。</w:t>
      </w:r>
    </w:p>
    <w:p>
      <w:pPr>
        <w:spacing w:line="400" w:lineRule="exact"/>
        <w:rPr>
          <w:rFonts w:hint="eastAsia" w:ascii="宋体" w:hAnsi="宋体"/>
          <w:b/>
          <w:color w:val="000000"/>
          <w:szCs w:val="21"/>
        </w:rPr>
      </w:pPr>
      <w:r>
        <w:rPr>
          <w:rFonts w:hint="eastAsia" w:ascii="宋体" w:hAnsi="宋体"/>
          <w:b/>
          <w:color w:val="000000"/>
          <w:szCs w:val="21"/>
        </w:rPr>
        <w:t>15.最终磋商结束后，磋商小组不得再与供应商进行任何形式的商谈。</w:t>
      </w:r>
    </w:p>
    <w:p>
      <w:pPr>
        <w:spacing w:line="400" w:lineRule="exact"/>
        <w:rPr>
          <w:rFonts w:hint="eastAsia" w:ascii="宋体" w:hAnsi="宋体"/>
          <w:b/>
          <w:color w:val="000000"/>
          <w:szCs w:val="21"/>
        </w:rPr>
      </w:pPr>
      <w:r>
        <w:rPr>
          <w:rFonts w:hint="eastAsia" w:ascii="宋体" w:hAnsi="宋体"/>
          <w:b/>
          <w:color w:val="000000"/>
          <w:szCs w:val="21"/>
        </w:rPr>
        <w:t>16. 评审与比较</w:t>
      </w:r>
    </w:p>
    <w:p>
      <w:pPr>
        <w:tabs>
          <w:tab w:val="left" w:pos="1140"/>
        </w:tabs>
        <w:spacing w:line="400" w:lineRule="exact"/>
        <w:ind w:firstLine="420" w:firstLineChars="200"/>
        <w:rPr>
          <w:rFonts w:ascii="宋体" w:hAnsi="宋体"/>
          <w:color w:val="000000"/>
          <w:szCs w:val="21"/>
        </w:rPr>
      </w:pPr>
      <w:r>
        <w:rPr>
          <w:rFonts w:hint="eastAsia" w:ascii="宋体" w:hAnsi="宋体"/>
          <w:color w:val="000000"/>
          <w:szCs w:val="21"/>
        </w:rPr>
        <w:t>16.1 磋商小组按竞争性磋商文件中规定的评审办法，对资格性审查和符合性审查合格的响应文件进行商务和技术评估，综合比较与评价。</w:t>
      </w:r>
    </w:p>
    <w:p>
      <w:pPr>
        <w:tabs>
          <w:tab w:val="left" w:pos="1140"/>
        </w:tabs>
        <w:spacing w:line="400" w:lineRule="exact"/>
        <w:ind w:firstLine="420" w:firstLineChars="200"/>
        <w:rPr>
          <w:rFonts w:hint="eastAsia" w:ascii="宋体" w:hAnsi="宋体"/>
          <w:color w:val="000000"/>
          <w:szCs w:val="21"/>
        </w:rPr>
      </w:pPr>
      <w:r>
        <w:rPr>
          <w:rFonts w:hint="eastAsia" w:ascii="宋体" w:hAnsi="宋体"/>
          <w:color w:val="000000"/>
          <w:szCs w:val="21"/>
        </w:rPr>
        <w:t>16.2采购代理机构对评审数据进行校对、核对，对畸高、畸低的重大差异评分提示磋商小组复核或书面说明理由。</w:t>
      </w:r>
    </w:p>
    <w:p>
      <w:pPr>
        <w:tabs>
          <w:tab w:val="left" w:pos="1140"/>
        </w:tabs>
        <w:spacing w:line="400" w:lineRule="exact"/>
        <w:ind w:firstLine="420" w:firstLineChars="200"/>
        <w:rPr>
          <w:rFonts w:hint="eastAsia" w:ascii="宋体" w:hAnsi="宋体"/>
          <w:color w:val="000000"/>
          <w:szCs w:val="21"/>
        </w:rPr>
      </w:pPr>
      <w:r>
        <w:rPr>
          <w:rFonts w:hint="eastAsia" w:ascii="宋体" w:hAnsi="宋体"/>
          <w:color w:val="000000"/>
          <w:szCs w:val="21"/>
        </w:rPr>
        <w:t>16.3 在评审过程中出现法律法规和磋商文件均没有明确规定的情形时，由磋商小组现场协商解决，协商不一致的，由全体磋商小组投票表决，以得票率二分之一以上专家的意见为准。</w:t>
      </w:r>
    </w:p>
    <w:p>
      <w:pPr>
        <w:tabs>
          <w:tab w:val="left" w:pos="1140"/>
        </w:tabs>
        <w:spacing w:line="400" w:lineRule="exact"/>
        <w:ind w:firstLine="420" w:firstLineChars="200"/>
        <w:rPr>
          <w:rFonts w:hint="eastAsia" w:ascii="宋体" w:hAnsi="宋体"/>
          <w:color w:val="000000"/>
          <w:szCs w:val="21"/>
        </w:rPr>
      </w:pPr>
      <w:r>
        <w:rPr>
          <w:rFonts w:hint="eastAsia" w:ascii="宋体" w:hAnsi="宋体"/>
          <w:color w:val="000000"/>
          <w:szCs w:val="21"/>
        </w:rPr>
        <w:t>16.4 采购代理机构发现磋商小组有明显的违规倾向或歧视现象，或不按评审办法进行，或其他不正常行为的，应当及时制止。如制止无效，应及时向监督管理机构报告。</w:t>
      </w:r>
    </w:p>
    <w:p>
      <w:pPr>
        <w:widowControl/>
        <w:tabs>
          <w:tab w:val="left" w:pos="540"/>
        </w:tabs>
        <w:spacing w:line="400" w:lineRule="exact"/>
        <w:ind w:firstLine="420" w:firstLineChars="200"/>
        <w:jc w:val="left"/>
        <w:rPr>
          <w:rFonts w:ascii="宋体" w:hAnsi="宋体"/>
          <w:color w:val="000000"/>
          <w:szCs w:val="21"/>
        </w:rPr>
      </w:pPr>
      <w:r>
        <w:rPr>
          <w:rFonts w:hint="eastAsia" w:ascii="宋体" w:hAnsi="宋体"/>
          <w:color w:val="000000"/>
          <w:szCs w:val="21"/>
        </w:rPr>
        <w:t>16.5</w:t>
      </w:r>
      <w:r>
        <w:rPr>
          <w:rFonts w:hint="eastAsia"/>
          <w:color w:val="000000"/>
        </w:rPr>
        <w:t>评审方法及定标标准</w:t>
      </w:r>
      <w:r>
        <w:rPr>
          <w:rFonts w:hint="eastAsia" w:ascii="宋体" w:hAnsi="宋体"/>
          <w:color w:val="000000"/>
          <w:szCs w:val="21"/>
        </w:rPr>
        <w:t>详见第四章。</w:t>
      </w:r>
    </w:p>
    <w:p>
      <w:pPr>
        <w:pStyle w:val="20"/>
        <w:spacing w:line="400" w:lineRule="exact"/>
        <w:rPr>
          <w:rFonts w:hint="eastAsia"/>
          <w:b/>
          <w:color w:val="000000"/>
        </w:rPr>
      </w:pPr>
      <w:r>
        <w:rPr>
          <w:rFonts w:hint="eastAsia" w:hAnsi="宋体"/>
          <w:b/>
          <w:color w:val="000000"/>
          <w:szCs w:val="21"/>
        </w:rPr>
        <w:t>17.</w:t>
      </w:r>
      <w:r>
        <w:rPr>
          <w:rFonts w:hint="eastAsia"/>
          <w:b/>
          <w:color w:val="000000"/>
        </w:rPr>
        <w:t>无效的响应文件</w:t>
      </w:r>
    </w:p>
    <w:p>
      <w:pPr>
        <w:pStyle w:val="20"/>
        <w:spacing w:line="400" w:lineRule="exact"/>
        <w:ind w:firstLine="411" w:firstLineChars="196"/>
        <w:rPr>
          <w:color w:val="000000"/>
        </w:rPr>
      </w:pPr>
      <w:r>
        <w:rPr>
          <w:rFonts w:hint="eastAsia"/>
          <w:color w:val="000000"/>
        </w:rPr>
        <w:t>17.1响应文件如有下列情况之一，将会在评标中按照无效响应文件处理</w:t>
      </w:r>
      <w:r>
        <w:rPr>
          <w:rFonts w:hint="eastAsia"/>
          <w:b/>
          <w:color w:val="000000"/>
        </w:rPr>
        <w:t>（(11)- (16)视为供应商串通竞标）</w:t>
      </w:r>
      <w:r>
        <w:rPr>
          <w:rFonts w:hint="eastAsia"/>
          <w:color w:val="000000"/>
        </w:rPr>
        <w:t>：</w:t>
      </w:r>
    </w:p>
    <w:p>
      <w:pPr>
        <w:pStyle w:val="20"/>
        <w:spacing w:line="400" w:lineRule="exact"/>
        <w:ind w:firstLine="420" w:firstLineChars="200"/>
        <w:rPr>
          <w:rFonts w:hint="eastAsia" w:hAnsi="宋体" w:cs="宋体"/>
          <w:color w:val="000000"/>
        </w:rPr>
      </w:pPr>
      <w:r>
        <w:rPr>
          <w:rFonts w:hint="eastAsia" w:hAnsi="宋体" w:cs="宋体"/>
          <w:color w:val="000000"/>
        </w:rPr>
        <w:t>⑴供应商所提供材料不足以证明其具备本项目要求的资格；</w:t>
      </w:r>
    </w:p>
    <w:p>
      <w:pPr>
        <w:pStyle w:val="20"/>
        <w:spacing w:line="400" w:lineRule="exact"/>
        <w:ind w:firstLine="420" w:firstLineChars="200"/>
        <w:rPr>
          <w:rFonts w:hint="eastAsia" w:hAnsi="宋体" w:cs="宋体"/>
          <w:color w:val="000000"/>
        </w:rPr>
      </w:pPr>
      <w:r>
        <w:rPr>
          <w:rFonts w:hint="eastAsia" w:hAnsi="宋体" w:cs="宋体"/>
          <w:color w:val="000000"/>
        </w:rPr>
        <w:t>⑵供应商未按规定向采购代理机构购买本项目竞争性磋商文件；</w:t>
      </w:r>
    </w:p>
    <w:p>
      <w:pPr>
        <w:pStyle w:val="20"/>
        <w:spacing w:line="400" w:lineRule="exact"/>
        <w:ind w:firstLine="420" w:firstLineChars="200"/>
        <w:rPr>
          <w:rFonts w:hint="eastAsia" w:hAnsi="宋体" w:cs="宋体"/>
          <w:color w:val="000000"/>
        </w:rPr>
      </w:pPr>
      <w:r>
        <w:rPr>
          <w:rFonts w:hint="eastAsia" w:hAnsi="宋体" w:cs="宋体"/>
          <w:color w:val="000000"/>
        </w:rPr>
        <w:t>⑶未按本竞争性磋商文件要求交纳磋商保证金的；</w:t>
      </w:r>
    </w:p>
    <w:p>
      <w:pPr>
        <w:pStyle w:val="20"/>
        <w:spacing w:line="400" w:lineRule="exact"/>
        <w:ind w:firstLine="420" w:firstLineChars="200"/>
        <w:rPr>
          <w:rFonts w:hint="eastAsia" w:hAnsi="宋体" w:cs="宋体"/>
          <w:color w:val="000000"/>
        </w:rPr>
      </w:pPr>
      <w:r>
        <w:rPr>
          <w:rFonts w:hint="eastAsia" w:hAnsi="宋体" w:cs="宋体"/>
          <w:color w:val="000000"/>
        </w:rPr>
        <w:t>⑷供应商未就所竞标段的所有内容作完整唯一报价；</w:t>
      </w:r>
    </w:p>
    <w:p>
      <w:pPr>
        <w:pStyle w:val="20"/>
        <w:spacing w:line="400" w:lineRule="exact"/>
        <w:ind w:firstLine="420" w:firstLineChars="200"/>
        <w:rPr>
          <w:rFonts w:hint="eastAsia" w:hAnsi="宋体" w:cs="宋体"/>
          <w:color w:val="000000"/>
        </w:rPr>
      </w:pPr>
      <w:r>
        <w:rPr>
          <w:rFonts w:hint="eastAsia" w:hAnsi="宋体" w:cs="宋体"/>
          <w:color w:val="000000"/>
        </w:rPr>
        <w:t>⑸未按竞争性磋商文件的要求密封、签署、盖章的及要求提供的响应文件份数的；</w:t>
      </w:r>
    </w:p>
    <w:p>
      <w:pPr>
        <w:pStyle w:val="20"/>
        <w:spacing w:line="400" w:lineRule="exact"/>
        <w:ind w:firstLine="420" w:firstLineChars="200"/>
        <w:rPr>
          <w:rFonts w:hint="eastAsia" w:hAnsi="宋体" w:cs="宋体"/>
          <w:color w:val="000000"/>
        </w:rPr>
      </w:pPr>
      <w:r>
        <w:rPr>
          <w:rFonts w:hint="eastAsia" w:hAnsi="宋体" w:cs="宋体"/>
          <w:color w:val="000000"/>
        </w:rPr>
        <w:t xml:space="preserve">⑹超出政府采购预算价的最终竞标报价； </w:t>
      </w:r>
    </w:p>
    <w:p>
      <w:pPr>
        <w:pStyle w:val="20"/>
        <w:spacing w:line="400" w:lineRule="exact"/>
        <w:ind w:firstLine="420" w:firstLineChars="200"/>
        <w:rPr>
          <w:rFonts w:hint="eastAsia" w:hAnsi="宋体" w:cs="宋体"/>
          <w:color w:val="000000"/>
        </w:rPr>
      </w:pPr>
      <w:r>
        <w:rPr>
          <w:rFonts w:hint="eastAsia" w:hAnsi="宋体" w:cs="宋体"/>
          <w:color w:val="000000"/>
        </w:rPr>
        <w:t>⑺不符合竞争性磋商文件中规定的实质性要求并且在谈判规定的时间内无法说明和补充的；</w:t>
      </w:r>
    </w:p>
    <w:p>
      <w:pPr>
        <w:pStyle w:val="20"/>
        <w:spacing w:line="400" w:lineRule="exact"/>
        <w:ind w:firstLine="420" w:firstLineChars="200"/>
        <w:rPr>
          <w:rFonts w:hint="eastAsia" w:hAnsi="宋体" w:cs="宋体"/>
          <w:color w:val="000000"/>
        </w:rPr>
      </w:pPr>
      <w:r>
        <w:rPr>
          <w:rFonts w:hint="eastAsia" w:hAnsi="宋体" w:cs="宋体"/>
          <w:color w:val="000000"/>
        </w:rPr>
        <w:t>⑻供应商无法在规定时间内提供资格证明材料进行核对，或应谈判与</w:t>
      </w:r>
      <w:r>
        <w:rPr>
          <w:rFonts w:hint="eastAsia" w:hAnsi="宋体"/>
          <w:color w:val="000000"/>
          <w:szCs w:val="21"/>
        </w:rPr>
        <w:t>磋商小组</w:t>
      </w:r>
      <w:r>
        <w:rPr>
          <w:rFonts w:hint="eastAsia" w:hAnsi="宋体" w:cs="宋体"/>
          <w:color w:val="000000"/>
        </w:rPr>
        <w:t>要求提供的有关材料原件与其在响应文件中所提供的材料复印件不一致的；</w:t>
      </w:r>
    </w:p>
    <w:p>
      <w:pPr>
        <w:pStyle w:val="20"/>
        <w:spacing w:line="400" w:lineRule="exact"/>
        <w:ind w:firstLine="420" w:firstLineChars="200"/>
        <w:rPr>
          <w:rFonts w:hint="eastAsia" w:hAnsi="宋体" w:cs="宋体"/>
          <w:color w:val="000000"/>
        </w:rPr>
      </w:pPr>
      <w:r>
        <w:rPr>
          <w:rFonts w:hint="eastAsia" w:hAnsi="宋体" w:cs="宋体"/>
          <w:color w:val="000000"/>
        </w:rPr>
        <w:t>⑼供应商</w:t>
      </w:r>
      <w:r>
        <w:rPr>
          <w:rFonts w:hAnsi="宋体" w:cs="宋体"/>
          <w:color w:val="000000"/>
        </w:rPr>
        <w:t>递交两份或多份内容不同的</w:t>
      </w:r>
      <w:r>
        <w:rPr>
          <w:rFonts w:hint="eastAsia" w:hAnsi="宋体" w:cs="宋体"/>
          <w:color w:val="000000"/>
        </w:rPr>
        <w:t>响应文件</w:t>
      </w:r>
      <w:r>
        <w:rPr>
          <w:rFonts w:hAnsi="宋体" w:cs="宋体"/>
          <w:color w:val="000000"/>
        </w:rPr>
        <w:t>，或在一份</w:t>
      </w:r>
      <w:r>
        <w:rPr>
          <w:rFonts w:hint="eastAsia" w:hAnsi="宋体" w:cs="宋体"/>
          <w:color w:val="000000"/>
        </w:rPr>
        <w:t>响应文件</w:t>
      </w:r>
      <w:r>
        <w:rPr>
          <w:rFonts w:hAnsi="宋体" w:cs="宋体"/>
          <w:color w:val="000000"/>
        </w:rPr>
        <w:t>中对同一</w:t>
      </w:r>
      <w:r>
        <w:rPr>
          <w:rFonts w:hint="eastAsia" w:hAnsi="宋体" w:cs="宋体"/>
          <w:color w:val="000000"/>
        </w:rPr>
        <w:t>采购</w:t>
      </w:r>
      <w:r>
        <w:rPr>
          <w:rFonts w:hAnsi="宋体" w:cs="宋体"/>
          <w:color w:val="000000"/>
        </w:rPr>
        <w:t>货物报有两个或多个报价，且未声明哪一个为最终报价的，按</w:t>
      </w:r>
      <w:r>
        <w:rPr>
          <w:rFonts w:hint="eastAsia" w:hAnsi="宋体" w:cs="宋体"/>
          <w:color w:val="000000"/>
        </w:rPr>
        <w:t>竞争性磋商文件</w:t>
      </w:r>
      <w:r>
        <w:rPr>
          <w:rFonts w:hAnsi="宋体" w:cs="宋体"/>
          <w:color w:val="000000"/>
        </w:rPr>
        <w:t>规定提交备选</w:t>
      </w:r>
      <w:r>
        <w:rPr>
          <w:rFonts w:hint="eastAsia" w:hAnsi="宋体" w:cs="宋体"/>
          <w:color w:val="000000"/>
        </w:rPr>
        <w:t>磋商</w:t>
      </w:r>
      <w:r>
        <w:rPr>
          <w:rFonts w:hAnsi="宋体" w:cs="宋体"/>
          <w:color w:val="000000"/>
        </w:rPr>
        <w:t>方案的除外</w:t>
      </w:r>
      <w:r>
        <w:rPr>
          <w:rFonts w:hint="eastAsia" w:hAnsi="宋体" w:cs="宋体"/>
          <w:color w:val="000000"/>
        </w:rPr>
        <w:t>；</w:t>
      </w:r>
    </w:p>
    <w:p>
      <w:pPr>
        <w:pStyle w:val="20"/>
        <w:spacing w:line="400" w:lineRule="exact"/>
        <w:ind w:firstLine="420" w:firstLineChars="200"/>
        <w:rPr>
          <w:rFonts w:hint="eastAsia" w:hAnsi="宋体" w:cs="宋体"/>
          <w:color w:val="000000"/>
        </w:rPr>
      </w:pPr>
      <w:r>
        <w:rPr>
          <w:rFonts w:hint="eastAsia" w:hAnsi="宋体" w:cs="宋体"/>
          <w:color w:val="000000"/>
        </w:rPr>
        <w:t>⑽不符合法律、法规和竞争性磋商文件规定的其他实质性要求和条件的。</w:t>
      </w:r>
    </w:p>
    <w:p>
      <w:pPr>
        <w:spacing w:line="400" w:lineRule="exact"/>
        <w:ind w:firstLine="420" w:firstLineChars="200"/>
        <w:rPr>
          <w:rFonts w:hint="eastAsia" w:ascii="宋体" w:hAnsi="宋体"/>
          <w:color w:val="000000"/>
          <w:szCs w:val="21"/>
        </w:rPr>
      </w:pPr>
      <w:r>
        <w:rPr>
          <w:rFonts w:hint="eastAsia" w:ascii="宋体" w:hAnsi="宋体"/>
          <w:color w:val="000000"/>
          <w:szCs w:val="21"/>
        </w:rPr>
        <w:t>⑾不同</w:t>
      </w:r>
      <w:r>
        <w:rPr>
          <w:rFonts w:hint="eastAsia" w:hAnsi="宋体" w:cs="宋体"/>
          <w:color w:val="000000"/>
        </w:rPr>
        <w:t>供应商</w:t>
      </w:r>
      <w:r>
        <w:rPr>
          <w:rFonts w:hint="eastAsia" w:ascii="宋体" w:hAnsi="宋体"/>
          <w:color w:val="000000"/>
          <w:szCs w:val="21"/>
        </w:rPr>
        <w:t>的响应文件由同一单位或者个人编制；或不同</w:t>
      </w:r>
      <w:r>
        <w:rPr>
          <w:rFonts w:hint="eastAsia" w:ascii="宋体" w:hAnsi="宋体"/>
          <w:color w:val="000000"/>
          <w:szCs w:val="21"/>
          <w:lang w:eastAsia="zh-CN"/>
        </w:rPr>
        <w:t>磋商供应商</w:t>
      </w:r>
      <w:r>
        <w:rPr>
          <w:rFonts w:hint="eastAsia" w:ascii="宋体" w:hAnsi="宋体"/>
          <w:color w:val="000000"/>
          <w:szCs w:val="21"/>
        </w:rPr>
        <w:t>报名的IP地址一致的；</w:t>
      </w:r>
    </w:p>
    <w:p>
      <w:pPr>
        <w:spacing w:line="400" w:lineRule="exact"/>
        <w:ind w:firstLine="420" w:firstLineChars="200"/>
        <w:rPr>
          <w:rFonts w:hint="eastAsia" w:ascii="宋体" w:hAnsi="宋体"/>
          <w:color w:val="000000"/>
          <w:szCs w:val="21"/>
        </w:rPr>
      </w:pPr>
      <w:r>
        <w:rPr>
          <w:rFonts w:hint="eastAsia" w:ascii="宋体" w:hAnsi="宋体"/>
          <w:color w:val="000000"/>
          <w:szCs w:val="21"/>
        </w:rPr>
        <w:t>⑿不同</w:t>
      </w:r>
      <w:r>
        <w:rPr>
          <w:rFonts w:hint="eastAsia" w:hAnsi="宋体" w:cs="宋体"/>
          <w:color w:val="000000"/>
        </w:rPr>
        <w:t>供应商</w:t>
      </w:r>
      <w:r>
        <w:rPr>
          <w:rFonts w:hint="eastAsia" w:ascii="宋体" w:hAnsi="宋体"/>
          <w:color w:val="000000"/>
          <w:szCs w:val="21"/>
        </w:rPr>
        <w:t>委托同一单位或者个人办理竞标事宜；</w:t>
      </w:r>
    </w:p>
    <w:p>
      <w:pPr>
        <w:spacing w:line="400" w:lineRule="exact"/>
        <w:ind w:firstLine="420" w:firstLineChars="200"/>
        <w:rPr>
          <w:rFonts w:hint="eastAsia" w:ascii="宋体" w:hAnsi="宋体"/>
          <w:color w:val="000000"/>
          <w:szCs w:val="21"/>
        </w:rPr>
      </w:pPr>
      <w:r>
        <w:rPr>
          <w:rFonts w:hint="eastAsia" w:ascii="宋体" w:hAnsi="宋体"/>
          <w:color w:val="000000"/>
          <w:szCs w:val="21"/>
        </w:rPr>
        <w:t>⒀不同的</w:t>
      </w:r>
      <w:r>
        <w:rPr>
          <w:rFonts w:hint="eastAsia" w:hAnsi="宋体" w:cs="宋体"/>
          <w:color w:val="000000"/>
        </w:rPr>
        <w:t>供应商</w:t>
      </w:r>
      <w:r>
        <w:rPr>
          <w:rFonts w:hint="eastAsia" w:ascii="宋体" w:hAnsi="宋体"/>
          <w:color w:val="000000"/>
          <w:szCs w:val="21"/>
        </w:rPr>
        <w:t>的响应文件载明的项目管理员为同一人；</w:t>
      </w:r>
    </w:p>
    <w:p>
      <w:pPr>
        <w:spacing w:line="400" w:lineRule="exact"/>
        <w:ind w:firstLine="420" w:firstLineChars="200"/>
        <w:rPr>
          <w:rFonts w:hint="eastAsia" w:ascii="宋体" w:hAnsi="宋体"/>
          <w:color w:val="000000"/>
          <w:szCs w:val="21"/>
        </w:rPr>
      </w:pPr>
      <w:r>
        <w:rPr>
          <w:rFonts w:hint="eastAsia" w:ascii="宋体" w:hAnsi="宋体"/>
          <w:color w:val="000000"/>
          <w:szCs w:val="21"/>
        </w:rPr>
        <w:t>⒁不同</w:t>
      </w:r>
      <w:r>
        <w:rPr>
          <w:rFonts w:hint="eastAsia" w:hAnsi="宋体" w:cs="宋体"/>
          <w:color w:val="000000"/>
        </w:rPr>
        <w:t>供应商</w:t>
      </w:r>
      <w:r>
        <w:rPr>
          <w:rFonts w:hint="eastAsia" w:ascii="宋体" w:hAnsi="宋体"/>
          <w:color w:val="000000"/>
          <w:szCs w:val="21"/>
        </w:rPr>
        <w:t>的响应文件异常一致或磋商报价呈规律性差异；</w:t>
      </w:r>
    </w:p>
    <w:p>
      <w:pPr>
        <w:spacing w:line="400" w:lineRule="exact"/>
        <w:ind w:firstLine="420" w:firstLineChars="200"/>
        <w:rPr>
          <w:rFonts w:hint="eastAsia" w:ascii="宋体" w:hAnsi="宋体"/>
          <w:color w:val="000000"/>
          <w:szCs w:val="21"/>
        </w:rPr>
      </w:pPr>
      <w:r>
        <w:rPr>
          <w:rFonts w:hint="eastAsia" w:ascii="宋体" w:hAnsi="宋体"/>
          <w:color w:val="000000"/>
          <w:szCs w:val="21"/>
        </w:rPr>
        <w:t>⒂不同</w:t>
      </w:r>
      <w:r>
        <w:rPr>
          <w:rFonts w:hint="eastAsia" w:hAnsi="宋体" w:cs="宋体"/>
          <w:color w:val="000000"/>
        </w:rPr>
        <w:t>供应商</w:t>
      </w:r>
      <w:r>
        <w:rPr>
          <w:rFonts w:hint="eastAsia" w:ascii="宋体" w:hAnsi="宋体"/>
          <w:color w:val="000000"/>
          <w:szCs w:val="21"/>
        </w:rPr>
        <w:t>的响应文件相互混装；</w:t>
      </w:r>
    </w:p>
    <w:p>
      <w:pPr>
        <w:spacing w:line="400" w:lineRule="exact"/>
        <w:ind w:firstLine="420" w:firstLineChars="200"/>
        <w:rPr>
          <w:rFonts w:hint="eastAsia" w:hAnsi="宋体"/>
          <w:color w:val="000000"/>
          <w:szCs w:val="21"/>
        </w:rPr>
      </w:pPr>
      <w:r>
        <w:rPr>
          <w:rFonts w:hint="eastAsia" w:ascii="Cambria Math" w:hAnsi="Cambria Math" w:cs="Cambria Math"/>
          <w:color w:val="000000"/>
          <w:szCs w:val="21"/>
        </w:rPr>
        <w:t>⒃</w:t>
      </w:r>
      <w:r>
        <w:rPr>
          <w:rFonts w:hint="eastAsia" w:hAnsi="宋体"/>
          <w:color w:val="000000"/>
          <w:szCs w:val="21"/>
        </w:rPr>
        <w:t>不同</w:t>
      </w:r>
      <w:r>
        <w:rPr>
          <w:rFonts w:hint="eastAsia" w:hAnsi="宋体" w:cs="宋体"/>
          <w:color w:val="000000"/>
        </w:rPr>
        <w:t>供应商</w:t>
      </w:r>
      <w:r>
        <w:rPr>
          <w:rFonts w:hint="eastAsia" w:hAnsi="宋体"/>
          <w:color w:val="000000"/>
          <w:szCs w:val="21"/>
        </w:rPr>
        <w:t>的磋商保证金从同一单位或者个人账户转出。</w:t>
      </w:r>
    </w:p>
    <w:p>
      <w:pPr>
        <w:spacing w:line="400" w:lineRule="exact"/>
        <w:ind w:firstLine="422" w:firstLineChars="200"/>
        <w:rPr>
          <w:rFonts w:hint="eastAsia" w:ascii="宋体" w:hAnsi="宋体"/>
          <w:b/>
          <w:color w:val="000000"/>
          <w:szCs w:val="21"/>
        </w:rPr>
      </w:pPr>
      <w:r>
        <w:rPr>
          <w:rFonts w:hint="eastAsia" w:ascii="宋体" w:hAnsi="宋体"/>
          <w:b/>
          <w:color w:val="000000"/>
          <w:szCs w:val="21"/>
        </w:rPr>
        <w:t>特别说明：</w:t>
      </w:r>
    </w:p>
    <w:p>
      <w:pPr>
        <w:widowControl/>
        <w:spacing w:line="40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17.2供应商所使用的资格、信誉、荣誉、业绩与企业认证必须为本供应商所拥有。供应商所使用的采购项目实施人员必须为本供应商员工（或必须为本供应商或控股公司正式员工）。</w:t>
      </w:r>
    </w:p>
    <w:p>
      <w:pPr>
        <w:widowControl/>
        <w:spacing w:line="400" w:lineRule="exact"/>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17.3供应商应仔细阅读竞争性磋商文件的所有内容，按照竞争性磋商文件的要求提交响应文件，并对所提供的全部资料的真实性承担法律责任。</w:t>
      </w:r>
    </w:p>
    <w:p>
      <w:pPr>
        <w:spacing w:line="400" w:lineRule="exact"/>
        <w:ind w:firstLine="420" w:firstLineChars="200"/>
        <w:rPr>
          <w:rFonts w:hint="eastAsia" w:hAnsi="宋体"/>
          <w:color w:val="000000"/>
        </w:rPr>
      </w:pPr>
      <w:r>
        <w:rPr>
          <w:rFonts w:hint="eastAsia" w:ascii="宋体" w:hAnsi="宋体" w:cs="宋体"/>
          <w:color w:val="000000"/>
          <w:kern w:val="0"/>
          <w:szCs w:val="21"/>
        </w:rPr>
        <w:t>17.4供应商在</w:t>
      </w:r>
      <w:r>
        <w:rPr>
          <w:rFonts w:hint="eastAsia" w:ascii="宋体" w:hAnsi="宋体" w:cs="Courier New"/>
          <w:color w:val="000000"/>
          <w:szCs w:val="21"/>
        </w:rPr>
        <w:t>磋商</w:t>
      </w:r>
      <w:r>
        <w:rPr>
          <w:rFonts w:hint="eastAsia" w:ascii="宋体" w:hAnsi="宋体" w:cs="宋体"/>
          <w:color w:val="000000"/>
          <w:kern w:val="0"/>
          <w:szCs w:val="21"/>
        </w:rPr>
        <w:t>活动中提供任何虚假材料，其响应文件无效，并报监管部门查处；成交后发现的，成交供应商须依照《中华人民共和国消费者权益保护法》第49条之规定双倍赔偿采购人，且民事赔偿并不免除违法供应商的行政与</w:t>
      </w:r>
      <w:r>
        <w:rPr>
          <w:rFonts w:hint="eastAsia" w:hAnsi="宋体"/>
          <w:color w:val="000000"/>
        </w:rPr>
        <w:t>刑事责任。</w:t>
      </w:r>
    </w:p>
    <w:p>
      <w:pPr>
        <w:spacing w:line="400" w:lineRule="exact"/>
        <w:ind w:firstLine="420" w:firstLineChars="200"/>
        <w:rPr>
          <w:rFonts w:hint="eastAsia" w:hAnsi="宋体" w:cs="Arial"/>
          <w:color w:val="000000"/>
          <w:kern w:val="0"/>
          <w:szCs w:val="21"/>
        </w:rPr>
      </w:pPr>
      <w:r>
        <w:rPr>
          <w:rFonts w:hint="eastAsia" w:ascii="宋体" w:hAnsi="宋体" w:cs="Arial"/>
          <w:color w:val="000000"/>
          <w:kern w:val="0"/>
          <w:szCs w:val="21"/>
        </w:rPr>
        <w:t>17.5同一品牌同一型号产品只能由一家供应商参加。采购内容包含多项货物，如其中两家或两家以上供应商</w:t>
      </w:r>
      <w:r>
        <w:rPr>
          <w:rFonts w:hint="eastAsia" w:hAnsi="宋体" w:cs="Arial"/>
          <w:color w:val="000000"/>
          <w:kern w:val="0"/>
          <w:szCs w:val="21"/>
        </w:rPr>
        <w:t>所投产品均为同一品牌同一型号产品的，应当按一个供应商认定。多家供应商参加竞标，如其中两家或两家以上供应商的，法定代表人为同一人或相互之间存在投资关系且达到控股的应当按一个供应商认定。评审时，取其中通过资格审查后的最后报价最低一家为有效供应商；当报价相同时，则以售后服务最优一家为有效供应商；均相同时，由评标委员会集体决定。</w:t>
      </w:r>
    </w:p>
    <w:p>
      <w:pPr>
        <w:spacing w:line="400" w:lineRule="exact"/>
        <w:ind w:firstLine="420" w:firstLineChars="200"/>
        <w:rPr>
          <w:rFonts w:hint="eastAsia" w:hAnsi="宋体" w:cs="Arial"/>
          <w:color w:val="000000"/>
          <w:kern w:val="0"/>
          <w:szCs w:val="21"/>
        </w:rPr>
      </w:pPr>
      <w:r>
        <w:rPr>
          <w:rFonts w:hint="eastAsia" w:hAnsi="宋体" w:cs="Arial"/>
          <w:color w:val="000000"/>
          <w:kern w:val="0"/>
          <w:szCs w:val="21"/>
        </w:rPr>
        <w:t xml:space="preserve">  多家代理商或经销商参加竞标，如其中两家或两家以上供应商存在分级代理或代销关系，且提供的是其所代理同一品牌同一型号产品的，评审时，按上述规定确定其中一家为有效供应商。</w:t>
      </w:r>
    </w:p>
    <w:p>
      <w:pPr>
        <w:spacing w:line="400" w:lineRule="exact"/>
        <w:ind w:firstLine="420" w:firstLineChars="200"/>
        <w:rPr>
          <w:rFonts w:hint="eastAsia" w:hAnsi="宋体" w:cs="Arial"/>
          <w:color w:val="000000"/>
          <w:kern w:val="0"/>
          <w:szCs w:val="21"/>
        </w:rPr>
      </w:pPr>
      <w:r>
        <w:rPr>
          <w:rFonts w:hint="eastAsia" w:hAnsi="宋体" w:cs="Arial"/>
          <w:color w:val="000000"/>
          <w:kern w:val="0"/>
          <w:szCs w:val="21"/>
        </w:rPr>
        <w:t xml:space="preserve">  同一家原生产厂商授权多家代理商参加同一品牌同一型号产品竞标的，评审时，按上述规定确定其中一家为有效供应商。</w:t>
      </w:r>
    </w:p>
    <w:p>
      <w:pPr>
        <w:widowControl/>
        <w:tabs>
          <w:tab w:val="left" w:pos="540"/>
        </w:tabs>
        <w:spacing w:line="400" w:lineRule="exact"/>
        <w:jc w:val="left"/>
        <w:rPr>
          <w:rFonts w:hint="eastAsia" w:hAnsi="宋体"/>
          <w:b/>
          <w:bCs/>
          <w:color w:val="000000"/>
        </w:rPr>
      </w:pPr>
      <w:r>
        <w:rPr>
          <w:rFonts w:hint="eastAsia" w:ascii="宋体" w:hAnsi="宋体"/>
          <w:b/>
          <w:bCs/>
          <w:color w:val="000000"/>
        </w:rPr>
        <w:t>18.</w:t>
      </w:r>
      <w:r>
        <w:rPr>
          <w:rFonts w:hint="eastAsia" w:hAnsi="宋体"/>
          <w:b/>
          <w:bCs/>
          <w:color w:val="000000"/>
        </w:rPr>
        <w:t>在评审过程中出现法律法规和竞争性磋商文件均没有明确规定的情形时，由磋商小组现场协商解决，协商不一致的，由全体磋商小组投票表决，以得票率二分之一以上专家的意见为准。</w:t>
      </w:r>
    </w:p>
    <w:p>
      <w:pPr>
        <w:spacing w:line="400" w:lineRule="exact"/>
        <w:rPr>
          <w:rFonts w:hint="eastAsia" w:ascii="宋体" w:hAnsi="宋体"/>
          <w:b/>
          <w:color w:val="000000"/>
          <w:szCs w:val="21"/>
        </w:rPr>
      </w:pPr>
      <w:r>
        <w:rPr>
          <w:rFonts w:hint="eastAsia" w:ascii="宋体" w:hAnsi="宋体"/>
          <w:b/>
          <w:color w:val="000000"/>
          <w:szCs w:val="21"/>
        </w:rPr>
        <w:t>七、确定成交供应商办法及结果公告</w:t>
      </w:r>
    </w:p>
    <w:p>
      <w:pPr>
        <w:spacing w:line="400" w:lineRule="exact"/>
        <w:rPr>
          <w:rFonts w:hint="eastAsia" w:ascii="宋体" w:hAnsi="宋体" w:cs="宋体"/>
          <w:color w:val="000000"/>
          <w:kern w:val="0"/>
          <w:szCs w:val="21"/>
        </w:rPr>
      </w:pPr>
      <w:r>
        <w:rPr>
          <w:rFonts w:hint="eastAsia" w:ascii="宋体" w:hAnsi="宋体" w:cs="宋体"/>
          <w:color w:val="000000"/>
          <w:kern w:val="0"/>
          <w:szCs w:val="21"/>
        </w:rPr>
        <w:t>19. 确定成交供应商办法及结果公告</w:t>
      </w:r>
    </w:p>
    <w:p>
      <w:pPr>
        <w:spacing w:line="400" w:lineRule="exact"/>
        <w:ind w:firstLine="315" w:firstLineChars="150"/>
        <w:rPr>
          <w:rFonts w:hint="eastAsia" w:ascii="宋体" w:hAnsi="宋体"/>
          <w:color w:val="000000"/>
          <w:szCs w:val="21"/>
        </w:rPr>
      </w:pPr>
      <w:r>
        <w:rPr>
          <w:rFonts w:hint="eastAsia" w:ascii="宋体" w:hAnsi="宋体"/>
          <w:color w:val="000000"/>
          <w:szCs w:val="21"/>
        </w:rPr>
        <w:t>19.1</w:t>
      </w:r>
      <w:r>
        <w:rPr>
          <w:rFonts w:hint="eastAsia" w:ascii="宋体" w:hAnsi="宋体" w:cs="Courier New"/>
          <w:color w:val="000000"/>
          <w:szCs w:val="21"/>
        </w:rPr>
        <w:t>采购代理机构在评审结束后二个工作日内将评审报告交采购人确认，采购人应当自收到评审报告之日起五个工作日内按照评审报告中推荐的成交候选供应商顺序确定成交供应商。采购人也可以事先授权磋商小组直接确定成交供应商。采购人逾期未确定成交供应商且不提出异议的，视为确定评审报告提出的排序第一的供应商为成交供应商</w:t>
      </w:r>
      <w:r>
        <w:rPr>
          <w:rFonts w:ascii="宋体" w:hAnsi="宋体" w:cs="宋体"/>
          <w:color w:val="000000"/>
          <w:kern w:val="0"/>
          <w:szCs w:val="21"/>
        </w:rPr>
        <w:t>。</w:t>
      </w:r>
    </w:p>
    <w:p>
      <w:pPr>
        <w:spacing w:line="400" w:lineRule="exact"/>
        <w:ind w:firstLine="315" w:firstLineChars="150"/>
        <w:rPr>
          <w:rFonts w:hint="eastAsia" w:ascii="宋体" w:hAnsi="宋体"/>
          <w:color w:val="000000"/>
          <w:szCs w:val="21"/>
        </w:rPr>
      </w:pPr>
      <w:r>
        <w:rPr>
          <w:rFonts w:hint="eastAsia" w:ascii="宋体" w:hAnsi="宋体"/>
          <w:color w:val="000000"/>
          <w:szCs w:val="21"/>
        </w:rPr>
        <w:t>19.2</w:t>
      </w:r>
      <w:r>
        <w:rPr>
          <w:rFonts w:ascii="宋体" w:hAnsi="宋体"/>
          <w:color w:val="000000"/>
          <w:szCs w:val="21"/>
        </w:rPr>
        <w:t>采购代理机构应当在成交供应商确定后2个工作日内，在省级以上</w:t>
      </w:r>
      <w:r>
        <w:rPr>
          <w:rFonts w:hint="eastAsia" w:ascii="宋体" w:hAnsi="宋体"/>
          <w:color w:val="000000"/>
          <w:szCs w:val="21"/>
        </w:rPr>
        <w:t>（含省级）</w:t>
      </w:r>
      <w:r>
        <w:rPr>
          <w:rFonts w:ascii="宋体" w:hAnsi="宋体"/>
          <w:color w:val="000000"/>
          <w:szCs w:val="21"/>
        </w:rPr>
        <w:t>财政部门指定的媒体上公告成交结果，同时向成交供应商发出成交通知书</w:t>
      </w:r>
      <w:r>
        <w:rPr>
          <w:rFonts w:hint="eastAsia" w:ascii="宋体" w:hAnsi="宋体"/>
          <w:color w:val="000000"/>
          <w:szCs w:val="21"/>
        </w:rPr>
        <w:t>。</w:t>
      </w:r>
    </w:p>
    <w:p>
      <w:pPr>
        <w:spacing w:line="400" w:lineRule="exact"/>
        <w:rPr>
          <w:rFonts w:hint="eastAsia" w:ascii="宋体" w:hAnsi="宋体"/>
          <w:b/>
          <w:color w:val="000000"/>
          <w:szCs w:val="21"/>
        </w:rPr>
      </w:pPr>
      <w:r>
        <w:rPr>
          <w:rFonts w:hint="eastAsia" w:ascii="宋体" w:hAnsi="宋体"/>
          <w:b/>
          <w:color w:val="000000"/>
          <w:szCs w:val="21"/>
        </w:rPr>
        <w:t>八、履约保证金</w:t>
      </w:r>
    </w:p>
    <w:p>
      <w:pPr>
        <w:spacing w:line="400" w:lineRule="exact"/>
        <w:rPr>
          <w:rFonts w:hint="eastAsia" w:ascii="宋体" w:hAnsi="宋体"/>
          <w:color w:val="000000"/>
          <w:spacing w:val="-2"/>
          <w:szCs w:val="21"/>
        </w:rPr>
      </w:pPr>
      <w:r>
        <w:rPr>
          <w:rFonts w:hint="eastAsia" w:ascii="宋体" w:hAnsi="宋体"/>
          <w:color w:val="000000"/>
          <w:szCs w:val="21"/>
        </w:rPr>
        <w:t>20</w:t>
      </w:r>
      <w:r>
        <w:rPr>
          <w:rFonts w:hint="eastAsia" w:ascii="宋体" w:hAnsi="宋体"/>
          <w:color w:val="000000"/>
          <w:spacing w:val="-2"/>
          <w:szCs w:val="21"/>
        </w:rPr>
        <w:t>.成交供应商须于签订合同前按本须知前附表规定的金额直接缴入指定账户。否则，不予签订合同。</w:t>
      </w:r>
    </w:p>
    <w:p>
      <w:pPr>
        <w:spacing w:line="400" w:lineRule="exact"/>
        <w:rPr>
          <w:rFonts w:hint="eastAsia" w:ascii="宋体" w:hAnsi="宋体"/>
          <w:color w:val="000000"/>
          <w:szCs w:val="21"/>
        </w:rPr>
      </w:pPr>
      <w:r>
        <w:rPr>
          <w:rFonts w:hint="eastAsia" w:ascii="宋体" w:hAnsi="宋体"/>
          <w:color w:val="000000"/>
          <w:szCs w:val="21"/>
        </w:rPr>
        <w:t>21.签订合同后，如成交供应商不按双方签订的合同规定履约，则没收其全部履约保证金，履约保证金不足以赔偿损失的，按实际损失赔偿。</w:t>
      </w:r>
    </w:p>
    <w:p>
      <w:pPr>
        <w:spacing w:line="400" w:lineRule="exact"/>
        <w:rPr>
          <w:rFonts w:hint="eastAsia" w:ascii="宋体" w:hAnsi="宋体"/>
          <w:color w:val="000000"/>
          <w:szCs w:val="21"/>
        </w:rPr>
      </w:pPr>
      <w:r>
        <w:rPr>
          <w:rFonts w:hint="eastAsia" w:ascii="宋体" w:hAnsi="宋体"/>
          <w:color w:val="000000"/>
          <w:szCs w:val="21"/>
        </w:rPr>
        <w:t>22.</w:t>
      </w:r>
      <w:r>
        <w:rPr>
          <w:rFonts w:hint="eastAsia"/>
          <w:color w:val="000000"/>
        </w:rPr>
        <w:t xml:space="preserve"> </w:t>
      </w:r>
      <w:r>
        <w:rPr>
          <w:rFonts w:hint="eastAsia" w:ascii="宋体" w:hAnsi="宋体"/>
          <w:color w:val="000000"/>
          <w:szCs w:val="21"/>
        </w:rPr>
        <w:t>对于成交供应商交纳的履约保证金，自工程竣工（采购）验收合格之日起，由成交供应商出具竣工验收合格证明后7个工作日内退回，不计息。</w:t>
      </w:r>
    </w:p>
    <w:p>
      <w:pPr>
        <w:spacing w:line="400" w:lineRule="exact"/>
        <w:rPr>
          <w:rFonts w:hint="eastAsia" w:hAnsi="宋体"/>
          <w:color w:val="000000"/>
        </w:rPr>
      </w:pPr>
      <w:r>
        <w:rPr>
          <w:rFonts w:hint="eastAsia" w:ascii="宋体" w:hAnsi="宋体"/>
          <w:color w:val="000000"/>
          <w:szCs w:val="21"/>
        </w:rPr>
        <w:t>23.在履约保证金退还日期前，若成交供应商的开户名称、开户银行、帐号有变动的，请以书面形式</w:t>
      </w:r>
      <w:r>
        <w:rPr>
          <w:rFonts w:hint="eastAsia" w:hAnsi="宋体"/>
          <w:color w:val="000000"/>
        </w:rPr>
        <w:t>通知采购代理机构，否则由此产生的后果由成交供应商自负。</w:t>
      </w:r>
    </w:p>
    <w:p>
      <w:pPr>
        <w:spacing w:line="400" w:lineRule="exact"/>
        <w:rPr>
          <w:rFonts w:hint="eastAsia" w:ascii="宋体" w:hAnsi="宋体"/>
          <w:b/>
          <w:color w:val="000000"/>
          <w:szCs w:val="21"/>
        </w:rPr>
      </w:pPr>
      <w:r>
        <w:rPr>
          <w:rFonts w:hint="eastAsia" w:hAnsi="宋体"/>
          <w:b/>
          <w:color w:val="000000"/>
        </w:rPr>
        <w:t>九、</w:t>
      </w:r>
      <w:r>
        <w:rPr>
          <w:rFonts w:hint="eastAsia" w:ascii="宋体" w:hAnsi="宋体"/>
          <w:b/>
          <w:color w:val="000000"/>
          <w:szCs w:val="21"/>
        </w:rPr>
        <w:t>签订合同及合同存档、公告</w:t>
      </w:r>
    </w:p>
    <w:p>
      <w:pPr>
        <w:spacing w:line="400" w:lineRule="exact"/>
        <w:rPr>
          <w:rFonts w:ascii="宋体" w:hAnsi="宋体"/>
          <w:color w:val="000000"/>
          <w:szCs w:val="21"/>
        </w:rPr>
      </w:pPr>
      <w:r>
        <w:rPr>
          <w:rFonts w:hint="eastAsia" w:ascii="宋体" w:hAnsi="宋体"/>
          <w:color w:val="000000"/>
          <w:szCs w:val="21"/>
        </w:rPr>
        <w:t>24. 签订合同及合同存档</w:t>
      </w:r>
    </w:p>
    <w:p>
      <w:pPr>
        <w:spacing w:line="400" w:lineRule="exact"/>
        <w:ind w:firstLine="420" w:firstLineChars="200"/>
        <w:rPr>
          <w:rFonts w:hint="eastAsia"/>
          <w:color w:val="000000"/>
        </w:rPr>
      </w:pPr>
      <w:r>
        <w:rPr>
          <w:rFonts w:hint="eastAsia" w:ascii="宋体" w:hAnsi="宋体"/>
          <w:color w:val="000000"/>
          <w:szCs w:val="21"/>
        </w:rPr>
        <w:t>24.1成交供应商在收到成交通知书后，按规定与采购人签订采购合同</w:t>
      </w:r>
      <w:r>
        <w:rPr>
          <w:rFonts w:hint="eastAsia"/>
          <w:color w:val="000000"/>
        </w:rPr>
        <w:t>。</w:t>
      </w:r>
    </w:p>
    <w:p>
      <w:pPr>
        <w:spacing w:line="400" w:lineRule="exact"/>
        <w:ind w:firstLine="420" w:firstLineChars="200"/>
        <w:rPr>
          <w:rFonts w:hint="eastAsia" w:hAnsi="宋体"/>
          <w:color w:val="000000"/>
        </w:rPr>
      </w:pPr>
      <w:r>
        <w:rPr>
          <w:rFonts w:hint="eastAsia" w:ascii="宋体" w:hAnsi="宋体"/>
          <w:color w:val="000000"/>
          <w:szCs w:val="21"/>
        </w:rPr>
        <w:t>24.2成交供应商签订合同时，须携带的资格证件：营业执照副本原件、单位授权委托书及被授权人身份证原件等其它资格证件</w:t>
      </w:r>
      <w:r>
        <w:rPr>
          <w:rFonts w:hint="eastAsia" w:hAnsi="宋体"/>
          <w:color w:val="000000"/>
        </w:rPr>
        <w:t>，经采购人核验合格后方可签订合同。</w:t>
      </w:r>
    </w:p>
    <w:p>
      <w:pPr>
        <w:spacing w:line="400" w:lineRule="exact"/>
        <w:ind w:firstLine="420" w:firstLineChars="200"/>
        <w:rPr>
          <w:rFonts w:hint="eastAsia" w:ascii="宋体" w:hAnsi="宋体"/>
          <w:color w:val="000000"/>
          <w:szCs w:val="21"/>
        </w:rPr>
      </w:pPr>
      <w:r>
        <w:rPr>
          <w:rFonts w:hint="eastAsia" w:ascii="宋体" w:hAnsi="宋体"/>
          <w:color w:val="000000"/>
          <w:szCs w:val="21"/>
        </w:rPr>
        <w:t>24.3成交供应商拒绝签订采购合同的，采购人可以按本项目确定成交供应商办法确定其他供应商作为成交供应商并签订采购合同，也可以重新开展采购活动。拒绝签订采购合同的成交供应商不得参加对该项目重新开展的采购活动。</w:t>
      </w:r>
    </w:p>
    <w:p>
      <w:pPr>
        <w:spacing w:line="400" w:lineRule="exact"/>
        <w:ind w:firstLine="420" w:firstLineChars="200"/>
        <w:rPr>
          <w:rFonts w:hint="eastAsia" w:hAnsi="宋体"/>
          <w:color w:val="000000"/>
        </w:rPr>
      </w:pPr>
      <w:r>
        <w:rPr>
          <w:rFonts w:hint="eastAsia" w:ascii="宋体" w:hAnsi="宋体"/>
          <w:color w:val="000000"/>
        </w:rPr>
        <w:t>24.4</w:t>
      </w:r>
      <w:r>
        <w:rPr>
          <w:rFonts w:hint="eastAsia" w:hAnsi="宋体"/>
          <w:color w:val="000000"/>
        </w:rPr>
        <w:t>成交供应商应于合同签订后并将一份合同原件送达到采购代理机构存档。</w:t>
      </w:r>
    </w:p>
    <w:p>
      <w:pPr>
        <w:spacing w:line="400" w:lineRule="exact"/>
        <w:rPr>
          <w:rFonts w:hint="eastAsia" w:ascii="宋体" w:hAnsi="宋体"/>
          <w:b/>
          <w:color w:val="000000"/>
          <w:szCs w:val="21"/>
        </w:rPr>
      </w:pPr>
      <w:r>
        <w:rPr>
          <w:rFonts w:hint="eastAsia" w:ascii="宋体" w:hAnsi="宋体"/>
          <w:b/>
          <w:color w:val="000000"/>
          <w:szCs w:val="21"/>
        </w:rPr>
        <w:t>十、适用法律</w:t>
      </w:r>
    </w:p>
    <w:p>
      <w:pPr>
        <w:spacing w:line="400" w:lineRule="exact"/>
        <w:ind w:left="25" w:leftChars="12"/>
        <w:rPr>
          <w:rFonts w:hint="eastAsia" w:ascii="宋体" w:hAnsi="宋体"/>
          <w:b/>
          <w:color w:val="000000"/>
          <w:szCs w:val="21"/>
        </w:rPr>
      </w:pPr>
      <w:r>
        <w:rPr>
          <w:rFonts w:hint="eastAsia" w:ascii="宋体" w:hAnsi="宋体"/>
          <w:color w:val="000000"/>
          <w:szCs w:val="21"/>
        </w:rPr>
        <w:t>25.采购当事人的一切活动均适用于《中华人民共和国政府采购法》、《中华人民共和国政府采购法实施条例》、《政府采购竞争性磋商采购方式管理暂行办法》及相关规定。</w:t>
      </w:r>
    </w:p>
    <w:p>
      <w:pPr>
        <w:tabs>
          <w:tab w:val="left" w:pos="2835"/>
        </w:tabs>
        <w:spacing w:line="400" w:lineRule="exact"/>
        <w:rPr>
          <w:rFonts w:hint="eastAsia" w:ascii="宋体" w:hAnsi="宋体"/>
          <w:b/>
          <w:color w:val="000000"/>
          <w:szCs w:val="21"/>
        </w:rPr>
      </w:pPr>
      <w:r>
        <w:rPr>
          <w:rFonts w:hint="eastAsia" w:ascii="宋体" w:hAnsi="宋体"/>
          <w:b/>
          <w:color w:val="000000"/>
          <w:szCs w:val="21"/>
        </w:rPr>
        <w:t>十一、其它内容</w:t>
      </w:r>
    </w:p>
    <w:p>
      <w:pPr>
        <w:pStyle w:val="20"/>
        <w:snapToGrid w:val="0"/>
        <w:spacing w:line="400" w:lineRule="exact"/>
        <w:rPr>
          <w:rFonts w:hint="eastAsia" w:hAnsi="宋体"/>
          <w:color w:val="000000"/>
        </w:rPr>
      </w:pPr>
      <w:r>
        <w:rPr>
          <w:rFonts w:hint="eastAsia" w:hAnsi="宋体"/>
          <w:b/>
          <w:color w:val="000000"/>
        </w:rPr>
        <w:t>26.</w:t>
      </w:r>
      <w:r>
        <w:rPr>
          <w:rFonts w:hint="eastAsia" w:hAnsi="宋体"/>
          <w:color w:val="000000"/>
        </w:rPr>
        <w:t>采购代理服务收费标准：详见</w:t>
      </w:r>
      <w:r>
        <w:rPr>
          <w:rFonts w:hint="eastAsia" w:hAnsi="宋体"/>
          <w:color w:val="000000"/>
          <w:lang w:eastAsia="zh-CN"/>
        </w:rPr>
        <w:t>磋商供应商</w:t>
      </w:r>
      <w:r>
        <w:rPr>
          <w:rFonts w:hint="eastAsia" w:hAnsi="宋体"/>
          <w:color w:val="000000"/>
        </w:rPr>
        <w:t>须知前附表11项要求。</w:t>
      </w:r>
    </w:p>
    <w:p>
      <w:pPr>
        <w:pStyle w:val="20"/>
        <w:snapToGrid w:val="0"/>
        <w:spacing w:line="400" w:lineRule="exact"/>
        <w:ind w:firstLine="411" w:firstLineChars="196"/>
        <w:rPr>
          <w:rFonts w:hint="eastAsia"/>
          <w:color w:val="000000"/>
        </w:rPr>
      </w:pPr>
      <w:r>
        <w:rPr>
          <w:rFonts w:hint="eastAsia"/>
          <w:color w:val="000000"/>
        </w:rPr>
        <w:t>交纳招标代理服务费专用账户</w:t>
      </w:r>
    </w:p>
    <w:p>
      <w:pPr>
        <w:pStyle w:val="20"/>
        <w:snapToGrid w:val="0"/>
        <w:spacing w:line="400" w:lineRule="exact"/>
        <w:ind w:firstLine="411" w:firstLineChars="196"/>
        <w:rPr>
          <w:rFonts w:hint="eastAsia"/>
          <w:color w:val="000000"/>
        </w:rPr>
      </w:pPr>
      <w:r>
        <w:rPr>
          <w:rFonts w:hint="eastAsia"/>
          <w:color w:val="000000"/>
        </w:rPr>
        <w:t>单位名称：广西科联招标中心有限公司河池分公司</w:t>
      </w:r>
    </w:p>
    <w:p>
      <w:pPr>
        <w:pStyle w:val="20"/>
        <w:snapToGrid w:val="0"/>
        <w:spacing w:line="400" w:lineRule="exact"/>
        <w:ind w:firstLine="411" w:firstLineChars="196"/>
        <w:rPr>
          <w:rFonts w:hint="eastAsia"/>
          <w:color w:val="000000"/>
        </w:rPr>
      </w:pPr>
      <w:r>
        <w:rPr>
          <w:rFonts w:hint="eastAsia"/>
          <w:color w:val="000000"/>
        </w:rPr>
        <w:t>开户行信息：农行河池分行城东分理处</w:t>
      </w:r>
    </w:p>
    <w:p>
      <w:pPr>
        <w:pStyle w:val="20"/>
        <w:snapToGrid w:val="0"/>
        <w:spacing w:line="400" w:lineRule="exact"/>
        <w:ind w:firstLine="411" w:firstLineChars="196"/>
        <w:rPr>
          <w:color w:val="000000"/>
        </w:rPr>
      </w:pPr>
      <w:r>
        <w:rPr>
          <w:rFonts w:hint="eastAsia"/>
          <w:color w:val="000000"/>
        </w:rPr>
        <w:t>账    号：20506801040002743</w:t>
      </w:r>
    </w:p>
    <w:p>
      <w:pPr>
        <w:pStyle w:val="20"/>
        <w:snapToGrid w:val="0"/>
        <w:spacing w:line="400" w:lineRule="exact"/>
        <w:rPr>
          <w:rFonts w:hint="eastAsia" w:hAnsi="宋体"/>
          <w:color w:val="000000"/>
        </w:rPr>
      </w:pPr>
      <w:r>
        <w:rPr>
          <w:rFonts w:hint="eastAsia" w:hAnsi="宋体"/>
          <w:color w:val="000000"/>
        </w:rPr>
        <w:t>27. 询问、质疑和投诉</w:t>
      </w:r>
    </w:p>
    <w:p>
      <w:pPr>
        <w:pStyle w:val="20"/>
        <w:snapToGrid w:val="0"/>
        <w:spacing w:line="400" w:lineRule="exact"/>
        <w:ind w:firstLine="420" w:firstLineChars="200"/>
        <w:rPr>
          <w:rFonts w:hint="eastAsia" w:hAnsi="宋体"/>
          <w:color w:val="000000"/>
        </w:rPr>
      </w:pPr>
      <w:r>
        <w:rPr>
          <w:rFonts w:hint="eastAsia" w:hAnsi="宋体"/>
          <w:color w:val="000000"/>
        </w:rPr>
        <w:t>27.1供应商对采购活动事项有疑问的，可以向采购人、采购代理机构提出询问。</w:t>
      </w:r>
    </w:p>
    <w:p>
      <w:pPr>
        <w:pStyle w:val="20"/>
        <w:snapToGrid w:val="0"/>
        <w:spacing w:line="400" w:lineRule="exact"/>
        <w:ind w:firstLine="420" w:firstLineChars="200"/>
        <w:rPr>
          <w:rFonts w:hint="eastAsia" w:hAnsi="宋体"/>
          <w:color w:val="000000"/>
        </w:rPr>
      </w:pPr>
      <w:r>
        <w:rPr>
          <w:rFonts w:hint="eastAsia" w:hAnsi="宋体"/>
          <w:color w:val="000000"/>
        </w:rPr>
        <w:t>28.2供应商认为采购文件、采购过程或成交结果使自己的合法权益受到损害的，应当在知道或者应知其权益受到损害之日起三个工作日内，以书面形式向采购人、采购代理机构提出质疑。具体计算时间如下：</w:t>
      </w:r>
    </w:p>
    <w:p>
      <w:pPr>
        <w:spacing w:line="400" w:lineRule="exact"/>
        <w:ind w:left="417" w:leftChars="150" w:hanging="102" w:hangingChars="49"/>
        <w:rPr>
          <w:rFonts w:hAnsi="宋体"/>
          <w:color w:val="000000"/>
        </w:rPr>
      </w:pPr>
      <w:r>
        <w:rPr>
          <w:rFonts w:hAnsi="宋体"/>
          <w:color w:val="000000"/>
        </w:rPr>
        <w:t>（一）对可以质疑的</w:t>
      </w:r>
      <w:r>
        <w:rPr>
          <w:rFonts w:hint="eastAsia" w:hAnsi="宋体"/>
          <w:color w:val="000000"/>
        </w:rPr>
        <w:t>采购</w:t>
      </w:r>
      <w:r>
        <w:rPr>
          <w:rFonts w:hAnsi="宋体"/>
          <w:color w:val="000000"/>
        </w:rPr>
        <w:t>文件提出质疑的，为收到采购文件之日；</w:t>
      </w:r>
    </w:p>
    <w:p>
      <w:pPr>
        <w:spacing w:line="400" w:lineRule="exact"/>
        <w:ind w:left="417" w:leftChars="150" w:hanging="102" w:hangingChars="49"/>
        <w:rPr>
          <w:rFonts w:hint="eastAsia" w:hAnsi="宋体"/>
          <w:color w:val="000000"/>
        </w:rPr>
      </w:pPr>
      <w:r>
        <w:rPr>
          <w:rFonts w:hAnsi="宋体"/>
          <w:color w:val="000000"/>
        </w:rPr>
        <w:t>（二）对</w:t>
      </w:r>
      <w:r>
        <w:rPr>
          <w:rFonts w:hint="eastAsia" w:hAnsi="宋体"/>
          <w:color w:val="000000"/>
        </w:rPr>
        <w:t>采购</w:t>
      </w:r>
      <w:r>
        <w:rPr>
          <w:rFonts w:hAnsi="宋体"/>
          <w:color w:val="000000"/>
        </w:rPr>
        <w:t>过程提出质疑的，为各采购程序环节结束之日；</w:t>
      </w:r>
    </w:p>
    <w:p>
      <w:pPr>
        <w:spacing w:line="400" w:lineRule="exact"/>
        <w:ind w:left="417" w:leftChars="150" w:hanging="102" w:hangingChars="49"/>
        <w:rPr>
          <w:rFonts w:hint="eastAsia" w:hAnsi="宋体"/>
          <w:color w:val="000000"/>
        </w:rPr>
      </w:pPr>
      <w:r>
        <w:rPr>
          <w:rFonts w:hAnsi="宋体"/>
          <w:color w:val="000000"/>
        </w:rPr>
        <w:t>（三）对</w:t>
      </w:r>
      <w:r>
        <w:rPr>
          <w:rFonts w:hint="eastAsia" w:hAnsi="宋体"/>
          <w:color w:val="000000"/>
        </w:rPr>
        <w:t>成交</w:t>
      </w:r>
      <w:r>
        <w:rPr>
          <w:rFonts w:hAnsi="宋体"/>
          <w:color w:val="000000"/>
        </w:rPr>
        <w:t>结果提出质疑的，为</w:t>
      </w:r>
      <w:r>
        <w:rPr>
          <w:rFonts w:hint="eastAsia" w:hAnsi="宋体"/>
          <w:color w:val="000000"/>
        </w:rPr>
        <w:t>成交</w:t>
      </w:r>
      <w:r>
        <w:rPr>
          <w:rFonts w:hAnsi="宋体"/>
          <w:color w:val="000000"/>
        </w:rPr>
        <w:t>结果公告期限届满之日。</w:t>
      </w:r>
    </w:p>
    <w:p>
      <w:pPr>
        <w:spacing w:line="400" w:lineRule="exact"/>
        <w:ind w:firstLine="420" w:firstLineChars="200"/>
        <w:rPr>
          <w:rFonts w:hint="eastAsia" w:hAnsi="宋体"/>
          <w:color w:val="000000"/>
        </w:rPr>
      </w:pPr>
      <w:r>
        <w:rPr>
          <w:rFonts w:hint="eastAsia" w:hAnsi="宋体"/>
          <w:color w:val="000000"/>
        </w:rPr>
        <w:t>供应商对的质疑答复不满意或者采购人或采购代理机构未在规定时间内作出答复的，可以在答复期满后十五个工作日内向同级监管部门投诉。</w:t>
      </w:r>
    </w:p>
    <w:p>
      <w:pPr>
        <w:spacing w:line="400" w:lineRule="exact"/>
        <w:ind w:firstLine="420" w:firstLineChars="200"/>
        <w:rPr>
          <w:rFonts w:hint="eastAsia" w:hAnsi="宋体"/>
          <w:color w:val="000000"/>
          <w:u w:val="single"/>
        </w:rPr>
      </w:pPr>
      <w:r>
        <w:rPr>
          <w:rFonts w:hint="eastAsia" w:ascii="宋体" w:hAnsi="宋体"/>
          <w:color w:val="000000"/>
        </w:rPr>
        <w:t>27.3质疑</w:t>
      </w:r>
      <w:r>
        <w:rPr>
          <w:rFonts w:hint="eastAsia" w:hAnsi="宋体"/>
          <w:color w:val="000000"/>
        </w:rPr>
        <w:t>、投诉应当采用书面形式，质疑书、投诉书均应明确阐述采购文件、采购过程、成交结果中使自己合法权益受到损害的实质性内容，提供相关事实、明确的请求、必要的证明材料，便于有关单位调查、答复和处理。</w:t>
      </w:r>
    </w:p>
    <w:p>
      <w:pPr>
        <w:pStyle w:val="20"/>
        <w:snapToGrid w:val="0"/>
        <w:spacing w:line="400" w:lineRule="exact"/>
        <w:rPr>
          <w:rFonts w:hint="eastAsia"/>
          <w:b/>
          <w:color w:val="000000"/>
        </w:rPr>
      </w:pPr>
      <w:r>
        <w:rPr>
          <w:rFonts w:hint="eastAsia" w:hAnsi="宋体"/>
          <w:color w:val="000000"/>
        </w:rPr>
        <w:t>28.</w:t>
      </w:r>
      <w:r>
        <w:rPr>
          <w:rFonts w:hint="eastAsia" w:hAnsi="宋体"/>
          <w:color w:val="000000"/>
          <w:szCs w:val="21"/>
        </w:rPr>
        <w:t>解释权：本竞争性磋商文件的解释权属于采购代理机构。</w:t>
      </w:r>
      <w:bookmarkEnd w:id="14"/>
      <w:r>
        <w:rPr>
          <w:rFonts w:hint="eastAsia"/>
          <w:color w:val="000000"/>
          <w:sz w:val="32"/>
        </w:rPr>
        <w:t xml:space="preserve"> </w:t>
      </w:r>
    </w:p>
    <w:p>
      <w:pPr>
        <w:pStyle w:val="3"/>
        <w:rPr>
          <w:rFonts w:hint="eastAsia"/>
          <w:color w:val="000000"/>
        </w:rPr>
      </w:pPr>
      <w:r>
        <w:rPr>
          <w:color w:val="000000"/>
        </w:rPr>
        <w:br w:type="page"/>
      </w:r>
      <w:bookmarkStart w:id="16" w:name="_Toc764"/>
      <w:r>
        <w:rPr>
          <w:rFonts w:hint="eastAsia"/>
          <w:color w:val="000000"/>
        </w:rPr>
        <w:t>第三章</w:t>
      </w:r>
      <w:bookmarkStart w:id="17" w:name="_Toc381103830"/>
      <w:r>
        <w:rPr>
          <w:rFonts w:hint="eastAsia"/>
          <w:color w:val="000000"/>
        </w:rPr>
        <w:t xml:space="preserve">  </w:t>
      </w:r>
      <w:r>
        <w:rPr>
          <w:color w:val="000000"/>
        </w:rPr>
        <w:t>服务需求一览表</w:t>
      </w:r>
      <w:bookmarkEnd w:id="16"/>
      <w:bookmarkEnd w:id="17"/>
    </w:p>
    <w:p>
      <w:pPr>
        <w:adjustRightInd w:val="0"/>
        <w:snapToGrid w:val="0"/>
        <w:spacing w:line="360" w:lineRule="auto"/>
        <w:rPr>
          <w:rFonts w:hint="eastAsia"/>
          <w:b/>
          <w:color w:val="000000"/>
          <w:sz w:val="24"/>
        </w:rPr>
      </w:pPr>
      <w:r>
        <w:rPr>
          <w:rFonts w:hint="eastAsia"/>
          <w:b/>
          <w:color w:val="000000"/>
          <w:sz w:val="24"/>
        </w:rPr>
        <w:t>一、项目内容</w:t>
      </w:r>
    </w:p>
    <w:p>
      <w:pPr>
        <w:adjustRightInd w:val="0"/>
        <w:snapToGrid w:val="0"/>
        <w:spacing w:line="360" w:lineRule="auto"/>
        <w:rPr>
          <w:rFonts w:hint="eastAsia"/>
          <w:b/>
          <w:color w:val="000000"/>
          <w:sz w:val="24"/>
        </w:rPr>
      </w:pPr>
      <w:r>
        <w:rPr>
          <w:rFonts w:hint="eastAsia"/>
          <w:b/>
          <w:color w:val="000000"/>
          <w:sz w:val="24"/>
        </w:rPr>
        <w:t>（一）监测项目</w:t>
      </w:r>
      <w:bookmarkStart w:id="18" w:name="_Toc254970490"/>
      <w:bookmarkStart w:id="19" w:name="_Toc254970631"/>
    </w:p>
    <w:p>
      <w:pPr>
        <w:adjustRightInd w:val="0"/>
        <w:snapToGrid w:val="0"/>
        <w:spacing w:line="360" w:lineRule="auto"/>
        <w:rPr>
          <w:rFonts w:hint="eastAsia" w:ascii="宋体" w:hAnsi="宋体"/>
          <w:color w:val="000000"/>
          <w:sz w:val="24"/>
        </w:rPr>
      </w:pPr>
      <w:r>
        <w:rPr>
          <w:rFonts w:hint="eastAsia" w:ascii="宋体" w:hAnsi="宋体"/>
          <w:color w:val="000000"/>
          <w:sz w:val="24"/>
        </w:rPr>
        <w:t>项目名称：河池市机动车排放摇感监测系统二期项目</w:t>
      </w:r>
    </w:p>
    <w:p>
      <w:pPr>
        <w:adjustRightInd w:val="0"/>
        <w:snapToGrid w:val="0"/>
        <w:spacing w:line="360" w:lineRule="auto"/>
        <w:rPr>
          <w:rFonts w:hint="eastAsia"/>
          <w:b/>
          <w:color w:val="000000"/>
          <w:sz w:val="24"/>
        </w:rPr>
      </w:pPr>
      <w:r>
        <w:rPr>
          <w:rFonts w:hint="eastAsia" w:ascii="宋体" w:hAnsi="宋体"/>
          <w:b/>
          <w:bCs/>
          <w:color w:val="000000"/>
          <w:sz w:val="24"/>
        </w:rPr>
        <w:t>二、服务</w:t>
      </w:r>
      <w:r>
        <w:rPr>
          <w:rFonts w:hint="eastAsia"/>
          <w:b/>
          <w:color w:val="000000"/>
          <w:sz w:val="24"/>
        </w:rPr>
        <w:t>内容</w:t>
      </w:r>
    </w:p>
    <w:bookmarkEnd w:id="18"/>
    <w:bookmarkEnd w:id="19"/>
    <w:tbl>
      <w:tblPr>
        <w:tblStyle w:val="41"/>
        <w:tblW w:w="48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47"/>
        <w:gridCol w:w="1788"/>
        <w:gridCol w:w="4405"/>
        <w:gridCol w:w="774"/>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blHeader/>
          <w:jc w:val="center"/>
        </w:trPr>
        <w:tc>
          <w:tcPr>
            <w:tcW w:w="593" w:type="pct"/>
            <w:tcBorders>
              <w:top w:val="single" w:color="auto" w:sz="4" w:space="0"/>
              <w:left w:val="single" w:color="auto" w:sz="4" w:space="0"/>
              <w:bottom w:val="single" w:color="auto" w:sz="4" w:space="0"/>
              <w:right w:val="single" w:color="auto" w:sz="4" w:space="0"/>
            </w:tcBorders>
            <w:shd w:val="clear" w:color="auto" w:fill="F2F2F2"/>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宋体" w:eastAsia="宋体" w:cs="Times New Roman"/>
                <w:b/>
                <w:bCs/>
                <w:sz w:val="24"/>
              </w:rPr>
              <w:t>序号</w:t>
            </w:r>
          </w:p>
        </w:tc>
        <w:tc>
          <w:tcPr>
            <w:tcW w:w="1012" w:type="pct"/>
            <w:tcBorders>
              <w:top w:val="single" w:color="auto" w:sz="4" w:space="0"/>
              <w:left w:val="nil"/>
              <w:bottom w:val="single" w:color="auto" w:sz="4" w:space="0"/>
              <w:right w:val="single" w:color="auto" w:sz="4" w:space="0"/>
            </w:tcBorders>
            <w:shd w:val="clear" w:color="auto" w:fill="F2F2F2"/>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宋体" w:eastAsia="宋体" w:cs="Times New Roman"/>
                <w:b/>
                <w:bCs/>
                <w:sz w:val="24"/>
              </w:rPr>
              <w:t>系统单元</w:t>
            </w:r>
          </w:p>
        </w:tc>
        <w:tc>
          <w:tcPr>
            <w:tcW w:w="2493" w:type="pct"/>
            <w:tcBorders>
              <w:top w:val="single" w:color="auto" w:sz="4" w:space="0"/>
              <w:left w:val="nil"/>
              <w:bottom w:val="single" w:color="auto" w:sz="4" w:space="0"/>
              <w:right w:val="single" w:color="auto" w:sz="4" w:space="0"/>
            </w:tcBorders>
            <w:shd w:val="clear" w:color="auto" w:fill="F2F2F2"/>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宋体" w:eastAsia="宋体" w:cs="Times New Roman"/>
                <w:b/>
                <w:bCs/>
                <w:sz w:val="24"/>
              </w:rPr>
              <w:t>技术参数</w:t>
            </w:r>
          </w:p>
        </w:tc>
        <w:tc>
          <w:tcPr>
            <w:tcW w:w="438" w:type="pct"/>
            <w:tcBorders>
              <w:top w:val="single" w:color="auto" w:sz="4" w:space="0"/>
              <w:left w:val="nil"/>
              <w:bottom w:val="single" w:color="auto" w:sz="4" w:space="0"/>
              <w:right w:val="single" w:color="auto" w:sz="4" w:space="0"/>
            </w:tcBorders>
            <w:shd w:val="clear" w:color="auto" w:fill="F2F2F2"/>
            <w:noWrap w:val="0"/>
            <w:tcMar>
              <w:top w:w="0" w:type="dxa"/>
              <w:left w:w="108" w:type="dxa"/>
              <w:bottom w:w="0" w:type="dxa"/>
              <w:right w:w="108" w:type="dxa"/>
            </w:tcMar>
            <w:vAlign w:val="center"/>
          </w:tcPr>
          <w:p>
            <w:pPr>
              <w:spacing w:line="280" w:lineRule="exact"/>
              <w:jc w:val="center"/>
              <w:rPr>
                <w:rFonts w:hint="eastAsia" w:ascii="Times New Roman" w:hAnsi="宋体" w:eastAsia="宋体" w:cs="Times New Roman"/>
                <w:b/>
                <w:bCs/>
                <w:sz w:val="24"/>
              </w:rPr>
            </w:pPr>
            <w:r>
              <w:rPr>
                <w:rFonts w:hint="eastAsia" w:ascii="Times New Roman" w:hAnsi="宋体" w:eastAsia="宋体" w:cs="Times New Roman"/>
                <w:b/>
                <w:bCs/>
                <w:sz w:val="24"/>
              </w:rPr>
              <w:t>数量</w:t>
            </w:r>
          </w:p>
        </w:tc>
        <w:tc>
          <w:tcPr>
            <w:tcW w:w="461" w:type="pct"/>
            <w:tcBorders>
              <w:top w:val="single" w:color="auto" w:sz="4" w:space="0"/>
              <w:left w:val="nil"/>
              <w:bottom w:val="single" w:color="auto" w:sz="4" w:space="0"/>
              <w:right w:val="single" w:color="auto" w:sz="4" w:space="0"/>
            </w:tcBorders>
            <w:shd w:val="clear" w:color="auto" w:fill="F2F2F2"/>
            <w:noWrap w:val="0"/>
            <w:tcMar>
              <w:top w:w="0" w:type="dxa"/>
              <w:left w:w="108" w:type="dxa"/>
              <w:bottom w:w="0" w:type="dxa"/>
              <w:right w:w="108" w:type="dxa"/>
            </w:tcMar>
            <w:vAlign w:val="center"/>
          </w:tcPr>
          <w:p>
            <w:pPr>
              <w:spacing w:line="280" w:lineRule="exact"/>
              <w:jc w:val="center"/>
              <w:rPr>
                <w:rFonts w:hint="eastAsia" w:ascii="Times New Roman" w:hAnsi="宋体" w:eastAsia="宋体" w:cs="Times New Roman"/>
                <w:b/>
                <w:bCs/>
                <w:sz w:val="24"/>
              </w:rPr>
            </w:pPr>
            <w:r>
              <w:rPr>
                <w:rFonts w:hint="eastAsia" w:ascii="Times New Roman" w:hAnsi="宋体" w:eastAsia="宋体" w:cs="Times New Roman"/>
                <w:b/>
                <w:bCs/>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4099" w:type="pct"/>
            <w:gridSpan w:val="3"/>
            <w:tcBorders>
              <w:top w:val="nil"/>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sz w:val="24"/>
              </w:rPr>
            </w:pPr>
            <w:r>
              <w:rPr>
                <w:rFonts w:ascii="Times New Roman" w:hAnsi="Times New Roman" w:eastAsia="宋体" w:cs="Times New Roman"/>
                <w:b/>
                <w:bCs/>
                <w:sz w:val="24"/>
              </w:rPr>
              <w:t>1.</w:t>
            </w:r>
          </w:p>
        </w:tc>
        <w:tc>
          <w:tcPr>
            <w:tcW w:w="438" w:type="pct"/>
            <w:tcBorders>
              <w:top w:val="nil"/>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p>
        </w:tc>
        <w:tc>
          <w:tcPr>
            <w:tcW w:w="461" w:type="pct"/>
            <w:tcBorders>
              <w:top w:val="nil"/>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1</w:t>
            </w:r>
          </w:p>
        </w:tc>
        <w:tc>
          <w:tcPr>
            <w:tcW w:w="1012" w:type="pct"/>
            <w:vMerge w:val="restar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rPr>
                <w:rFonts w:ascii="Times New Roman" w:hAnsi="Times New Roman" w:eastAsia="宋体" w:cs="Times New Roman"/>
              </w:rPr>
            </w:pPr>
            <w:r>
              <w:rPr>
                <w:rFonts w:hint="eastAsia" w:ascii="宋体" w:hAnsi="宋体" w:eastAsia="宋体" w:cs="Times New Roman"/>
                <w:b/>
                <w:bCs/>
                <w:sz w:val="24"/>
              </w:rPr>
              <w:t>固定水平式机动车尾气遥感检测单元</w:t>
            </w:r>
          </w:p>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Times New Roman" w:eastAsia="宋体" w:cs="Times New Roman"/>
                <w:b/>
                <w:bCs/>
                <w:sz w:val="24"/>
              </w:rPr>
              <w:t>1.1</w:t>
            </w:r>
            <w:r>
              <w:rPr>
                <w:rFonts w:ascii="Times New Roman" w:hAnsi="宋体" w:eastAsia="宋体" w:cs="Times New Roman"/>
                <w:b/>
                <w:bCs/>
                <w:sz w:val="24"/>
              </w:rPr>
              <w:t>监测项目</w:t>
            </w:r>
            <w:r>
              <w:rPr>
                <w:rFonts w:ascii="Times New Roman" w:hAnsi="宋体" w:eastAsia="宋体" w:cs="Times New Roman"/>
                <w:sz w:val="24"/>
              </w:rPr>
              <w:t>一氧化碳</w:t>
            </w:r>
            <w:r>
              <w:rPr>
                <w:rFonts w:ascii="Times New Roman" w:hAnsi="Times New Roman" w:eastAsia="宋体" w:cs="Times New Roman"/>
                <w:sz w:val="24"/>
              </w:rPr>
              <w:t>(CO)</w:t>
            </w:r>
            <w:r>
              <w:rPr>
                <w:rFonts w:ascii="Times New Roman" w:hAnsi="宋体" w:eastAsia="宋体" w:cs="Times New Roman"/>
                <w:sz w:val="24"/>
              </w:rPr>
              <w:t>、二氧化碳</w:t>
            </w:r>
            <w:r>
              <w:rPr>
                <w:rFonts w:ascii="Times New Roman" w:hAnsi="Times New Roman" w:eastAsia="宋体" w:cs="Times New Roman"/>
                <w:sz w:val="24"/>
              </w:rPr>
              <w:t>(CO2)</w:t>
            </w:r>
            <w:r>
              <w:rPr>
                <w:rFonts w:ascii="Times New Roman" w:hAnsi="宋体" w:eastAsia="宋体" w:cs="Times New Roman"/>
                <w:sz w:val="24"/>
              </w:rPr>
              <w:t>、碳氢化合物</w:t>
            </w:r>
            <w:r>
              <w:rPr>
                <w:rFonts w:ascii="Times New Roman" w:hAnsi="Times New Roman" w:eastAsia="宋体" w:cs="Times New Roman"/>
                <w:sz w:val="24"/>
              </w:rPr>
              <w:t>(HC)</w:t>
            </w:r>
            <w:r>
              <w:rPr>
                <w:rFonts w:ascii="Times New Roman" w:hAnsi="宋体" w:eastAsia="宋体" w:cs="Times New Roman"/>
                <w:sz w:val="24"/>
              </w:rPr>
              <w:t>、一氧化氮</w:t>
            </w:r>
            <w:r>
              <w:rPr>
                <w:rFonts w:ascii="Times New Roman" w:hAnsi="Times New Roman" w:eastAsia="宋体" w:cs="Times New Roman"/>
                <w:sz w:val="24"/>
              </w:rPr>
              <w:t>(NO)</w:t>
            </w:r>
            <w:r>
              <w:rPr>
                <w:rFonts w:ascii="Times New Roman" w:hAnsi="宋体" w:eastAsia="宋体" w:cs="Times New Roman"/>
                <w:sz w:val="24"/>
              </w:rPr>
              <w:t>、不透光烟度、黑烟车视频及图像、林格曼等级、车流量等。满足对汽油车、柴油车和燃气车车辆排气污染物的检测需求。</w:t>
            </w:r>
          </w:p>
        </w:tc>
        <w:tc>
          <w:tcPr>
            <w:tcW w:w="438" w:type="pct"/>
            <w:vMerge w:val="restar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hint="eastAsia" w:ascii="Times New Roman" w:hAnsi="Times New Roman" w:eastAsia="宋体" w:cs="Times New Roman"/>
                <w:sz w:val="24"/>
              </w:rPr>
              <w:t>1</w:t>
            </w:r>
          </w:p>
        </w:tc>
        <w:tc>
          <w:tcPr>
            <w:tcW w:w="461" w:type="pct"/>
            <w:vMerge w:val="restar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hint="eastAsia" w:ascii="Times New Roman" w:hAnsi="Times New Roman" w:eastAsia="宋体" w:cs="Times New Roman"/>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ascii="Times New Roman" w:hAnsi="Times New Roman" w:eastAsia="宋体" w:cs="Times New Roman"/>
                <w:b/>
                <w:bCs/>
                <w:sz w:val="24"/>
              </w:rPr>
            </w:pPr>
          </w:p>
        </w:tc>
        <w:tc>
          <w:tcPr>
            <w:tcW w:w="1012"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Times New Roman" w:eastAsia="宋体" w:cs="Times New Roman"/>
                <w:b/>
                <w:bCs/>
                <w:sz w:val="24"/>
              </w:rPr>
              <w:t>1.2</w:t>
            </w:r>
            <w:r>
              <w:rPr>
                <w:rFonts w:ascii="Times New Roman" w:hAnsi="宋体" w:eastAsia="宋体" w:cs="Times New Roman"/>
                <w:b/>
                <w:bCs/>
                <w:sz w:val="24"/>
              </w:rPr>
              <w:t>测量原理</w:t>
            </w:r>
            <w:r>
              <w:rPr>
                <w:rFonts w:ascii="Times New Roman" w:hAnsi="Times New Roman" w:eastAsia="宋体" w:cs="Times New Roman"/>
                <w:sz w:val="24"/>
              </w:rPr>
              <w:t>▲</w:t>
            </w:r>
            <w:r>
              <w:rPr>
                <w:rFonts w:ascii="Times New Roman" w:hAnsi="宋体" w:eastAsia="宋体" w:cs="Times New Roman"/>
                <w:sz w:val="24"/>
              </w:rPr>
              <w:t>汽油发动机汽车排气污染物排放的</w:t>
            </w:r>
            <w:r>
              <w:rPr>
                <w:rFonts w:ascii="Times New Roman" w:hAnsi="Times New Roman" w:eastAsia="宋体" w:cs="Times New Roman"/>
                <w:sz w:val="24"/>
              </w:rPr>
              <w:t>CO</w:t>
            </w:r>
            <w:r>
              <w:rPr>
                <w:rFonts w:ascii="Times New Roman" w:hAnsi="宋体" w:eastAsia="宋体" w:cs="Times New Roman"/>
                <w:sz w:val="24"/>
              </w:rPr>
              <w:t>、</w:t>
            </w:r>
            <w:r>
              <w:rPr>
                <w:rFonts w:ascii="Times New Roman" w:hAnsi="Times New Roman" w:eastAsia="宋体" w:cs="Times New Roman"/>
                <w:sz w:val="24"/>
              </w:rPr>
              <w:t>CO2</w:t>
            </w:r>
            <w:r>
              <w:rPr>
                <w:rFonts w:ascii="Times New Roman" w:hAnsi="宋体" w:eastAsia="宋体" w:cs="Times New Roman"/>
                <w:sz w:val="24"/>
              </w:rPr>
              <w:t>、</w:t>
            </w:r>
            <w:r>
              <w:rPr>
                <w:rFonts w:ascii="Times New Roman" w:hAnsi="Times New Roman" w:eastAsia="宋体" w:cs="Times New Roman"/>
                <w:sz w:val="24"/>
              </w:rPr>
              <w:t>HC</w:t>
            </w:r>
            <w:r>
              <w:rPr>
                <w:rFonts w:ascii="Times New Roman" w:hAnsi="宋体" w:eastAsia="宋体" w:cs="Times New Roman"/>
                <w:sz w:val="24"/>
              </w:rPr>
              <w:t>、</w:t>
            </w:r>
            <w:r>
              <w:rPr>
                <w:rFonts w:ascii="Times New Roman" w:hAnsi="Times New Roman" w:eastAsia="宋体" w:cs="Times New Roman"/>
                <w:sz w:val="24"/>
              </w:rPr>
              <w:t>NO</w:t>
            </w:r>
            <w:r>
              <w:rPr>
                <w:rFonts w:ascii="Times New Roman" w:hAnsi="宋体" w:eastAsia="宋体" w:cs="Times New Roman"/>
                <w:sz w:val="24"/>
              </w:rPr>
              <w:t>测量，分别采用单独的激光器进行测量。</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）柴油发动机排气烟度测量，其不透光烟度应采用国标绿光（激光波长</w:t>
            </w:r>
            <w:r>
              <w:rPr>
                <w:rFonts w:ascii="Times New Roman" w:hAnsi="Times New Roman" w:eastAsia="宋体" w:cs="Times New Roman"/>
                <w:sz w:val="24"/>
              </w:rPr>
              <w:t>550-570nm</w:t>
            </w:r>
            <w:r>
              <w:rPr>
                <w:rFonts w:ascii="Times New Roman" w:hAnsi="宋体" w:eastAsia="宋体" w:cs="Times New Roman"/>
                <w:sz w:val="24"/>
              </w:rPr>
              <w:t>）不透光烟度值（符合</w:t>
            </w:r>
            <w:r>
              <w:rPr>
                <w:rFonts w:ascii="Times New Roman" w:hAnsi="Times New Roman" w:eastAsia="宋体" w:cs="Times New Roman"/>
                <w:sz w:val="24"/>
              </w:rPr>
              <w:t>GB3847-2005</w:t>
            </w:r>
            <w:r>
              <w:rPr>
                <w:rFonts w:ascii="Times New Roman" w:hAnsi="宋体" w:eastAsia="宋体" w:cs="Times New Roman"/>
                <w:sz w:val="24"/>
              </w:rPr>
              <w:t>光谱要求）；</w:t>
            </w:r>
          </w:p>
        </w:tc>
        <w:tc>
          <w:tcPr>
            <w:tcW w:w="438"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c>
          <w:tcPr>
            <w:tcW w:w="461"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left"/>
              <w:rPr>
                <w:rFonts w:ascii="Times New Roman" w:hAnsi="Times New Roman" w:eastAsia="宋体" w:cs="Times New Roman"/>
                <w:b/>
                <w:bCs/>
                <w:sz w:val="24"/>
              </w:rPr>
            </w:pPr>
          </w:p>
        </w:tc>
        <w:tc>
          <w:tcPr>
            <w:tcW w:w="1012"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Times New Roman" w:eastAsia="宋体" w:cs="Times New Roman"/>
                <w:b/>
                <w:bCs/>
                <w:sz w:val="24"/>
              </w:rPr>
              <w:t>1.3</w:t>
            </w:r>
            <w:r>
              <w:rPr>
                <w:rFonts w:ascii="Times New Roman" w:hAnsi="宋体" w:eastAsia="宋体" w:cs="Times New Roman"/>
                <w:b/>
                <w:bCs/>
                <w:sz w:val="24"/>
              </w:rPr>
              <w:t>测量范围</w:t>
            </w: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w:t>
            </w:r>
            <w:r>
              <w:rPr>
                <w:rFonts w:ascii="Times New Roman" w:hAnsi="Times New Roman" w:eastAsia="宋体" w:cs="Times New Roman"/>
                <w:sz w:val="24"/>
              </w:rPr>
              <w:t>CO</w:t>
            </w:r>
            <w:r>
              <w:rPr>
                <w:rFonts w:ascii="Times New Roman" w:hAnsi="宋体" w:eastAsia="宋体" w:cs="Times New Roman"/>
                <w:sz w:val="24"/>
              </w:rPr>
              <w:t>：（</w:t>
            </w:r>
            <w:r>
              <w:rPr>
                <w:rFonts w:ascii="Times New Roman" w:hAnsi="Times New Roman" w:eastAsia="宋体" w:cs="Times New Roman"/>
                <w:sz w:val="24"/>
              </w:rPr>
              <w:t>0</w:t>
            </w:r>
            <w:r>
              <w:rPr>
                <w:rFonts w:ascii="Times New Roman" w:hAnsi="宋体" w:eastAsia="宋体" w:cs="Times New Roman"/>
                <w:sz w:val="24"/>
              </w:rPr>
              <w:t>～</w:t>
            </w:r>
            <w:r>
              <w:rPr>
                <w:rFonts w:ascii="Times New Roman" w:hAnsi="Times New Roman" w:eastAsia="宋体" w:cs="Times New Roman"/>
                <w:sz w:val="24"/>
              </w:rPr>
              <w:t>10</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w:t>
            </w:r>
            <w:r>
              <w:rPr>
                <w:rFonts w:ascii="Times New Roman" w:hAnsi="Times New Roman" w:eastAsia="宋体" w:cs="Times New Roman"/>
                <w:sz w:val="24"/>
              </w:rPr>
              <w:t>CO2</w:t>
            </w:r>
            <w:r>
              <w:rPr>
                <w:rFonts w:ascii="Times New Roman" w:hAnsi="宋体" w:eastAsia="宋体" w:cs="Times New Roman"/>
                <w:sz w:val="24"/>
              </w:rPr>
              <w:t>：（</w:t>
            </w:r>
            <w:r>
              <w:rPr>
                <w:rFonts w:ascii="Times New Roman" w:hAnsi="Times New Roman" w:eastAsia="宋体" w:cs="Times New Roman"/>
                <w:sz w:val="24"/>
              </w:rPr>
              <w:t>0</w:t>
            </w:r>
            <w:r>
              <w:rPr>
                <w:rFonts w:ascii="Times New Roman" w:hAnsi="宋体" w:eastAsia="宋体" w:cs="Times New Roman"/>
                <w:sz w:val="24"/>
              </w:rPr>
              <w:t>～</w:t>
            </w:r>
            <w:r>
              <w:rPr>
                <w:rFonts w:ascii="Times New Roman" w:hAnsi="Times New Roman" w:eastAsia="宋体" w:cs="Times New Roman"/>
                <w:sz w:val="24"/>
              </w:rPr>
              <w:t>16</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3</w:t>
            </w:r>
            <w:r>
              <w:rPr>
                <w:rFonts w:ascii="Times New Roman" w:hAnsi="宋体" w:eastAsia="宋体" w:cs="Times New Roman"/>
                <w:sz w:val="24"/>
              </w:rPr>
              <w:t>）</w:t>
            </w:r>
            <w:r>
              <w:rPr>
                <w:rFonts w:ascii="Times New Roman" w:hAnsi="Times New Roman" w:eastAsia="宋体" w:cs="Times New Roman"/>
                <w:sz w:val="24"/>
              </w:rPr>
              <w:t>HC≤10000ppm</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4</w:t>
            </w:r>
            <w:r>
              <w:rPr>
                <w:rFonts w:ascii="Times New Roman" w:hAnsi="宋体" w:eastAsia="宋体" w:cs="Times New Roman"/>
                <w:sz w:val="24"/>
              </w:rPr>
              <w:t>）</w:t>
            </w:r>
            <w:r>
              <w:rPr>
                <w:rFonts w:ascii="Times New Roman" w:hAnsi="Times New Roman" w:eastAsia="宋体" w:cs="Times New Roman"/>
                <w:sz w:val="24"/>
              </w:rPr>
              <w:t>NO≤10000ppm</w:t>
            </w:r>
            <w:r>
              <w:rPr>
                <w:rFonts w:ascii="Times New Roman" w:hAnsi="宋体" w:eastAsia="宋体" w:cs="Times New Roman"/>
                <w:sz w:val="24"/>
              </w:rPr>
              <w:t>；</w:t>
            </w:r>
          </w:p>
          <w:p>
            <w:pPr>
              <w:spacing w:line="280" w:lineRule="exact"/>
              <w:rPr>
                <w:rFonts w:ascii="Times New Roman" w:hAnsi="宋体"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5</w:t>
            </w:r>
            <w:r>
              <w:rPr>
                <w:rFonts w:ascii="Times New Roman" w:hAnsi="宋体" w:eastAsia="宋体" w:cs="Times New Roman"/>
                <w:sz w:val="24"/>
              </w:rPr>
              <w:t>）不透光烟度（</w:t>
            </w:r>
            <w:r>
              <w:rPr>
                <w:rFonts w:ascii="Times New Roman" w:hAnsi="Times New Roman" w:eastAsia="宋体" w:cs="Times New Roman"/>
                <w:sz w:val="24"/>
              </w:rPr>
              <w:t>0</w:t>
            </w:r>
            <w:r>
              <w:rPr>
                <w:rFonts w:ascii="Times New Roman" w:hAnsi="宋体" w:eastAsia="宋体" w:cs="Times New Roman"/>
                <w:sz w:val="24"/>
              </w:rPr>
              <w:t>～</w:t>
            </w:r>
            <w:r>
              <w:rPr>
                <w:rFonts w:ascii="Times New Roman" w:hAnsi="Times New Roman" w:eastAsia="宋体" w:cs="Times New Roman"/>
                <w:sz w:val="24"/>
              </w:rPr>
              <w:t>100</w:t>
            </w:r>
            <w:r>
              <w:rPr>
                <w:rFonts w:ascii="Times New Roman" w:hAnsi="宋体" w:eastAsia="宋体" w:cs="Times New Roman"/>
                <w:sz w:val="24"/>
              </w:rPr>
              <w:t>）</w:t>
            </w:r>
            <w:r>
              <w:rPr>
                <w:rFonts w:ascii="Times New Roman" w:hAnsi="Times New Roman" w:eastAsia="宋体" w:cs="Times New Roman"/>
                <w:sz w:val="24"/>
              </w:rPr>
              <w:t>%</w:t>
            </w:r>
          </w:p>
        </w:tc>
        <w:tc>
          <w:tcPr>
            <w:tcW w:w="438"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p>
        </w:tc>
        <w:tc>
          <w:tcPr>
            <w:tcW w:w="461"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left"/>
              <w:rPr>
                <w:rFonts w:ascii="Times New Roman" w:hAnsi="Times New Roman" w:eastAsia="宋体" w:cs="Times New Roman"/>
                <w:b/>
                <w:bCs/>
                <w:sz w:val="24"/>
              </w:rPr>
            </w:pPr>
          </w:p>
        </w:tc>
        <w:tc>
          <w:tcPr>
            <w:tcW w:w="1012"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Times New Roman" w:eastAsia="宋体" w:cs="Times New Roman"/>
                <w:b/>
                <w:bCs/>
                <w:sz w:val="24"/>
              </w:rPr>
              <w:t>1.4</w:t>
            </w:r>
            <w:r>
              <w:rPr>
                <w:rFonts w:ascii="Times New Roman" w:hAnsi="宋体" w:eastAsia="宋体" w:cs="Times New Roman"/>
                <w:b/>
                <w:bCs/>
                <w:sz w:val="24"/>
              </w:rPr>
              <w:t>测量精度</w:t>
            </w: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w:t>
            </w:r>
            <w:r>
              <w:rPr>
                <w:rFonts w:ascii="Times New Roman" w:hAnsi="Times New Roman" w:eastAsia="宋体" w:cs="Times New Roman"/>
                <w:sz w:val="24"/>
              </w:rPr>
              <w:t>CO</w:t>
            </w:r>
            <w:r>
              <w:rPr>
                <w:rFonts w:ascii="Times New Roman" w:hAnsi="宋体" w:eastAsia="宋体" w:cs="Times New Roman"/>
                <w:sz w:val="24"/>
              </w:rPr>
              <w:t>精度：相对误差</w:t>
            </w:r>
            <w:r>
              <w:rPr>
                <w:rFonts w:ascii="Times New Roman" w:hAnsi="Times New Roman" w:eastAsia="宋体" w:cs="Times New Roman"/>
                <w:sz w:val="24"/>
              </w:rPr>
              <w:t>±10%</w:t>
            </w:r>
            <w:r>
              <w:rPr>
                <w:rFonts w:ascii="Times New Roman" w:hAnsi="宋体" w:eastAsia="宋体" w:cs="Times New Roman"/>
                <w:sz w:val="24"/>
              </w:rPr>
              <w:t>或绝对误差为</w:t>
            </w:r>
            <w:r>
              <w:rPr>
                <w:rFonts w:ascii="Times New Roman" w:hAnsi="Times New Roman" w:eastAsia="宋体" w:cs="Times New Roman"/>
                <w:sz w:val="24"/>
              </w:rPr>
              <w:t>±0.25%</w:t>
            </w:r>
            <w:r>
              <w:rPr>
                <w:rFonts w:ascii="Times New Roman" w:hAnsi="宋体" w:eastAsia="宋体" w:cs="Times New Roman"/>
                <w:sz w:val="24"/>
              </w:rPr>
              <w:t>，二者取其一；</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w:t>
            </w:r>
            <w:r>
              <w:rPr>
                <w:rFonts w:ascii="Times New Roman" w:hAnsi="Times New Roman" w:eastAsia="宋体" w:cs="Times New Roman"/>
                <w:sz w:val="24"/>
              </w:rPr>
              <w:t>CO2</w:t>
            </w:r>
            <w:r>
              <w:rPr>
                <w:rFonts w:ascii="Times New Roman" w:hAnsi="宋体" w:eastAsia="宋体" w:cs="Times New Roman"/>
                <w:sz w:val="24"/>
              </w:rPr>
              <w:t>精度：相对误差</w:t>
            </w:r>
            <w:r>
              <w:rPr>
                <w:rFonts w:ascii="Times New Roman" w:hAnsi="Times New Roman" w:eastAsia="宋体" w:cs="Times New Roman"/>
                <w:sz w:val="24"/>
              </w:rPr>
              <w:t>±10%</w:t>
            </w:r>
            <w:r>
              <w:rPr>
                <w:rFonts w:ascii="Times New Roman" w:hAnsi="宋体" w:eastAsia="宋体" w:cs="Times New Roman"/>
                <w:sz w:val="24"/>
              </w:rPr>
              <w:t>或绝对误差为</w:t>
            </w:r>
            <w:r>
              <w:rPr>
                <w:rFonts w:ascii="Times New Roman" w:hAnsi="Times New Roman" w:eastAsia="宋体" w:cs="Times New Roman"/>
                <w:sz w:val="24"/>
              </w:rPr>
              <w:t>±0.25%</w:t>
            </w:r>
            <w:r>
              <w:rPr>
                <w:rFonts w:ascii="Times New Roman" w:hAnsi="宋体" w:eastAsia="宋体" w:cs="Times New Roman"/>
                <w:sz w:val="24"/>
              </w:rPr>
              <w:t>，二者取其一；</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3</w:t>
            </w:r>
            <w:r>
              <w:rPr>
                <w:rFonts w:ascii="Times New Roman" w:hAnsi="宋体" w:eastAsia="宋体" w:cs="Times New Roman"/>
                <w:sz w:val="24"/>
              </w:rPr>
              <w:t>）</w:t>
            </w:r>
            <w:r>
              <w:rPr>
                <w:rFonts w:ascii="Times New Roman" w:hAnsi="Times New Roman" w:eastAsia="宋体" w:cs="Times New Roman"/>
                <w:sz w:val="24"/>
              </w:rPr>
              <w:t>HC</w:t>
            </w:r>
            <w:r>
              <w:rPr>
                <w:rFonts w:ascii="Times New Roman" w:hAnsi="宋体" w:eastAsia="宋体" w:cs="Times New Roman"/>
                <w:sz w:val="24"/>
              </w:rPr>
              <w:t>精度：相对误差</w:t>
            </w:r>
            <w:r>
              <w:rPr>
                <w:rFonts w:ascii="Times New Roman" w:hAnsi="Times New Roman" w:eastAsia="宋体" w:cs="Times New Roman"/>
                <w:sz w:val="24"/>
              </w:rPr>
              <w:t>±10%</w:t>
            </w:r>
            <w:r>
              <w:rPr>
                <w:rFonts w:ascii="Times New Roman" w:hAnsi="宋体" w:eastAsia="宋体" w:cs="Times New Roman"/>
                <w:sz w:val="24"/>
              </w:rPr>
              <w:t>或绝对误差</w:t>
            </w:r>
            <w:r>
              <w:rPr>
                <w:rFonts w:ascii="Times New Roman" w:hAnsi="Times New Roman" w:eastAsia="宋体" w:cs="Times New Roman"/>
                <w:sz w:val="24"/>
              </w:rPr>
              <w:t>±20ppm</w:t>
            </w:r>
            <w:r>
              <w:rPr>
                <w:rFonts w:ascii="Times New Roman" w:hAnsi="宋体" w:eastAsia="宋体" w:cs="Times New Roman"/>
                <w:sz w:val="24"/>
              </w:rPr>
              <w:t>，二者取其一；</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4</w:t>
            </w:r>
            <w:r>
              <w:rPr>
                <w:rFonts w:ascii="Times New Roman" w:hAnsi="宋体" w:eastAsia="宋体" w:cs="Times New Roman"/>
                <w:sz w:val="24"/>
              </w:rPr>
              <w:t>）</w:t>
            </w:r>
            <w:r>
              <w:rPr>
                <w:rFonts w:ascii="Times New Roman" w:hAnsi="Times New Roman" w:eastAsia="宋体" w:cs="Times New Roman"/>
                <w:sz w:val="24"/>
              </w:rPr>
              <w:t>NO</w:t>
            </w:r>
            <w:r>
              <w:rPr>
                <w:rFonts w:ascii="Times New Roman" w:hAnsi="宋体" w:eastAsia="宋体" w:cs="Times New Roman"/>
                <w:sz w:val="24"/>
              </w:rPr>
              <w:t>精度：相对误差</w:t>
            </w:r>
            <w:r>
              <w:rPr>
                <w:rFonts w:ascii="Times New Roman" w:hAnsi="Times New Roman" w:eastAsia="宋体" w:cs="Times New Roman"/>
                <w:sz w:val="24"/>
              </w:rPr>
              <w:t>±10%</w:t>
            </w:r>
            <w:r>
              <w:rPr>
                <w:rFonts w:ascii="Times New Roman" w:hAnsi="宋体" w:eastAsia="宋体" w:cs="Times New Roman"/>
                <w:sz w:val="24"/>
              </w:rPr>
              <w:t>或绝对误差</w:t>
            </w:r>
            <w:r>
              <w:rPr>
                <w:rFonts w:ascii="Times New Roman" w:hAnsi="Times New Roman" w:eastAsia="宋体" w:cs="Times New Roman"/>
                <w:sz w:val="24"/>
              </w:rPr>
              <w:t>±20ppm</w:t>
            </w:r>
            <w:r>
              <w:rPr>
                <w:rFonts w:ascii="Times New Roman" w:hAnsi="宋体" w:eastAsia="宋体" w:cs="Times New Roman"/>
                <w:sz w:val="24"/>
              </w:rPr>
              <w:t>，二者取其一；</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5</w:t>
            </w:r>
            <w:r>
              <w:rPr>
                <w:rFonts w:ascii="Times New Roman" w:hAnsi="宋体" w:eastAsia="宋体" w:cs="Times New Roman"/>
                <w:sz w:val="24"/>
              </w:rPr>
              <w:t>）不透光烟度：相对误差为</w:t>
            </w:r>
            <w:r>
              <w:rPr>
                <w:rFonts w:ascii="Times New Roman" w:hAnsi="Times New Roman" w:eastAsia="宋体" w:cs="Times New Roman"/>
                <w:sz w:val="24"/>
              </w:rPr>
              <w:t>±5%</w:t>
            </w:r>
            <w:r>
              <w:rPr>
                <w:rFonts w:ascii="Times New Roman" w:hAnsi="宋体" w:eastAsia="宋体" w:cs="Times New Roman"/>
                <w:sz w:val="24"/>
              </w:rPr>
              <w:t>或绝对误差为</w:t>
            </w:r>
            <w:r>
              <w:rPr>
                <w:rFonts w:ascii="Times New Roman" w:hAnsi="Times New Roman" w:eastAsia="宋体" w:cs="Times New Roman"/>
                <w:sz w:val="24"/>
              </w:rPr>
              <w:t>±2%</w:t>
            </w:r>
            <w:r>
              <w:rPr>
                <w:rFonts w:ascii="Times New Roman" w:hAnsi="宋体" w:eastAsia="宋体" w:cs="Times New Roman"/>
                <w:sz w:val="24"/>
              </w:rPr>
              <w:t>，二者取其一；</w:t>
            </w:r>
          </w:p>
        </w:tc>
        <w:tc>
          <w:tcPr>
            <w:tcW w:w="438"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c>
          <w:tcPr>
            <w:tcW w:w="461"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left"/>
              <w:rPr>
                <w:rFonts w:ascii="Times New Roman" w:hAnsi="Times New Roman" w:eastAsia="宋体" w:cs="Times New Roman"/>
                <w:b/>
                <w:bCs/>
                <w:sz w:val="24"/>
              </w:rPr>
            </w:pPr>
          </w:p>
        </w:tc>
        <w:tc>
          <w:tcPr>
            <w:tcW w:w="1012"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Times New Roman" w:eastAsia="宋体" w:cs="Times New Roman"/>
                <w:b/>
                <w:bCs/>
                <w:sz w:val="24"/>
              </w:rPr>
              <w:t>1.5</w:t>
            </w:r>
            <w:r>
              <w:rPr>
                <w:rFonts w:ascii="Times New Roman" w:hAnsi="宋体" w:eastAsia="宋体" w:cs="Times New Roman"/>
                <w:b/>
                <w:bCs/>
                <w:sz w:val="24"/>
              </w:rPr>
              <w:t>重复性</w:t>
            </w:r>
            <w:r>
              <w:rPr>
                <w:rFonts w:ascii="Times New Roman" w:hAnsi="Times New Roman" w:eastAsia="宋体" w:cs="Times New Roman"/>
                <w:sz w:val="24"/>
              </w:rPr>
              <w:t>▲CO</w:t>
            </w:r>
            <w:r>
              <w:rPr>
                <w:rFonts w:ascii="Times New Roman" w:hAnsi="宋体" w:eastAsia="宋体" w:cs="Times New Roman"/>
                <w:sz w:val="24"/>
              </w:rPr>
              <w:t>、</w:t>
            </w:r>
            <w:r>
              <w:rPr>
                <w:rFonts w:ascii="Times New Roman" w:hAnsi="Times New Roman" w:eastAsia="宋体" w:cs="Times New Roman"/>
                <w:sz w:val="24"/>
              </w:rPr>
              <w:t>CO2</w:t>
            </w:r>
            <w:r>
              <w:rPr>
                <w:rFonts w:ascii="Times New Roman" w:hAnsi="宋体" w:eastAsia="宋体" w:cs="Times New Roman"/>
                <w:sz w:val="24"/>
              </w:rPr>
              <w:t>、</w:t>
            </w:r>
            <w:r>
              <w:rPr>
                <w:rFonts w:ascii="Times New Roman" w:hAnsi="Times New Roman" w:eastAsia="宋体" w:cs="Times New Roman"/>
                <w:sz w:val="24"/>
              </w:rPr>
              <w:t>HC</w:t>
            </w:r>
            <w:r>
              <w:rPr>
                <w:rFonts w:ascii="Times New Roman" w:hAnsi="宋体" w:eastAsia="宋体" w:cs="Times New Roman"/>
                <w:sz w:val="24"/>
              </w:rPr>
              <w:t>、</w:t>
            </w:r>
            <w:r>
              <w:rPr>
                <w:rFonts w:ascii="Times New Roman" w:hAnsi="Times New Roman" w:eastAsia="宋体" w:cs="Times New Roman"/>
                <w:sz w:val="24"/>
              </w:rPr>
              <w:t>NO</w:t>
            </w:r>
            <w:r>
              <w:rPr>
                <w:rFonts w:ascii="Times New Roman" w:hAnsi="宋体" w:eastAsia="宋体" w:cs="Times New Roman"/>
                <w:sz w:val="24"/>
              </w:rPr>
              <w:t>、不透光烟度重复性误差不超过</w:t>
            </w:r>
            <w:r>
              <w:rPr>
                <w:rFonts w:ascii="Times New Roman" w:hAnsi="Times New Roman" w:eastAsia="宋体" w:cs="Times New Roman"/>
                <w:sz w:val="24"/>
              </w:rPr>
              <w:t>±5%</w:t>
            </w:r>
            <w:r>
              <w:rPr>
                <w:rFonts w:ascii="Times New Roman" w:hAnsi="宋体" w:eastAsia="宋体" w:cs="Times New Roman"/>
                <w:sz w:val="24"/>
              </w:rPr>
              <w:t>。</w:t>
            </w:r>
          </w:p>
        </w:tc>
        <w:tc>
          <w:tcPr>
            <w:tcW w:w="438"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p>
        </w:tc>
        <w:tc>
          <w:tcPr>
            <w:tcW w:w="461"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left"/>
              <w:rPr>
                <w:rFonts w:ascii="Times New Roman" w:hAnsi="Times New Roman" w:eastAsia="宋体" w:cs="Times New Roman"/>
                <w:b/>
                <w:bCs/>
                <w:sz w:val="24"/>
              </w:rPr>
            </w:pPr>
          </w:p>
        </w:tc>
        <w:tc>
          <w:tcPr>
            <w:tcW w:w="1012"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Times New Roman" w:eastAsia="宋体" w:cs="Times New Roman"/>
                <w:b/>
                <w:bCs/>
                <w:sz w:val="24"/>
              </w:rPr>
              <w:t>1.6</w:t>
            </w:r>
            <w:r>
              <w:rPr>
                <w:rFonts w:ascii="Times New Roman" w:hAnsi="宋体" w:eastAsia="宋体" w:cs="Times New Roman"/>
                <w:b/>
                <w:bCs/>
                <w:sz w:val="24"/>
              </w:rPr>
              <w:t>稳定性</w:t>
            </w:r>
            <w:r>
              <w:rPr>
                <w:rFonts w:ascii="Times New Roman" w:hAnsi="宋体" w:eastAsia="宋体" w:cs="Times New Roman"/>
                <w:sz w:val="24"/>
              </w:rPr>
              <w:t>遥感检测设备对上述各种污染物连续测量</w:t>
            </w:r>
            <w:r>
              <w:rPr>
                <w:rFonts w:ascii="Times New Roman" w:hAnsi="Times New Roman" w:eastAsia="宋体" w:cs="Times New Roman"/>
                <w:sz w:val="24"/>
              </w:rPr>
              <w:t>1</w:t>
            </w:r>
            <w:r>
              <w:rPr>
                <w:rFonts w:ascii="Times New Roman" w:hAnsi="宋体" w:eastAsia="宋体" w:cs="Times New Roman"/>
                <w:sz w:val="24"/>
              </w:rPr>
              <w:t>小时，误差应不超过</w:t>
            </w:r>
            <w:r>
              <w:rPr>
                <w:rFonts w:ascii="Times New Roman" w:hAnsi="Times New Roman" w:eastAsia="宋体" w:cs="Times New Roman"/>
                <w:sz w:val="24"/>
              </w:rPr>
              <w:t>±8%</w:t>
            </w:r>
          </w:p>
          <w:p>
            <w:pPr>
              <w:spacing w:line="280" w:lineRule="exact"/>
              <w:rPr>
                <w:rFonts w:hint="eastAsia" w:ascii="Times New Roman" w:hAnsi="宋体" w:eastAsia="宋体" w:cs="Times New Roman"/>
                <w:sz w:val="24"/>
              </w:rPr>
            </w:pPr>
            <w:r>
              <w:rPr>
                <w:rFonts w:ascii="Times New Roman" w:hAnsi="Times New Roman" w:eastAsia="宋体" w:cs="Times New Roman"/>
                <w:sz w:val="24"/>
              </w:rPr>
              <w:t>▲</w:t>
            </w:r>
            <w:r>
              <w:rPr>
                <w:rFonts w:hint="eastAsia" w:ascii="Times New Roman" w:hAnsi="宋体" w:eastAsia="宋体" w:cs="Times New Roman"/>
                <w:sz w:val="24"/>
              </w:rPr>
              <w:t>遥测系统连续运行300小时，系统运行正常。</w:t>
            </w:r>
          </w:p>
        </w:tc>
        <w:tc>
          <w:tcPr>
            <w:tcW w:w="438"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p>
        </w:tc>
        <w:tc>
          <w:tcPr>
            <w:tcW w:w="461"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left"/>
              <w:rPr>
                <w:rFonts w:ascii="Times New Roman" w:hAnsi="Times New Roman" w:eastAsia="宋体" w:cs="Times New Roman"/>
                <w:b/>
                <w:bCs/>
                <w:sz w:val="24"/>
              </w:rPr>
            </w:pPr>
          </w:p>
        </w:tc>
        <w:tc>
          <w:tcPr>
            <w:tcW w:w="1012"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hint="eastAsia" w:ascii="Times New Roman" w:hAnsi="Times New Roman" w:eastAsia="宋体" w:cs="Times New Roman"/>
              </w:rPr>
            </w:pPr>
            <w:r>
              <w:rPr>
                <w:rFonts w:ascii="Times New Roman" w:hAnsi="Times New Roman" w:eastAsia="宋体" w:cs="Times New Roman"/>
                <w:b/>
                <w:bCs/>
                <w:sz w:val="24"/>
              </w:rPr>
              <w:t xml:space="preserve">1.7 </w:t>
            </w:r>
            <w:r>
              <w:rPr>
                <w:rFonts w:ascii="Times New Roman" w:hAnsi="宋体" w:eastAsia="宋体" w:cs="Times New Roman"/>
                <w:b/>
                <w:bCs/>
                <w:sz w:val="24"/>
              </w:rPr>
              <w:t>响应时间</w:t>
            </w:r>
            <w:r>
              <w:rPr>
                <w:rFonts w:ascii="Times New Roman" w:hAnsi="宋体" w:eastAsia="宋体" w:cs="Times New Roman"/>
                <w:sz w:val="24"/>
              </w:rPr>
              <w:t>设备分析数据响应时间不大于</w:t>
            </w:r>
            <w:r>
              <w:rPr>
                <w:rFonts w:ascii="Times New Roman" w:hAnsi="Times New Roman" w:eastAsia="宋体" w:cs="Times New Roman"/>
                <w:sz w:val="24"/>
              </w:rPr>
              <w:t>1s</w:t>
            </w:r>
            <w:r>
              <w:rPr>
                <w:rFonts w:ascii="Times New Roman" w:hAnsi="宋体" w:eastAsia="宋体" w:cs="Times New Roman"/>
                <w:sz w:val="24"/>
              </w:rPr>
              <w:t>。</w:t>
            </w:r>
          </w:p>
        </w:tc>
        <w:tc>
          <w:tcPr>
            <w:tcW w:w="438"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c>
          <w:tcPr>
            <w:tcW w:w="461"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left"/>
              <w:rPr>
                <w:rFonts w:ascii="Times New Roman" w:hAnsi="Times New Roman" w:eastAsia="宋体" w:cs="Times New Roman"/>
                <w:b/>
                <w:bCs/>
                <w:sz w:val="24"/>
              </w:rPr>
            </w:pPr>
          </w:p>
        </w:tc>
        <w:tc>
          <w:tcPr>
            <w:tcW w:w="1012"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top"/>
          </w:tcPr>
          <w:p>
            <w:pPr>
              <w:spacing w:line="280" w:lineRule="exact"/>
              <w:rPr>
                <w:rFonts w:hint="eastAsia" w:ascii="Times New Roman" w:hAnsi="Times New Roman" w:eastAsia="宋体" w:cs="Times New Roman"/>
                <w:sz w:val="24"/>
              </w:rPr>
            </w:pPr>
            <w:r>
              <w:rPr>
                <w:rFonts w:ascii="Times New Roman" w:hAnsi="Times New Roman" w:eastAsia="宋体" w:cs="Times New Roman"/>
                <w:b/>
                <w:bCs/>
                <w:sz w:val="24"/>
              </w:rPr>
              <w:t>1.8</w:t>
            </w:r>
            <w:r>
              <w:rPr>
                <w:rFonts w:ascii="Times New Roman" w:hAnsi="宋体" w:eastAsia="宋体" w:cs="Times New Roman"/>
                <w:b/>
                <w:bCs/>
                <w:sz w:val="24"/>
              </w:rPr>
              <w:t>工作环境条件</w:t>
            </w:r>
          </w:p>
          <w:p>
            <w:pPr>
              <w:pStyle w:val="2"/>
              <w:rPr>
                <w:rFonts w:hint="eastAsia" w:ascii="Times New Roman" w:hAnsi="Times New Roman" w:eastAsia="宋体" w:cs="Times New Roman"/>
                <w:lang w:eastAsia="zh-CN"/>
              </w:rPr>
            </w:pPr>
            <w:r>
              <w:rPr>
                <w:rFonts w:eastAsia="宋体"/>
              </w:rPr>
              <w:t>▲</w:t>
            </w:r>
            <w:r>
              <w:rPr>
                <w:rFonts w:hint="eastAsia" w:ascii="Times New Roman" w:hAnsi="Times New Roman" w:eastAsia="宋体" w:cs="Times New Roman"/>
              </w:rPr>
              <w:t>分别在高温（60℃）、低温（-30℃）的环境系统运行正常</w:t>
            </w:r>
            <w:r>
              <w:rPr>
                <w:rFonts w:hint="eastAsia" w:ascii="Times New Roman" w:hAnsi="Times New Roman" w:eastAsia="宋体" w:cs="Times New Roman"/>
                <w:lang w:eastAsia="zh-CN"/>
              </w:rPr>
              <w:t>。</w:t>
            </w:r>
          </w:p>
          <w:p>
            <w:pPr>
              <w:pStyle w:val="40"/>
              <w:spacing w:before="0" w:beforeAutospacing="0" w:line="280" w:lineRule="exact"/>
              <w:ind w:firstLine="232" w:firstLineChars="100"/>
              <w:rPr>
                <w:rFonts w:ascii="Times New Roman" w:eastAsia="宋体" w:cs="Times New Roman"/>
                <w:sz w:val="24"/>
                <w:szCs w:val="24"/>
              </w:rPr>
            </w:pPr>
            <w:r>
              <w:rPr>
                <w:rFonts w:ascii="Times New Roman" w:hAnsi="宋体" w:eastAsia="宋体" w:cs="Times New Roman"/>
                <w:sz w:val="24"/>
                <w:szCs w:val="24"/>
              </w:rPr>
              <w:t>遥测主机需具有恒温恒湿控制系统，以提高系统的环境适用性。</w:t>
            </w:r>
          </w:p>
          <w:p>
            <w:pPr>
              <w:spacing w:line="280" w:lineRule="exact"/>
              <w:ind w:firstLine="240" w:firstLineChars="100"/>
              <w:rPr>
                <w:rFonts w:ascii="Times New Roman" w:hAnsi="Times New Roman" w:eastAsia="宋体" w:cs="Times New Roman"/>
                <w:sz w:val="24"/>
              </w:rPr>
            </w:pPr>
            <w:r>
              <w:rPr>
                <w:rFonts w:ascii="Times New Roman" w:hAnsi="宋体" w:eastAsia="宋体" w:cs="Times New Roman"/>
                <w:sz w:val="24"/>
              </w:rPr>
              <w:t>具备昼夜检测功能，大气环境满足以下条件：</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）无雨、雾、雪；</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）无明显扬尘；</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3</w:t>
            </w:r>
            <w:r>
              <w:rPr>
                <w:rFonts w:ascii="Times New Roman" w:hAnsi="宋体" w:eastAsia="宋体" w:cs="Times New Roman"/>
                <w:sz w:val="24"/>
              </w:rPr>
              <w:t>）风速</w:t>
            </w:r>
            <w:r>
              <w:rPr>
                <w:rFonts w:ascii="Times New Roman" w:hAnsi="Times New Roman" w:eastAsia="宋体" w:cs="Times New Roman"/>
                <w:sz w:val="24"/>
              </w:rPr>
              <w:t>≤5.0m/s</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4</w:t>
            </w:r>
            <w:r>
              <w:rPr>
                <w:rFonts w:ascii="Times New Roman" w:hAnsi="宋体" w:eastAsia="宋体" w:cs="Times New Roman"/>
                <w:sz w:val="24"/>
              </w:rPr>
              <w:t>）环境温度：</w:t>
            </w:r>
            <w:r>
              <w:rPr>
                <w:rFonts w:ascii="Times New Roman" w:hAnsi="Times New Roman" w:eastAsia="宋体" w:cs="Times New Roman"/>
                <w:sz w:val="24"/>
              </w:rPr>
              <w:t>-20.0-45.0</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5</w:t>
            </w:r>
            <w:r>
              <w:rPr>
                <w:rFonts w:ascii="Times New Roman" w:hAnsi="宋体" w:eastAsia="宋体" w:cs="Times New Roman"/>
                <w:sz w:val="24"/>
              </w:rPr>
              <w:t>）相对湿度</w:t>
            </w:r>
            <w:r>
              <w:rPr>
                <w:rFonts w:ascii="Times New Roman" w:hAnsi="Times New Roman" w:eastAsia="宋体" w:cs="Times New Roman"/>
                <w:sz w:val="24"/>
              </w:rPr>
              <w:t>≤85.0%</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6</w:t>
            </w:r>
            <w:r>
              <w:rPr>
                <w:rFonts w:ascii="Times New Roman" w:hAnsi="宋体" w:eastAsia="宋体" w:cs="Times New Roman"/>
                <w:sz w:val="24"/>
              </w:rPr>
              <w:t>）大气压力：</w:t>
            </w:r>
            <w:r>
              <w:rPr>
                <w:rFonts w:ascii="Times New Roman" w:hAnsi="Times New Roman" w:eastAsia="宋体" w:cs="Times New Roman"/>
                <w:sz w:val="24"/>
              </w:rPr>
              <w:t>70.0-101.4Kpa.</w:t>
            </w:r>
          </w:p>
        </w:tc>
        <w:tc>
          <w:tcPr>
            <w:tcW w:w="438" w:type="pct"/>
            <w:vMerge w:val="continue"/>
            <w:tcBorders>
              <w:left w:val="nil"/>
              <w:right w:val="single" w:color="auto" w:sz="4" w:space="0"/>
            </w:tcBorders>
            <w:shd w:val="clear" w:color="auto" w:fill="FFFFFF"/>
            <w:noWrap w:val="0"/>
            <w:tcMar>
              <w:top w:w="0" w:type="dxa"/>
              <w:left w:w="108" w:type="dxa"/>
              <w:bottom w:w="0" w:type="dxa"/>
              <w:right w:w="108" w:type="dxa"/>
            </w:tcMar>
            <w:vAlign w:val="top"/>
          </w:tcPr>
          <w:p>
            <w:pPr>
              <w:spacing w:line="280" w:lineRule="exact"/>
              <w:rPr>
                <w:rFonts w:ascii="Times New Roman" w:hAnsi="宋体" w:eastAsia="宋体" w:cs="Times New Roman"/>
                <w:sz w:val="24"/>
              </w:rPr>
            </w:pPr>
          </w:p>
        </w:tc>
        <w:tc>
          <w:tcPr>
            <w:tcW w:w="461" w:type="pct"/>
            <w:vMerge w:val="continue"/>
            <w:tcBorders>
              <w:left w:val="nil"/>
              <w:right w:val="single" w:color="auto" w:sz="4" w:space="0"/>
            </w:tcBorders>
            <w:shd w:val="clear" w:color="auto" w:fill="FFFFFF"/>
            <w:noWrap w:val="0"/>
            <w:tcMar>
              <w:top w:w="0" w:type="dxa"/>
              <w:left w:w="108" w:type="dxa"/>
              <w:bottom w:w="0" w:type="dxa"/>
              <w:right w:w="108" w:type="dxa"/>
            </w:tcMar>
            <w:vAlign w:val="top"/>
          </w:tcPr>
          <w:p>
            <w:pPr>
              <w:spacing w:line="280" w:lineRule="exact"/>
              <w:rPr>
                <w:rFonts w:ascii="Times New Roman" w:hAnsi="宋体"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left"/>
              <w:rPr>
                <w:rFonts w:ascii="Times New Roman" w:hAnsi="Times New Roman" w:eastAsia="宋体" w:cs="Times New Roman"/>
                <w:b/>
                <w:bCs/>
                <w:sz w:val="24"/>
              </w:rPr>
            </w:pPr>
          </w:p>
        </w:tc>
        <w:tc>
          <w:tcPr>
            <w:tcW w:w="1012"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hint="eastAsia" w:ascii="Times New Roman" w:hAnsi="Times New Roman" w:eastAsia="宋体" w:cs="Times New Roman"/>
              </w:rPr>
            </w:pPr>
            <w:r>
              <w:rPr>
                <w:rFonts w:ascii="Times New Roman" w:hAnsi="Times New Roman" w:eastAsia="宋体" w:cs="Times New Roman"/>
                <w:b/>
                <w:bCs/>
                <w:sz w:val="24"/>
              </w:rPr>
              <w:t>1.9</w:t>
            </w:r>
            <w:r>
              <w:rPr>
                <w:rFonts w:ascii="Times New Roman" w:hAnsi="宋体" w:eastAsia="宋体" w:cs="Times New Roman"/>
                <w:b/>
                <w:bCs/>
                <w:sz w:val="24"/>
              </w:rPr>
              <w:t>有效光程</w:t>
            </w:r>
            <w:r>
              <w:rPr>
                <w:rFonts w:ascii="Times New Roman" w:hAnsi="宋体" w:eastAsia="宋体" w:cs="Times New Roman"/>
                <w:sz w:val="24"/>
              </w:rPr>
              <w:t>遥感设备有效光程不小于</w:t>
            </w:r>
            <w:r>
              <w:rPr>
                <w:rFonts w:hint="eastAsia" w:ascii="Times New Roman" w:hAnsi="Times New Roman" w:eastAsia="宋体" w:cs="Times New Roman"/>
                <w:sz w:val="24"/>
              </w:rPr>
              <w:t>20</w:t>
            </w:r>
            <w:r>
              <w:rPr>
                <w:rFonts w:ascii="Times New Roman" w:hAnsi="宋体" w:eastAsia="宋体" w:cs="Times New Roman"/>
                <w:sz w:val="24"/>
              </w:rPr>
              <w:t>米</w:t>
            </w:r>
          </w:p>
        </w:tc>
        <w:tc>
          <w:tcPr>
            <w:tcW w:w="438"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c>
          <w:tcPr>
            <w:tcW w:w="461" w:type="pct"/>
            <w:vMerge w:val="continue"/>
            <w:tcBorders>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left"/>
              <w:rPr>
                <w:rFonts w:ascii="Times New Roman" w:hAnsi="Times New Roman" w:eastAsia="宋体" w:cs="Times New Roman"/>
                <w:b/>
                <w:bCs/>
                <w:sz w:val="24"/>
              </w:rPr>
            </w:pPr>
          </w:p>
        </w:tc>
        <w:tc>
          <w:tcPr>
            <w:tcW w:w="1012" w:type="pct"/>
            <w:vMerge w:val="continue"/>
            <w:tcBorders>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top"/>
          </w:tcPr>
          <w:p>
            <w:pPr>
              <w:spacing w:line="280" w:lineRule="exact"/>
              <w:rPr>
                <w:rFonts w:ascii="Times New Roman" w:hAnsi="Times New Roman" w:eastAsia="宋体" w:cs="Times New Roman"/>
                <w:sz w:val="24"/>
              </w:rPr>
            </w:pPr>
            <w:r>
              <w:rPr>
                <w:rFonts w:ascii="Times New Roman" w:hAnsi="Times New Roman" w:eastAsia="宋体" w:cs="Times New Roman"/>
                <w:b/>
                <w:bCs/>
                <w:sz w:val="24"/>
              </w:rPr>
              <w:t>1.10</w:t>
            </w:r>
            <w:r>
              <w:rPr>
                <w:rFonts w:ascii="Times New Roman" w:hAnsi="宋体" w:eastAsia="宋体" w:cs="Times New Roman"/>
                <w:b/>
                <w:bCs/>
                <w:sz w:val="24"/>
              </w:rPr>
              <w:t>自动标定及审核功能</w:t>
            </w: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）按遥感监测设备校准和检查要求，实现自动标定</w:t>
            </w:r>
            <w:r>
              <w:rPr>
                <w:rFonts w:ascii="Times New Roman" w:hAnsi="Times New Roman" w:eastAsia="宋体" w:cs="Times New Roman"/>
                <w:sz w:val="24"/>
              </w:rPr>
              <w:t>/</w:t>
            </w:r>
            <w:r>
              <w:rPr>
                <w:rFonts w:ascii="Times New Roman" w:hAnsi="宋体" w:eastAsia="宋体" w:cs="Times New Roman"/>
                <w:sz w:val="24"/>
              </w:rPr>
              <w:t>审核功能，可以根据设备实际使用环境参数而设定自动标定的时间周期。在使用过程中，无需任何人工操作，并且能进行自动标定</w:t>
            </w:r>
            <w:r>
              <w:rPr>
                <w:rFonts w:ascii="Times New Roman" w:hAnsi="Times New Roman" w:eastAsia="宋体" w:cs="Times New Roman"/>
                <w:sz w:val="24"/>
              </w:rPr>
              <w:t>/</w:t>
            </w:r>
            <w:r>
              <w:rPr>
                <w:rFonts w:ascii="Times New Roman" w:hAnsi="宋体" w:eastAsia="宋体" w:cs="Times New Roman"/>
                <w:sz w:val="24"/>
              </w:rPr>
              <w:t>审核功能，审核时间间隔支持自定义设置，并满足国标示值允许误差要求。</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）系统自动标定时间不大于</w:t>
            </w:r>
            <w:r>
              <w:rPr>
                <w:rFonts w:ascii="Times New Roman" w:hAnsi="Times New Roman" w:eastAsia="宋体" w:cs="Times New Roman"/>
                <w:sz w:val="24"/>
              </w:rPr>
              <w:t>1</w:t>
            </w:r>
            <w:r>
              <w:rPr>
                <w:rFonts w:ascii="Times New Roman" w:hAnsi="宋体" w:eastAsia="宋体" w:cs="Times New Roman"/>
                <w:sz w:val="24"/>
              </w:rPr>
              <w:t>分钟。</w:t>
            </w:r>
          </w:p>
        </w:tc>
        <w:tc>
          <w:tcPr>
            <w:tcW w:w="438" w:type="pct"/>
            <w:vMerge w:val="continue"/>
            <w:tcBorders>
              <w:left w:val="nil"/>
              <w:bottom w:val="single" w:color="auto" w:sz="4" w:space="0"/>
              <w:right w:val="single" w:color="auto" w:sz="4" w:space="0"/>
            </w:tcBorders>
            <w:shd w:val="clear" w:color="auto" w:fill="FFFFFF"/>
            <w:noWrap w:val="0"/>
            <w:tcMar>
              <w:top w:w="0" w:type="dxa"/>
              <w:left w:w="108" w:type="dxa"/>
              <w:bottom w:w="0" w:type="dxa"/>
              <w:right w:w="108" w:type="dxa"/>
            </w:tcMar>
            <w:vAlign w:val="top"/>
          </w:tcPr>
          <w:p>
            <w:pPr>
              <w:spacing w:line="280" w:lineRule="exact"/>
              <w:rPr>
                <w:rFonts w:ascii="Times New Roman" w:hAnsi="宋体" w:eastAsia="宋体" w:cs="Times New Roman"/>
                <w:sz w:val="24"/>
              </w:rPr>
            </w:pPr>
          </w:p>
        </w:tc>
        <w:tc>
          <w:tcPr>
            <w:tcW w:w="461" w:type="pct"/>
            <w:vMerge w:val="continue"/>
            <w:tcBorders>
              <w:left w:val="nil"/>
              <w:bottom w:val="single" w:color="auto" w:sz="4" w:space="0"/>
              <w:right w:val="single" w:color="auto" w:sz="4" w:space="0"/>
            </w:tcBorders>
            <w:shd w:val="clear" w:color="auto" w:fill="FFFFFF"/>
            <w:noWrap w:val="0"/>
            <w:tcMar>
              <w:top w:w="0" w:type="dxa"/>
              <w:left w:w="108" w:type="dxa"/>
              <w:bottom w:w="0" w:type="dxa"/>
              <w:right w:w="108" w:type="dxa"/>
            </w:tcMar>
            <w:vAlign w:val="top"/>
          </w:tcPr>
          <w:p>
            <w:pPr>
              <w:spacing w:line="280" w:lineRule="exact"/>
              <w:rPr>
                <w:rFonts w:ascii="Times New Roman" w:hAnsi="宋体"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2</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sz w:val="24"/>
              </w:rPr>
              <w:t>速度加速度测试系统</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）保证测量精度的车辆速度范围为：测速范围</w:t>
            </w:r>
            <w:r>
              <w:rPr>
                <w:rFonts w:ascii="Times New Roman" w:hAnsi="Times New Roman" w:eastAsia="宋体" w:cs="Times New Roman"/>
                <w:sz w:val="24"/>
              </w:rPr>
              <w:t>10.0km/h</w:t>
            </w:r>
            <w:r>
              <w:rPr>
                <w:rFonts w:ascii="Times New Roman" w:hAnsi="宋体" w:eastAsia="宋体" w:cs="Times New Roman"/>
                <w:sz w:val="24"/>
              </w:rPr>
              <w:t>～</w:t>
            </w:r>
            <w:r>
              <w:rPr>
                <w:rFonts w:ascii="Times New Roman" w:hAnsi="Times New Roman" w:eastAsia="宋体" w:cs="Times New Roman"/>
                <w:sz w:val="24"/>
              </w:rPr>
              <w:t>100.0km/h</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）测速响应时间</w:t>
            </w:r>
            <w:r>
              <w:rPr>
                <w:rFonts w:ascii="Times New Roman" w:hAnsi="Times New Roman" w:eastAsia="宋体" w:cs="Times New Roman"/>
                <w:sz w:val="24"/>
              </w:rPr>
              <w:t>≤0.5s</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Times New Roman" w:eastAsia="宋体" w:cs="Times New Roman"/>
                <w:sz w:val="24"/>
              </w:rPr>
              <w:t>▲</w:t>
            </w:r>
            <w:r>
              <w:rPr>
                <w:rFonts w:ascii="Times New Roman" w:hAnsi="宋体" w:eastAsia="宋体" w:cs="Times New Roman"/>
                <w:sz w:val="24"/>
              </w:rPr>
              <w:t>（</w:t>
            </w:r>
            <w:r>
              <w:rPr>
                <w:rFonts w:ascii="Times New Roman" w:hAnsi="Times New Roman" w:eastAsia="宋体" w:cs="Times New Roman"/>
                <w:sz w:val="24"/>
              </w:rPr>
              <w:t>3</w:t>
            </w:r>
            <w:r>
              <w:rPr>
                <w:rFonts w:ascii="Times New Roman" w:hAnsi="宋体" w:eastAsia="宋体" w:cs="Times New Roman"/>
                <w:sz w:val="24"/>
              </w:rPr>
              <w:t>）测速误差：</w:t>
            </w:r>
            <w:r>
              <w:rPr>
                <w:rFonts w:ascii="Times New Roman" w:hAnsi="Times New Roman" w:eastAsia="宋体" w:cs="Times New Roman"/>
                <w:sz w:val="24"/>
              </w:rPr>
              <w:t>≤±1.0km/h</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Times New Roman" w:eastAsia="宋体" w:cs="Times New Roman"/>
                <w:sz w:val="24"/>
              </w:rPr>
              <w:t>▲</w:t>
            </w:r>
            <w:r>
              <w:rPr>
                <w:rFonts w:ascii="Times New Roman" w:hAnsi="宋体" w:eastAsia="宋体" w:cs="Times New Roman"/>
                <w:sz w:val="24"/>
              </w:rPr>
              <w:t>（</w:t>
            </w:r>
            <w:r>
              <w:rPr>
                <w:rFonts w:ascii="Times New Roman" w:hAnsi="Times New Roman" w:eastAsia="宋体" w:cs="Times New Roman"/>
                <w:sz w:val="24"/>
              </w:rPr>
              <w:t>4</w:t>
            </w:r>
            <w:r>
              <w:rPr>
                <w:rFonts w:ascii="Times New Roman" w:hAnsi="宋体" w:eastAsia="宋体" w:cs="Times New Roman"/>
                <w:sz w:val="24"/>
              </w:rPr>
              <w:t>）加速度示值误差：</w:t>
            </w:r>
            <w:r>
              <w:rPr>
                <w:rFonts w:ascii="Times New Roman" w:hAnsi="Times New Roman" w:eastAsia="宋体" w:cs="Times New Roman"/>
                <w:sz w:val="24"/>
              </w:rPr>
              <w:t>&lt;0.2m/s2</w:t>
            </w:r>
            <w:r>
              <w:rPr>
                <w:rFonts w:ascii="Times New Roman" w:hAnsi="宋体" w:eastAsia="宋体" w:cs="Times New Roman"/>
                <w:sz w:val="24"/>
              </w:rPr>
              <w:t>。</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Times New Roman" w:eastAsia="宋体" w:cs="Times New Roman"/>
                <w:sz w:val="24"/>
              </w:rPr>
            </w:pPr>
            <w:r>
              <w:rPr>
                <w:rFonts w:hint="eastAsia" w:ascii="Times New Roman" w:hAnsi="Times New Roman" w:eastAsia="宋体" w:cs="Times New Roman"/>
                <w:sz w:val="24"/>
              </w:rPr>
              <w:t>1</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Times New Roman" w:eastAsia="宋体" w:cs="Times New Roman"/>
                <w:sz w:val="24"/>
              </w:rPr>
            </w:pPr>
            <w:r>
              <w:rPr>
                <w:rFonts w:hint="eastAsia" w:ascii="Times New Roman" w:hAnsi="Times New Roman" w:eastAsia="宋体" w:cs="Times New Roman"/>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3</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宋体" w:eastAsia="宋体" w:cs="Times New Roman"/>
                <w:b/>
                <w:bCs/>
                <w:sz w:val="24"/>
              </w:rPr>
              <w:t>车牌自动识别系统</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）摄像系统有位于被测试车道上方的摄像机和供电电源等组成，实时拍摄通过遥感检测地点的车辆照片和录像，并将结果数据实时传送给工控机。</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）车辆牌照识别系统用于识别拍摄的过往车辆图片和录像中的牌照，可识别牌照颜色和文字，可自动删除无效数据、无法识别车牌号的图像信息。</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3</w:t>
            </w:r>
            <w:r>
              <w:rPr>
                <w:rFonts w:ascii="Times New Roman" w:hAnsi="宋体" w:eastAsia="宋体" w:cs="Times New Roman"/>
                <w:sz w:val="24"/>
              </w:rPr>
              <w:t>）车辆图像抓获率</w:t>
            </w:r>
            <w:r>
              <w:rPr>
                <w:rFonts w:ascii="Times New Roman" w:hAnsi="Times New Roman" w:eastAsia="宋体" w:cs="Times New Roman"/>
                <w:sz w:val="24"/>
              </w:rPr>
              <w:t>≥98%</w:t>
            </w:r>
            <w:r>
              <w:rPr>
                <w:rFonts w:ascii="Times New Roman" w:hAnsi="宋体" w:eastAsia="宋体" w:cs="Times New Roman"/>
                <w:sz w:val="24"/>
              </w:rPr>
              <w:t>，要求夜间能够有效捕捉、识别车型、车牌信息。配备夜间检测补光灯，由设备自动控制，夜间亮，白天不亮。</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4</w:t>
            </w:r>
            <w:r>
              <w:rPr>
                <w:rFonts w:ascii="Times New Roman" w:hAnsi="宋体" w:eastAsia="宋体" w:cs="Times New Roman"/>
                <w:sz w:val="24"/>
              </w:rPr>
              <w:t>）车辆牌照识别软件：</w:t>
            </w:r>
          </w:p>
          <w:p>
            <w:pPr>
              <w:spacing w:line="280" w:lineRule="exact"/>
              <w:ind w:left="420" w:leftChars="200"/>
              <w:rPr>
                <w:rFonts w:ascii="Times New Roman" w:hAnsi="Times New Roman" w:eastAsia="宋体" w:cs="Times New Roman"/>
                <w:sz w:val="24"/>
              </w:rPr>
            </w:pPr>
            <w:r>
              <w:rPr>
                <w:rFonts w:ascii="Times New Roman" w:hAnsi="宋体" w:eastAsia="宋体" w:cs="Times New Roman"/>
                <w:sz w:val="24"/>
              </w:rPr>
              <w:t>①现场实时车辆牌照识别率</w:t>
            </w:r>
            <w:r>
              <w:rPr>
                <w:rFonts w:ascii="Times New Roman" w:hAnsi="Times New Roman" w:eastAsia="宋体" w:cs="Times New Roman"/>
                <w:sz w:val="24"/>
              </w:rPr>
              <w:t>≥95%</w:t>
            </w:r>
            <w:r>
              <w:rPr>
                <w:rFonts w:ascii="Times New Roman" w:hAnsi="宋体" w:eastAsia="宋体" w:cs="Times New Roman"/>
                <w:sz w:val="24"/>
              </w:rPr>
              <w:t>；</w:t>
            </w:r>
          </w:p>
          <w:p>
            <w:pPr>
              <w:spacing w:line="280" w:lineRule="exact"/>
              <w:ind w:left="420" w:leftChars="200"/>
              <w:rPr>
                <w:rFonts w:ascii="Times New Roman" w:hAnsi="Times New Roman" w:eastAsia="宋体" w:cs="Times New Roman"/>
                <w:sz w:val="24"/>
              </w:rPr>
            </w:pPr>
            <w:r>
              <w:rPr>
                <w:rFonts w:ascii="Times New Roman" w:hAnsi="宋体" w:eastAsia="宋体" w:cs="Times New Roman"/>
                <w:sz w:val="24"/>
              </w:rPr>
              <w:t>②可识别牌照颜色和文字；</w:t>
            </w:r>
          </w:p>
          <w:p>
            <w:pPr>
              <w:spacing w:line="280" w:lineRule="exact"/>
              <w:ind w:left="420" w:leftChars="200"/>
              <w:rPr>
                <w:rFonts w:ascii="Times New Roman" w:hAnsi="Times New Roman" w:eastAsia="宋体" w:cs="Times New Roman"/>
                <w:sz w:val="24"/>
              </w:rPr>
            </w:pPr>
            <w:r>
              <w:rPr>
                <w:rFonts w:ascii="Times New Roman" w:hAnsi="宋体" w:eastAsia="宋体" w:cs="Times New Roman"/>
                <w:sz w:val="24"/>
              </w:rPr>
              <w:t>③校对系统；</w:t>
            </w:r>
          </w:p>
          <w:p>
            <w:pPr>
              <w:spacing w:line="280" w:lineRule="exact"/>
              <w:ind w:left="420" w:leftChars="200"/>
              <w:rPr>
                <w:rFonts w:ascii="Times New Roman" w:hAnsi="Times New Roman" w:eastAsia="宋体" w:cs="Times New Roman"/>
                <w:sz w:val="24"/>
              </w:rPr>
            </w:pPr>
            <w:r>
              <w:rPr>
                <w:rFonts w:ascii="Times New Roman" w:hAnsi="宋体" w:eastAsia="宋体" w:cs="Times New Roman"/>
                <w:sz w:val="24"/>
              </w:rPr>
              <w:t>④自动学习功能；</w:t>
            </w:r>
          </w:p>
          <w:p>
            <w:pPr>
              <w:spacing w:line="280" w:lineRule="exact"/>
              <w:ind w:left="420" w:leftChars="200"/>
              <w:rPr>
                <w:rFonts w:ascii="Times New Roman" w:hAnsi="Times New Roman" w:eastAsia="宋体" w:cs="Times New Roman"/>
                <w:sz w:val="24"/>
              </w:rPr>
            </w:pPr>
            <w:r>
              <w:rPr>
                <w:rFonts w:ascii="Times New Roman" w:hAnsi="宋体" w:eastAsia="宋体" w:cs="Times New Roman"/>
                <w:sz w:val="24"/>
              </w:rPr>
              <w:t>⑤按可信度对识别牌照排序；</w:t>
            </w:r>
          </w:p>
          <w:p>
            <w:pPr>
              <w:spacing w:line="280" w:lineRule="exact"/>
              <w:ind w:left="420" w:leftChars="200"/>
              <w:rPr>
                <w:rFonts w:ascii="Times New Roman" w:hAnsi="Times New Roman" w:eastAsia="宋体" w:cs="Times New Roman"/>
                <w:sz w:val="24"/>
              </w:rPr>
            </w:pPr>
            <w:r>
              <w:rPr>
                <w:rFonts w:ascii="Times New Roman" w:hAnsi="宋体" w:eastAsia="宋体" w:cs="Times New Roman"/>
                <w:sz w:val="24"/>
              </w:rPr>
              <w:t>⑥可计算车辆</w:t>
            </w:r>
            <w:r>
              <w:rPr>
                <w:rFonts w:ascii="Times New Roman" w:hAnsi="Times New Roman" w:eastAsia="宋体" w:cs="Times New Roman"/>
                <w:sz w:val="24"/>
              </w:rPr>
              <w:t>VSP</w:t>
            </w:r>
            <w:r>
              <w:rPr>
                <w:rFonts w:ascii="Times New Roman" w:hAnsi="宋体" w:eastAsia="宋体" w:cs="Times New Roman"/>
                <w:sz w:val="24"/>
              </w:rPr>
              <w:t>，并筛选、标记出有效数据。</w:t>
            </w:r>
          </w:p>
          <w:p>
            <w:pPr>
              <w:spacing w:line="280" w:lineRule="exact"/>
              <w:rPr>
                <w:rFonts w:hint="eastAsia" w:ascii="Times New Roman" w:hAnsi="Times New Roman" w:eastAsia="宋体" w:cs="Times New Roman"/>
              </w:rPr>
            </w:pPr>
            <w:r>
              <w:rPr>
                <w:rFonts w:ascii="Times New Roman" w:hAnsi="宋体" w:eastAsia="宋体" w:cs="Times New Roman"/>
                <w:sz w:val="24"/>
              </w:rPr>
              <w:t>（</w:t>
            </w:r>
            <w:r>
              <w:rPr>
                <w:rFonts w:ascii="Times New Roman" w:hAnsi="Times New Roman" w:eastAsia="宋体" w:cs="Times New Roman"/>
                <w:sz w:val="24"/>
              </w:rPr>
              <w:t>5</w:t>
            </w:r>
            <w:r>
              <w:rPr>
                <w:rFonts w:ascii="Times New Roman" w:hAnsi="宋体" w:eastAsia="宋体" w:cs="Times New Roman"/>
                <w:sz w:val="24"/>
              </w:rPr>
              <w:t>）具有防尘、防水滴，网络防雷、防浪涌等功能。</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宋体" w:eastAsia="宋体" w:cs="Times New Roman"/>
                <w:sz w:val="24"/>
              </w:rPr>
            </w:pPr>
            <w:r>
              <w:rPr>
                <w:rFonts w:hint="eastAsia" w:ascii="Times New Roman" w:hAnsi="Times New Roman" w:eastAsia="宋体" w:cs="Times New Roman"/>
                <w:sz w:val="24"/>
              </w:rPr>
              <w:t>1</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宋体" w:eastAsia="宋体" w:cs="Times New Roman"/>
                <w:sz w:val="24"/>
              </w:rPr>
            </w:pPr>
            <w:r>
              <w:rPr>
                <w:rFonts w:hint="eastAsia" w:ascii="Times New Roman" w:hAnsi="Times New Roman" w:eastAsia="宋体" w:cs="Times New Roman"/>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4</w:t>
            </w:r>
          </w:p>
        </w:tc>
        <w:tc>
          <w:tcPr>
            <w:tcW w:w="1012" w:type="pc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r>
              <w:rPr>
                <w:rFonts w:ascii="Times New Roman" w:hAnsi="宋体" w:eastAsia="宋体" w:cs="Times New Roman"/>
                <w:b/>
                <w:bCs/>
                <w:sz w:val="24"/>
              </w:rPr>
              <w:t>工业控制计算机</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rPr>
                <w:rFonts w:hint="eastAsia" w:ascii="宋体" w:hAnsi="宋体" w:eastAsia="宋体" w:cs="Times New Roman"/>
                <w:b/>
                <w:bCs/>
                <w:sz w:val="24"/>
              </w:rPr>
            </w:pPr>
            <w:r>
              <w:rPr>
                <w:rFonts w:ascii="宋体" w:hAnsi="宋体" w:eastAsia="宋体" w:cs="Times New Roman"/>
                <w:b/>
                <w:bCs/>
                <w:sz w:val="24"/>
              </w:rPr>
              <w:t>4.1工业控制计算机</w:t>
            </w:r>
          </w:p>
          <w:p>
            <w:pPr>
              <w:pStyle w:val="40"/>
              <w:spacing w:before="0" w:beforeAutospacing="0" w:line="280" w:lineRule="exact"/>
              <w:ind w:firstLine="0" w:firstLineChars="0"/>
              <w:rPr>
                <w:rFonts w:ascii="Times New Roman" w:eastAsia="宋体" w:cs="Times New Roman"/>
                <w:sz w:val="24"/>
                <w:szCs w:val="24"/>
              </w:rPr>
            </w:pPr>
            <w:r>
              <w:rPr>
                <w:rFonts w:ascii="Times New Roman" w:hAnsi="宋体" w:eastAsia="宋体" w:cs="Times New Roman"/>
                <w:sz w:val="24"/>
                <w:szCs w:val="24"/>
              </w:rPr>
              <w:t>（</w:t>
            </w:r>
            <w:r>
              <w:rPr>
                <w:rFonts w:ascii="Times New Roman" w:eastAsia="宋体" w:cs="Times New Roman"/>
                <w:sz w:val="24"/>
                <w:szCs w:val="24"/>
              </w:rPr>
              <w:t>1</w:t>
            </w:r>
            <w:r>
              <w:rPr>
                <w:rFonts w:ascii="Times New Roman" w:hAnsi="宋体" w:eastAsia="宋体" w:cs="Times New Roman"/>
                <w:sz w:val="24"/>
                <w:szCs w:val="24"/>
              </w:rPr>
              <w:t>）</w:t>
            </w:r>
            <w:r>
              <w:rPr>
                <w:rFonts w:ascii="Times New Roman" w:eastAsia="宋体" w:cs="Times New Roman"/>
                <w:sz w:val="24"/>
                <w:szCs w:val="24"/>
              </w:rPr>
              <w:t>CPU:</w:t>
            </w:r>
            <w:r>
              <w:rPr>
                <w:rFonts w:ascii="Times New Roman" w:hAnsi="宋体" w:eastAsia="宋体" w:cs="Times New Roman"/>
                <w:sz w:val="24"/>
                <w:szCs w:val="24"/>
              </w:rPr>
              <w:t>酷睿</w:t>
            </w:r>
            <w:r>
              <w:rPr>
                <w:rFonts w:ascii="Times New Roman" w:eastAsia="宋体" w:cs="Times New Roman"/>
                <w:sz w:val="24"/>
                <w:szCs w:val="24"/>
              </w:rPr>
              <w:t xml:space="preserve"> i5 </w:t>
            </w:r>
            <w:r>
              <w:rPr>
                <w:rFonts w:ascii="Times New Roman" w:hAnsi="宋体" w:eastAsia="宋体" w:cs="Times New Roman"/>
                <w:sz w:val="24"/>
                <w:szCs w:val="24"/>
              </w:rPr>
              <w:t>处理器</w:t>
            </w:r>
          </w:p>
          <w:p>
            <w:pPr>
              <w:pStyle w:val="40"/>
              <w:spacing w:before="0" w:beforeAutospacing="0" w:line="280" w:lineRule="exact"/>
              <w:ind w:firstLine="0" w:firstLineChars="0"/>
              <w:rPr>
                <w:rFonts w:ascii="Times New Roman" w:eastAsia="宋体" w:cs="Times New Roman"/>
                <w:sz w:val="24"/>
                <w:szCs w:val="24"/>
              </w:rPr>
            </w:pPr>
            <w:r>
              <w:rPr>
                <w:rFonts w:ascii="Times New Roman" w:hAnsi="宋体" w:eastAsia="宋体" w:cs="Times New Roman"/>
                <w:sz w:val="24"/>
                <w:szCs w:val="24"/>
              </w:rPr>
              <w:t>（</w:t>
            </w:r>
            <w:r>
              <w:rPr>
                <w:rFonts w:ascii="Times New Roman" w:eastAsia="宋体" w:cs="Times New Roman"/>
                <w:sz w:val="24"/>
                <w:szCs w:val="24"/>
              </w:rPr>
              <w:t>2</w:t>
            </w:r>
            <w:r>
              <w:rPr>
                <w:rFonts w:ascii="Times New Roman" w:hAnsi="宋体" w:eastAsia="宋体" w:cs="Times New Roman"/>
                <w:sz w:val="24"/>
                <w:szCs w:val="24"/>
              </w:rPr>
              <w:t>）内存</w:t>
            </w:r>
            <w:r>
              <w:rPr>
                <w:rFonts w:ascii="Times New Roman" w:eastAsia="宋体" w:cs="Times New Roman"/>
                <w:sz w:val="24"/>
                <w:szCs w:val="24"/>
              </w:rPr>
              <w:t>:</w:t>
            </w:r>
            <w:r>
              <w:rPr>
                <w:rFonts w:ascii="Times New Roman" w:hAnsi="宋体" w:eastAsia="宋体" w:cs="Times New Roman"/>
                <w:sz w:val="24"/>
                <w:szCs w:val="24"/>
              </w:rPr>
              <w:t>容量</w:t>
            </w:r>
            <w:r>
              <w:rPr>
                <w:rFonts w:ascii="Times New Roman" w:eastAsia="宋体" w:cs="Times New Roman"/>
                <w:sz w:val="24"/>
                <w:szCs w:val="24"/>
              </w:rPr>
              <w:t xml:space="preserve"> 16GB </w:t>
            </w:r>
            <w:r>
              <w:rPr>
                <w:rFonts w:ascii="Times New Roman" w:hAnsi="宋体" w:eastAsia="宋体" w:cs="Times New Roman"/>
                <w:sz w:val="24"/>
                <w:szCs w:val="24"/>
              </w:rPr>
              <w:t>速度：</w:t>
            </w:r>
            <w:r>
              <w:rPr>
                <w:rFonts w:ascii="Times New Roman" w:eastAsia="宋体" w:cs="Times New Roman"/>
                <w:sz w:val="24"/>
                <w:szCs w:val="24"/>
              </w:rPr>
              <w:t>DDR4</w:t>
            </w:r>
          </w:p>
          <w:p>
            <w:pPr>
              <w:pStyle w:val="40"/>
              <w:spacing w:before="0" w:beforeAutospacing="0" w:line="280" w:lineRule="exact"/>
              <w:ind w:firstLine="0" w:firstLineChars="0"/>
              <w:rPr>
                <w:rFonts w:ascii="Times New Roman" w:eastAsia="宋体" w:cs="Times New Roman"/>
                <w:sz w:val="24"/>
                <w:szCs w:val="24"/>
              </w:rPr>
            </w:pPr>
            <w:r>
              <w:rPr>
                <w:rFonts w:ascii="Times New Roman" w:hAnsi="宋体" w:eastAsia="宋体" w:cs="Times New Roman"/>
                <w:sz w:val="24"/>
                <w:szCs w:val="24"/>
              </w:rPr>
              <w:t>（</w:t>
            </w:r>
            <w:r>
              <w:rPr>
                <w:rFonts w:ascii="Times New Roman" w:eastAsia="宋体" w:cs="Times New Roman"/>
                <w:sz w:val="24"/>
                <w:szCs w:val="24"/>
              </w:rPr>
              <w:t>3</w:t>
            </w:r>
            <w:r>
              <w:rPr>
                <w:rFonts w:ascii="Times New Roman" w:hAnsi="宋体" w:eastAsia="宋体" w:cs="Times New Roman"/>
                <w:sz w:val="24"/>
                <w:szCs w:val="24"/>
              </w:rPr>
              <w:t>）显存容量：独立</w:t>
            </w:r>
            <w:r>
              <w:rPr>
                <w:rFonts w:ascii="Times New Roman" w:eastAsia="宋体" w:cs="Times New Roman"/>
                <w:sz w:val="24"/>
                <w:szCs w:val="24"/>
              </w:rPr>
              <w:t>2GB</w:t>
            </w:r>
          </w:p>
          <w:p>
            <w:pPr>
              <w:pStyle w:val="40"/>
              <w:spacing w:before="0" w:beforeAutospacing="0" w:line="280" w:lineRule="exact"/>
              <w:ind w:firstLine="0" w:firstLineChars="0"/>
              <w:rPr>
                <w:rFonts w:ascii="Times New Roman" w:eastAsia="宋体" w:cs="Times New Roman"/>
                <w:sz w:val="24"/>
                <w:szCs w:val="24"/>
              </w:rPr>
            </w:pPr>
            <w:r>
              <w:rPr>
                <w:rFonts w:ascii="Times New Roman" w:hAnsi="宋体" w:eastAsia="宋体" w:cs="Times New Roman"/>
                <w:sz w:val="24"/>
                <w:szCs w:val="24"/>
              </w:rPr>
              <w:t>（</w:t>
            </w:r>
            <w:r>
              <w:rPr>
                <w:rFonts w:ascii="Times New Roman" w:eastAsia="宋体" w:cs="Times New Roman"/>
                <w:sz w:val="24"/>
                <w:szCs w:val="24"/>
              </w:rPr>
              <w:t>4</w:t>
            </w:r>
            <w:r>
              <w:rPr>
                <w:rFonts w:ascii="Times New Roman" w:hAnsi="宋体" w:eastAsia="宋体" w:cs="Times New Roman"/>
                <w:sz w:val="24"/>
                <w:szCs w:val="24"/>
              </w:rPr>
              <w:t>）硬盘</w:t>
            </w:r>
            <w:r>
              <w:rPr>
                <w:rFonts w:ascii="Times New Roman" w:eastAsia="宋体" w:cs="Times New Roman"/>
                <w:sz w:val="24"/>
                <w:szCs w:val="24"/>
              </w:rPr>
              <w:t xml:space="preserve">: 2TB </w:t>
            </w:r>
            <w:r>
              <w:rPr>
                <w:rFonts w:ascii="Times New Roman" w:hAnsi="宋体" w:eastAsia="宋体" w:cs="Times New Roman"/>
                <w:sz w:val="24"/>
                <w:szCs w:val="24"/>
              </w:rPr>
              <w:t>类型：</w:t>
            </w:r>
            <w:r>
              <w:rPr>
                <w:rFonts w:ascii="Times New Roman" w:eastAsia="宋体" w:cs="Times New Roman"/>
                <w:sz w:val="24"/>
                <w:szCs w:val="24"/>
              </w:rPr>
              <w:t xml:space="preserve">SATA </w:t>
            </w:r>
            <w:r>
              <w:rPr>
                <w:rFonts w:ascii="Times New Roman" w:hAnsi="宋体" w:eastAsia="宋体" w:cs="Times New Roman"/>
                <w:sz w:val="24"/>
                <w:szCs w:val="24"/>
              </w:rPr>
              <w:t>串行</w:t>
            </w:r>
          </w:p>
          <w:p>
            <w:pPr>
              <w:pStyle w:val="40"/>
              <w:spacing w:before="0" w:beforeAutospacing="0" w:line="280" w:lineRule="exact"/>
              <w:ind w:firstLine="0" w:firstLineChars="0"/>
              <w:rPr>
                <w:rFonts w:ascii="Times New Roman" w:eastAsia="宋体" w:cs="Times New Roman"/>
                <w:sz w:val="24"/>
                <w:szCs w:val="24"/>
              </w:rPr>
            </w:pPr>
            <w:r>
              <w:rPr>
                <w:rFonts w:ascii="Times New Roman" w:hAnsi="宋体" w:eastAsia="宋体" w:cs="Times New Roman"/>
                <w:sz w:val="24"/>
                <w:szCs w:val="24"/>
              </w:rPr>
              <w:t>（</w:t>
            </w:r>
            <w:r>
              <w:rPr>
                <w:rFonts w:ascii="Times New Roman" w:eastAsia="宋体" w:cs="Times New Roman"/>
                <w:sz w:val="24"/>
                <w:szCs w:val="24"/>
              </w:rPr>
              <w:t>5</w:t>
            </w:r>
            <w:r>
              <w:rPr>
                <w:rFonts w:ascii="Times New Roman" w:hAnsi="宋体" w:eastAsia="宋体" w:cs="Times New Roman"/>
                <w:sz w:val="24"/>
                <w:szCs w:val="24"/>
              </w:rPr>
              <w:t>）具有不低于</w:t>
            </w:r>
            <w:r>
              <w:rPr>
                <w:rFonts w:ascii="Times New Roman" w:eastAsia="宋体" w:cs="Times New Roman"/>
                <w:sz w:val="24"/>
                <w:szCs w:val="24"/>
              </w:rPr>
              <w:t>3</w:t>
            </w:r>
            <w:r>
              <w:rPr>
                <w:rFonts w:ascii="Times New Roman" w:hAnsi="宋体" w:eastAsia="宋体" w:cs="Times New Roman"/>
                <w:sz w:val="24"/>
                <w:szCs w:val="24"/>
              </w:rPr>
              <w:t>个</w:t>
            </w:r>
            <w:r>
              <w:rPr>
                <w:rFonts w:ascii="Times New Roman" w:eastAsia="宋体" w:cs="Times New Roman"/>
                <w:sz w:val="24"/>
                <w:szCs w:val="24"/>
              </w:rPr>
              <w:t>RS232</w:t>
            </w:r>
            <w:r>
              <w:rPr>
                <w:rFonts w:ascii="Times New Roman" w:hAnsi="宋体" w:eastAsia="宋体" w:cs="Times New Roman"/>
                <w:sz w:val="24"/>
                <w:szCs w:val="24"/>
              </w:rPr>
              <w:t>，</w:t>
            </w:r>
            <w:r>
              <w:rPr>
                <w:rFonts w:ascii="Times New Roman" w:eastAsia="宋体" w:cs="Times New Roman"/>
                <w:sz w:val="24"/>
                <w:szCs w:val="24"/>
              </w:rPr>
              <w:t>1</w:t>
            </w:r>
            <w:r>
              <w:rPr>
                <w:rFonts w:ascii="Times New Roman" w:hAnsi="宋体" w:eastAsia="宋体" w:cs="Times New Roman"/>
                <w:sz w:val="24"/>
                <w:szCs w:val="24"/>
              </w:rPr>
              <w:t>个</w:t>
            </w:r>
            <w:r>
              <w:rPr>
                <w:rFonts w:ascii="Times New Roman" w:eastAsia="宋体" w:cs="Times New Roman"/>
                <w:sz w:val="24"/>
                <w:szCs w:val="24"/>
              </w:rPr>
              <w:t>RS485</w:t>
            </w:r>
            <w:r>
              <w:rPr>
                <w:rFonts w:ascii="Times New Roman" w:hAnsi="宋体" w:eastAsia="宋体" w:cs="Times New Roman"/>
                <w:sz w:val="24"/>
                <w:szCs w:val="24"/>
              </w:rPr>
              <w:t>串口</w:t>
            </w:r>
          </w:p>
          <w:p>
            <w:pPr>
              <w:pStyle w:val="40"/>
              <w:spacing w:before="0" w:beforeAutospacing="0" w:line="280" w:lineRule="exact"/>
              <w:ind w:firstLine="0" w:firstLineChars="0"/>
              <w:rPr>
                <w:rFonts w:ascii="Times New Roman" w:eastAsia="宋体" w:cs="Times New Roman"/>
                <w:sz w:val="24"/>
                <w:szCs w:val="24"/>
              </w:rPr>
            </w:pPr>
            <w:r>
              <w:rPr>
                <w:rFonts w:ascii="Times New Roman" w:hAnsi="宋体" w:eastAsia="宋体" w:cs="Times New Roman"/>
                <w:sz w:val="24"/>
                <w:szCs w:val="24"/>
              </w:rPr>
              <w:t>（</w:t>
            </w:r>
            <w:r>
              <w:rPr>
                <w:rFonts w:ascii="Times New Roman" w:eastAsia="宋体" w:cs="Times New Roman"/>
                <w:sz w:val="24"/>
                <w:szCs w:val="24"/>
              </w:rPr>
              <w:t>6</w:t>
            </w:r>
            <w:r>
              <w:rPr>
                <w:rFonts w:ascii="Times New Roman" w:hAnsi="宋体" w:eastAsia="宋体" w:cs="Times New Roman"/>
                <w:sz w:val="24"/>
                <w:szCs w:val="24"/>
              </w:rPr>
              <w:t>）</w:t>
            </w:r>
            <w:r>
              <w:rPr>
                <w:rFonts w:ascii="Times New Roman" w:eastAsia="宋体" w:cs="Times New Roman"/>
                <w:sz w:val="24"/>
                <w:szCs w:val="24"/>
              </w:rPr>
              <w:t xml:space="preserve">USB </w:t>
            </w:r>
            <w:r>
              <w:rPr>
                <w:rFonts w:ascii="Times New Roman" w:hAnsi="宋体" w:eastAsia="宋体" w:cs="Times New Roman"/>
                <w:sz w:val="24"/>
                <w:szCs w:val="24"/>
              </w:rPr>
              <w:t>接口</w:t>
            </w:r>
            <w:r>
              <w:rPr>
                <w:rFonts w:ascii="Times New Roman" w:eastAsia="宋体" w:cs="Times New Roman"/>
                <w:sz w:val="24"/>
                <w:szCs w:val="24"/>
              </w:rPr>
              <w:t xml:space="preserve">:6 </w:t>
            </w:r>
            <w:r>
              <w:rPr>
                <w:rFonts w:ascii="Times New Roman" w:hAnsi="宋体" w:eastAsia="宋体" w:cs="Times New Roman"/>
                <w:sz w:val="24"/>
                <w:szCs w:val="24"/>
              </w:rPr>
              <w:t>个，音频接口：</w:t>
            </w:r>
            <w:r>
              <w:rPr>
                <w:rFonts w:ascii="Times New Roman" w:eastAsia="宋体" w:cs="Times New Roman"/>
                <w:sz w:val="24"/>
                <w:szCs w:val="24"/>
              </w:rPr>
              <w:t xml:space="preserve">1 </w:t>
            </w:r>
            <w:r>
              <w:rPr>
                <w:rFonts w:ascii="Times New Roman" w:hAnsi="宋体" w:eastAsia="宋体" w:cs="Times New Roman"/>
                <w:sz w:val="24"/>
                <w:szCs w:val="24"/>
              </w:rPr>
              <w:t>个</w:t>
            </w:r>
          </w:p>
          <w:p>
            <w:pPr>
              <w:pStyle w:val="40"/>
              <w:spacing w:before="0" w:beforeAutospacing="0" w:line="280" w:lineRule="exact"/>
              <w:ind w:firstLine="0" w:firstLineChars="0"/>
              <w:rPr>
                <w:rFonts w:ascii="Times New Roman" w:eastAsia="宋体" w:cs="Times New Roman"/>
                <w:sz w:val="24"/>
                <w:szCs w:val="24"/>
              </w:rPr>
            </w:pPr>
            <w:r>
              <w:rPr>
                <w:rFonts w:ascii="Times New Roman" w:hAnsi="宋体" w:eastAsia="宋体" w:cs="Times New Roman"/>
                <w:sz w:val="24"/>
                <w:szCs w:val="24"/>
              </w:rPr>
              <w:t>（</w:t>
            </w:r>
            <w:r>
              <w:rPr>
                <w:rFonts w:ascii="Times New Roman" w:eastAsia="宋体" w:cs="Times New Roman"/>
                <w:sz w:val="24"/>
                <w:szCs w:val="24"/>
              </w:rPr>
              <w:t>7</w:t>
            </w:r>
            <w:r>
              <w:rPr>
                <w:rFonts w:ascii="Times New Roman" w:hAnsi="宋体" w:eastAsia="宋体" w:cs="Times New Roman"/>
                <w:sz w:val="24"/>
                <w:szCs w:val="24"/>
              </w:rPr>
              <w:t>）声卡：集成声卡，双网卡：</w:t>
            </w:r>
            <w:r>
              <w:rPr>
                <w:rFonts w:ascii="Times New Roman" w:eastAsia="宋体" w:cs="Times New Roman"/>
                <w:sz w:val="24"/>
                <w:szCs w:val="24"/>
              </w:rPr>
              <w:t xml:space="preserve">1000Mbps </w:t>
            </w:r>
            <w:r>
              <w:rPr>
                <w:rFonts w:ascii="Times New Roman" w:hAnsi="宋体" w:eastAsia="宋体" w:cs="Times New Roman"/>
                <w:sz w:val="24"/>
                <w:szCs w:val="24"/>
              </w:rPr>
              <w:t>以太网卡</w:t>
            </w:r>
          </w:p>
          <w:p>
            <w:pPr>
              <w:pStyle w:val="40"/>
              <w:spacing w:before="0" w:beforeAutospacing="0" w:line="280" w:lineRule="exact"/>
              <w:ind w:firstLine="0" w:firstLineChars="0"/>
              <w:rPr>
                <w:rFonts w:ascii="Times New Roman" w:eastAsia="宋体" w:cs="Times New Roman"/>
                <w:sz w:val="24"/>
                <w:szCs w:val="24"/>
              </w:rPr>
            </w:pPr>
            <w:r>
              <w:rPr>
                <w:rFonts w:ascii="Times New Roman" w:hAnsi="宋体" w:eastAsia="宋体" w:cs="Times New Roman"/>
                <w:sz w:val="24"/>
                <w:szCs w:val="24"/>
              </w:rPr>
              <w:t>（</w:t>
            </w:r>
            <w:r>
              <w:rPr>
                <w:rFonts w:ascii="Times New Roman" w:eastAsia="宋体" w:cs="Times New Roman"/>
                <w:sz w:val="24"/>
                <w:szCs w:val="24"/>
              </w:rPr>
              <w:t>8</w:t>
            </w:r>
            <w:r>
              <w:rPr>
                <w:rFonts w:ascii="Times New Roman" w:hAnsi="宋体" w:eastAsia="宋体" w:cs="Times New Roman"/>
                <w:sz w:val="24"/>
                <w:szCs w:val="24"/>
              </w:rPr>
              <w:t>）操作系统：配备微软简体中文操作系统，系统所有软件与</w:t>
            </w:r>
            <w:r>
              <w:rPr>
                <w:rFonts w:ascii="Times New Roman" w:eastAsia="宋体" w:cs="Times New Roman"/>
                <w:sz w:val="24"/>
                <w:szCs w:val="24"/>
              </w:rPr>
              <w:t xml:space="preserve"> windows </w:t>
            </w:r>
            <w:r>
              <w:rPr>
                <w:rFonts w:ascii="Times New Roman" w:hAnsi="宋体" w:eastAsia="宋体" w:cs="Times New Roman"/>
                <w:sz w:val="24"/>
                <w:szCs w:val="24"/>
              </w:rPr>
              <w:t>系统兼容，方便使用，可免费升级。</w:t>
            </w:r>
          </w:p>
        </w:tc>
        <w:tc>
          <w:tcPr>
            <w:tcW w:w="438" w:type="pc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cs="Times New Roman"/>
                <w:b/>
                <w:bCs/>
                <w:sz w:val="24"/>
              </w:rPr>
            </w:pPr>
            <w:r>
              <w:rPr>
                <w:rFonts w:hint="eastAsia" w:ascii="Times New Roman" w:hAnsi="宋体" w:eastAsia="宋体" w:cs="Times New Roman"/>
                <w:sz w:val="24"/>
                <w:szCs w:val="24"/>
              </w:rPr>
              <w:t>1</w:t>
            </w:r>
          </w:p>
        </w:tc>
        <w:tc>
          <w:tcPr>
            <w:tcW w:w="461" w:type="pc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cs="Times New Roman"/>
                <w:b/>
                <w:bCs/>
                <w:sz w:val="24"/>
              </w:rPr>
            </w:pPr>
            <w:r>
              <w:rPr>
                <w:rFonts w:hint="eastAsia" w:ascii="Times New Roman" w:hAnsi="宋体" w:eastAsia="宋体" w:cs="Times New Roman"/>
                <w:sz w:val="24"/>
                <w:szCs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5</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r>
              <w:rPr>
                <w:rFonts w:ascii="Times New Roman" w:hAnsi="宋体" w:eastAsia="宋体" w:cs="Times New Roman"/>
                <w:b/>
                <w:bCs/>
                <w:sz w:val="24"/>
              </w:rPr>
              <w:t>环境气象监测系统</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）温度计检测范围为</w:t>
            </w:r>
            <w:r>
              <w:rPr>
                <w:rFonts w:ascii="Times New Roman" w:hAnsi="Times New Roman" w:eastAsia="宋体" w:cs="Times New Roman"/>
                <w:sz w:val="24"/>
              </w:rPr>
              <w:t>-40.0</w:t>
            </w:r>
            <w:r>
              <w:rPr>
                <w:rFonts w:ascii="Times New Roman" w:hAnsi="宋体" w:eastAsia="宋体" w:cs="Times New Roman"/>
                <w:sz w:val="24"/>
              </w:rPr>
              <w:t>℃至</w:t>
            </w:r>
            <w:r>
              <w:rPr>
                <w:rFonts w:ascii="Times New Roman" w:hAnsi="Times New Roman" w:eastAsia="宋体" w:cs="Times New Roman"/>
                <w:sz w:val="24"/>
              </w:rPr>
              <w:t xml:space="preserve"> 50.0</w:t>
            </w:r>
            <w:r>
              <w:rPr>
                <w:rFonts w:ascii="Times New Roman" w:hAnsi="宋体" w:eastAsia="宋体" w:cs="Times New Roman"/>
                <w:sz w:val="24"/>
              </w:rPr>
              <w:t>℃；精度：</w:t>
            </w:r>
            <w:r>
              <w:rPr>
                <w:rFonts w:ascii="Times New Roman" w:hAnsi="Times New Roman" w:eastAsia="宋体" w:cs="Times New Roman"/>
                <w:sz w:val="24"/>
              </w:rPr>
              <w:t>±0.3</w:t>
            </w:r>
            <w:r>
              <w:rPr>
                <w:rFonts w:ascii="Times New Roman" w:hAnsi="宋体" w:eastAsia="宋体" w:cs="Times New Roman"/>
                <w:sz w:val="24"/>
              </w:rPr>
              <w:t>℃；</w:t>
            </w:r>
            <w:r>
              <w:rPr>
                <w:rFonts w:ascii="Times New Roman" w:hAnsi="Times New Roman" w:eastAsia="宋体" w:cs="Times New Roman"/>
                <w:sz w:val="24"/>
              </w:rPr>
              <w:t> </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）相对湿度计检测范围为</w:t>
            </w:r>
            <w:r>
              <w:rPr>
                <w:rFonts w:ascii="Times New Roman" w:hAnsi="Times New Roman" w:eastAsia="宋体" w:cs="Times New Roman"/>
                <w:sz w:val="24"/>
              </w:rPr>
              <w:t>0-100%RH</w:t>
            </w:r>
            <w:r>
              <w:rPr>
                <w:rFonts w:ascii="Times New Roman" w:hAnsi="宋体" w:eastAsia="宋体" w:cs="Times New Roman"/>
                <w:sz w:val="24"/>
              </w:rPr>
              <w:t>；精度：满量程的</w:t>
            </w:r>
            <w:r>
              <w:rPr>
                <w:rFonts w:ascii="Times New Roman" w:hAnsi="Times New Roman" w:eastAsia="宋体" w:cs="Times New Roman"/>
                <w:sz w:val="24"/>
              </w:rPr>
              <w:t>±3%RH</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3</w:t>
            </w:r>
            <w:r>
              <w:rPr>
                <w:rFonts w:ascii="Times New Roman" w:hAnsi="宋体" w:eastAsia="宋体" w:cs="Times New Roman"/>
                <w:sz w:val="24"/>
              </w:rPr>
              <w:t>）风向，原理超声波，测量范围</w:t>
            </w:r>
            <w:r>
              <w:rPr>
                <w:rFonts w:ascii="Times New Roman" w:hAnsi="Times New Roman" w:eastAsia="宋体" w:cs="Times New Roman"/>
                <w:sz w:val="24"/>
              </w:rPr>
              <w:t>0-359.9°</w:t>
            </w:r>
            <w:r>
              <w:rPr>
                <w:rFonts w:ascii="Times New Roman" w:hAnsi="宋体" w:eastAsia="宋体" w:cs="Times New Roman"/>
                <w:sz w:val="24"/>
              </w:rPr>
              <w:t>；全方位，无盲区；；</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4</w:t>
            </w:r>
            <w:r>
              <w:rPr>
                <w:rFonts w:ascii="Times New Roman" w:hAnsi="宋体" w:eastAsia="宋体" w:cs="Times New Roman"/>
                <w:sz w:val="24"/>
              </w:rPr>
              <w:t>）风速，原理超声波，测量范围</w:t>
            </w:r>
            <w:r>
              <w:rPr>
                <w:rFonts w:ascii="Times New Roman" w:hAnsi="Times New Roman" w:eastAsia="宋体" w:cs="Times New Roman"/>
                <w:sz w:val="24"/>
              </w:rPr>
              <w:t>0</w:t>
            </w:r>
            <w:r>
              <w:rPr>
                <w:rFonts w:ascii="Times New Roman" w:hAnsi="宋体" w:eastAsia="宋体" w:cs="Times New Roman"/>
                <w:sz w:val="24"/>
              </w:rPr>
              <w:t>～</w:t>
            </w:r>
            <w:r>
              <w:rPr>
                <w:rFonts w:ascii="Times New Roman" w:hAnsi="Times New Roman" w:eastAsia="宋体" w:cs="Times New Roman"/>
                <w:sz w:val="24"/>
              </w:rPr>
              <w:t>60</w:t>
            </w:r>
            <w:r>
              <w:rPr>
                <w:rFonts w:ascii="Times New Roman" w:hAnsi="宋体" w:eastAsia="宋体" w:cs="Times New Roman"/>
                <w:sz w:val="24"/>
              </w:rPr>
              <w:t>米</w:t>
            </w:r>
            <w:r>
              <w:rPr>
                <w:rFonts w:ascii="Times New Roman" w:hAnsi="Times New Roman" w:eastAsia="宋体" w:cs="Times New Roman"/>
                <w:sz w:val="24"/>
              </w:rPr>
              <w:t>/</w:t>
            </w:r>
            <w:r>
              <w:rPr>
                <w:rFonts w:ascii="Times New Roman" w:hAnsi="宋体" w:eastAsia="宋体" w:cs="Times New Roman"/>
                <w:sz w:val="24"/>
              </w:rPr>
              <w:t>秒，精度：</w:t>
            </w:r>
            <w:r>
              <w:rPr>
                <w:rFonts w:ascii="Times New Roman" w:hAnsi="Times New Roman" w:eastAsia="宋体" w:cs="Times New Roman"/>
                <w:sz w:val="24"/>
              </w:rPr>
              <w:t>0.3</w:t>
            </w:r>
            <w:r>
              <w:rPr>
                <w:rFonts w:ascii="Times New Roman" w:hAnsi="宋体" w:eastAsia="宋体" w:cs="Times New Roman"/>
                <w:sz w:val="24"/>
              </w:rPr>
              <w:t>米</w:t>
            </w:r>
            <w:r>
              <w:rPr>
                <w:rFonts w:ascii="Times New Roman" w:hAnsi="Times New Roman" w:eastAsia="宋体" w:cs="Times New Roman"/>
                <w:sz w:val="24"/>
              </w:rPr>
              <w:t>/</w:t>
            </w:r>
            <w:r>
              <w:rPr>
                <w:rFonts w:ascii="Times New Roman" w:hAnsi="宋体" w:eastAsia="宋体" w:cs="Times New Roman"/>
                <w:sz w:val="24"/>
              </w:rPr>
              <w:t>秒；</w:t>
            </w:r>
            <w:r>
              <w:rPr>
                <w:rFonts w:ascii="Times New Roman" w:hAnsi="Times New Roman" w:eastAsia="宋体" w:cs="Times New Roman"/>
                <w:sz w:val="24"/>
              </w:rPr>
              <w:t> </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5</w:t>
            </w:r>
            <w:r>
              <w:rPr>
                <w:rFonts w:ascii="Times New Roman" w:hAnsi="宋体" w:eastAsia="宋体" w:cs="Times New Roman"/>
                <w:sz w:val="24"/>
              </w:rPr>
              <w:t>）气压，测量范围</w:t>
            </w:r>
            <w:r>
              <w:rPr>
                <w:rFonts w:ascii="Times New Roman" w:hAnsi="Times New Roman" w:eastAsia="宋体" w:cs="Times New Roman"/>
                <w:sz w:val="24"/>
              </w:rPr>
              <w:t>700</w:t>
            </w:r>
            <w:r>
              <w:rPr>
                <w:rFonts w:ascii="Times New Roman" w:hAnsi="宋体" w:eastAsia="宋体" w:cs="Times New Roman"/>
                <w:sz w:val="24"/>
              </w:rPr>
              <w:t>～</w:t>
            </w:r>
            <w:r>
              <w:rPr>
                <w:rFonts w:ascii="Times New Roman" w:hAnsi="Times New Roman" w:eastAsia="宋体" w:cs="Times New Roman"/>
                <w:sz w:val="24"/>
              </w:rPr>
              <w:t>1100 hpa</w:t>
            </w:r>
            <w:r>
              <w:rPr>
                <w:rFonts w:ascii="Times New Roman" w:hAnsi="宋体" w:eastAsia="宋体" w:cs="Times New Roman"/>
                <w:sz w:val="24"/>
              </w:rPr>
              <w:t>，精度：</w:t>
            </w:r>
            <w:r>
              <w:rPr>
                <w:rFonts w:ascii="Times New Roman" w:hAnsi="Times New Roman" w:eastAsia="宋体" w:cs="Times New Roman"/>
                <w:sz w:val="24"/>
              </w:rPr>
              <w:t>±0.5 hpa</w:t>
            </w:r>
            <w:r>
              <w:rPr>
                <w:rFonts w:ascii="Times New Roman" w:hAnsi="宋体" w:eastAsia="宋体" w:cs="Times New Roman"/>
                <w:sz w:val="24"/>
              </w:rPr>
              <w:t>，分辨率</w:t>
            </w:r>
            <w:r>
              <w:rPr>
                <w:rFonts w:ascii="Times New Roman" w:hAnsi="Times New Roman" w:eastAsia="宋体" w:cs="Times New Roman"/>
                <w:sz w:val="24"/>
              </w:rPr>
              <w:t>0.1hpa</w:t>
            </w:r>
            <w:r>
              <w:rPr>
                <w:rFonts w:ascii="Times New Roman" w:hAnsi="宋体" w:eastAsia="宋体" w:cs="Times New Roman"/>
                <w:sz w:val="24"/>
              </w:rPr>
              <w:t>；</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宋体" w:eastAsia="宋体" w:cs="Times New Roman"/>
                <w:sz w:val="24"/>
              </w:rPr>
            </w:pPr>
            <w:r>
              <w:rPr>
                <w:rFonts w:hint="eastAsia" w:ascii="Times New Roman" w:hAnsi="Times New Roman" w:eastAsia="宋体" w:cs="Times New Roman"/>
                <w:sz w:val="24"/>
              </w:rPr>
              <w:t>1</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宋体" w:eastAsia="宋体" w:cs="Times New Roman"/>
                <w:sz w:val="24"/>
              </w:rPr>
            </w:pPr>
            <w:r>
              <w:rPr>
                <w:rFonts w:hint="eastAsia" w:ascii="Times New Roman" w:hAnsi="Times New Roman" w:eastAsia="宋体" w:cs="Times New Roman"/>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6</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r>
              <w:rPr>
                <w:rFonts w:ascii="Times New Roman" w:hAnsi="宋体" w:eastAsia="宋体" w:cs="Times New Roman"/>
                <w:b/>
                <w:bCs/>
                <w:sz w:val="24"/>
              </w:rPr>
              <w:t>道路流量监测系统</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宋体" w:eastAsia="宋体" w:cs="Times New Roman"/>
                <w:sz w:val="24"/>
              </w:rPr>
              <w:t>采集检测多条车道的车流量、车道占有率、平均车速、车型分类、车间距等车道信息；设备具有通讯接口，支持</w:t>
            </w:r>
            <w:r>
              <w:rPr>
                <w:rFonts w:ascii="Times New Roman" w:hAnsi="Times New Roman" w:eastAsia="宋体" w:cs="Times New Roman"/>
                <w:sz w:val="24"/>
              </w:rPr>
              <w:t>RS232/RS485</w:t>
            </w:r>
            <w:r>
              <w:rPr>
                <w:rFonts w:ascii="Times New Roman" w:hAnsi="宋体" w:eastAsia="宋体" w:cs="Times New Roman"/>
                <w:sz w:val="24"/>
              </w:rPr>
              <w:t>通信，支持</w:t>
            </w:r>
            <w:r>
              <w:rPr>
                <w:rFonts w:ascii="Times New Roman" w:hAnsi="Times New Roman" w:eastAsia="宋体" w:cs="Times New Roman"/>
                <w:sz w:val="24"/>
              </w:rPr>
              <w:t>TCP/IP</w:t>
            </w:r>
            <w:r>
              <w:rPr>
                <w:rFonts w:ascii="Times New Roman" w:hAnsi="宋体" w:eastAsia="宋体" w:cs="Times New Roman"/>
                <w:sz w:val="24"/>
              </w:rPr>
              <w:t>协议，可以将采集到的车流量信息和计算出的车速信息传输到后端服务器；设备能够适应日夜全天候工作，不受大风、雨雪、冰雹等恶劣气候和天气的影响，抗干扰能力强。</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）车流量统计有效率</w:t>
            </w:r>
            <w:r>
              <w:rPr>
                <w:rFonts w:ascii="Times New Roman" w:hAnsi="Times New Roman" w:eastAsia="宋体" w:cs="Times New Roman"/>
                <w:sz w:val="24"/>
              </w:rPr>
              <w:t>≥95%</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）检测信息：车流量、车道占有率（时距）、车间距等</w:t>
            </w:r>
          </w:p>
          <w:p>
            <w:pPr>
              <w:pStyle w:val="12"/>
              <w:spacing w:line="280" w:lineRule="exact"/>
              <w:rPr>
                <w:rFonts w:eastAsia="宋体" w:cs="Times New Roman"/>
                <w:sz w:val="24"/>
              </w:rPr>
            </w:pPr>
            <w:r>
              <w:rPr>
                <w:rFonts w:hAnsi="宋体" w:eastAsia="宋体" w:cs="Times New Roman"/>
                <w:sz w:val="24"/>
              </w:rPr>
              <w:t>（</w:t>
            </w:r>
            <w:r>
              <w:rPr>
                <w:rFonts w:eastAsia="宋体" w:cs="Times New Roman"/>
                <w:sz w:val="24"/>
              </w:rPr>
              <w:t>3</w:t>
            </w:r>
            <w:r>
              <w:rPr>
                <w:rFonts w:hAnsi="宋体" w:eastAsia="宋体" w:cs="Times New Roman"/>
                <w:sz w:val="24"/>
              </w:rPr>
              <w:t>）车道数目：与尾气安装点车道数匹配</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4</w:t>
            </w:r>
            <w:r>
              <w:rPr>
                <w:rFonts w:ascii="Times New Roman" w:hAnsi="宋体" w:eastAsia="宋体" w:cs="Times New Roman"/>
                <w:sz w:val="24"/>
              </w:rPr>
              <w:t>）车道划分：可自动或手动划分</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5</w:t>
            </w:r>
            <w:r>
              <w:rPr>
                <w:rFonts w:ascii="Times New Roman" w:hAnsi="宋体" w:eastAsia="宋体" w:cs="Times New Roman"/>
                <w:sz w:val="24"/>
              </w:rPr>
              <w:t>）车型分类：超大型车、大型车、中型车、小型车；</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宋体" w:eastAsia="宋体" w:cs="Times New Roman"/>
                <w:sz w:val="24"/>
              </w:rPr>
            </w:pPr>
            <w:r>
              <w:rPr>
                <w:rFonts w:hint="eastAsia" w:ascii="Times New Roman" w:hAnsi="Times New Roman" w:eastAsia="宋体" w:cs="Times New Roman"/>
                <w:sz w:val="24"/>
              </w:rPr>
              <w:t>1</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宋体" w:eastAsia="宋体" w:cs="Times New Roman"/>
                <w:sz w:val="24"/>
              </w:rPr>
            </w:pPr>
            <w:r>
              <w:rPr>
                <w:rFonts w:hint="eastAsia" w:ascii="Times New Roman" w:hAnsi="Times New Roman" w:eastAsia="宋体" w:cs="Times New Roman"/>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restart"/>
            <w:tcBorders>
              <w:top w:val="single" w:color="auto" w:sz="4" w:space="0"/>
              <w:left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7</w:t>
            </w:r>
          </w:p>
        </w:tc>
        <w:tc>
          <w:tcPr>
            <w:tcW w:w="1012" w:type="pct"/>
            <w:vMerge w:val="restar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r>
              <w:rPr>
                <w:rFonts w:ascii="Times New Roman" w:hAnsi="宋体" w:eastAsia="宋体" w:cs="Times New Roman"/>
                <w:b/>
                <w:bCs/>
                <w:sz w:val="24"/>
              </w:rPr>
              <w:t>安防系统户外</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sz w:val="24"/>
              </w:rPr>
            </w:pPr>
            <w:r>
              <w:rPr>
                <w:rFonts w:ascii="Times New Roman" w:hAnsi="宋体" w:eastAsia="宋体" w:cs="Times New Roman"/>
                <w:b/>
                <w:sz w:val="24"/>
              </w:rPr>
              <w:t>网络高清球机：</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摄像机靶面尺寸</w:t>
            </w:r>
            <w:r>
              <w:rPr>
                <w:rFonts w:ascii="Times New Roman" w:hAnsi="Times New Roman" w:eastAsia="宋体" w:cs="Times New Roman"/>
                <w:sz w:val="24"/>
              </w:rPr>
              <w:t>1/1.8</w:t>
            </w:r>
            <w:r>
              <w:rPr>
                <w:rFonts w:ascii="Times New Roman" w:hAnsi="宋体" w:eastAsia="宋体" w:cs="Times New Roman"/>
                <w:sz w:val="24"/>
              </w:rPr>
              <w:t>英寸；</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像素不低于</w:t>
            </w:r>
            <w:r>
              <w:rPr>
                <w:rFonts w:ascii="Times New Roman" w:hAnsi="Times New Roman" w:eastAsia="宋体" w:cs="Times New Roman"/>
                <w:sz w:val="24"/>
              </w:rPr>
              <w:t>800W</w:t>
            </w:r>
            <w:r>
              <w:rPr>
                <w:rFonts w:ascii="Times New Roman" w:hAnsi="宋体" w:eastAsia="宋体" w:cs="Times New Roman"/>
                <w:sz w:val="24"/>
              </w:rPr>
              <w:t>，支持最大</w:t>
            </w:r>
            <w:r>
              <w:rPr>
                <w:rFonts w:ascii="Times New Roman" w:hAnsi="Times New Roman" w:eastAsia="宋体" w:cs="Times New Roman"/>
                <w:sz w:val="24"/>
              </w:rPr>
              <w:t>3840×2160@30fps</w:t>
            </w:r>
            <w:r>
              <w:rPr>
                <w:rFonts w:ascii="Times New Roman" w:hAnsi="宋体" w:eastAsia="宋体" w:cs="Times New Roman"/>
                <w:sz w:val="24"/>
              </w:rPr>
              <w:t>高清画面输出。</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3)</w:t>
            </w:r>
            <w:r>
              <w:rPr>
                <w:rFonts w:ascii="Times New Roman" w:hAnsi="宋体" w:eastAsia="宋体" w:cs="Times New Roman"/>
                <w:sz w:val="24"/>
              </w:rPr>
              <w:t>高清摄像机支持</w:t>
            </w:r>
            <w:r>
              <w:rPr>
                <w:rFonts w:ascii="Times New Roman" w:hAnsi="Times New Roman" w:eastAsia="宋体" w:cs="Times New Roman"/>
                <w:sz w:val="24"/>
              </w:rPr>
              <w:t>30</w:t>
            </w:r>
            <w:r>
              <w:rPr>
                <w:rFonts w:ascii="Times New Roman" w:hAnsi="宋体" w:eastAsia="宋体" w:cs="Times New Roman"/>
                <w:sz w:val="24"/>
              </w:rPr>
              <w:t>倍光学变焦，</w:t>
            </w:r>
            <w:r>
              <w:rPr>
                <w:rFonts w:ascii="Times New Roman" w:hAnsi="Times New Roman" w:eastAsia="宋体" w:cs="Times New Roman"/>
                <w:sz w:val="24"/>
              </w:rPr>
              <w:t>16</w:t>
            </w:r>
            <w:r>
              <w:rPr>
                <w:rFonts w:ascii="Times New Roman" w:hAnsi="宋体" w:eastAsia="宋体" w:cs="Times New Roman"/>
                <w:sz w:val="24"/>
              </w:rPr>
              <w:t>倍数字变焦。摄像机最低照度彩色</w:t>
            </w:r>
            <w:r>
              <w:rPr>
                <w:rFonts w:ascii="Times New Roman" w:hAnsi="Times New Roman" w:eastAsia="宋体" w:cs="Times New Roman"/>
                <w:sz w:val="24"/>
              </w:rPr>
              <w:t>0.0005Lux</w:t>
            </w:r>
            <w:r>
              <w:rPr>
                <w:rFonts w:ascii="Times New Roman" w:hAnsi="宋体" w:eastAsia="宋体" w:cs="Times New Roman"/>
                <w:sz w:val="24"/>
              </w:rPr>
              <w:t>，黑白为</w:t>
            </w:r>
            <w:r>
              <w:rPr>
                <w:rFonts w:ascii="Times New Roman" w:hAnsi="Times New Roman" w:eastAsia="宋体" w:cs="Times New Roman"/>
                <w:sz w:val="24"/>
              </w:rPr>
              <w:t>0.0001Lux</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4)</w:t>
            </w:r>
            <w:r>
              <w:rPr>
                <w:rFonts w:ascii="Times New Roman" w:hAnsi="宋体" w:eastAsia="宋体" w:cs="Times New Roman"/>
                <w:sz w:val="24"/>
              </w:rPr>
              <w:t>支持</w:t>
            </w:r>
            <w:r>
              <w:rPr>
                <w:rFonts w:ascii="Times New Roman" w:hAnsi="Times New Roman" w:eastAsia="宋体" w:cs="Times New Roman"/>
                <w:sz w:val="24"/>
              </w:rPr>
              <w:t>360°</w:t>
            </w:r>
            <w:r>
              <w:rPr>
                <w:rFonts w:ascii="Times New Roman" w:hAnsi="宋体" w:eastAsia="宋体" w:cs="Times New Roman"/>
                <w:sz w:val="24"/>
              </w:rPr>
              <w:t>水平旋转，水平手控速度</w:t>
            </w:r>
            <w:r>
              <w:rPr>
                <w:rFonts w:ascii="Times New Roman" w:hAnsi="Times New Roman" w:eastAsia="宋体" w:cs="Times New Roman"/>
                <w:sz w:val="24"/>
              </w:rPr>
              <w:t>550°/S</w:t>
            </w:r>
            <w:r>
              <w:rPr>
                <w:rFonts w:ascii="Times New Roman" w:hAnsi="宋体" w:eastAsia="宋体" w:cs="Times New Roman"/>
                <w:sz w:val="24"/>
              </w:rPr>
              <w:t>，垂直速度</w:t>
            </w:r>
            <w:r>
              <w:rPr>
                <w:rFonts w:ascii="Times New Roman" w:hAnsi="Times New Roman" w:eastAsia="宋体" w:cs="Times New Roman"/>
                <w:sz w:val="24"/>
              </w:rPr>
              <w:t>120°/S</w:t>
            </w:r>
            <w:r>
              <w:rPr>
                <w:rFonts w:ascii="Times New Roman" w:hAnsi="宋体" w:eastAsia="宋体" w:cs="Times New Roman"/>
                <w:sz w:val="24"/>
              </w:rPr>
              <w:t>，云台定位精度为</w:t>
            </w:r>
            <w:r>
              <w:rPr>
                <w:rFonts w:ascii="Times New Roman" w:hAnsi="Times New Roman" w:eastAsia="宋体" w:cs="Times New Roman"/>
                <w:sz w:val="24"/>
              </w:rPr>
              <w:t>±0.1°</w:t>
            </w:r>
            <w:r>
              <w:rPr>
                <w:rFonts w:ascii="Times New Roman" w:hAnsi="宋体" w:eastAsia="宋体" w:cs="Times New Roman"/>
                <w:sz w:val="24"/>
              </w:rPr>
              <w:t>。垂直旋转范围为</w:t>
            </w:r>
            <w:r>
              <w:rPr>
                <w:rFonts w:ascii="Times New Roman" w:hAnsi="Times New Roman" w:eastAsia="宋体" w:cs="Times New Roman"/>
                <w:sz w:val="24"/>
              </w:rPr>
              <w:t>-15°~90°</w:t>
            </w:r>
            <w:r>
              <w:rPr>
                <w:rFonts w:ascii="Times New Roman" w:hAnsi="宋体"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5)</w:t>
            </w:r>
            <w:r>
              <w:rPr>
                <w:rFonts w:ascii="Times New Roman" w:hAnsi="宋体" w:eastAsia="宋体" w:cs="Times New Roman"/>
                <w:sz w:val="24"/>
              </w:rPr>
              <w:t>高清球机支持</w:t>
            </w:r>
            <w:r>
              <w:rPr>
                <w:rFonts w:ascii="Times New Roman" w:hAnsi="Times New Roman" w:eastAsia="宋体" w:cs="Times New Roman"/>
                <w:sz w:val="24"/>
              </w:rPr>
              <w:t>300</w:t>
            </w:r>
            <w:r>
              <w:rPr>
                <w:rFonts w:ascii="Times New Roman" w:hAnsi="宋体" w:eastAsia="宋体" w:cs="Times New Roman"/>
                <w:sz w:val="24"/>
              </w:rPr>
              <w:t>个预置位，支持</w:t>
            </w:r>
            <w:r>
              <w:rPr>
                <w:rFonts w:ascii="Times New Roman" w:hAnsi="Times New Roman" w:eastAsia="宋体" w:cs="Times New Roman"/>
                <w:sz w:val="24"/>
              </w:rPr>
              <w:t>18</w:t>
            </w:r>
            <w:r>
              <w:rPr>
                <w:rFonts w:ascii="Times New Roman" w:hAnsi="宋体" w:eastAsia="宋体" w:cs="Times New Roman"/>
                <w:sz w:val="24"/>
              </w:rPr>
              <w:t>条巡航扫描，</w:t>
            </w:r>
            <w:r>
              <w:rPr>
                <w:rFonts w:ascii="Times New Roman" w:hAnsi="Times New Roman" w:eastAsia="宋体" w:cs="Times New Roman"/>
                <w:sz w:val="24"/>
              </w:rPr>
              <w:t>7</w:t>
            </w:r>
            <w:r>
              <w:rPr>
                <w:rFonts w:ascii="Times New Roman" w:hAnsi="宋体" w:eastAsia="宋体" w:cs="Times New Roman"/>
                <w:sz w:val="24"/>
              </w:rPr>
              <w:t>条模式路径设置，预置位视频冻结功能；可实现</w:t>
            </w:r>
            <w:r>
              <w:rPr>
                <w:rFonts w:ascii="Times New Roman" w:hAnsi="Times New Roman" w:eastAsia="宋体" w:cs="Times New Roman"/>
                <w:sz w:val="24"/>
              </w:rPr>
              <w:t>RS485</w:t>
            </w:r>
            <w:r>
              <w:rPr>
                <w:rFonts w:ascii="Times New Roman" w:hAnsi="宋体" w:eastAsia="宋体" w:cs="Times New Roman"/>
                <w:sz w:val="24"/>
              </w:rPr>
              <w:t>接口优先或</w:t>
            </w:r>
            <w:r>
              <w:rPr>
                <w:rFonts w:ascii="Times New Roman" w:hAnsi="Times New Roman" w:eastAsia="宋体" w:cs="Times New Roman"/>
                <w:sz w:val="24"/>
              </w:rPr>
              <w:t>RJ45</w:t>
            </w:r>
            <w:r>
              <w:rPr>
                <w:rFonts w:ascii="Times New Roman" w:hAnsi="宋体" w:eastAsia="宋体" w:cs="Times New Roman"/>
                <w:sz w:val="24"/>
              </w:rPr>
              <w:t>网络接口优先控制功能。</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6)</w:t>
            </w:r>
            <w:r>
              <w:rPr>
                <w:rFonts w:ascii="Times New Roman" w:hAnsi="宋体" w:eastAsia="宋体" w:cs="Times New Roman"/>
                <w:sz w:val="24"/>
              </w:rPr>
              <w:t>断电记忆：支持断网续传功能保障录像不丢失，配合</w:t>
            </w:r>
            <w:r>
              <w:rPr>
                <w:rFonts w:ascii="Times New Roman" w:hAnsi="Times New Roman" w:eastAsia="宋体" w:cs="Times New Roman"/>
                <w:sz w:val="24"/>
              </w:rPr>
              <w:t>SmartNVR</w:t>
            </w:r>
            <w:r>
              <w:rPr>
                <w:rFonts w:ascii="Times New Roman" w:hAnsi="宋体" w:eastAsia="宋体" w:cs="Times New Roman"/>
                <w:sz w:val="24"/>
              </w:rPr>
              <w:t>实现事件录像二次智能检索、分析和浓缩播放</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7)</w:t>
            </w:r>
            <w:r>
              <w:rPr>
                <w:rFonts w:ascii="Times New Roman" w:hAnsi="宋体" w:eastAsia="宋体" w:cs="Times New Roman"/>
                <w:sz w:val="24"/>
              </w:rPr>
              <w:t>信噪比</w:t>
            </w:r>
            <w:r>
              <w:rPr>
                <w:rFonts w:ascii="Times New Roman" w:hAnsi="Times New Roman" w:eastAsia="宋体" w:cs="Times New Roman"/>
                <w:sz w:val="24"/>
              </w:rPr>
              <w:t>≥60dB</w:t>
            </w:r>
            <w:r>
              <w:rPr>
                <w:rFonts w:ascii="Times New Roman" w:hAnsi="宋体" w:eastAsia="宋体" w:cs="Times New Roman"/>
                <w:sz w:val="24"/>
              </w:rPr>
              <w:t>，网络延时不大于</w:t>
            </w:r>
            <w:r>
              <w:rPr>
                <w:rFonts w:ascii="Times New Roman" w:hAnsi="Times New Roman" w:eastAsia="宋体" w:cs="Times New Roman"/>
                <w:sz w:val="24"/>
              </w:rPr>
              <w:t>100ms</w:t>
            </w:r>
            <w:r>
              <w:rPr>
                <w:rFonts w:ascii="Times New Roman" w:hAnsi="宋体" w:eastAsia="宋体" w:cs="Times New Roman"/>
                <w:sz w:val="24"/>
              </w:rPr>
              <w:t>。具有智能红外、透雾、强光抑制、电子防抖、数字降噪、防红外过曝等功能。</w:t>
            </w:r>
          </w:p>
        </w:tc>
        <w:tc>
          <w:tcPr>
            <w:tcW w:w="438" w:type="pct"/>
            <w:vMerge w:val="restar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cs="Times New Roman"/>
                <w:b/>
                <w:bCs/>
                <w:sz w:val="24"/>
              </w:rPr>
            </w:pPr>
            <w:r>
              <w:rPr>
                <w:rFonts w:hint="eastAsia" w:ascii="Times New Roman" w:hAnsi="宋体" w:eastAsia="宋体" w:cs="Times New Roman"/>
                <w:sz w:val="24"/>
                <w:szCs w:val="24"/>
              </w:rPr>
              <w:t>1</w:t>
            </w:r>
          </w:p>
        </w:tc>
        <w:tc>
          <w:tcPr>
            <w:tcW w:w="461" w:type="pct"/>
            <w:vMerge w:val="restar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cs="Times New Roman"/>
                <w:b/>
                <w:bCs/>
                <w:sz w:val="24"/>
              </w:rPr>
            </w:pPr>
            <w:r>
              <w:rPr>
                <w:rFonts w:hint="eastAsia" w:ascii="Times New Roman" w:hAnsi="宋体" w:eastAsia="宋体" w:cs="Times New Roman"/>
                <w:sz w:val="24"/>
                <w:szCs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p>
        </w:tc>
        <w:tc>
          <w:tcPr>
            <w:tcW w:w="1012" w:type="pct"/>
            <w:vMerge w:val="continue"/>
            <w:tcBorders>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sz w:val="24"/>
              </w:rPr>
            </w:pPr>
            <w:r>
              <w:rPr>
                <w:rFonts w:ascii="Times New Roman" w:hAnsi="宋体" w:eastAsia="宋体" w:cs="Times New Roman"/>
                <w:b/>
                <w:sz w:val="24"/>
              </w:rPr>
              <w:t>数字硬盘录像机：</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1</w:t>
            </w:r>
            <w:r>
              <w:rPr>
                <w:rFonts w:ascii="Times New Roman" w:hAnsi="宋体" w:eastAsia="宋体" w:cs="Times New Roman"/>
                <w:sz w:val="24"/>
              </w:rPr>
              <w:t>）设备可接入多种编码格式的视频图像，可以接入带宽</w:t>
            </w:r>
            <w:r>
              <w:rPr>
                <w:rFonts w:ascii="Times New Roman" w:hAnsi="Times New Roman" w:eastAsia="宋体" w:cs="Times New Roman"/>
                <w:sz w:val="24"/>
              </w:rPr>
              <w:t>≥80Mbps</w:t>
            </w:r>
            <w:r>
              <w:rPr>
                <w:rFonts w:ascii="Times New Roman" w:hAnsi="宋体" w:eastAsia="宋体" w:cs="Times New Roman"/>
                <w:sz w:val="24"/>
              </w:rPr>
              <w:t>的</w:t>
            </w:r>
            <w:r>
              <w:rPr>
                <w:rFonts w:ascii="Times New Roman" w:hAnsi="Times New Roman" w:eastAsia="宋体" w:cs="Times New Roman"/>
                <w:sz w:val="24"/>
              </w:rPr>
              <w:t>8</w:t>
            </w:r>
            <w:r>
              <w:rPr>
                <w:rFonts w:ascii="Times New Roman" w:hAnsi="宋体" w:eastAsia="宋体" w:cs="Times New Roman"/>
                <w:sz w:val="24"/>
              </w:rPr>
              <w:t>路</w:t>
            </w:r>
            <w:r>
              <w:rPr>
                <w:rFonts w:ascii="Times New Roman" w:hAnsi="Times New Roman" w:eastAsia="宋体" w:cs="Times New Roman"/>
                <w:sz w:val="24"/>
              </w:rPr>
              <w:t>H.265</w:t>
            </w:r>
            <w:r>
              <w:rPr>
                <w:rFonts w:ascii="Times New Roman" w:hAnsi="宋体" w:eastAsia="宋体" w:cs="Times New Roman"/>
                <w:sz w:val="24"/>
              </w:rPr>
              <w:t>编码、</w:t>
            </w:r>
            <w:r>
              <w:rPr>
                <w:rFonts w:ascii="Times New Roman" w:hAnsi="Times New Roman" w:eastAsia="宋体" w:cs="Times New Roman"/>
                <w:sz w:val="24"/>
              </w:rPr>
              <w:t>1080p</w:t>
            </w:r>
            <w:r>
              <w:rPr>
                <w:rFonts w:ascii="Times New Roman" w:hAnsi="宋体" w:eastAsia="宋体" w:cs="Times New Roman"/>
                <w:sz w:val="24"/>
              </w:rPr>
              <w:t>格式的视频图像。可接驳</w:t>
            </w:r>
            <w:r>
              <w:rPr>
                <w:rFonts w:ascii="Times New Roman" w:hAnsi="Times New Roman" w:eastAsia="宋体" w:cs="Times New Roman"/>
                <w:sz w:val="24"/>
              </w:rPr>
              <w:t>ONVIF</w:t>
            </w:r>
            <w:r>
              <w:rPr>
                <w:rFonts w:ascii="Times New Roman" w:hAnsi="宋体" w:eastAsia="宋体" w:cs="Times New Roman"/>
                <w:sz w:val="24"/>
              </w:rPr>
              <w:t>、</w:t>
            </w:r>
            <w:r>
              <w:rPr>
                <w:rFonts w:ascii="Times New Roman" w:hAnsi="Times New Roman" w:eastAsia="宋体" w:cs="Times New Roman"/>
                <w:sz w:val="24"/>
              </w:rPr>
              <w:t>PSIA\RTSP</w:t>
            </w:r>
            <w:r>
              <w:rPr>
                <w:rFonts w:ascii="Times New Roman" w:hAnsi="宋体" w:eastAsia="宋体" w:cs="Times New Roman"/>
                <w:sz w:val="24"/>
              </w:rPr>
              <w:t>标准。</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2</w:t>
            </w:r>
            <w:r>
              <w:rPr>
                <w:rFonts w:ascii="Times New Roman" w:hAnsi="宋体" w:eastAsia="宋体" w:cs="Times New Roman"/>
                <w:sz w:val="24"/>
              </w:rPr>
              <w:t>）多种输出方式输出，支持</w:t>
            </w:r>
            <w:r>
              <w:rPr>
                <w:rFonts w:ascii="Times New Roman" w:hAnsi="Times New Roman" w:eastAsia="宋体" w:cs="Times New Roman"/>
                <w:sz w:val="24"/>
              </w:rPr>
              <w:t>1</w:t>
            </w:r>
            <w:r>
              <w:rPr>
                <w:rFonts w:ascii="Times New Roman" w:hAnsi="宋体" w:eastAsia="宋体" w:cs="Times New Roman"/>
                <w:sz w:val="24"/>
              </w:rPr>
              <w:t>路</w:t>
            </w:r>
            <w:r>
              <w:rPr>
                <w:rFonts w:ascii="Times New Roman" w:hAnsi="Times New Roman" w:eastAsia="宋体" w:cs="Times New Roman"/>
                <w:sz w:val="24"/>
              </w:rPr>
              <w:t>HDMI</w:t>
            </w:r>
            <w:r>
              <w:rPr>
                <w:rFonts w:ascii="Times New Roman" w:hAnsi="宋体" w:eastAsia="宋体" w:cs="Times New Roman"/>
                <w:sz w:val="24"/>
              </w:rPr>
              <w:t>和</w:t>
            </w:r>
            <w:r>
              <w:rPr>
                <w:rFonts w:ascii="Times New Roman" w:hAnsi="Times New Roman" w:eastAsia="宋体" w:cs="Times New Roman"/>
                <w:sz w:val="24"/>
              </w:rPr>
              <w:t>1</w:t>
            </w:r>
            <w:r>
              <w:rPr>
                <w:rFonts w:ascii="Times New Roman" w:hAnsi="宋体" w:eastAsia="宋体" w:cs="Times New Roman"/>
                <w:sz w:val="24"/>
              </w:rPr>
              <w:t>路</w:t>
            </w:r>
            <w:r>
              <w:rPr>
                <w:rFonts w:ascii="Times New Roman" w:hAnsi="Times New Roman" w:eastAsia="宋体" w:cs="Times New Roman"/>
                <w:sz w:val="24"/>
              </w:rPr>
              <w:t>VGA</w:t>
            </w:r>
            <w:r>
              <w:rPr>
                <w:rFonts w:ascii="Times New Roman" w:hAnsi="宋体" w:eastAsia="宋体" w:cs="Times New Roman"/>
                <w:sz w:val="24"/>
              </w:rPr>
              <w:t>输出，支持</w:t>
            </w:r>
            <w:r>
              <w:rPr>
                <w:rFonts w:ascii="Times New Roman" w:hAnsi="Times New Roman" w:eastAsia="宋体" w:cs="Times New Roman"/>
                <w:sz w:val="24"/>
              </w:rPr>
              <w:t>4K</w:t>
            </w:r>
            <w:r>
              <w:rPr>
                <w:rFonts w:ascii="Times New Roman" w:hAnsi="宋体" w:eastAsia="宋体" w:cs="Times New Roman"/>
                <w:sz w:val="24"/>
              </w:rPr>
              <w:t>高清分辨率输出，</w:t>
            </w:r>
            <w:r>
              <w:rPr>
                <w:rFonts w:ascii="Times New Roman" w:hAnsi="Times New Roman" w:eastAsia="宋体" w:cs="Times New Roman"/>
                <w:sz w:val="24"/>
              </w:rPr>
              <w:t>HDMI</w:t>
            </w:r>
            <w:r>
              <w:rPr>
                <w:rFonts w:ascii="Times New Roman" w:hAnsi="宋体" w:eastAsia="宋体" w:cs="Times New Roman"/>
                <w:sz w:val="24"/>
              </w:rPr>
              <w:t>或</w:t>
            </w:r>
            <w:r>
              <w:rPr>
                <w:rFonts w:ascii="Times New Roman" w:hAnsi="Times New Roman" w:eastAsia="宋体" w:cs="Times New Roman"/>
                <w:sz w:val="24"/>
              </w:rPr>
              <w:t>VGA</w:t>
            </w:r>
            <w:r>
              <w:rPr>
                <w:rFonts w:ascii="Times New Roman" w:hAnsi="宋体" w:eastAsia="宋体" w:cs="Times New Roman"/>
                <w:sz w:val="24"/>
              </w:rPr>
              <w:t>接口可输出不同图像，并可分别进行预览、存储、回放、配置等操作。</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3</w:t>
            </w:r>
            <w:r>
              <w:rPr>
                <w:rFonts w:ascii="Times New Roman" w:hAnsi="宋体" w:eastAsia="宋体" w:cs="Times New Roman"/>
                <w:sz w:val="24"/>
              </w:rPr>
              <w:t>）可以将高清网络视频的解码显示。将不同时间段的多个目标叠加在一个背景上同时回放。</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4</w:t>
            </w:r>
            <w:r>
              <w:rPr>
                <w:rFonts w:ascii="Times New Roman" w:hAnsi="宋体" w:eastAsia="宋体" w:cs="Times New Roman"/>
                <w:sz w:val="24"/>
              </w:rPr>
              <w:t>）系统拥有备份功能，检测到一个系统异常时，可从另一个系统启动，并进行备份，恢复异常系统。支持走廊模式预览，对画面顺时针旋转</w:t>
            </w:r>
            <w:r>
              <w:rPr>
                <w:rFonts w:ascii="Times New Roman" w:hAnsi="Times New Roman" w:eastAsia="宋体" w:cs="Times New Roman"/>
                <w:sz w:val="24"/>
              </w:rPr>
              <w:t>270</w:t>
            </w:r>
            <w:r>
              <w:rPr>
                <w:rFonts w:ascii="Times New Roman" w:hAnsi="宋体" w:eastAsia="宋体" w:cs="Times New Roman"/>
                <w:sz w:val="24"/>
              </w:rPr>
              <w:t>度或中心上下左右翻转预览。</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5</w:t>
            </w:r>
            <w:r>
              <w:rPr>
                <w:rFonts w:ascii="Times New Roman" w:hAnsi="宋体" w:eastAsia="宋体" w:cs="Times New Roman"/>
                <w:sz w:val="24"/>
              </w:rPr>
              <w:t>）可自适应接入</w:t>
            </w:r>
            <w:r>
              <w:rPr>
                <w:rFonts w:ascii="Times New Roman" w:hAnsi="Times New Roman" w:eastAsia="宋体" w:cs="Times New Roman"/>
                <w:sz w:val="24"/>
              </w:rPr>
              <w:t>H.265</w:t>
            </w:r>
            <w:r>
              <w:rPr>
                <w:rFonts w:ascii="Times New Roman" w:hAnsi="宋体" w:eastAsia="宋体" w:cs="Times New Roman"/>
                <w:sz w:val="24"/>
              </w:rPr>
              <w:t>、</w:t>
            </w:r>
            <w:r>
              <w:rPr>
                <w:rFonts w:ascii="Times New Roman" w:hAnsi="Times New Roman" w:eastAsia="宋体" w:cs="Times New Roman"/>
                <w:sz w:val="24"/>
              </w:rPr>
              <w:t>H.264</w:t>
            </w:r>
            <w:r>
              <w:rPr>
                <w:rFonts w:ascii="Times New Roman" w:hAnsi="宋体" w:eastAsia="宋体" w:cs="Times New Roman"/>
                <w:sz w:val="24"/>
              </w:rPr>
              <w:t>编码格式的网络视频。</w:t>
            </w:r>
          </w:p>
          <w:p>
            <w:pPr>
              <w:spacing w:line="280" w:lineRule="exact"/>
              <w:rPr>
                <w:rFonts w:ascii="Times New Roman" w:hAnsi="Times New Roman" w:eastAsia="宋体" w:cs="Times New Roman"/>
                <w:sz w:val="24"/>
              </w:rPr>
            </w:pPr>
            <w:r>
              <w:rPr>
                <w:rFonts w:ascii="Times New Roman" w:hAnsi="宋体" w:eastAsia="宋体" w:cs="Times New Roman"/>
                <w:sz w:val="24"/>
              </w:rPr>
              <w:t>（</w:t>
            </w:r>
            <w:r>
              <w:rPr>
                <w:rFonts w:ascii="Times New Roman" w:hAnsi="Times New Roman" w:eastAsia="宋体" w:cs="Times New Roman"/>
                <w:sz w:val="24"/>
              </w:rPr>
              <w:t>6</w:t>
            </w:r>
            <w:r>
              <w:rPr>
                <w:rFonts w:ascii="Times New Roman" w:hAnsi="宋体" w:eastAsia="宋体" w:cs="Times New Roman"/>
                <w:sz w:val="24"/>
              </w:rPr>
              <w:t>）配备</w:t>
            </w:r>
            <w:r>
              <w:rPr>
                <w:rFonts w:ascii="Times New Roman" w:hAnsi="Times New Roman" w:eastAsia="宋体" w:cs="Times New Roman"/>
                <w:sz w:val="24"/>
              </w:rPr>
              <w:t>6TB</w:t>
            </w:r>
            <w:r>
              <w:rPr>
                <w:rFonts w:ascii="Times New Roman" w:hAnsi="宋体" w:eastAsia="宋体" w:cs="Times New Roman"/>
                <w:sz w:val="24"/>
              </w:rPr>
              <w:t>监控专用硬盘。</w:t>
            </w:r>
          </w:p>
        </w:tc>
        <w:tc>
          <w:tcPr>
            <w:tcW w:w="438" w:type="pct"/>
            <w:vMerge w:val="continue"/>
            <w:tcBorders>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c>
          <w:tcPr>
            <w:tcW w:w="461" w:type="pct"/>
            <w:vMerge w:val="continue"/>
            <w:tcBorders>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宋体"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35" w:hRule="atLeast"/>
          <w:jc w:val="center"/>
        </w:trPr>
        <w:tc>
          <w:tcPr>
            <w:tcW w:w="593" w:type="pct"/>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8</w:t>
            </w:r>
          </w:p>
        </w:tc>
        <w:tc>
          <w:tcPr>
            <w:tcW w:w="1012" w:type="pc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sz w:val="24"/>
              </w:rPr>
            </w:pPr>
            <w:r>
              <w:rPr>
                <w:rFonts w:ascii="Times New Roman" w:hAnsi="宋体" w:eastAsia="宋体" w:cs="Times New Roman"/>
                <w:b/>
                <w:bCs/>
                <w:sz w:val="24"/>
              </w:rPr>
              <w:t>环境保护网络信息监测平台</w:t>
            </w:r>
          </w:p>
        </w:tc>
        <w:tc>
          <w:tcPr>
            <w:tcW w:w="2493" w:type="pc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Times New Roman" w:eastAsia="宋体" w:cs="Times New Roman"/>
                <w:b/>
                <w:sz w:val="24"/>
              </w:rPr>
              <w:t>8.1</w:t>
            </w:r>
            <w:r>
              <w:rPr>
                <w:rFonts w:ascii="Times New Roman" w:hAnsi="宋体" w:eastAsia="宋体" w:cs="Times New Roman"/>
                <w:b/>
                <w:sz w:val="24"/>
              </w:rPr>
              <w:t>总体要求</w:t>
            </w:r>
            <w:r>
              <w:rPr>
                <w:rFonts w:hint="eastAsia" w:ascii="Times New Roman" w:hAnsi="宋体" w:eastAsia="宋体" w:cs="Times New Roman"/>
                <w:b/>
                <w:sz w:val="24"/>
              </w:rPr>
              <w:t xml:space="preserve">  </w:t>
            </w:r>
            <w:r>
              <w:rPr>
                <w:rFonts w:ascii="Times New Roman" w:hAnsi="宋体" w:eastAsia="宋体" w:cs="Times New Roman"/>
                <w:sz w:val="24"/>
              </w:rPr>
              <w:t>环境保护网络舆情监测主要由网络数据采集、</w:t>
            </w:r>
            <w:r>
              <w:rPr>
                <w:rFonts w:ascii="Times New Roman" w:hAnsi="Times New Roman" w:eastAsia="宋体" w:cs="Times New Roman"/>
                <w:sz w:val="24"/>
              </w:rPr>
              <w:t> </w:t>
            </w:r>
            <w:r>
              <w:rPr>
                <w:rFonts w:ascii="Times New Roman" w:hAnsi="宋体" w:eastAsia="宋体" w:cs="Times New Roman"/>
                <w:sz w:val="24"/>
              </w:rPr>
              <w:t>数据处理、</w:t>
            </w:r>
            <w:r>
              <w:rPr>
                <w:rFonts w:ascii="Times New Roman" w:hAnsi="Times New Roman" w:eastAsia="宋体" w:cs="Times New Roman"/>
                <w:sz w:val="24"/>
              </w:rPr>
              <w:t> </w:t>
            </w:r>
            <w:r>
              <w:rPr>
                <w:rFonts w:ascii="Times New Roman" w:hAnsi="宋体" w:eastAsia="宋体" w:cs="Times New Roman"/>
                <w:sz w:val="24"/>
              </w:rPr>
              <w:t>舆情分析与报告三大部分构成。舆情信息采集对象主要以新闻门户网站、微博、论坛、博客、贴吧等，从海量的网页中采集数据为舆情分析提供基础数据。</w:t>
            </w:r>
          </w:p>
          <w:p>
            <w:pPr>
              <w:spacing w:line="280" w:lineRule="exact"/>
              <w:rPr>
                <w:rFonts w:ascii="Times New Roman" w:hAnsi="Times New Roman" w:eastAsia="宋体" w:cs="Times New Roman"/>
                <w:sz w:val="24"/>
              </w:rPr>
            </w:pPr>
            <w:r>
              <w:rPr>
                <w:rFonts w:ascii="Times New Roman" w:hAnsi="Times New Roman" w:eastAsia="宋体" w:cs="Times New Roman"/>
                <w:b/>
                <w:sz w:val="24"/>
              </w:rPr>
              <w:t>8.2</w:t>
            </w:r>
            <w:r>
              <w:rPr>
                <w:rFonts w:ascii="Times New Roman" w:hAnsi="宋体" w:eastAsia="宋体" w:cs="Times New Roman"/>
                <w:b/>
                <w:sz w:val="24"/>
              </w:rPr>
              <w:t>舆情浏览</w:t>
            </w:r>
            <w:r>
              <w:rPr>
                <w:rFonts w:hint="eastAsia" w:ascii="Times New Roman" w:hAnsi="宋体" w:eastAsia="宋体" w:cs="Times New Roman"/>
                <w:b/>
                <w:sz w:val="24"/>
              </w:rPr>
              <w:t xml:space="preserve">  </w:t>
            </w:r>
            <w:r>
              <w:rPr>
                <w:rFonts w:ascii="Times New Roman" w:hAnsi="宋体" w:eastAsia="宋体" w:cs="Times New Roman"/>
                <w:sz w:val="24"/>
              </w:rPr>
              <w:t>舆情浏览包含了五个子模块：分类浏览、舆情来源、本地浏览、信息要素、舆情统计。</w:t>
            </w:r>
          </w:p>
          <w:p>
            <w:pPr>
              <w:spacing w:line="280" w:lineRule="exact"/>
              <w:rPr>
                <w:rFonts w:ascii="Times New Roman" w:hAnsi="Times New Roman" w:eastAsia="宋体" w:cs="Times New Roman"/>
                <w:sz w:val="24"/>
              </w:rPr>
            </w:pPr>
            <w:r>
              <w:rPr>
                <w:rFonts w:ascii="Times New Roman" w:hAnsi="Times New Roman" w:eastAsia="宋体" w:cs="Times New Roman"/>
                <w:b/>
                <w:sz w:val="24"/>
              </w:rPr>
              <w:t>8.3</w:t>
            </w:r>
            <w:r>
              <w:rPr>
                <w:rFonts w:ascii="Times New Roman" w:hAnsi="宋体" w:eastAsia="宋体" w:cs="Times New Roman"/>
                <w:b/>
                <w:sz w:val="24"/>
              </w:rPr>
              <w:t>涉环境保护专题舆情</w:t>
            </w:r>
            <w:r>
              <w:rPr>
                <w:rFonts w:hint="eastAsia" w:ascii="Times New Roman" w:hAnsi="宋体" w:eastAsia="宋体" w:cs="Times New Roman"/>
                <w:b/>
                <w:sz w:val="24"/>
              </w:rPr>
              <w:t xml:space="preserve">  </w:t>
            </w:r>
            <w:r>
              <w:rPr>
                <w:rFonts w:ascii="Times New Roman" w:hAnsi="宋体" w:eastAsia="宋体" w:cs="Times New Roman"/>
                <w:sz w:val="24"/>
              </w:rPr>
              <w:t>专题舆情包含了四个子模块：涉环境保护专题浏览、涉环境保护专题舆情导出、领导相关舆情、涉环境保护事件舆情、热度分析。</w:t>
            </w:r>
          </w:p>
          <w:p>
            <w:pPr>
              <w:spacing w:line="280" w:lineRule="exact"/>
              <w:rPr>
                <w:rFonts w:ascii="Times New Roman" w:hAnsi="Times New Roman" w:eastAsia="宋体" w:cs="Times New Roman"/>
                <w:sz w:val="24"/>
              </w:rPr>
            </w:pPr>
            <w:r>
              <w:rPr>
                <w:rFonts w:ascii="Times New Roman" w:hAnsi="Times New Roman" w:eastAsia="宋体" w:cs="Times New Roman"/>
                <w:b/>
                <w:sz w:val="24"/>
              </w:rPr>
              <w:t>8.4</w:t>
            </w:r>
            <w:r>
              <w:rPr>
                <w:rFonts w:ascii="Times New Roman" w:hAnsi="宋体" w:eastAsia="宋体" w:cs="Times New Roman"/>
                <w:b/>
                <w:sz w:val="24"/>
              </w:rPr>
              <w:t>趋势分析</w:t>
            </w:r>
            <w:r>
              <w:rPr>
                <w:rFonts w:hint="eastAsia" w:ascii="Times New Roman" w:hAnsi="宋体" w:eastAsia="宋体" w:cs="Times New Roman"/>
                <w:b/>
                <w:sz w:val="24"/>
              </w:rPr>
              <w:t xml:space="preserve">  </w:t>
            </w:r>
            <w:r>
              <w:rPr>
                <w:rFonts w:ascii="Times New Roman" w:hAnsi="宋体" w:eastAsia="宋体" w:cs="Times New Roman"/>
                <w:sz w:val="24"/>
              </w:rPr>
              <w:t>专题热度：专题热度日增量、热度总趋势。</w:t>
            </w:r>
          </w:p>
          <w:p>
            <w:pPr>
              <w:spacing w:line="280" w:lineRule="exact"/>
              <w:rPr>
                <w:rFonts w:ascii="Times New Roman" w:hAnsi="Times New Roman" w:eastAsia="宋体" w:cs="Times New Roman"/>
                <w:sz w:val="24"/>
              </w:rPr>
            </w:pPr>
            <w:r>
              <w:rPr>
                <w:rFonts w:ascii="Times New Roman" w:hAnsi="宋体" w:eastAsia="宋体" w:cs="Times New Roman"/>
                <w:sz w:val="24"/>
              </w:rPr>
              <w:t>站点分布：所筛选数据的站点分布柱状图，根据每篇对应的站点名称。</w:t>
            </w:r>
          </w:p>
          <w:p>
            <w:pPr>
              <w:spacing w:line="280" w:lineRule="exact"/>
              <w:rPr>
                <w:rFonts w:ascii="Times New Roman" w:hAnsi="Times New Roman" w:eastAsia="宋体" w:cs="Times New Roman"/>
                <w:sz w:val="24"/>
              </w:rPr>
            </w:pPr>
            <w:r>
              <w:rPr>
                <w:rFonts w:ascii="Times New Roman" w:hAnsi="宋体" w:eastAsia="宋体" w:cs="Times New Roman"/>
                <w:sz w:val="24"/>
              </w:rPr>
              <w:t>载体分布：所筛选数据的载体分布饼状图，根据每篇文章对应的所属载体。</w:t>
            </w:r>
          </w:p>
          <w:p>
            <w:pPr>
              <w:spacing w:line="280" w:lineRule="exact"/>
              <w:rPr>
                <w:rFonts w:ascii="Times New Roman" w:hAnsi="Times New Roman" w:eastAsia="宋体" w:cs="Times New Roman"/>
                <w:sz w:val="24"/>
              </w:rPr>
            </w:pPr>
            <w:r>
              <w:rPr>
                <w:rFonts w:ascii="Times New Roman" w:hAnsi="宋体" w:eastAsia="宋体" w:cs="Times New Roman"/>
                <w:sz w:val="24"/>
              </w:rPr>
              <w:t>地域分布：所筛选数据的地域分布柱状图，根据文章中出现地域词出现的频率。</w:t>
            </w:r>
          </w:p>
          <w:p>
            <w:pPr>
              <w:spacing w:line="280" w:lineRule="exact"/>
              <w:rPr>
                <w:rFonts w:ascii="Times New Roman" w:hAnsi="Times New Roman" w:eastAsia="宋体" w:cs="Times New Roman"/>
                <w:sz w:val="24"/>
              </w:rPr>
            </w:pPr>
            <w:r>
              <w:rPr>
                <w:rFonts w:ascii="Times New Roman" w:hAnsi="Times New Roman" w:eastAsia="宋体" w:cs="Times New Roman"/>
                <w:b/>
                <w:sz w:val="24"/>
              </w:rPr>
              <w:t>8.5</w:t>
            </w:r>
            <w:r>
              <w:rPr>
                <w:rFonts w:ascii="Times New Roman" w:hAnsi="宋体" w:eastAsia="宋体" w:cs="Times New Roman"/>
                <w:b/>
                <w:sz w:val="24"/>
              </w:rPr>
              <w:t>舆情报表</w:t>
            </w:r>
            <w:r>
              <w:rPr>
                <w:rFonts w:hint="eastAsia" w:ascii="Times New Roman" w:hAnsi="宋体" w:eastAsia="宋体" w:cs="Times New Roman"/>
                <w:b/>
                <w:sz w:val="24"/>
              </w:rPr>
              <w:t xml:space="preserve">  </w:t>
            </w:r>
            <w:r>
              <w:rPr>
                <w:rFonts w:ascii="Times New Roman" w:hAnsi="宋体" w:eastAsia="宋体" w:cs="Times New Roman"/>
                <w:sz w:val="24"/>
              </w:rPr>
              <w:t>舆情报表包含了六个子模块：舆情日报、舆情周报、舆情月报、舆情年报、舆情简报、简报格式。</w:t>
            </w:r>
          </w:p>
          <w:p>
            <w:pPr>
              <w:spacing w:line="280" w:lineRule="exact"/>
              <w:rPr>
                <w:rFonts w:ascii="Times New Roman" w:hAnsi="Times New Roman" w:eastAsia="宋体" w:cs="Times New Roman"/>
                <w:sz w:val="24"/>
              </w:rPr>
            </w:pPr>
            <w:r>
              <w:rPr>
                <w:rFonts w:ascii="Times New Roman" w:hAnsi="Times New Roman" w:eastAsia="宋体" w:cs="Times New Roman"/>
                <w:b/>
                <w:sz w:val="24"/>
              </w:rPr>
              <w:t>8.6</w:t>
            </w:r>
            <w:r>
              <w:rPr>
                <w:rFonts w:ascii="Times New Roman" w:hAnsi="宋体" w:eastAsia="宋体" w:cs="Times New Roman"/>
                <w:b/>
                <w:sz w:val="24"/>
              </w:rPr>
              <w:t>舆情报警</w:t>
            </w:r>
            <w:r>
              <w:rPr>
                <w:rFonts w:hint="eastAsia" w:ascii="Times New Roman" w:hAnsi="宋体" w:eastAsia="宋体" w:cs="Times New Roman"/>
                <w:b/>
                <w:sz w:val="24"/>
              </w:rPr>
              <w:t xml:space="preserve">  </w:t>
            </w:r>
            <w:r>
              <w:rPr>
                <w:rFonts w:ascii="Times New Roman" w:hAnsi="宋体" w:eastAsia="宋体" w:cs="Times New Roman"/>
                <w:sz w:val="24"/>
              </w:rPr>
              <w:t>舆情报警包含五个子模块：首页报警、敏感报警、本地敏感报警、报警设置、报警任务。</w:t>
            </w:r>
          </w:p>
        </w:tc>
        <w:tc>
          <w:tcPr>
            <w:tcW w:w="438" w:type="pc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cs="Times New Roman"/>
                <w:b/>
                <w:bCs/>
                <w:sz w:val="24"/>
              </w:rPr>
            </w:pPr>
            <w:r>
              <w:rPr>
                <w:rFonts w:hint="eastAsia" w:ascii="Times New Roman" w:hAnsi="宋体" w:eastAsia="宋体" w:cs="Times New Roman"/>
                <w:sz w:val="24"/>
                <w:szCs w:val="24"/>
              </w:rPr>
              <w:t>1</w:t>
            </w:r>
          </w:p>
        </w:tc>
        <w:tc>
          <w:tcPr>
            <w:tcW w:w="461" w:type="pc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cs="Times New Roman"/>
                <w:b/>
                <w:bCs/>
                <w:sz w:val="24"/>
              </w:rPr>
            </w:pPr>
            <w:r>
              <w:rPr>
                <w:rFonts w:hint="eastAsia" w:ascii="Times New Roman" w:hAnsi="宋体" w:eastAsia="宋体" w:cs="Times New Roman"/>
                <w:sz w:val="24"/>
                <w:szCs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restart"/>
            <w:tcBorders>
              <w:top w:val="single" w:color="auto" w:sz="4" w:space="0"/>
              <w:left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9</w:t>
            </w:r>
          </w:p>
        </w:tc>
        <w:tc>
          <w:tcPr>
            <w:tcW w:w="1012" w:type="pct"/>
            <w:vMerge w:val="restar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宋体" w:eastAsia="宋体" w:cs="Times New Roman"/>
                <w:b/>
                <w:bCs/>
                <w:sz w:val="24"/>
              </w:rPr>
              <w:t>机动车尾气遥感检测软件</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Times New Roman" w:eastAsia="宋体" w:cs="Times New Roman"/>
                <w:sz w:val="24"/>
              </w:rPr>
              <w:t>9.1</w:t>
            </w:r>
            <w:r>
              <w:rPr>
                <w:rFonts w:ascii="Times New Roman" w:hAnsi="宋体" w:eastAsia="宋体" w:cs="Times New Roman"/>
                <w:b/>
                <w:bCs/>
                <w:sz w:val="24"/>
              </w:rPr>
              <w:t>总体要求</w:t>
            </w:r>
            <w:r>
              <w:rPr>
                <w:rFonts w:hint="eastAsia" w:ascii="Times New Roman" w:hAnsi="宋体" w:eastAsia="宋体" w:cs="Times New Roman"/>
                <w:b/>
                <w:bCs/>
                <w:sz w:val="24"/>
              </w:rPr>
              <w:t xml:space="preserve">   </w:t>
            </w:r>
            <w:r>
              <w:rPr>
                <w:rFonts w:ascii="Times New Roman" w:hAnsi="Times New Roman" w:eastAsia="宋体" w:cs="Times New Roman"/>
                <w:sz w:val="24"/>
              </w:rPr>
              <w:t>数据平台和设备的所有软件界面为简体中文，仪器所有软件与windows系统兼容。具备良好的可升级性。设备系统在开启电源后自动启动，并对系统的各单元进行自动检测，同时将检测结果给予显示。</w:t>
            </w:r>
          </w:p>
          <w:p>
            <w:pPr>
              <w:spacing w:line="280" w:lineRule="exact"/>
              <w:ind w:firstLine="480"/>
              <w:rPr>
                <w:rFonts w:ascii="Times New Roman" w:hAnsi="Times New Roman" w:eastAsia="宋体" w:cs="Times New Roman"/>
                <w:sz w:val="24"/>
              </w:rPr>
            </w:pPr>
            <w:r>
              <w:rPr>
                <w:rFonts w:ascii="Times New Roman" w:hAnsi="Times New Roman" w:eastAsia="宋体" w:cs="Times New Roman"/>
                <w:sz w:val="24"/>
              </w:rPr>
              <w:t>应对接遥感监测网络现场端设备，能将实时监测的数据接入到本系统，应包括测试时间、车速、加速度、机动车排污指标、结合环境等内容。能实时查看监测信息，并能基于机动车监测信息进行各种数据汇总和统计。</w:t>
            </w:r>
          </w:p>
          <w:p>
            <w:pPr>
              <w:spacing w:line="280" w:lineRule="exact"/>
              <w:ind w:firstLine="480"/>
              <w:rPr>
                <w:rFonts w:ascii="Times New Roman" w:hAnsi="Times New Roman" w:eastAsia="宋体" w:cs="Times New Roman"/>
                <w:sz w:val="24"/>
              </w:rPr>
            </w:pPr>
            <w:r>
              <w:rPr>
                <w:rFonts w:ascii="Times New Roman" w:hAnsi="Times New Roman" w:eastAsia="宋体" w:cs="Times New Roman"/>
                <w:sz w:val="24"/>
              </w:rPr>
              <w:t>系统应具备标定、审核、测试、统计查询、基础信息、系统管理和黑烟抓拍等功能。</w:t>
            </w:r>
          </w:p>
          <w:p>
            <w:pPr>
              <w:spacing w:line="280" w:lineRule="exact"/>
              <w:rPr>
                <w:rFonts w:ascii="Times New Roman" w:hAnsi="Times New Roman" w:eastAsia="宋体" w:cs="Times New Roman"/>
                <w:sz w:val="24"/>
              </w:rPr>
            </w:pPr>
            <w:r>
              <w:rPr>
                <w:rFonts w:ascii="Times New Roman" w:hAnsi="Times New Roman" w:eastAsia="宋体" w:cs="Times New Roman"/>
                <w:sz w:val="24"/>
              </w:rPr>
              <w:t>由于本系统负责现场各类上传数据的接收、处理、分析和存储，因此系统的健壮性、稳定性非常重要。</w:t>
            </w:r>
          </w:p>
        </w:tc>
        <w:tc>
          <w:tcPr>
            <w:tcW w:w="438" w:type="pct"/>
            <w:vMerge w:val="restar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cs="Times New Roman"/>
                <w:b/>
                <w:bCs/>
                <w:sz w:val="24"/>
              </w:rPr>
            </w:pPr>
            <w:r>
              <w:rPr>
                <w:rFonts w:hint="eastAsia" w:ascii="Times New Roman" w:hAnsi="宋体" w:eastAsia="宋体" w:cs="Times New Roman"/>
                <w:sz w:val="24"/>
                <w:szCs w:val="24"/>
              </w:rPr>
              <w:t>1</w:t>
            </w:r>
          </w:p>
        </w:tc>
        <w:tc>
          <w:tcPr>
            <w:tcW w:w="461" w:type="pct"/>
            <w:vMerge w:val="restart"/>
            <w:tcBorders>
              <w:top w:val="single" w:color="auto" w:sz="4" w:space="0"/>
              <w:left w:val="nil"/>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cs="Times New Roman"/>
                <w:b/>
                <w:bCs/>
                <w:sz w:val="24"/>
              </w:rPr>
            </w:pPr>
            <w:r>
              <w:rPr>
                <w:rFonts w:hint="eastAsia" w:ascii="Times New Roman" w:hAnsi="宋体" w:eastAsia="宋体" w:cs="Times New Roman"/>
                <w:sz w:val="24"/>
                <w:szCs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vMerge w:val="continue"/>
            <w:tcBorders>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p>
        </w:tc>
        <w:tc>
          <w:tcPr>
            <w:tcW w:w="1012" w:type="pct"/>
            <w:vMerge w:val="continue"/>
            <w:tcBorders>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hint="eastAsia" w:ascii="Times New Roman" w:hAnsi="Times New Roman" w:eastAsia="宋体" w:cs="Times New Roman"/>
                <w:sz w:val="24"/>
              </w:rPr>
            </w:pPr>
            <w:r>
              <w:rPr>
                <w:rFonts w:ascii="Times New Roman" w:hAnsi="Times New Roman" w:eastAsia="宋体" w:cs="Times New Roman"/>
                <w:sz w:val="24"/>
              </w:rPr>
              <w:t>9.2</w:t>
            </w:r>
            <w:bookmarkStart w:id="20" w:name="_Toc13555257"/>
            <w:r>
              <w:rPr>
                <w:rFonts w:ascii="Times New Roman" w:hAnsi="宋体" w:eastAsia="宋体" w:cs="Times New Roman"/>
                <w:b/>
                <w:bCs/>
                <w:sz w:val="24"/>
              </w:rPr>
              <w:t>功能要求</w:t>
            </w:r>
            <w:bookmarkEnd w:id="20"/>
          </w:p>
          <w:p>
            <w:pPr>
              <w:spacing w:line="280" w:lineRule="exact"/>
              <w:rPr>
                <w:rFonts w:ascii="Times New Roman" w:hAnsi="Times New Roman" w:eastAsia="宋体" w:cs="Times New Roman"/>
                <w:sz w:val="24"/>
              </w:rPr>
            </w:pPr>
            <w:r>
              <w:rPr>
                <w:rFonts w:hint="eastAsia" w:ascii="Times New Roman" w:hAnsi="Times New Roman" w:eastAsia="宋体" w:cs="Times New Roman"/>
                <w:sz w:val="24"/>
              </w:rPr>
              <w:t>（1）</w:t>
            </w:r>
            <w:r>
              <w:rPr>
                <w:rFonts w:ascii="Times New Roman" w:hAnsi="Times New Roman" w:eastAsia="宋体" w:cs="Times New Roman"/>
                <w:sz w:val="24"/>
              </w:rPr>
              <w:t>能够实现对过往车辆的快速识别、车辆图片抓拍、车牌号识别，车辆类型等信息识别。能够将图片数据和车辆数据存储和查询。</w:t>
            </w:r>
          </w:p>
          <w:p>
            <w:pPr>
              <w:spacing w:line="280" w:lineRule="exact"/>
              <w:rPr>
                <w:rFonts w:ascii="Times New Roman" w:hAnsi="Times New Roman" w:eastAsia="宋体" w:cs="Times New Roman"/>
                <w:sz w:val="24"/>
              </w:rPr>
            </w:pPr>
            <w:r>
              <w:rPr>
                <w:rFonts w:hint="eastAsia" w:ascii="Times New Roman" w:hAnsi="Times New Roman" w:eastAsia="宋体" w:cs="Times New Roman"/>
                <w:sz w:val="24"/>
              </w:rPr>
              <w:t>（2）</w:t>
            </w:r>
            <w:r>
              <w:rPr>
                <w:rFonts w:ascii="Times New Roman" w:hAnsi="Times New Roman" w:eastAsia="宋体" w:cs="Times New Roman"/>
                <w:sz w:val="24"/>
              </w:rPr>
              <w:t>能够对通过的车辆速度进行测量，对加速度和VSP进行计算，能够对VSP进行有效性识别。</w:t>
            </w:r>
          </w:p>
          <w:p>
            <w:pPr>
              <w:spacing w:line="280" w:lineRule="exact"/>
              <w:rPr>
                <w:rFonts w:ascii="Times New Roman" w:hAnsi="Times New Roman" w:eastAsia="宋体" w:cs="Times New Roman"/>
                <w:sz w:val="24"/>
              </w:rPr>
            </w:pPr>
            <w:r>
              <w:rPr>
                <w:rFonts w:hint="eastAsia" w:ascii="Times New Roman" w:hAnsi="Times New Roman" w:eastAsia="宋体" w:cs="Times New Roman"/>
                <w:sz w:val="24"/>
              </w:rPr>
              <w:t>（3）</w:t>
            </w:r>
            <w:r>
              <w:rPr>
                <w:rFonts w:ascii="Times New Roman" w:hAnsi="Times New Roman" w:eastAsia="宋体" w:cs="Times New Roman"/>
                <w:sz w:val="24"/>
              </w:rPr>
              <w:t>实现对尾气中CO、CO2、NO、HC进行实时分析，分析时间不超过0.5秒。能够与不透光度检测系统连接，实时测量通过车辆的不透光度。能够设置各排放因子的报警阈值，能够进行超标报警。</w:t>
            </w:r>
          </w:p>
          <w:p>
            <w:pPr>
              <w:spacing w:line="280" w:lineRule="exact"/>
              <w:rPr>
                <w:rFonts w:ascii="Times New Roman" w:hAnsi="Times New Roman" w:eastAsia="宋体" w:cs="Times New Roman"/>
                <w:sz w:val="24"/>
              </w:rPr>
            </w:pPr>
            <w:r>
              <w:rPr>
                <w:rFonts w:hint="eastAsia" w:ascii="Times New Roman" w:hAnsi="Times New Roman" w:eastAsia="宋体" w:cs="Times New Roman"/>
                <w:sz w:val="24"/>
              </w:rPr>
              <w:t>（4）</w:t>
            </w:r>
            <w:r>
              <w:rPr>
                <w:rFonts w:ascii="Times New Roman" w:hAnsi="Times New Roman" w:eastAsia="宋体" w:cs="Times New Roman"/>
                <w:sz w:val="24"/>
              </w:rPr>
              <w:t>能够获取通过的车辆的林格曼黑度，对于超标的车辆进行抓拍和报警显示。</w:t>
            </w:r>
          </w:p>
          <w:p>
            <w:pPr>
              <w:spacing w:line="280" w:lineRule="exact"/>
              <w:rPr>
                <w:rFonts w:ascii="Times New Roman" w:hAnsi="Times New Roman" w:eastAsia="宋体" w:cs="Times New Roman"/>
                <w:sz w:val="24"/>
              </w:rPr>
            </w:pPr>
            <w:r>
              <w:rPr>
                <w:rFonts w:hint="eastAsia" w:ascii="Times New Roman" w:hAnsi="Times New Roman" w:eastAsia="宋体" w:cs="Times New Roman"/>
                <w:sz w:val="24"/>
              </w:rPr>
              <w:t>（5）</w:t>
            </w:r>
            <w:r>
              <w:rPr>
                <w:rFonts w:ascii="Times New Roman" w:hAnsi="Times New Roman" w:eastAsia="宋体" w:cs="Times New Roman"/>
                <w:sz w:val="24"/>
              </w:rPr>
              <w:t>能够查询历史经过的车辆信息和测量数据，主要包括：车牌名称、通过时间、车速、加速度、CO、CO2、HC、NO的浓度、不透光度、两张车辆的信息（有车和无车），浓度是否超标，风速、风向、温度、压力、湿度信息。</w:t>
            </w:r>
          </w:p>
          <w:p>
            <w:pPr>
              <w:spacing w:line="280" w:lineRule="exact"/>
              <w:rPr>
                <w:rFonts w:ascii="Times New Roman" w:hAnsi="Times New Roman" w:eastAsia="宋体" w:cs="Times New Roman"/>
                <w:sz w:val="24"/>
              </w:rPr>
            </w:pPr>
            <w:r>
              <w:rPr>
                <w:rFonts w:hint="eastAsia" w:ascii="Times New Roman" w:hAnsi="Times New Roman" w:eastAsia="宋体" w:cs="Times New Roman"/>
                <w:sz w:val="24"/>
              </w:rPr>
              <w:t>（6）</w:t>
            </w:r>
            <w:r>
              <w:rPr>
                <w:rFonts w:ascii="Times New Roman" w:hAnsi="Times New Roman" w:eastAsia="宋体" w:cs="Times New Roman"/>
                <w:sz w:val="24"/>
              </w:rPr>
              <w:t>具有统计功能，能够对一定时间段内通过的车辆进行流量统计、超标统计，能够导出统计数据和图形。</w:t>
            </w:r>
          </w:p>
          <w:p>
            <w:pPr>
              <w:spacing w:line="280" w:lineRule="exact"/>
              <w:rPr>
                <w:rFonts w:ascii="Times New Roman" w:hAnsi="Times New Roman" w:eastAsia="宋体" w:cs="Times New Roman"/>
                <w:sz w:val="24"/>
              </w:rPr>
            </w:pPr>
            <w:r>
              <w:rPr>
                <w:rFonts w:hint="eastAsia" w:ascii="Times New Roman" w:hAnsi="Times New Roman" w:eastAsia="宋体" w:cs="Times New Roman"/>
                <w:sz w:val="24"/>
              </w:rPr>
              <w:t>（7）</w:t>
            </w:r>
            <w:r>
              <w:rPr>
                <w:rFonts w:ascii="Times New Roman" w:hAnsi="Times New Roman" w:eastAsia="宋体" w:cs="Times New Roman"/>
                <w:sz w:val="24"/>
              </w:rPr>
              <w:t>具有设备标定功能，通过点击软件上的按钮，实现对设备不同浓度的标气进行标定。</w:t>
            </w:r>
          </w:p>
          <w:p>
            <w:pPr>
              <w:spacing w:line="280" w:lineRule="exact"/>
              <w:jc w:val="left"/>
              <w:rPr>
                <w:rFonts w:ascii="Times New Roman" w:hAnsi="Times New Roman" w:eastAsia="宋体" w:cs="Times New Roman"/>
                <w:sz w:val="24"/>
              </w:rPr>
            </w:pPr>
            <w:r>
              <w:rPr>
                <w:rFonts w:hint="eastAsia" w:ascii="Times New Roman" w:hAnsi="Times New Roman" w:eastAsia="宋体" w:cs="Times New Roman"/>
                <w:sz w:val="24"/>
              </w:rPr>
              <w:t>（8）</w:t>
            </w:r>
            <w:r>
              <w:rPr>
                <w:rFonts w:ascii="Times New Roman" w:hAnsi="Times New Roman" w:eastAsia="宋体" w:cs="Times New Roman"/>
                <w:sz w:val="24"/>
              </w:rPr>
              <w:t>具有三级密码防护，普通用户应只具有数据查看功能，不能对设备进行调校。</w:t>
            </w:r>
          </w:p>
          <w:p>
            <w:pPr>
              <w:spacing w:line="280" w:lineRule="exact"/>
              <w:ind w:firstLine="480" w:firstLineChars="200"/>
              <w:rPr>
                <w:rFonts w:hint="eastAsia" w:ascii="Times New Roman" w:hAnsi="Times New Roman" w:eastAsia="宋体" w:cs="Times New Roman"/>
                <w:sz w:val="24"/>
              </w:rPr>
            </w:pPr>
            <w:r>
              <w:rPr>
                <w:rFonts w:ascii="Times New Roman" w:hAnsi="Times New Roman" w:eastAsia="宋体" w:cs="Times New Roman"/>
                <w:sz w:val="24"/>
              </w:rPr>
              <w:t>信息格式满足国家《机动车遥感监测平台联网规范》要求，检测数据、图片及视频可实时上传至环境保护主管单位或委托机构。</w:t>
            </w:r>
          </w:p>
          <w:p>
            <w:pPr>
              <w:pStyle w:val="2"/>
              <w:rPr>
                <w:rFonts w:hint="eastAsia" w:ascii="Times New Roman" w:hAnsi="Times New Roman" w:eastAsia="宋体" w:cs="Times New Roman"/>
                <w:lang w:eastAsia="zh-CN"/>
              </w:rPr>
            </w:pPr>
            <w:r>
              <w:rPr>
                <w:rFonts w:hint="eastAsia" w:ascii="Times New Roman" w:hAnsi="Times New Roman" w:eastAsia="宋体" w:cs="Times New Roman"/>
                <w:color w:val="auto"/>
                <w:highlight w:val="none"/>
              </w:rPr>
              <w:t>提供遥感监测软件著作权及软件产品证书</w:t>
            </w:r>
            <w:r>
              <w:rPr>
                <w:rFonts w:hint="eastAsia" w:ascii="Times New Roman" w:hAnsi="Times New Roman" w:eastAsia="宋体" w:cs="Times New Roman"/>
                <w:color w:val="auto"/>
                <w:highlight w:val="none"/>
                <w:lang w:eastAsia="zh-CN"/>
              </w:rPr>
              <w:t>复印件。</w:t>
            </w:r>
          </w:p>
        </w:tc>
        <w:tc>
          <w:tcPr>
            <w:tcW w:w="438" w:type="pct"/>
            <w:vMerge w:val="continue"/>
            <w:tcBorders>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p>
        </w:tc>
        <w:tc>
          <w:tcPr>
            <w:tcW w:w="461" w:type="pct"/>
            <w:vMerge w:val="continue"/>
            <w:tcBorders>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10</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r>
              <w:rPr>
                <w:rFonts w:ascii="Times New Roman" w:hAnsi="Times New Roman" w:eastAsia="宋体" w:cs="Times New Roman"/>
                <w:b/>
                <w:bCs/>
                <w:sz w:val="24"/>
              </w:rPr>
              <w:t>LED</w:t>
            </w:r>
            <w:r>
              <w:rPr>
                <w:rFonts w:ascii="Times New Roman" w:hAnsi="宋体" w:eastAsia="宋体" w:cs="Times New Roman"/>
                <w:b/>
                <w:bCs/>
                <w:sz w:val="24"/>
              </w:rPr>
              <w:t>户外显示屏</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numPr>
                <w:ilvl w:val="0"/>
                <w:numId w:val="4"/>
              </w:numPr>
              <w:spacing w:line="280" w:lineRule="exact"/>
              <w:ind w:left="0" w:firstLine="0"/>
              <w:rPr>
                <w:rFonts w:ascii="Times New Roman" w:hAnsi="Times New Roman" w:eastAsia="宋体" w:cs="Times New Roman"/>
                <w:sz w:val="24"/>
              </w:rPr>
            </w:pPr>
            <w:r>
              <w:rPr>
                <w:rFonts w:ascii="Times New Roman" w:hAnsi="宋体" w:eastAsia="宋体" w:cs="Times New Roman"/>
                <w:sz w:val="24"/>
              </w:rPr>
              <w:t>显示基色双基色，整屏平均光强</w:t>
            </w:r>
            <w:r>
              <w:rPr>
                <w:rFonts w:ascii="Times New Roman" w:hAnsi="Times New Roman" w:eastAsia="宋体" w:cs="Times New Roman"/>
                <w:sz w:val="24"/>
              </w:rPr>
              <w:t>:≥10000</w:t>
            </w:r>
            <w:r>
              <w:rPr>
                <w:rFonts w:ascii="Times New Roman" w:hAnsi="宋体" w:eastAsia="宋体" w:cs="Times New Roman"/>
                <w:sz w:val="24"/>
              </w:rPr>
              <w:t>方米</w:t>
            </w:r>
            <w:r>
              <w:rPr>
                <w:rFonts w:ascii="Times New Roman" w:hAnsi="Times New Roman" w:eastAsia="宋体" w:cs="Times New Roman"/>
                <w:sz w:val="24"/>
              </w:rPr>
              <w:t>(</w:t>
            </w:r>
            <w:r>
              <w:rPr>
                <w:rFonts w:ascii="Times New Roman" w:hAnsi="宋体" w:eastAsia="宋体" w:cs="Times New Roman"/>
                <w:sz w:val="24"/>
              </w:rPr>
              <w:t>法线方向</w:t>
            </w:r>
            <w:r>
              <w:rPr>
                <w:rFonts w:ascii="Times New Roman" w:hAnsi="Times New Roman" w:eastAsia="宋体" w:cs="Times New Roman"/>
                <w:sz w:val="24"/>
              </w:rPr>
              <w:t>)</w:t>
            </w:r>
            <w:r>
              <w:rPr>
                <w:rFonts w:ascii="Times New Roman" w:hAnsi="宋体" w:eastAsia="宋体" w:cs="Times New Roman"/>
                <w:sz w:val="24"/>
              </w:rPr>
              <w:t>。</w:t>
            </w:r>
          </w:p>
          <w:p>
            <w:pPr>
              <w:numPr>
                <w:ilvl w:val="0"/>
                <w:numId w:val="4"/>
              </w:numPr>
              <w:spacing w:line="280" w:lineRule="exact"/>
              <w:ind w:left="0" w:firstLine="0"/>
              <w:rPr>
                <w:rFonts w:ascii="Times New Roman" w:hAnsi="Times New Roman" w:eastAsia="宋体" w:cs="Times New Roman"/>
                <w:sz w:val="24"/>
              </w:rPr>
            </w:pPr>
            <w:r>
              <w:rPr>
                <w:rFonts w:ascii="Times New Roman" w:hAnsi="宋体" w:eastAsia="宋体" w:cs="Times New Roman"/>
                <w:sz w:val="24"/>
              </w:rPr>
              <w:t>显示屏不小于</w:t>
            </w:r>
            <w:r>
              <w:rPr>
                <w:rFonts w:ascii="Times New Roman" w:hAnsi="Times New Roman" w:eastAsia="宋体" w:cs="Times New Roman"/>
                <w:sz w:val="24"/>
              </w:rPr>
              <w:t>2</w:t>
            </w:r>
            <w:r>
              <w:rPr>
                <w:rFonts w:ascii="Times New Roman" w:hAnsi="宋体" w:eastAsia="宋体" w:cs="Times New Roman"/>
                <w:sz w:val="24"/>
              </w:rPr>
              <w:t>平米，使用寿命</w:t>
            </w:r>
            <w:r>
              <w:rPr>
                <w:rFonts w:ascii="Times New Roman" w:hAnsi="Times New Roman" w:eastAsia="宋体" w:cs="Times New Roman"/>
                <w:sz w:val="24"/>
              </w:rPr>
              <w:t>:</w:t>
            </w:r>
            <w:r>
              <w:rPr>
                <w:rFonts w:ascii="Times New Roman" w:hAnsi="宋体" w:eastAsia="宋体" w:cs="Times New Roman"/>
                <w:sz w:val="24"/>
              </w:rPr>
              <w:t>＞</w:t>
            </w:r>
            <w:r>
              <w:rPr>
                <w:rFonts w:ascii="Times New Roman" w:hAnsi="Times New Roman" w:eastAsia="宋体" w:cs="Times New Roman"/>
                <w:sz w:val="24"/>
              </w:rPr>
              <w:t>10</w:t>
            </w:r>
            <w:r>
              <w:rPr>
                <w:rFonts w:ascii="Times New Roman" w:hAnsi="宋体" w:eastAsia="宋体" w:cs="Times New Roman"/>
                <w:sz w:val="24"/>
              </w:rPr>
              <w:t>万小时。</w:t>
            </w:r>
          </w:p>
          <w:p>
            <w:pPr>
              <w:numPr>
                <w:ilvl w:val="0"/>
                <w:numId w:val="4"/>
              </w:numPr>
              <w:spacing w:line="280" w:lineRule="exact"/>
              <w:ind w:left="0" w:firstLine="0"/>
              <w:rPr>
                <w:rFonts w:ascii="Times New Roman" w:hAnsi="Times New Roman" w:eastAsia="宋体" w:cs="Times New Roman"/>
                <w:sz w:val="24"/>
              </w:rPr>
            </w:pPr>
            <w:r>
              <w:rPr>
                <w:rFonts w:ascii="Times New Roman" w:hAnsi="宋体" w:eastAsia="宋体" w:cs="Times New Roman"/>
                <w:sz w:val="24"/>
              </w:rPr>
              <w:t>像素点：</w:t>
            </w:r>
            <w:r>
              <w:rPr>
                <w:rFonts w:ascii="Times New Roman" w:hAnsi="Times New Roman" w:eastAsia="宋体" w:cs="Times New Roman"/>
                <w:sz w:val="24"/>
              </w:rPr>
              <w:t>P10</w:t>
            </w:r>
            <w:r>
              <w:rPr>
                <w:rFonts w:ascii="Times New Roman" w:hAnsi="宋体" w:eastAsia="宋体" w:cs="Times New Roman"/>
                <w:sz w:val="24"/>
              </w:rPr>
              <w:t>级，灰度级别：</w:t>
            </w:r>
            <w:r>
              <w:rPr>
                <w:rFonts w:ascii="Times New Roman" w:hAnsi="Times New Roman" w:eastAsia="宋体" w:cs="Times New Roman"/>
                <w:sz w:val="24"/>
              </w:rPr>
              <w:t>256</w:t>
            </w:r>
            <w:r>
              <w:rPr>
                <w:rFonts w:ascii="Times New Roman" w:hAnsi="宋体" w:eastAsia="宋体" w:cs="Times New Roman"/>
                <w:sz w:val="24"/>
              </w:rPr>
              <w:t>级。</w:t>
            </w:r>
          </w:p>
          <w:p>
            <w:pPr>
              <w:numPr>
                <w:ilvl w:val="0"/>
                <w:numId w:val="4"/>
              </w:numPr>
              <w:spacing w:line="280" w:lineRule="exact"/>
              <w:ind w:left="0" w:firstLine="0"/>
              <w:rPr>
                <w:rFonts w:ascii="Times New Roman" w:hAnsi="Times New Roman" w:eastAsia="宋体" w:cs="Times New Roman"/>
                <w:sz w:val="24"/>
              </w:rPr>
            </w:pPr>
            <w:r>
              <w:rPr>
                <w:rFonts w:ascii="Times New Roman" w:hAnsi="宋体" w:eastAsia="宋体" w:cs="Times New Roman"/>
                <w:sz w:val="24"/>
              </w:rPr>
              <w:t>系统工作湿度</w:t>
            </w:r>
            <w:r>
              <w:rPr>
                <w:rFonts w:ascii="Times New Roman" w:hAnsi="Times New Roman" w:eastAsia="宋体" w:cs="Times New Roman"/>
                <w:sz w:val="24"/>
              </w:rPr>
              <w:t>:10</w:t>
            </w:r>
            <w:r>
              <w:rPr>
                <w:rFonts w:ascii="Times New Roman" w:hAnsi="宋体" w:eastAsia="宋体" w:cs="Times New Roman"/>
                <w:sz w:val="24"/>
              </w:rPr>
              <w:t>％</w:t>
            </w:r>
            <w:r>
              <w:rPr>
                <w:rFonts w:ascii="Times New Roman" w:hAnsi="Times New Roman" w:eastAsia="宋体" w:cs="Times New Roman"/>
                <w:sz w:val="24"/>
              </w:rPr>
              <w:t>-90</w:t>
            </w:r>
            <w:r>
              <w:rPr>
                <w:rFonts w:ascii="Times New Roman" w:hAnsi="宋体" w:eastAsia="宋体" w:cs="Times New Roman"/>
                <w:sz w:val="24"/>
              </w:rPr>
              <w:t>％，系统工作温度</w:t>
            </w:r>
            <w:r>
              <w:rPr>
                <w:rFonts w:ascii="Times New Roman" w:hAnsi="Times New Roman" w:eastAsia="宋体" w:cs="Times New Roman"/>
                <w:sz w:val="24"/>
              </w:rPr>
              <w:t>:-20</w:t>
            </w:r>
            <w:r>
              <w:rPr>
                <w:rFonts w:ascii="Times New Roman" w:hAnsi="宋体" w:eastAsia="宋体" w:cs="Times New Roman"/>
                <w:sz w:val="24"/>
              </w:rPr>
              <w:t>℃～</w:t>
            </w:r>
            <w:r>
              <w:rPr>
                <w:rFonts w:ascii="Times New Roman" w:hAnsi="Times New Roman" w:eastAsia="宋体" w:cs="Times New Roman"/>
                <w:sz w:val="24"/>
              </w:rPr>
              <w:t>+65</w:t>
            </w:r>
            <w:r>
              <w:rPr>
                <w:rFonts w:ascii="Times New Roman" w:hAnsi="宋体" w:eastAsia="宋体" w:cs="Times New Roman"/>
                <w:sz w:val="24"/>
              </w:rPr>
              <w:t>℃。</w:t>
            </w:r>
          </w:p>
          <w:p>
            <w:pPr>
              <w:numPr>
                <w:ilvl w:val="0"/>
                <w:numId w:val="4"/>
              </w:numPr>
              <w:spacing w:line="280" w:lineRule="exact"/>
              <w:ind w:left="0" w:firstLine="0"/>
              <w:rPr>
                <w:rFonts w:ascii="Times New Roman" w:hAnsi="Times New Roman" w:eastAsia="宋体" w:cs="Times New Roman"/>
                <w:sz w:val="24"/>
              </w:rPr>
            </w:pPr>
            <w:r>
              <w:rPr>
                <w:rFonts w:ascii="Times New Roman" w:hAnsi="宋体" w:eastAsia="宋体" w:cs="Times New Roman"/>
                <w:sz w:val="24"/>
              </w:rPr>
              <w:t>刷新频率大于</w:t>
            </w:r>
            <w:r>
              <w:rPr>
                <w:rFonts w:ascii="Times New Roman" w:hAnsi="Times New Roman" w:eastAsia="宋体" w:cs="Times New Roman"/>
                <w:sz w:val="24"/>
              </w:rPr>
              <w:t>120</w:t>
            </w:r>
            <w:r>
              <w:rPr>
                <w:rFonts w:ascii="Times New Roman" w:hAnsi="宋体" w:eastAsia="宋体" w:cs="Times New Roman"/>
                <w:sz w:val="24"/>
              </w:rPr>
              <w:t>帧</w:t>
            </w:r>
            <w:r>
              <w:rPr>
                <w:rFonts w:ascii="Times New Roman" w:hAnsi="Times New Roman" w:eastAsia="宋体" w:cs="Times New Roman"/>
                <w:sz w:val="24"/>
              </w:rPr>
              <w:t>/</w:t>
            </w:r>
            <w:r>
              <w:rPr>
                <w:rFonts w:ascii="Times New Roman" w:hAnsi="宋体" w:eastAsia="宋体" w:cs="Times New Roman"/>
                <w:sz w:val="24"/>
              </w:rPr>
              <w:t>秒，帧频大于</w:t>
            </w:r>
            <w:r>
              <w:rPr>
                <w:rFonts w:ascii="Times New Roman" w:hAnsi="Times New Roman" w:eastAsia="宋体" w:cs="Times New Roman"/>
                <w:sz w:val="24"/>
              </w:rPr>
              <w:t>60</w:t>
            </w:r>
            <w:r>
              <w:rPr>
                <w:rFonts w:ascii="Times New Roman" w:hAnsi="宋体" w:eastAsia="宋体" w:cs="Times New Roman"/>
                <w:sz w:val="24"/>
              </w:rPr>
              <w:t>帧</w:t>
            </w:r>
            <w:r>
              <w:rPr>
                <w:rFonts w:ascii="Times New Roman" w:hAnsi="Times New Roman" w:eastAsia="宋体" w:cs="Times New Roman"/>
                <w:sz w:val="24"/>
              </w:rPr>
              <w:t>/</w:t>
            </w:r>
            <w:r>
              <w:rPr>
                <w:rFonts w:ascii="Times New Roman" w:hAnsi="宋体" w:eastAsia="宋体" w:cs="Times New Roman"/>
                <w:sz w:val="24"/>
              </w:rPr>
              <w:t>秒。</w:t>
            </w:r>
          </w:p>
          <w:p>
            <w:pPr>
              <w:numPr>
                <w:ilvl w:val="0"/>
                <w:numId w:val="4"/>
              </w:numPr>
              <w:spacing w:line="280" w:lineRule="exact"/>
              <w:ind w:left="0" w:firstLine="0"/>
              <w:rPr>
                <w:rFonts w:ascii="Times New Roman" w:hAnsi="Times New Roman" w:eastAsia="宋体" w:cs="Times New Roman"/>
                <w:sz w:val="24"/>
              </w:rPr>
            </w:pPr>
            <w:r>
              <w:rPr>
                <w:rFonts w:ascii="Times New Roman" w:hAnsi="宋体" w:eastAsia="宋体" w:cs="Times New Roman"/>
                <w:sz w:val="24"/>
              </w:rPr>
              <w:t>配备</w:t>
            </w:r>
            <w:r>
              <w:rPr>
                <w:rFonts w:ascii="Times New Roman" w:hAnsi="Times New Roman" w:eastAsia="宋体" w:cs="Times New Roman"/>
                <w:sz w:val="24"/>
              </w:rPr>
              <w:t>F</w:t>
            </w:r>
            <w:r>
              <w:rPr>
                <w:rFonts w:ascii="Times New Roman" w:hAnsi="宋体" w:eastAsia="宋体" w:cs="Times New Roman"/>
                <w:sz w:val="24"/>
              </w:rPr>
              <w:t>型立杆，</w:t>
            </w:r>
            <w:r>
              <w:rPr>
                <w:rFonts w:ascii="Times New Roman" w:hAnsi="Times New Roman" w:eastAsia="宋体" w:cs="Times New Roman"/>
                <w:sz w:val="24"/>
              </w:rPr>
              <w:t>F</w:t>
            </w:r>
            <w:r>
              <w:rPr>
                <w:rFonts w:ascii="Times New Roman" w:hAnsi="宋体" w:eastAsia="宋体" w:cs="Times New Roman"/>
                <w:sz w:val="24"/>
              </w:rPr>
              <w:t>型立杆悬臂下净高</w:t>
            </w:r>
            <w:r>
              <w:rPr>
                <w:rFonts w:ascii="Times New Roman" w:hAnsi="Times New Roman" w:eastAsia="宋体" w:cs="Times New Roman"/>
                <w:sz w:val="24"/>
              </w:rPr>
              <w:t>6</w:t>
            </w:r>
            <w:r>
              <w:rPr>
                <w:rFonts w:ascii="Times New Roman" w:hAnsi="宋体" w:eastAsia="宋体" w:cs="Times New Roman"/>
                <w:sz w:val="24"/>
              </w:rPr>
              <w:t>米，要求能够满足</w:t>
            </w:r>
            <w:r>
              <w:rPr>
                <w:rFonts w:ascii="Times New Roman" w:hAnsi="Times New Roman" w:eastAsia="宋体" w:cs="Times New Roman"/>
                <w:sz w:val="24"/>
              </w:rPr>
              <w:t>LED</w:t>
            </w:r>
            <w:r>
              <w:rPr>
                <w:rFonts w:ascii="Times New Roman" w:hAnsi="宋体" w:eastAsia="宋体" w:cs="Times New Roman"/>
                <w:sz w:val="24"/>
              </w:rPr>
              <w:t>显示屏的安装，保证稳固、安全；材料和形式符合国家相关的要求和规定。</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sz w:val="24"/>
              </w:rPr>
            </w:pPr>
            <w:r>
              <w:rPr>
                <w:rFonts w:hint="eastAsia" w:ascii="Times New Roman" w:hAnsi="宋体" w:eastAsia="宋体" w:cs="Times New Roman"/>
                <w:sz w:val="24"/>
                <w:szCs w:val="24"/>
              </w:rPr>
              <w:t>1</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sz w:val="24"/>
              </w:rPr>
            </w:pPr>
            <w:r>
              <w:rPr>
                <w:rFonts w:hint="eastAsia" w:ascii="Times New Roman" w:hAnsi="宋体" w:eastAsia="宋体" w:cs="Times New Roman"/>
                <w:sz w:val="24"/>
                <w:szCs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11</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r>
              <w:rPr>
                <w:rFonts w:ascii="Times New Roman" w:hAnsi="宋体" w:eastAsia="宋体" w:cs="Times New Roman"/>
                <w:b/>
                <w:bCs/>
                <w:sz w:val="24"/>
              </w:rPr>
              <w:t>道路空气质量微型监测系统</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Cs w:val="21"/>
              </w:rPr>
            </w:pPr>
            <w:r>
              <w:rPr>
                <w:rFonts w:ascii="Times New Roman" w:hAnsi="Times New Roman" w:eastAsia="宋体" w:cs="Times New Roman"/>
              </w:rPr>
              <w:t>适用于环境空气中颗粒物（PM2.5、PM10）、一氧化碳、臭氧、二氧化硫、二氧化氮等大气污染物的在线连续监测。</w:t>
            </w:r>
          </w:p>
          <w:p>
            <w:pPr>
              <w:spacing w:line="280" w:lineRule="exact"/>
              <w:rPr>
                <w:rFonts w:ascii="Times New Roman" w:hAnsi="Times New Roman" w:eastAsia="宋体" w:cs="Times New Roman"/>
              </w:rPr>
            </w:pPr>
            <w:r>
              <w:rPr>
                <w:rFonts w:ascii="Times New Roman" w:hAnsi="Times New Roman" w:eastAsia="宋体" w:cs="Times New Roman"/>
              </w:rPr>
              <w:t>产品为可定制一体化设计，所有监测因子自由可选。</w:t>
            </w:r>
          </w:p>
          <w:p>
            <w:pPr>
              <w:spacing w:line="280" w:lineRule="exact"/>
              <w:rPr>
                <w:rFonts w:ascii="Times New Roman" w:hAnsi="Times New Roman" w:eastAsia="宋体" w:cs="Times New Roman"/>
              </w:rPr>
            </w:pPr>
            <w:r>
              <w:rPr>
                <w:rFonts w:ascii="Times New Roman" w:hAnsi="Times New Roman" w:eastAsia="宋体" w:cs="Times New Roman"/>
              </w:rPr>
              <w:t>1、</w:t>
            </w:r>
            <w:r>
              <w:rPr>
                <w:rFonts w:ascii="Times New Roman" w:hAnsi="Times New Roman" w:eastAsia="宋体" w:cs="Times New Roman"/>
              </w:rPr>
              <w:tab/>
            </w:r>
            <w:r>
              <w:rPr>
                <w:rFonts w:ascii="Times New Roman" w:hAnsi="Times New Roman" w:eastAsia="宋体" w:cs="Times New Roman"/>
              </w:rPr>
              <w:t>颗粒物检测要求</w:t>
            </w:r>
          </w:p>
          <w:p>
            <w:pPr>
              <w:spacing w:line="280" w:lineRule="exact"/>
              <w:rPr>
                <w:rFonts w:ascii="Times New Roman" w:hAnsi="Times New Roman" w:eastAsia="宋体" w:cs="Times New Roman"/>
              </w:rPr>
            </w:pPr>
            <w:r>
              <w:rPr>
                <w:rFonts w:ascii="Times New Roman" w:hAnsi="Times New Roman" w:eastAsia="宋体" w:cs="Times New Roman"/>
              </w:rPr>
              <w:t>1)</w:t>
            </w:r>
            <w:r>
              <w:rPr>
                <w:rFonts w:ascii="Times New Roman" w:hAnsi="Times New Roman" w:eastAsia="宋体" w:cs="Times New Roman"/>
              </w:rPr>
              <w:tab/>
            </w:r>
            <w:r>
              <w:rPr>
                <w:rFonts w:ascii="Times New Roman" w:hAnsi="Times New Roman" w:eastAsia="宋体" w:cs="Times New Roman"/>
              </w:rPr>
              <w:t>测量原理：光散射法；</w:t>
            </w:r>
          </w:p>
          <w:p>
            <w:pPr>
              <w:spacing w:line="280" w:lineRule="exact"/>
              <w:rPr>
                <w:rFonts w:ascii="Times New Roman" w:hAnsi="Times New Roman" w:eastAsia="宋体" w:cs="Times New Roman"/>
              </w:rPr>
            </w:pPr>
            <w:r>
              <w:rPr>
                <w:rFonts w:ascii="Times New Roman" w:hAnsi="Times New Roman" w:eastAsia="宋体" w:cs="Times New Roman"/>
              </w:rPr>
              <w:t>2)</w:t>
            </w:r>
            <w:r>
              <w:rPr>
                <w:rFonts w:ascii="Times New Roman" w:hAnsi="Times New Roman" w:eastAsia="宋体" w:cs="Times New Roman"/>
              </w:rPr>
              <w:tab/>
            </w:r>
            <w:r>
              <w:rPr>
                <w:rFonts w:ascii="Times New Roman" w:hAnsi="Times New Roman" w:eastAsia="宋体" w:cs="Times New Roman"/>
              </w:rPr>
              <w:t>测量指标：PM2.5和PM10；</w:t>
            </w:r>
          </w:p>
          <w:p>
            <w:pPr>
              <w:spacing w:line="280" w:lineRule="exact"/>
              <w:rPr>
                <w:rFonts w:ascii="Times New Roman" w:hAnsi="Times New Roman" w:eastAsia="宋体" w:cs="Times New Roman"/>
              </w:rPr>
            </w:pPr>
            <w:r>
              <w:rPr>
                <w:rFonts w:ascii="Times New Roman" w:hAnsi="Times New Roman" w:eastAsia="宋体" w:cs="Times New Roman"/>
              </w:rPr>
              <w:t>3)</w:t>
            </w:r>
            <w:r>
              <w:rPr>
                <w:rFonts w:ascii="Times New Roman" w:hAnsi="Times New Roman" w:eastAsia="宋体" w:cs="Times New Roman"/>
              </w:rPr>
              <w:tab/>
            </w:r>
            <w:r>
              <w:rPr>
                <w:rFonts w:ascii="Times New Roman" w:hAnsi="Times New Roman" w:eastAsia="宋体" w:cs="Times New Roman"/>
              </w:rPr>
              <w:t>检测范围：0-1000μg/m3（PM2.5），0-2000μg/m3（PM10）；</w:t>
            </w:r>
          </w:p>
          <w:p>
            <w:pPr>
              <w:spacing w:line="280" w:lineRule="exact"/>
              <w:rPr>
                <w:rFonts w:ascii="Times New Roman" w:hAnsi="Times New Roman" w:eastAsia="宋体" w:cs="Times New Roman"/>
              </w:rPr>
            </w:pPr>
            <w:r>
              <w:rPr>
                <w:rFonts w:ascii="Times New Roman" w:hAnsi="Times New Roman" w:eastAsia="宋体" w:cs="Times New Roman"/>
              </w:rPr>
              <w:t>4)</w:t>
            </w:r>
            <w:r>
              <w:rPr>
                <w:rFonts w:ascii="Times New Roman" w:hAnsi="Times New Roman" w:eastAsia="宋体" w:cs="Times New Roman"/>
              </w:rPr>
              <w:tab/>
            </w:r>
            <w:r>
              <w:rPr>
                <w:rFonts w:ascii="Times New Roman" w:hAnsi="Times New Roman" w:eastAsia="宋体" w:cs="Times New Roman"/>
              </w:rPr>
              <w:t>分辨率：0.1μg/m3；</w:t>
            </w:r>
          </w:p>
          <w:p>
            <w:pPr>
              <w:spacing w:line="280" w:lineRule="exact"/>
              <w:rPr>
                <w:rFonts w:ascii="Times New Roman" w:hAnsi="Times New Roman" w:eastAsia="宋体" w:cs="Times New Roman"/>
              </w:rPr>
            </w:pPr>
            <w:r>
              <w:rPr>
                <w:rFonts w:ascii="Times New Roman" w:hAnsi="Times New Roman" w:eastAsia="宋体" w:cs="Times New Roman"/>
              </w:rPr>
              <w:t>5)</w:t>
            </w:r>
            <w:r>
              <w:rPr>
                <w:rFonts w:ascii="Times New Roman" w:hAnsi="Times New Roman" w:eastAsia="宋体" w:cs="Times New Roman"/>
              </w:rPr>
              <w:tab/>
            </w:r>
            <w:r>
              <w:rPr>
                <w:rFonts w:ascii="Times New Roman" w:hAnsi="Times New Roman" w:eastAsia="宋体" w:cs="Times New Roman"/>
              </w:rPr>
              <w:t>最低检出限：5μg/m3；</w:t>
            </w:r>
          </w:p>
          <w:p>
            <w:pPr>
              <w:spacing w:line="280" w:lineRule="exact"/>
              <w:rPr>
                <w:rFonts w:ascii="Times New Roman" w:hAnsi="Times New Roman" w:eastAsia="宋体" w:cs="Times New Roman"/>
              </w:rPr>
            </w:pPr>
            <w:r>
              <w:rPr>
                <w:rFonts w:ascii="Times New Roman" w:hAnsi="Times New Roman" w:eastAsia="宋体" w:cs="Times New Roman"/>
              </w:rPr>
              <w:t>6)</w:t>
            </w:r>
            <w:r>
              <w:rPr>
                <w:rFonts w:ascii="Times New Roman" w:hAnsi="Times New Roman" w:eastAsia="宋体" w:cs="Times New Roman"/>
              </w:rPr>
              <w:tab/>
            </w:r>
            <w:r>
              <w:rPr>
                <w:rFonts w:ascii="Times New Roman" w:hAnsi="Times New Roman" w:eastAsia="宋体" w:cs="Times New Roman"/>
              </w:rPr>
              <w:t>响应时间：≤15s；</w:t>
            </w:r>
          </w:p>
          <w:p>
            <w:pPr>
              <w:spacing w:line="280" w:lineRule="exact"/>
              <w:rPr>
                <w:rFonts w:ascii="Times New Roman" w:hAnsi="Times New Roman" w:eastAsia="宋体" w:cs="Times New Roman"/>
              </w:rPr>
            </w:pPr>
            <w:r>
              <w:rPr>
                <w:rFonts w:ascii="Times New Roman" w:hAnsi="Times New Roman" w:eastAsia="宋体" w:cs="Times New Roman"/>
              </w:rPr>
              <w:t>7)</w:t>
            </w:r>
            <w:r>
              <w:rPr>
                <w:rFonts w:ascii="Times New Roman" w:hAnsi="Times New Roman" w:eastAsia="宋体" w:cs="Times New Roman"/>
              </w:rPr>
              <w:tab/>
            </w:r>
            <w:r>
              <w:rPr>
                <w:rFonts w:ascii="Times New Roman" w:hAnsi="Times New Roman" w:eastAsia="宋体" w:cs="Times New Roman"/>
              </w:rPr>
              <w:t>比对测量误差：≤±20μg/m3（0-100μg/m3）；≤±20%（&gt; 100μg/m3）；</w:t>
            </w:r>
          </w:p>
          <w:p>
            <w:pPr>
              <w:spacing w:line="280" w:lineRule="exact"/>
              <w:rPr>
                <w:rFonts w:ascii="Times New Roman" w:hAnsi="Times New Roman" w:eastAsia="宋体" w:cs="Times New Roman"/>
              </w:rPr>
            </w:pPr>
            <w:r>
              <w:rPr>
                <w:rFonts w:ascii="Times New Roman" w:hAnsi="Times New Roman" w:eastAsia="宋体" w:cs="Times New Roman"/>
              </w:rPr>
              <w:t>8)</w:t>
            </w:r>
            <w:r>
              <w:rPr>
                <w:rFonts w:ascii="Times New Roman" w:hAnsi="Times New Roman" w:eastAsia="宋体" w:cs="Times New Roman"/>
              </w:rPr>
              <w:tab/>
            </w:r>
            <w:r>
              <w:rPr>
                <w:rFonts w:ascii="Times New Roman" w:hAnsi="Times New Roman" w:eastAsia="宋体" w:cs="Times New Roman"/>
              </w:rPr>
              <w:t>平行性：≤8%；</w:t>
            </w:r>
          </w:p>
          <w:p>
            <w:pPr>
              <w:spacing w:line="280" w:lineRule="exact"/>
              <w:rPr>
                <w:rFonts w:ascii="Times New Roman" w:hAnsi="Times New Roman" w:eastAsia="宋体" w:cs="Times New Roman"/>
              </w:rPr>
            </w:pPr>
            <w:r>
              <w:rPr>
                <w:rFonts w:ascii="Times New Roman" w:hAnsi="Times New Roman" w:eastAsia="宋体" w:cs="Times New Roman"/>
              </w:rPr>
              <w:t>9)</w:t>
            </w:r>
            <w:r>
              <w:rPr>
                <w:rFonts w:ascii="Times New Roman" w:hAnsi="Times New Roman" w:eastAsia="宋体" w:cs="Times New Roman"/>
              </w:rPr>
              <w:tab/>
            </w:r>
            <w:r>
              <w:rPr>
                <w:rFonts w:ascii="Times New Roman" w:hAnsi="Times New Roman" w:eastAsia="宋体" w:cs="Times New Roman"/>
              </w:rPr>
              <w:t>▲室外比对测量相关系数：≥0.9。</w:t>
            </w:r>
          </w:p>
          <w:p>
            <w:pPr>
              <w:spacing w:line="280" w:lineRule="exact"/>
              <w:rPr>
                <w:rFonts w:ascii="Times New Roman" w:hAnsi="Times New Roman" w:eastAsia="宋体" w:cs="Times New Roman"/>
              </w:rPr>
            </w:pPr>
            <w:r>
              <w:rPr>
                <w:rFonts w:ascii="Times New Roman" w:hAnsi="Times New Roman" w:eastAsia="宋体" w:cs="Times New Roman"/>
              </w:rPr>
              <w:t>2、</w:t>
            </w:r>
            <w:r>
              <w:rPr>
                <w:rFonts w:ascii="Times New Roman" w:hAnsi="Times New Roman" w:eastAsia="宋体" w:cs="Times New Roman"/>
              </w:rPr>
              <w:tab/>
            </w:r>
            <w:r>
              <w:rPr>
                <w:rFonts w:ascii="Times New Roman" w:hAnsi="Times New Roman" w:eastAsia="宋体" w:cs="Times New Roman"/>
              </w:rPr>
              <w:t>气体污染物检测要求</w:t>
            </w:r>
          </w:p>
          <w:p>
            <w:pPr>
              <w:numPr>
                <w:ilvl w:val="0"/>
                <w:numId w:val="5"/>
              </w:numPr>
              <w:spacing w:line="280" w:lineRule="exact"/>
              <w:rPr>
                <w:rFonts w:ascii="Times New Roman" w:hAnsi="Times New Roman" w:eastAsia="宋体" w:cs="Times New Roman"/>
              </w:rPr>
            </w:pPr>
            <w:r>
              <w:rPr>
                <w:rFonts w:ascii="Times New Roman" w:hAnsi="Times New Roman" w:eastAsia="宋体" w:cs="Times New Roman"/>
              </w:rPr>
              <w:t>CO检测原理：电化学法； </w:t>
            </w:r>
          </w:p>
          <w:p>
            <w:pPr>
              <w:spacing w:line="280" w:lineRule="exact"/>
              <w:ind w:firstLine="420" w:firstLineChars="200"/>
              <w:rPr>
                <w:rFonts w:ascii="Times New Roman" w:hAnsi="Times New Roman" w:eastAsia="宋体" w:cs="Times New Roman"/>
              </w:rPr>
            </w:pPr>
            <w:r>
              <w:rPr>
                <w:rFonts w:ascii="Times New Roman" w:hAnsi="Times New Roman" w:eastAsia="宋体" w:cs="Times New Roman"/>
              </w:rPr>
              <w:t>测量范围：0-20ppm； </w:t>
            </w:r>
          </w:p>
          <w:p>
            <w:pPr>
              <w:spacing w:line="280" w:lineRule="exact"/>
              <w:ind w:firstLine="420" w:firstLineChars="200"/>
              <w:rPr>
                <w:rFonts w:ascii="Times New Roman" w:hAnsi="Times New Roman" w:eastAsia="宋体" w:cs="Times New Roman"/>
              </w:rPr>
            </w:pPr>
            <w:r>
              <w:rPr>
                <w:rFonts w:ascii="Times New Roman" w:hAnsi="Times New Roman" w:eastAsia="宋体" w:cs="Times New Roman"/>
              </w:rPr>
              <w:t>▲示值误差：≤±2%F.S.；</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比对测量误差：≤1ppm(0-10ppm)，≤10%（&gt;10ppm）；</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最低检出限：≤0.05ppm；</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▲重复性：≤1%；</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响应时间：≤45s； </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▲稳定性：≤±1%。</w:t>
            </w:r>
          </w:p>
          <w:p>
            <w:pPr>
              <w:numPr>
                <w:ilvl w:val="0"/>
                <w:numId w:val="5"/>
              </w:numPr>
              <w:spacing w:line="280" w:lineRule="exact"/>
              <w:rPr>
                <w:rFonts w:ascii="Times New Roman" w:hAnsi="Times New Roman" w:eastAsia="宋体" w:cs="Times New Roman"/>
              </w:rPr>
            </w:pPr>
            <w:r>
              <w:rPr>
                <w:rFonts w:ascii="Times New Roman" w:hAnsi="Times New Roman" w:eastAsia="宋体" w:cs="Times New Roman"/>
              </w:rPr>
              <w:t>SO2检测原理：电化学法； </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测量范围：0-1000ppb；</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▲示值误差：≤±3%F.S.；</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比对测量误差：≤±20ppb(0-100ppb)，≤20%（&gt;100ppb）；</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最低检出限：≤5ppb；</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▲重复性：≤1%；</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响应时间：≤65s；</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▲稳定性：≤±1%。；</w:t>
            </w:r>
          </w:p>
          <w:p>
            <w:pPr>
              <w:numPr>
                <w:ilvl w:val="0"/>
                <w:numId w:val="5"/>
              </w:numPr>
              <w:spacing w:line="280" w:lineRule="exact"/>
              <w:rPr>
                <w:rFonts w:ascii="Times New Roman" w:hAnsi="Times New Roman" w:eastAsia="宋体" w:cs="Times New Roman"/>
              </w:rPr>
            </w:pPr>
            <w:r>
              <w:rPr>
                <w:rFonts w:ascii="Times New Roman" w:hAnsi="Times New Roman" w:eastAsia="宋体" w:cs="Times New Roman"/>
              </w:rPr>
              <w:t>NO2检测原理：电化学法； </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测量范围：0-1000ppb；</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示值误差：≤±7%F.S.；</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比对测量误差：≤±20ppb(0-100ppb)，≤20%（&gt;100ppb）；</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最低检出限：≤5ppb；</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▲重复性：≤1%；</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响应时间：≤100s；</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▲稳定性：≤±2%。；</w:t>
            </w:r>
          </w:p>
          <w:p>
            <w:pPr>
              <w:numPr>
                <w:ilvl w:val="0"/>
                <w:numId w:val="5"/>
              </w:numPr>
              <w:spacing w:line="280" w:lineRule="exact"/>
              <w:rPr>
                <w:rFonts w:ascii="Times New Roman" w:hAnsi="Times New Roman" w:eastAsia="宋体" w:cs="Times New Roman"/>
              </w:rPr>
            </w:pPr>
            <w:r>
              <w:rPr>
                <w:rFonts w:ascii="Times New Roman" w:hAnsi="Times New Roman" w:eastAsia="宋体" w:cs="Times New Roman"/>
              </w:rPr>
              <w:t>O3检测原理：电化学法； </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测量范围：0-1000ppb；</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示值误差：≤±6%F.S.；</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比对测量误差：≤±20ppb(0-100ppb)，≤20%（&gt;100ppb）；</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最低检出限：≤5ppb；</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▲重复性：≤1%；</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响应时间：≤75s；</w:t>
            </w:r>
          </w:p>
          <w:p>
            <w:pPr>
              <w:spacing w:line="280" w:lineRule="exact"/>
              <w:ind w:firstLine="105" w:firstLineChars="50"/>
              <w:rPr>
                <w:rFonts w:ascii="Times New Roman" w:hAnsi="Times New Roman" w:eastAsia="宋体" w:cs="Times New Roman"/>
              </w:rPr>
            </w:pPr>
            <w:r>
              <w:rPr>
                <w:rFonts w:ascii="Times New Roman" w:hAnsi="Times New Roman" w:eastAsia="宋体" w:cs="Times New Roman"/>
              </w:rPr>
              <w:tab/>
            </w:r>
            <w:r>
              <w:rPr>
                <w:rFonts w:ascii="Times New Roman" w:hAnsi="Times New Roman" w:eastAsia="宋体" w:cs="Times New Roman"/>
              </w:rPr>
              <w:t>▲稳定性：≤±2%。</w:t>
            </w:r>
          </w:p>
          <w:p>
            <w:pPr>
              <w:pStyle w:val="8"/>
              <w:spacing w:line="280" w:lineRule="exact"/>
              <w:ind w:leftChars="0"/>
              <w:rPr>
                <w:rFonts w:ascii="Times New Roman" w:hAnsi="Times New Roman" w:eastAsia="宋体" w:cs="Times New Roman"/>
              </w:rPr>
            </w:pPr>
            <w:r>
              <w:rPr>
                <w:rFonts w:ascii="Times New Roman" w:hAnsi="Times New Roman" w:eastAsia="宋体" w:cs="Times New Roman"/>
              </w:rPr>
              <w:t>3</w:t>
            </w:r>
            <w:r>
              <w:rPr>
                <w:rFonts w:ascii="Times New Roman" w:eastAsia="宋体" w:cs="Times New Roman"/>
              </w:rPr>
              <w:t>、数据采集传输要求</w:t>
            </w:r>
          </w:p>
          <w:p>
            <w:pPr>
              <w:pStyle w:val="109"/>
              <w:numPr>
                <w:ilvl w:val="0"/>
                <w:numId w:val="6"/>
              </w:numPr>
              <w:spacing w:line="280" w:lineRule="exact"/>
              <w:rPr>
                <w:rFonts w:ascii="Times New Roman" w:hAnsi="Times New Roman" w:eastAsia="宋体" w:cs="Times New Roman"/>
              </w:rPr>
            </w:pPr>
            <w:bookmarkStart w:id="21" w:name="_Hlk515452992"/>
            <w:r>
              <w:rPr>
                <w:rFonts w:ascii="Times New Roman" w:hAnsi="Times New Roman" w:eastAsia="宋体" w:cs="Times New Roman"/>
              </w:rPr>
              <w:t>数据传输方式：4G无线传输，支持多中心数据传输；</w:t>
            </w:r>
            <w:bookmarkEnd w:id="21"/>
          </w:p>
          <w:p>
            <w:pPr>
              <w:pStyle w:val="109"/>
              <w:numPr>
                <w:ilvl w:val="0"/>
                <w:numId w:val="6"/>
              </w:numPr>
              <w:spacing w:line="280" w:lineRule="exact"/>
              <w:rPr>
                <w:rFonts w:ascii="Times New Roman" w:hAnsi="Times New Roman" w:eastAsia="宋体" w:cs="Times New Roman"/>
              </w:rPr>
            </w:pPr>
            <w:r>
              <w:rPr>
                <w:rFonts w:ascii="Times New Roman" w:hAnsi="Times New Roman" w:eastAsia="宋体" w:cs="Times New Roman"/>
              </w:rPr>
              <w:t>具有断网续传功能。</w:t>
            </w:r>
          </w:p>
          <w:p>
            <w:pPr>
              <w:numPr>
                <w:ilvl w:val="0"/>
                <w:numId w:val="6"/>
              </w:numPr>
              <w:spacing w:line="280" w:lineRule="exact"/>
              <w:rPr>
                <w:rFonts w:ascii="Times New Roman" w:hAnsi="Times New Roman" w:eastAsia="宋体" w:cs="Times New Roman"/>
              </w:rPr>
            </w:pPr>
            <w:r>
              <w:rPr>
                <w:rFonts w:ascii="Times New Roman" w:hAnsi="Times New Roman" w:eastAsia="宋体" w:cs="Times New Roman"/>
                <w:b/>
                <w:bCs/>
              </w:rPr>
              <w:t>▲</w:t>
            </w:r>
            <w:r>
              <w:rPr>
                <w:rFonts w:ascii="Times New Roman" w:hAnsi="宋体" w:eastAsia="宋体" w:cs="Times New Roman"/>
              </w:rPr>
              <w:t>支持远程校时、远程重启、远程配置、远程程序升级等功能；</w:t>
            </w:r>
          </w:p>
          <w:p>
            <w:pPr>
              <w:numPr>
                <w:ilvl w:val="0"/>
                <w:numId w:val="6"/>
              </w:numPr>
              <w:spacing w:line="280" w:lineRule="exact"/>
              <w:rPr>
                <w:rFonts w:ascii="Times New Roman" w:hAnsi="Times New Roman" w:eastAsia="宋体" w:cs="Times New Roman"/>
              </w:rPr>
            </w:pPr>
            <w:r>
              <w:rPr>
                <w:rFonts w:ascii="Times New Roman" w:hAnsi="宋体" w:eastAsia="宋体" w:cs="Times New Roman"/>
              </w:rPr>
              <w:t>具有自动温湿度补偿及交叉干扰补偿算法补偿功能；</w:t>
            </w:r>
          </w:p>
          <w:p>
            <w:pPr>
              <w:pStyle w:val="109"/>
              <w:numPr>
                <w:ilvl w:val="0"/>
                <w:numId w:val="6"/>
              </w:numPr>
              <w:spacing w:line="280" w:lineRule="exact"/>
              <w:rPr>
                <w:rFonts w:ascii="Times New Roman" w:hAnsi="Times New Roman" w:eastAsia="宋体" w:cs="Times New Roman"/>
              </w:rPr>
            </w:pPr>
            <w:r>
              <w:rPr>
                <w:rFonts w:ascii="Times New Roman" w:hAnsi="Times New Roman" w:eastAsia="宋体" w:cs="Times New Roman"/>
              </w:rPr>
              <w:t>监测数据本地存储1年以上。</w:t>
            </w:r>
          </w:p>
          <w:p>
            <w:pPr>
              <w:spacing w:line="280" w:lineRule="exact"/>
              <w:rPr>
                <w:rFonts w:ascii="Times New Roman" w:hAnsi="Times New Roman" w:eastAsia="宋体" w:cs="Times New Roman"/>
                <w:szCs w:val="21"/>
              </w:rPr>
            </w:pPr>
            <w:r>
              <w:rPr>
                <w:rFonts w:ascii="Times New Roman" w:hAnsi="宋体" w:eastAsia="宋体" w:cs="Times New Roman"/>
              </w:rPr>
              <w:t>市电断电恢复后系统可自动启动，恢复运行状态并正常开始工作的功能。</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rPr>
            </w:pPr>
            <w:r>
              <w:rPr>
                <w:rFonts w:hint="eastAsia" w:ascii="Times New Roman" w:hAnsi="宋体" w:eastAsia="宋体" w:cs="Times New Roman"/>
                <w:sz w:val="24"/>
                <w:szCs w:val="24"/>
              </w:rPr>
              <w:t>1</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rPr>
            </w:pPr>
            <w:r>
              <w:rPr>
                <w:rFonts w:hint="eastAsia" w:ascii="Times New Roman" w:hAnsi="宋体" w:eastAsia="宋体" w:cs="Times New Roman"/>
                <w:sz w:val="24"/>
                <w:szCs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12</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r>
              <w:rPr>
                <w:rFonts w:ascii="Times New Roman" w:hAnsi="宋体" w:eastAsia="宋体" w:cs="Times New Roman"/>
                <w:b/>
                <w:bCs/>
                <w:sz w:val="24"/>
              </w:rPr>
              <w:t>标准样气</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宋体" w:eastAsia="宋体" w:cs="Times New Roman"/>
                <w:sz w:val="24"/>
              </w:rPr>
              <w:t>每套含</w:t>
            </w:r>
            <w:r>
              <w:rPr>
                <w:rFonts w:ascii="Times New Roman" w:hAnsi="Times New Roman" w:eastAsia="宋体" w:cs="Times New Roman"/>
                <w:sz w:val="24"/>
              </w:rPr>
              <w:t>2</w:t>
            </w:r>
            <w:r>
              <w:rPr>
                <w:rFonts w:ascii="Times New Roman" w:hAnsi="宋体" w:eastAsia="宋体" w:cs="Times New Roman"/>
                <w:sz w:val="24"/>
              </w:rPr>
              <w:t>个铝合金气瓶（标准样气），作为遥测系统检测环境背景标定。</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sz w:val="24"/>
              </w:rPr>
            </w:pPr>
            <w:r>
              <w:rPr>
                <w:rFonts w:hint="eastAsia" w:ascii="Times New Roman" w:hAnsi="宋体" w:eastAsia="宋体" w:cs="Times New Roman"/>
                <w:sz w:val="24"/>
                <w:szCs w:val="24"/>
              </w:rPr>
              <w:t>2</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sz w:val="24"/>
              </w:rPr>
            </w:pPr>
            <w:r>
              <w:rPr>
                <w:rFonts w:hint="eastAsia" w:ascii="Times New Roman" w:hAnsi="宋体" w:eastAsia="宋体" w:cs="Times New Roman"/>
                <w:sz w:val="24"/>
                <w:szCs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13</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r>
              <w:rPr>
                <w:rFonts w:ascii="Times New Roman" w:hAnsi="宋体" w:eastAsia="宋体" w:cs="Times New Roman"/>
                <w:b/>
                <w:bCs/>
                <w:sz w:val="24"/>
              </w:rPr>
              <w:t>室外恒温机柜</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宋体" w:eastAsia="宋体" w:cs="Times New Roman"/>
                <w:sz w:val="24"/>
              </w:rPr>
              <w:t>机柜内温度可调，内部根据功能要求采用垂直分层结构，制造标准满足</w:t>
            </w:r>
            <w:r>
              <w:rPr>
                <w:rFonts w:ascii="Times New Roman" w:hAnsi="Times New Roman" w:eastAsia="宋体" w:cs="Times New Roman"/>
                <w:sz w:val="24"/>
              </w:rPr>
              <w:t>IP54</w:t>
            </w:r>
            <w:r>
              <w:rPr>
                <w:rFonts w:ascii="Times New Roman" w:hAnsi="宋体" w:eastAsia="宋体" w:cs="Times New Roman"/>
                <w:sz w:val="24"/>
              </w:rPr>
              <w:t>要求，具有隔热，防震功能，具备一定强度，防止轻微碰撞受损。预留仪器专用光路透射孔。机柜应有铭牌说明所属单位，联系人、联系电话等信息。</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sz w:val="24"/>
              </w:rPr>
            </w:pPr>
            <w:r>
              <w:rPr>
                <w:rFonts w:hint="eastAsia" w:ascii="Times New Roman" w:hAnsi="宋体" w:eastAsia="宋体" w:cs="Times New Roman"/>
                <w:sz w:val="24"/>
                <w:szCs w:val="24"/>
              </w:rPr>
              <w:t>1</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sz w:val="24"/>
              </w:rPr>
            </w:pPr>
            <w:r>
              <w:rPr>
                <w:rFonts w:hint="eastAsia" w:ascii="Times New Roman" w:hAnsi="宋体" w:eastAsia="宋体" w:cs="Times New Roman"/>
                <w:sz w:val="24"/>
                <w:szCs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14</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bCs/>
                <w:sz w:val="24"/>
              </w:rPr>
            </w:pPr>
            <w:r>
              <w:rPr>
                <w:rFonts w:ascii="Times New Roman" w:hAnsi="Times New Roman" w:eastAsia="宋体" w:cs="Times New Roman"/>
                <w:b/>
                <w:bCs/>
                <w:sz w:val="24"/>
              </w:rPr>
              <w:t>L</w:t>
            </w:r>
            <w:r>
              <w:rPr>
                <w:rFonts w:ascii="Times New Roman" w:hAnsi="宋体" w:eastAsia="宋体" w:cs="Times New Roman"/>
                <w:b/>
                <w:bCs/>
                <w:sz w:val="24"/>
              </w:rPr>
              <w:t>，</w:t>
            </w:r>
            <w:r>
              <w:rPr>
                <w:rFonts w:ascii="Times New Roman" w:hAnsi="Times New Roman" w:eastAsia="宋体" w:cs="Times New Roman"/>
                <w:b/>
                <w:bCs/>
                <w:sz w:val="24"/>
              </w:rPr>
              <w:t>F</w:t>
            </w:r>
            <w:r>
              <w:rPr>
                <w:rFonts w:ascii="Times New Roman" w:hAnsi="宋体" w:eastAsia="宋体" w:cs="Times New Roman"/>
                <w:b/>
                <w:bCs/>
                <w:sz w:val="24"/>
              </w:rPr>
              <w:t>型立杆、标志标牌</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sz w:val="24"/>
              </w:rPr>
            </w:pPr>
            <w:r>
              <w:rPr>
                <w:rFonts w:ascii="Times New Roman" w:hAnsi="Times New Roman" w:eastAsia="宋体" w:cs="Times New Roman"/>
                <w:sz w:val="24"/>
              </w:rPr>
              <w:t>1.</w:t>
            </w:r>
            <w:r>
              <w:rPr>
                <w:rFonts w:ascii="Times New Roman" w:hAnsi="宋体" w:eastAsia="宋体" w:cs="Times New Roman"/>
                <w:sz w:val="24"/>
              </w:rPr>
              <w:t>定制</w:t>
            </w:r>
            <w:r>
              <w:rPr>
                <w:rFonts w:ascii="Times New Roman" w:hAnsi="Times New Roman" w:eastAsia="宋体" w:cs="Times New Roman"/>
                <w:sz w:val="24"/>
              </w:rPr>
              <w:t>L</w:t>
            </w:r>
            <w:r>
              <w:rPr>
                <w:rFonts w:ascii="Times New Roman" w:hAnsi="宋体" w:eastAsia="宋体" w:cs="Times New Roman"/>
                <w:sz w:val="24"/>
              </w:rPr>
              <w:t>型立杆，</w:t>
            </w:r>
            <w:r>
              <w:rPr>
                <w:rFonts w:ascii="Times New Roman" w:hAnsi="Times New Roman" w:eastAsia="宋体" w:cs="Times New Roman"/>
                <w:sz w:val="24"/>
              </w:rPr>
              <w:t>F</w:t>
            </w:r>
            <w:r>
              <w:rPr>
                <w:rFonts w:ascii="Times New Roman" w:hAnsi="宋体" w:eastAsia="宋体" w:cs="Times New Roman"/>
                <w:sz w:val="24"/>
              </w:rPr>
              <w:t>型立杆，标识牌及立杆</w:t>
            </w:r>
          </w:p>
          <w:p>
            <w:pPr>
              <w:spacing w:line="280" w:lineRule="exact"/>
              <w:rPr>
                <w:rFonts w:ascii="Times New Roman" w:hAnsi="Times New Roman" w:eastAsia="宋体" w:cs="Times New Roman"/>
                <w:sz w:val="24"/>
              </w:rPr>
            </w:pPr>
            <w:r>
              <w:rPr>
                <w:rFonts w:ascii="Times New Roman" w:hAnsi="宋体" w:eastAsia="宋体" w:cs="Times New Roman"/>
                <w:sz w:val="24"/>
              </w:rPr>
              <w:t>采用钢制热镀锌工艺，可抗</w:t>
            </w:r>
            <w:r>
              <w:rPr>
                <w:rFonts w:ascii="Times New Roman" w:hAnsi="Times New Roman" w:eastAsia="宋体" w:cs="Times New Roman"/>
                <w:sz w:val="24"/>
              </w:rPr>
              <w:t>12</w:t>
            </w:r>
            <w:r>
              <w:rPr>
                <w:rFonts w:ascii="Times New Roman" w:hAnsi="宋体" w:eastAsia="宋体" w:cs="Times New Roman"/>
                <w:sz w:val="24"/>
              </w:rPr>
              <w:t>级强风：净空高不低于</w:t>
            </w:r>
            <w:r>
              <w:rPr>
                <w:rFonts w:ascii="Times New Roman" w:hAnsi="Times New Roman" w:eastAsia="宋体" w:cs="Times New Roman"/>
                <w:sz w:val="24"/>
              </w:rPr>
              <w:t>5</w:t>
            </w:r>
            <w:r>
              <w:rPr>
                <w:rFonts w:ascii="Times New Roman" w:hAnsi="宋体" w:eastAsia="宋体" w:cs="Times New Roman"/>
                <w:sz w:val="24"/>
              </w:rPr>
              <w:t>米，横杆长度依据现场确定，安装基座不能占用行车道空间，预留走线孔及检修口，底部入地端入地，并预留大口径螺母紧固装置，地下为混凝土浇筑。</w:t>
            </w:r>
          </w:p>
          <w:p>
            <w:pPr>
              <w:spacing w:line="280" w:lineRule="exact"/>
              <w:rPr>
                <w:rFonts w:ascii="Times New Roman" w:hAnsi="Times New Roman" w:eastAsia="宋体" w:cs="Times New Roman"/>
                <w:sz w:val="24"/>
              </w:rPr>
            </w:pPr>
            <w:r>
              <w:rPr>
                <w:rFonts w:ascii="Times New Roman" w:hAnsi="Times New Roman" w:eastAsia="宋体" w:cs="Times New Roman"/>
                <w:sz w:val="24"/>
              </w:rPr>
              <w:t>2.</w:t>
            </w:r>
            <w:r>
              <w:rPr>
                <w:rFonts w:ascii="Times New Roman" w:hAnsi="宋体" w:eastAsia="宋体" w:cs="Times New Roman"/>
                <w:sz w:val="24"/>
              </w:rPr>
              <w:t>标志标牌及立杆</w:t>
            </w:r>
            <w:r>
              <w:rPr>
                <w:rFonts w:ascii="Times New Roman" w:hAnsi="Times New Roman" w:eastAsia="宋体" w:cs="Times New Roman"/>
                <w:sz w:val="24"/>
              </w:rPr>
              <w:t>(</w:t>
            </w:r>
            <w:r>
              <w:rPr>
                <w:rFonts w:ascii="Times New Roman" w:hAnsi="宋体" w:eastAsia="宋体" w:cs="Times New Roman"/>
                <w:sz w:val="24"/>
              </w:rPr>
              <w:t>尺寸、材质</w:t>
            </w:r>
            <w:r>
              <w:rPr>
                <w:rFonts w:ascii="Times New Roman" w:hAnsi="Times New Roman" w:eastAsia="宋体" w:cs="Times New Roman"/>
                <w:sz w:val="24"/>
              </w:rPr>
              <w:t>):</w:t>
            </w:r>
          </w:p>
          <w:p>
            <w:pPr>
              <w:spacing w:line="280" w:lineRule="exact"/>
              <w:rPr>
                <w:rFonts w:ascii="Times New Roman" w:hAnsi="Times New Roman" w:eastAsia="宋体" w:cs="Times New Roman"/>
                <w:sz w:val="24"/>
              </w:rPr>
            </w:pPr>
            <w:r>
              <w:rPr>
                <w:rFonts w:ascii="Times New Roman" w:hAnsi="宋体" w:eastAsia="宋体" w:cs="Times New Roman"/>
                <w:sz w:val="24"/>
              </w:rPr>
              <w:t>项目现场设立标志标牌，含安装立杆，对即将驶入车辆进行告知，限高告知，采用钢制热镀锌工艺，尺寸</w:t>
            </w:r>
            <w:r>
              <w:rPr>
                <w:rFonts w:ascii="Times New Roman" w:hAnsi="Times New Roman" w:eastAsia="宋体" w:cs="Times New Roman"/>
                <w:sz w:val="24"/>
              </w:rPr>
              <w:t>:800mm×1200mm(3M)</w:t>
            </w:r>
            <w:r>
              <w:rPr>
                <w:rFonts w:ascii="Times New Roman" w:hAnsi="宋体" w:eastAsia="宋体" w:cs="Times New Roman"/>
                <w:sz w:val="24"/>
              </w:rPr>
              <w:t>，户外安装，防腐、防雨，并符合国家的相关要求。</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sz w:val="24"/>
              </w:rPr>
            </w:pPr>
            <w:r>
              <w:rPr>
                <w:rFonts w:hint="eastAsia" w:ascii="Times New Roman" w:hAnsi="宋体" w:eastAsia="宋体" w:cs="Times New Roman"/>
                <w:sz w:val="24"/>
                <w:szCs w:val="24"/>
              </w:rPr>
              <w:t>3</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Ansi="宋体" w:cs="Times New Roman"/>
                <w:sz w:val="24"/>
              </w:rPr>
            </w:pPr>
            <w:r>
              <w:rPr>
                <w:rFonts w:hint="eastAsia" w:ascii="Times New Roman" w:hAnsi="宋体" w:eastAsia="宋体" w:cs="Times New Roman"/>
                <w:sz w:val="24"/>
                <w:szCs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000" w:type="pct"/>
            <w:gridSpan w:val="5"/>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rPr>
                <w:rFonts w:ascii="Times New Roman" w:hAnsi="Times New Roman" w:eastAsia="宋体" w:cs="Times New Roman"/>
                <w:b/>
                <w:sz w:val="24"/>
              </w:rPr>
            </w:pPr>
            <w:r>
              <w:rPr>
                <w:rFonts w:ascii="Times New Roman" w:hAnsi="宋体" w:eastAsia="宋体" w:cs="Times New Roman"/>
                <w:b/>
                <w:sz w:val="24"/>
              </w:rPr>
              <w:t>黑烟车视频监控系统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ascii="Times New Roman" w:hAnsi="Times New Roman" w:eastAsia="宋体" w:cs="Times New Roman"/>
                <w:b/>
                <w:bCs/>
                <w:sz w:val="24"/>
              </w:rPr>
            </w:pPr>
            <w:r>
              <w:rPr>
                <w:rFonts w:ascii="Times New Roman" w:hAnsi="Times New Roman" w:eastAsia="宋体" w:cs="Times New Roman"/>
                <w:b/>
                <w:bCs/>
                <w:sz w:val="24"/>
              </w:rPr>
              <w:t>15</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line="280" w:lineRule="exact"/>
              <w:ind w:firstLine="0" w:firstLineChars="0"/>
              <w:rPr>
                <w:rFonts w:ascii="Times New Roman" w:eastAsia="宋体" w:cs="Times New Roman"/>
                <w:b/>
                <w:sz w:val="24"/>
                <w:szCs w:val="24"/>
              </w:rPr>
            </w:pPr>
            <w:r>
              <w:rPr>
                <w:rFonts w:ascii="Times New Roman" w:hAnsi="宋体" w:eastAsia="宋体" w:cs="Times New Roman"/>
                <w:b/>
                <w:sz w:val="24"/>
                <w:szCs w:val="24"/>
              </w:rPr>
              <w:t>黑烟车抓拍仪</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rPr>
                <w:rFonts w:ascii="Times New Roman" w:eastAsia="宋体" w:cs="Times New Roman"/>
                <w:sz w:val="24"/>
                <w:szCs w:val="24"/>
              </w:rPr>
            </w:pPr>
            <w:r>
              <w:rPr>
                <w:rFonts w:ascii="Times New Roman" w:eastAsia="宋体" w:cs="Times New Roman"/>
                <w:sz w:val="24"/>
                <w:szCs w:val="24"/>
              </w:rPr>
              <w:t>CPU</w:t>
            </w:r>
            <w:r>
              <w:rPr>
                <w:rFonts w:ascii="Times New Roman" w:hAnsi="宋体" w:eastAsia="宋体" w:cs="Times New Roman"/>
                <w:sz w:val="24"/>
                <w:szCs w:val="24"/>
              </w:rPr>
              <w:t>：</w:t>
            </w:r>
            <w:r>
              <w:rPr>
                <w:rFonts w:ascii="Times New Roman" w:eastAsia="宋体" w:cs="Times New Roman"/>
                <w:sz w:val="24"/>
                <w:szCs w:val="24"/>
              </w:rPr>
              <w:t>≥i7 2.3GHz</w:t>
            </w:r>
            <w:r>
              <w:rPr>
                <w:rFonts w:ascii="Times New Roman" w:hAnsi="宋体" w:eastAsia="宋体" w:cs="Times New Roman"/>
                <w:sz w:val="24"/>
                <w:szCs w:val="24"/>
              </w:rPr>
              <w:t>；内存：</w:t>
            </w:r>
            <w:r>
              <w:rPr>
                <w:rFonts w:ascii="Times New Roman" w:eastAsia="宋体" w:cs="Times New Roman"/>
                <w:sz w:val="24"/>
                <w:szCs w:val="24"/>
              </w:rPr>
              <w:t>≥16G</w:t>
            </w:r>
            <w:r>
              <w:rPr>
                <w:rFonts w:ascii="Times New Roman" w:hAnsi="宋体" w:eastAsia="宋体" w:cs="Times New Roman"/>
                <w:sz w:val="24"/>
                <w:szCs w:val="24"/>
              </w:rPr>
              <w:t>；硬盘：</w:t>
            </w:r>
            <w:r>
              <w:rPr>
                <w:rFonts w:ascii="Times New Roman" w:eastAsia="宋体" w:cs="Times New Roman"/>
                <w:sz w:val="24"/>
                <w:szCs w:val="24"/>
              </w:rPr>
              <w:t>≥1TB</w:t>
            </w:r>
            <w:r>
              <w:rPr>
                <w:rFonts w:ascii="Times New Roman" w:hAnsi="宋体" w:eastAsia="宋体" w:cs="Times New Roman"/>
                <w:sz w:val="24"/>
                <w:szCs w:val="24"/>
              </w:rPr>
              <w:t>；网卡：</w:t>
            </w:r>
            <w:r>
              <w:rPr>
                <w:rFonts w:ascii="Times New Roman" w:eastAsia="宋体" w:cs="Times New Roman"/>
                <w:sz w:val="24"/>
                <w:szCs w:val="24"/>
              </w:rPr>
              <w:t>2</w:t>
            </w:r>
            <w:r>
              <w:rPr>
                <w:rFonts w:ascii="Times New Roman" w:hAnsi="宋体" w:eastAsia="宋体" w:cs="Times New Roman"/>
                <w:sz w:val="24"/>
                <w:szCs w:val="24"/>
              </w:rPr>
              <w:t>个</w:t>
            </w:r>
            <w:r>
              <w:rPr>
                <w:rFonts w:ascii="Times New Roman" w:eastAsia="宋体" w:cs="Times New Roman"/>
                <w:sz w:val="24"/>
                <w:szCs w:val="24"/>
              </w:rPr>
              <w:t>1000Mbps</w:t>
            </w:r>
            <w:r>
              <w:rPr>
                <w:rFonts w:ascii="Times New Roman" w:hAnsi="宋体" w:eastAsia="宋体" w:cs="Times New Roman"/>
                <w:sz w:val="24"/>
                <w:szCs w:val="24"/>
              </w:rPr>
              <w:t>网卡；显示接口：</w:t>
            </w:r>
            <w:r>
              <w:rPr>
                <w:rFonts w:ascii="Times New Roman" w:eastAsia="宋体" w:cs="Times New Roman"/>
                <w:sz w:val="24"/>
                <w:szCs w:val="24"/>
              </w:rPr>
              <w:t>HDMI+DVI+DP</w:t>
            </w:r>
            <w:r>
              <w:rPr>
                <w:rFonts w:ascii="Times New Roman" w:hAnsi="宋体" w:eastAsia="宋体" w:cs="Times New Roman"/>
                <w:sz w:val="24"/>
                <w:szCs w:val="24"/>
              </w:rPr>
              <w:t>接口；</w:t>
            </w:r>
            <w:r>
              <w:rPr>
                <w:rFonts w:ascii="Times New Roman" w:eastAsia="宋体" w:cs="Times New Roman"/>
                <w:sz w:val="24"/>
                <w:szCs w:val="24"/>
              </w:rPr>
              <w:t>I/O</w:t>
            </w:r>
            <w:r>
              <w:rPr>
                <w:rFonts w:ascii="Times New Roman" w:hAnsi="宋体" w:eastAsia="宋体" w:cs="Times New Roman"/>
                <w:sz w:val="24"/>
                <w:szCs w:val="24"/>
              </w:rPr>
              <w:t>接口：</w:t>
            </w:r>
            <w:r>
              <w:rPr>
                <w:rFonts w:ascii="Times New Roman" w:eastAsia="宋体" w:cs="Times New Roman"/>
                <w:sz w:val="24"/>
                <w:szCs w:val="24"/>
              </w:rPr>
              <w:t xml:space="preserve">2x COM </w:t>
            </w:r>
            <w:r>
              <w:rPr>
                <w:rFonts w:ascii="Times New Roman" w:hAnsi="宋体" w:eastAsia="宋体" w:cs="Times New Roman"/>
                <w:sz w:val="24"/>
                <w:szCs w:val="24"/>
              </w:rPr>
              <w:t>其中</w:t>
            </w:r>
            <w:r>
              <w:rPr>
                <w:rFonts w:ascii="Times New Roman" w:eastAsia="宋体" w:cs="Times New Roman"/>
                <w:sz w:val="24"/>
                <w:szCs w:val="24"/>
              </w:rPr>
              <w:t xml:space="preserve">COM2 </w:t>
            </w:r>
            <w:r>
              <w:rPr>
                <w:rFonts w:ascii="Times New Roman" w:hAnsi="宋体" w:eastAsia="宋体" w:cs="Times New Roman"/>
                <w:sz w:val="24"/>
                <w:szCs w:val="24"/>
              </w:rPr>
              <w:t>支持</w:t>
            </w:r>
            <w:r>
              <w:rPr>
                <w:rFonts w:ascii="Times New Roman" w:eastAsia="宋体" w:cs="Times New Roman"/>
                <w:sz w:val="24"/>
                <w:szCs w:val="24"/>
              </w:rPr>
              <w:t>485</w:t>
            </w:r>
            <w:r>
              <w:rPr>
                <w:rFonts w:ascii="Times New Roman" w:hAnsi="宋体" w:eastAsia="宋体" w:cs="Times New Roman"/>
                <w:sz w:val="24"/>
                <w:szCs w:val="24"/>
              </w:rPr>
              <w:t>模式，</w:t>
            </w:r>
            <w:r>
              <w:rPr>
                <w:rFonts w:ascii="Times New Roman" w:eastAsia="宋体" w:cs="Times New Roman"/>
                <w:sz w:val="24"/>
                <w:szCs w:val="24"/>
              </w:rPr>
              <w:t>2 x SATA3.0</w:t>
            </w:r>
            <w:r>
              <w:rPr>
                <w:rFonts w:ascii="Times New Roman" w:hAnsi="宋体" w:eastAsia="宋体" w:cs="Times New Roman"/>
                <w:sz w:val="24"/>
                <w:szCs w:val="24"/>
              </w:rPr>
              <w:t>、</w:t>
            </w:r>
            <w:r>
              <w:rPr>
                <w:rFonts w:ascii="Times New Roman" w:eastAsia="宋体" w:cs="Times New Roman"/>
                <w:sz w:val="24"/>
                <w:szCs w:val="24"/>
              </w:rPr>
              <w:t>1xSATA2.0</w:t>
            </w:r>
            <w:r>
              <w:rPr>
                <w:rFonts w:ascii="Times New Roman" w:hAnsi="宋体" w:eastAsia="宋体" w:cs="Times New Roman"/>
                <w:sz w:val="24"/>
                <w:szCs w:val="24"/>
              </w:rPr>
              <w:t>，</w:t>
            </w:r>
            <w:r>
              <w:rPr>
                <w:rFonts w:ascii="Times New Roman" w:eastAsia="宋体" w:cs="Times New Roman"/>
                <w:sz w:val="24"/>
                <w:szCs w:val="24"/>
              </w:rPr>
              <w:t>6 x USB(2x USB3.0</w:t>
            </w:r>
            <w:r>
              <w:rPr>
                <w:rFonts w:ascii="Times New Roman" w:hAnsi="宋体" w:eastAsia="宋体" w:cs="Times New Roman"/>
                <w:sz w:val="24"/>
                <w:szCs w:val="24"/>
              </w:rPr>
              <w:t>、</w:t>
            </w:r>
            <w:r>
              <w:rPr>
                <w:rFonts w:ascii="Times New Roman" w:eastAsia="宋体" w:cs="Times New Roman"/>
                <w:sz w:val="24"/>
                <w:szCs w:val="24"/>
              </w:rPr>
              <w:t>4x USB2.0)</w:t>
            </w:r>
            <w:r>
              <w:rPr>
                <w:rFonts w:ascii="Times New Roman" w:hAnsi="宋体" w:eastAsia="宋体" w:cs="Times New Roman"/>
                <w:sz w:val="24"/>
                <w:szCs w:val="24"/>
              </w:rPr>
              <w:t>，</w:t>
            </w:r>
            <w:r>
              <w:rPr>
                <w:rFonts w:ascii="Times New Roman" w:eastAsia="宋体" w:cs="Times New Roman"/>
                <w:sz w:val="24"/>
                <w:szCs w:val="24"/>
              </w:rPr>
              <w:t>PS/2</w:t>
            </w:r>
            <w:r>
              <w:rPr>
                <w:rFonts w:ascii="Times New Roman" w:hAnsi="宋体" w:eastAsia="宋体" w:cs="Times New Roman"/>
                <w:sz w:val="24"/>
                <w:szCs w:val="24"/>
              </w:rPr>
              <w:t>：标准双层</w:t>
            </w:r>
            <w:r>
              <w:rPr>
                <w:rFonts w:ascii="Times New Roman" w:eastAsia="宋体" w:cs="Times New Roman"/>
                <w:sz w:val="24"/>
                <w:szCs w:val="24"/>
              </w:rPr>
              <w:t>PS/2</w:t>
            </w:r>
            <w:r>
              <w:rPr>
                <w:rFonts w:ascii="Times New Roman" w:hAnsi="宋体" w:eastAsia="宋体" w:cs="Times New Roman"/>
                <w:sz w:val="24"/>
                <w:szCs w:val="24"/>
              </w:rPr>
              <w:t>接口，</w:t>
            </w:r>
            <w:r>
              <w:rPr>
                <w:rFonts w:ascii="Times New Roman" w:eastAsia="宋体" w:cs="Times New Roman"/>
                <w:sz w:val="24"/>
                <w:szCs w:val="24"/>
              </w:rPr>
              <w:t>LPT</w:t>
            </w:r>
            <w:r>
              <w:rPr>
                <w:rFonts w:ascii="Times New Roman" w:hAnsi="宋体" w:eastAsia="宋体" w:cs="Times New Roman"/>
                <w:sz w:val="24"/>
                <w:szCs w:val="24"/>
              </w:rPr>
              <w:t>：提供</w:t>
            </w:r>
            <w:r>
              <w:rPr>
                <w:rFonts w:ascii="Times New Roman" w:eastAsia="宋体" w:cs="Times New Roman"/>
                <w:sz w:val="24"/>
                <w:szCs w:val="24"/>
              </w:rPr>
              <w:t>1</w:t>
            </w:r>
            <w:r>
              <w:rPr>
                <w:rFonts w:ascii="Times New Roman" w:hAnsi="宋体" w:eastAsia="宋体" w:cs="Times New Roman"/>
                <w:sz w:val="24"/>
                <w:szCs w:val="24"/>
              </w:rPr>
              <w:t>个</w:t>
            </w:r>
            <w:r>
              <w:rPr>
                <w:rFonts w:ascii="Times New Roman" w:eastAsia="宋体" w:cs="Times New Roman"/>
                <w:sz w:val="24"/>
                <w:szCs w:val="24"/>
              </w:rPr>
              <w:t xml:space="preserve">2x10Pin 2.00mm </w:t>
            </w:r>
            <w:r>
              <w:rPr>
                <w:rFonts w:ascii="Times New Roman" w:hAnsi="宋体" w:eastAsia="宋体" w:cs="Times New Roman"/>
                <w:sz w:val="24"/>
                <w:szCs w:val="24"/>
              </w:rPr>
              <w:t>插针接口；风扇接口：</w:t>
            </w:r>
            <w:r>
              <w:rPr>
                <w:rFonts w:ascii="Times New Roman" w:eastAsia="宋体" w:cs="Times New Roman"/>
                <w:sz w:val="24"/>
                <w:szCs w:val="24"/>
              </w:rPr>
              <w:t>1x 4Pin CPU</w:t>
            </w:r>
            <w:r>
              <w:rPr>
                <w:rFonts w:ascii="Times New Roman" w:hAnsi="宋体" w:eastAsia="宋体" w:cs="Times New Roman"/>
                <w:sz w:val="24"/>
                <w:szCs w:val="24"/>
              </w:rPr>
              <w:t>风扇接口；</w:t>
            </w:r>
            <w:r>
              <w:rPr>
                <w:rFonts w:ascii="Times New Roman" w:eastAsia="宋体" w:cs="Times New Roman"/>
                <w:sz w:val="24"/>
                <w:szCs w:val="24"/>
              </w:rPr>
              <w:t>1x 3Pin SYSTEM</w:t>
            </w:r>
            <w:r>
              <w:rPr>
                <w:rFonts w:ascii="Times New Roman" w:hAnsi="宋体" w:eastAsia="宋体" w:cs="Times New Roman"/>
                <w:sz w:val="24"/>
                <w:szCs w:val="24"/>
              </w:rPr>
              <w:t>风扇接口；电源类型：</w:t>
            </w:r>
            <w:r>
              <w:rPr>
                <w:rFonts w:ascii="Times New Roman" w:eastAsia="宋体" w:cs="Times New Roman"/>
                <w:sz w:val="24"/>
                <w:szCs w:val="24"/>
              </w:rPr>
              <w:t>ATX</w:t>
            </w:r>
            <w:r>
              <w:rPr>
                <w:rFonts w:ascii="Times New Roman" w:hAnsi="宋体" w:eastAsia="宋体" w:cs="Times New Roman"/>
                <w:sz w:val="24"/>
                <w:szCs w:val="24"/>
              </w:rPr>
              <w:t>；温度：工作温度</w:t>
            </w:r>
            <w:r>
              <w:rPr>
                <w:rFonts w:ascii="Times New Roman" w:eastAsia="宋体" w:cs="Times New Roman"/>
                <w:sz w:val="24"/>
                <w:szCs w:val="24"/>
              </w:rPr>
              <w:t> </w:t>
            </w:r>
            <w:r>
              <w:rPr>
                <w:rFonts w:ascii="Times New Roman" w:hAnsi="宋体" w:eastAsia="宋体" w:cs="Times New Roman"/>
                <w:sz w:val="24"/>
                <w:szCs w:val="24"/>
              </w:rPr>
              <w:t>：</w:t>
            </w:r>
            <w:r>
              <w:rPr>
                <w:rFonts w:ascii="Times New Roman" w:eastAsia="宋体" w:cs="Times New Roman"/>
                <w:sz w:val="24"/>
                <w:szCs w:val="24"/>
              </w:rPr>
              <w:t>0</w:t>
            </w:r>
            <w:r>
              <w:rPr>
                <w:rFonts w:ascii="Times New Roman" w:hAnsi="宋体" w:eastAsia="宋体" w:cs="Times New Roman"/>
                <w:sz w:val="24"/>
                <w:szCs w:val="24"/>
              </w:rPr>
              <w:t>℃～</w:t>
            </w:r>
            <w:r>
              <w:rPr>
                <w:rFonts w:ascii="Times New Roman" w:eastAsia="宋体" w:cs="Times New Roman"/>
                <w:sz w:val="24"/>
                <w:szCs w:val="24"/>
              </w:rPr>
              <w:t>60</w:t>
            </w:r>
            <w:r>
              <w:rPr>
                <w:rFonts w:ascii="Times New Roman" w:hAnsi="宋体" w:eastAsia="宋体" w:cs="Times New Roman"/>
                <w:sz w:val="24"/>
                <w:szCs w:val="24"/>
              </w:rPr>
              <w:t>℃</w:t>
            </w:r>
            <w:r>
              <w:rPr>
                <w:rFonts w:ascii="Times New Roman" w:eastAsia="宋体" w:cs="Times New Roman"/>
                <w:sz w:val="24"/>
                <w:szCs w:val="24"/>
              </w:rPr>
              <w:t> </w:t>
            </w:r>
            <w:r>
              <w:rPr>
                <w:rFonts w:ascii="Times New Roman" w:hAnsi="宋体" w:eastAsia="宋体" w:cs="Times New Roman"/>
                <w:sz w:val="24"/>
                <w:szCs w:val="24"/>
              </w:rPr>
              <w:t>，存储温度</w:t>
            </w:r>
            <w:r>
              <w:rPr>
                <w:rFonts w:ascii="Times New Roman" w:eastAsia="宋体" w:cs="Times New Roman"/>
                <w:sz w:val="24"/>
                <w:szCs w:val="24"/>
              </w:rPr>
              <w:t> </w:t>
            </w:r>
            <w:r>
              <w:rPr>
                <w:rFonts w:ascii="Times New Roman" w:hAnsi="宋体" w:eastAsia="宋体" w:cs="Times New Roman"/>
                <w:sz w:val="24"/>
                <w:szCs w:val="24"/>
              </w:rPr>
              <w:t>：</w:t>
            </w:r>
            <w:r>
              <w:rPr>
                <w:rFonts w:ascii="Times New Roman" w:eastAsia="宋体" w:cs="Times New Roman"/>
                <w:sz w:val="24"/>
                <w:szCs w:val="24"/>
              </w:rPr>
              <w:t>-40</w:t>
            </w:r>
            <w:r>
              <w:rPr>
                <w:rFonts w:ascii="Times New Roman" w:hAnsi="宋体" w:eastAsia="宋体" w:cs="Times New Roman"/>
                <w:sz w:val="24"/>
                <w:szCs w:val="24"/>
              </w:rPr>
              <w:t>℃～</w:t>
            </w:r>
            <w:r>
              <w:rPr>
                <w:rFonts w:ascii="Times New Roman" w:eastAsia="宋体" w:cs="Times New Roman"/>
                <w:sz w:val="24"/>
                <w:szCs w:val="24"/>
              </w:rPr>
              <w:t>80</w:t>
            </w:r>
            <w:r>
              <w:rPr>
                <w:rFonts w:ascii="Times New Roman" w:hAnsi="宋体" w:eastAsia="宋体" w:cs="Times New Roman"/>
                <w:sz w:val="24"/>
                <w:szCs w:val="24"/>
              </w:rPr>
              <w:t>℃</w:t>
            </w:r>
            <w:r>
              <w:rPr>
                <w:rFonts w:ascii="Times New Roman" w:eastAsia="宋体" w:cs="Times New Roman"/>
                <w:sz w:val="24"/>
                <w:szCs w:val="24"/>
              </w:rPr>
              <w:t> </w:t>
            </w:r>
            <w:r>
              <w:rPr>
                <w:rFonts w:ascii="Times New Roman" w:hAnsi="宋体" w:eastAsia="宋体" w:cs="Times New Roman"/>
                <w:sz w:val="24"/>
                <w:szCs w:val="24"/>
              </w:rPr>
              <w:t>，机械硬盘工作温度：</w:t>
            </w:r>
            <w:r>
              <w:rPr>
                <w:rFonts w:ascii="Times New Roman" w:eastAsia="宋体" w:cs="Times New Roman"/>
                <w:sz w:val="24"/>
                <w:szCs w:val="24"/>
              </w:rPr>
              <w:t>0</w:t>
            </w:r>
            <w:r>
              <w:rPr>
                <w:rFonts w:ascii="Times New Roman" w:hAnsi="宋体" w:eastAsia="宋体" w:cs="Times New Roman"/>
                <w:sz w:val="24"/>
                <w:szCs w:val="24"/>
              </w:rPr>
              <w:t>℃～</w:t>
            </w:r>
            <w:r>
              <w:rPr>
                <w:rFonts w:ascii="Times New Roman" w:eastAsia="宋体" w:cs="Times New Roman"/>
                <w:sz w:val="24"/>
                <w:szCs w:val="24"/>
              </w:rPr>
              <w:t>60</w:t>
            </w:r>
            <w:r>
              <w:rPr>
                <w:rFonts w:ascii="Times New Roman" w:hAnsi="宋体" w:eastAsia="宋体" w:cs="Times New Roman"/>
                <w:sz w:val="24"/>
                <w:szCs w:val="24"/>
              </w:rPr>
              <w:t>℃；湿度：</w:t>
            </w:r>
            <w:r>
              <w:rPr>
                <w:rFonts w:ascii="Times New Roman" w:eastAsia="宋体" w:cs="Times New Roman"/>
                <w:sz w:val="24"/>
                <w:szCs w:val="24"/>
              </w:rPr>
              <w:t>5%</w:t>
            </w:r>
            <w:r>
              <w:rPr>
                <w:rFonts w:ascii="Times New Roman" w:hAnsi="宋体" w:eastAsia="宋体" w:cs="Times New Roman"/>
                <w:sz w:val="24"/>
                <w:szCs w:val="24"/>
              </w:rPr>
              <w:t>～</w:t>
            </w:r>
            <w:r>
              <w:rPr>
                <w:rFonts w:ascii="Times New Roman" w:eastAsia="宋体" w:cs="Times New Roman"/>
                <w:sz w:val="24"/>
                <w:szCs w:val="24"/>
              </w:rPr>
              <w:t>95%</w:t>
            </w:r>
            <w:r>
              <w:rPr>
                <w:rFonts w:ascii="Times New Roman" w:hAnsi="宋体" w:eastAsia="宋体" w:cs="Times New Roman"/>
                <w:sz w:val="24"/>
                <w:szCs w:val="24"/>
              </w:rPr>
              <w:t>相对湿度，无冷凝；</w:t>
            </w:r>
          </w:p>
          <w:p>
            <w:pPr>
              <w:pStyle w:val="40"/>
              <w:spacing w:before="0" w:beforeAutospacing="0" w:line="280" w:lineRule="exact"/>
              <w:ind w:firstLine="232" w:firstLineChars="100"/>
              <w:rPr>
                <w:rFonts w:ascii="Times New Roman" w:eastAsia="宋体" w:cs="Times New Roman"/>
                <w:sz w:val="24"/>
                <w:szCs w:val="24"/>
              </w:rPr>
            </w:pPr>
            <w:r>
              <w:rPr>
                <w:rFonts w:ascii="Times New Roman" w:hAnsi="宋体" w:eastAsia="宋体" w:cs="Times New Roman"/>
                <w:color w:val="000000"/>
                <w:sz w:val="24"/>
                <w:szCs w:val="24"/>
              </w:rPr>
              <w:t>黑烟车抓拍仪通过国家警用电子产品检验，工作时的泄露电流与安全防范报警设备的电源插头或电源引入端与外壳裸露金属部件之间应符合</w:t>
            </w:r>
            <w:r>
              <w:rPr>
                <w:rFonts w:ascii="Times New Roman" w:eastAsia="宋体" w:cs="Times New Roman"/>
                <w:color w:val="000000"/>
                <w:sz w:val="24"/>
                <w:szCs w:val="24"/>
              </w:rPr>
              <w:t>GB/16796-2009</w:t>
            </w:r>
            <w:r>
              <w:rPr>
                <w:rFonts w:ascii="Times New Roman" w:hAnsi="宋体" w:eastAsia="宋体" w:cs="Times New Roman"/>
                <w:color w:val="000000"/>
                <w:sz w:val="24"/>
                <w:szCs w:val="24"/>
              </w:rPr>
              <w:t>安全防范报警设备安全要求和试验方法中的相关规定。</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int="eastAsia" w:ascii="Times New Roman" w:eastAsia="宋体" w:cs="Times New Roman"/>
                <w:color w:val="000000"/>
                <w:sz w:val="24"/>
                <w:szCs w:val="24"/>
              </w:rPr>
            </w:pPr>
            <w:r>
              <w:rPr>
                <w:rFonts w:hint="eastAsia" w:ascii="Times New Roman" w:eastAsia="宋体" w:cs="Times New Roman"/>
                <w:color w:val="000000"/>
                <w:sz w:val="24"/>
                <w:szCs w:val="24"/>
              </w:rPr>
              <w:t>3</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40"/>
              <w:spacing w:before="0" w:beforeAutospacing="0" w:line="280" w:lineRule="exact"/>
              <w:ind w:firstLine="0" w:firstLineChars="0"/>
              <w:jc w:val="center"/>
              <w:rPr>
                <w:rFonts w:hint="eastAsia" w:ascii="Times New Roman" w:eastAsia="宋体" w:cs="Times New Roman"/>
                <w:color w:val="000000"/>
                <w:sz w:val="24"/>
                <w:szCs w:val="24"/>
              </w:rPr>
            </w:pPr>
            <w:r>
              <w:rPr>
                <w:rFonts w:hint="eastAsia" w:ascii="Times New Roman" w:eastAsia="宋体" w:cs="Times New Roman"/>
                <w:color w:val="000000"/>
                <w:sz w:val="24"/>
                <w:szCs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hint="eastAsia" w:ascii="Times New Roman" w:hAnsi="Times New Roman" w:eastAsia="宋体" w:cs="Times New Roman"/>
                <w:b/>
                <w:bCs/>
                <w:sz w:val="24"/>
              </w:rPr>
            </w:pPr>
            <w:r>
              <w:rPr>
                <w:rFonts w:hint="eastAsia" w:ascii="Times New Roman" w:hAnsi="Times New Roman" w:eastAsia="宋体" w:cs="Times New Roman"/>
                <w:b/>
                <w:bCs/>
                <w:sz w:val="24"/>
              </w:rPr>
              <w:t>16</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280" w:lineRule="exact"/>
              <w:rPr>
                <w:rFonts w:ascii="Times New Roman" w:hAnsi="Times New Roman" w:eastAsia="宋体" w:cs="Times New Roman"/>
                <w:b/>
                <w:bCs/>
                <w:sz w:val="24"/>
              </w:rPr>
            </w:pPr>
            <w:r>
              <w:rPr>
                <w:rFonts w:ascii="Times New Roman" w:hAnsi="宋体" w:eastAsia="宋体" w:cs="Times New Roman"/>
                <w:b/>
                <w:sz w:val="24"/>
              </w:rPr>
              <w:t>黑烟车智能识别系统（软件）</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top"/>
          </w:tcPr>
          <w:p>
            <w:pPr>
              <w:widowControl/>
              <w:spacing w:line="280" w:lineRule="exact"/>
              <w:rPr>
                <w:rFonts w:ascii="Times New Roman" w:hAnsi="Times New Roman" w:eastAsia="宋体" w:cs="Times New Roman"/>
                <w:sz w:val="24"/>
              </w:rPr>
            </w:pPr>
            <w:r>
              <w:rPr>
                <w:rFonts w:ascii="Times New Roman" w:hAnsi="宋体" w:eastAsia="宋体" w:cs="Times New Roman"/>
                <w:sz w:val="24"/>
              </w:rPr>
              <w:t>黑烟车智能识别系统软件（内置）</w:t>
            </w:r>
            <w:r>
              <w:rPr>
                <w:rFonts w:ascii="Times New Roman" w:hAnsi="Times New Roman" w:eastAsia="宋体" w:cs="Times New Roman"/>
                <w:sz w:val="24"/>
              </w:rPr>
              <w:br w:type="textWrapping"/>
            </w:r>
            <w:r>
              <w:rPr>
                <w:rFonts w:ascii="Times New Roman" w:hAnsi="宋体" w:eastAsia="宋体" w:cs="Times New Roman"/>
                <w:sz w:val="24"/>
              </w:rPr>
              <w:t>黑烟车抓拍仪内置黑烟车识别软件系统，负责通过超高清摄像头自动识别出排放黑烟车辆情况，及时抓拍车辆排放黑烟照片、视频取证并保存上传，完整超标排放证据链包括：车头照片、车尾照片、车头车尾合成照片、车牌照片、不少于</w:t>
            </w:r>
            <w:r>
              <w:rPr>
                <w:rFonts w:ascii="Times New Roman" w:hAnsi="Times New Roman" w:eastAsia="宋体" w:cs="Times New Roman"/>
                <w:sz w:val="24"/>
              </w:rPr>
              <w:t>5</w:t>
            </w:r>
            <w:r>
              <w:rPr>
                <w:rFonts w:ascii="Times New Roman" w:hAnsi="宋体" w:eastAsia="宋体" w:cs="Times New Roman"/>
                <w:sz w:val="24"/>
              </w:rPr>
              <w:t>秒的排放黑烟视频、林格曼黑度等级信息。</w:t>
            </w:r>
            <w:r>
              <w:rPr>
                <w:rFonts w:ascii="Times New Roman" w:hAnsi="Times New Roman" w:eastAsia="宋体" w:cs="Times New Roman"/>
                <w:sz w:val="24"/>
              </w:rPr>
              <w:br w:type="textWrapping"/>
            </w:r>
            <w:r>
              <w:rPr>
                <w:rFonts w:ascii="Times New Roman" w:hAnsi="宋体" w:eastAsia="宋体" w:cs="Times New Roman"/>
                <w:sz w:val="24"/>
              </w:rPr>
              <w:t>通过超高清摄像头自动采集出非排放黑烟车辆情况，实时识别车辆照片、车牌号并保存上传；</w:t>
            </w:r>
            <w:r>
              <w:rPr>
                <w:rFonts w:ascii="Times New Roman" w:hAnsi="Times New Roman" w:eastAsia="宋体" w:cs="Times New Roman"/>
                <w:sz w:val="24"/>
              </w:rPr>
              <w:br w:type="textWrapping"/>
            </w:r>
            <w:r>
              <w:rPr>
                <w:rFonts w:ascii="Times New Roman" w:hAnsi="宋体" w:eastAsia="宋体" w:cs="Times New Roman"/>
                <w:sz w:val="24"/>
              </w:rPr>
              <w:t>自动识别经过监测点的车辆，当发现车辆排放黑烟时自动识别，抓拍图片和视频等证据并自动上传，在识别出黑烟车的同时能识别车牌号码，方便后期进行相关的业务操作；</w:t>
            </w:r>
            <w:r>
              <w:rPr>
                <w:rFonts w:ascii="Times New Roman" w:hAnsi="Times New Roman" w:eastAsia="宋体" w:cs="Times New Roman"/>
                <w:sz w:val="24"/>
              </w:rPr>
              <w:br w:type="textWrapping"/>
            </w:r>
            <w:r>
              <w:rPr>
                <w:rFonts w:ascii="Times New Roman" w:hAnsi="宋体" w:eastAsia="宋体" w:cs="Times New Roman"/>
                <w:sz w:val="24"/>
              </w:rPr>
              <w:t>全自动分析，数据自动打包入库；</w:t>
            </w:r>
            <w:r>
              <w:rPr>
                <w:rFonts w:ascii="Times New Roman" w:hAnsi="Times New Roman" w:eastAsia="宋体" w:cs="Times New Roman"/>
                <w:sz w:val="24"/>
              </w:rPr>
              <w:br w:type="textWrapping"/>
            </w:r>
            <w:r>
              <w:rPr>
                <w:rFonts w:ascii="Times New Roman" w:hAnsi="宋体" w:eastAsia="宋体" w:cs="Times New Roman"/>
                <w:sz w:val="24"/>
              </w:rPr>
              <w:t>采用智能视频图象识别算法，适应各种路面情况以及光照情况；</w:t>
            </w:r>
            <w:r>
              <w:rPr>
                <w:rFonts w:ascii="Times New Roman" w:hAnsi="Times New Roman" w:eastAsia="宋体" w:cs="Times New Roman"/>
                <w:sz w:val="24"/>
              </w:rPr>
              <w:br w:type="textWrapping"/>
            </w:r>
            <w:r>
              <w:rPr>
                <w:rFonts w:ascii="Times New Roman" w:hAnsi="宋体" w:eastAsia="宋体" w:cs="Times New Roman"/>
                <w:sz w:val="24"/>
              </w:rPr>
              <w:t>系统提供接入接口，方便系统集成；</w:t>
            </w:r>
            <w:r>
              <w:rPr>
                <w:rFonts w:ascii="Times New Roman" w:hAnsi="Times New Roman" w:eastAsia="宋体" w:cs="Times New Roman"/>
                <w:sz w:val="24"/>
              </w:rPr>
              <w:br w:type="textWrapping"/>
            </w:r>
            <w:r>
              <w:rPr>
                <w:rFonts w:ascii="Times New Roman" w:hAnsi="宋体" w:eastAsia="宋体" w:cs="Times New Roman"/>
                <w:sz w:val="24"/>
              </w:rPr>
              <w:t>针对后车牌脏污、不清晰情况，可实现通过图像识别算法自动匹配该车辆头部有效车牌信息；</w:t>
            </w:r>
            <w:r>
              <w:rPr>
                <w:rFonts w:ascii="Times New Roman" w:hAnsi="Times New Roman" w:eastAsia="宋体" w:cs="Times New Roman"/>
                <w:sz w:val="24"/>
              </w:rPr>
              <w:br w:type="textWrapping"/>
            </w:r>
            <w:r>
              <w:rPr>
                <w:rFonts w:ascii="Times New Roman" w:hAnsi="宋体" w:eastAsia="宋体" w:cs="Times New Roman"/>
                <w:sz w:val="24"/>
              </w:rPr>
              <w:t>抓拍图像及视频排放黑烟肉眼清晰可见，有效率大于</w:t>
            </w:r>
            <w:r>
              <w:rPr>
                <w:rFonts w:ascii="Times New Roman" w:hAnsi="Times New Roman" w:eastAsia="宋体" w:cs="Times New Roman"/>
                <w:sz w:val="24"/>
              </w:rPr>
              <w:t>90%</w:t>
            </w:r>
            <w:r>
              <w:rPr>
                <w:rFonts w:ascii="Times New Roman" w:hAnsi="宋体" w:eastAsia="宋体" w:cs="Times New Roman"/>
                <w:sz w:val="24"/>
              </w:rPr>
              <w:t>。</w:t>
            </w:r>
          </w:p>
          <w:p>
            <w:pPr>
              <w:widowControl/>
              <w:spacing w:line="280" w:lineRule="exact"/>
              <w:jc w:val="left"/>
              <w:rPr>
                <w:rFonts w:ascii="Times New Roman" w:hAnsi="宋体" w:eastAsia="宋体" w:cs="Times New Roman"/>
                <w:sz w:val="24"/>
              </w:rPr>
            </w:pPr>
            <w:r>
              <w:rPr>
                <w:rFonts w:ascii="Times New Roman" w:hAnsi="宋体" w:eastAsia="宋体" w:cs="Times New Roman"/>
                <w:sz w:val="24"/>
              </w:rPr>
              <w:t>林格曼黑度分析判别软件（内置）</w:t>
            </w:r>
            <w:r>
              <w:rPr>
                <w:rFonts w:ascii="Times New Roman" w:hAnsi="Times New Roman" w:eastAsia="宋体" w:cs="Times New Roman"/>
                <w:sz w:val="24"/>
              </w:rPr>
              <w:br w:type="textWrapping"/>
            </w:r>
            <w:r>
              <w:rPr>
                <w:rFonts w:ascii="Times New Roman" w:hAnsi="宋体" w:eastAsia="宋体" w:cs="Times New Roman"/>
                <w:sz w:val="24"/>
              </w:rPr>
              <w:t>黑烟车抓拍仪内置林格曼黑度分析判别软件，针对智能抓拍到的排放黑烟车辆，实现自动计算黑烟林格曼黑度等级并输出。</w:t>
            </w:r>
          </w:p>
          <w:p>
            <w:pPr>
              <w:widowControl/>
              <w:spacing w:line="280" w:lineRule="exact"/>
              <w:rPr>
                <w:rFonts w:ascii="Times New Roman" w:hAnsi="宋体" w:eastAsia="宋体" w:cs="Times New Roman"/>
                <w:sz w:val="24"/>
              </w:rPr>
            </w:pPr>
            <w:r>
              <w:rPr>
                <w:rFonts w:ascii="Times New Roman" w:hAnsi="宋体" w:eastAsia="宋体" w:cs="Times New Roman"/>
                <w:sz w:val="24"/>
              </w:rPr>
              <w:t>黑烟车车牌识别软件（内置）</w:t>
            </w:r>
            <w:r>
              <w:rPr>
                <w:rFonts w:ascii="Times New Roman" w:hAnsi="Times New Roman" w:eastAsia="宋体" w:cs="Times New Roman"/>
                <w:sz w:val="24"/>
              </w:rPr>
              <w:br w:type="textWrapping"/>
            </w:r>
            <w:r>
              <w:rPr>
                <w:rFonts w:ascii="Times New Roman" w:hAnsi="宋体" w:eastAsia="宋体" w:cs="Times New Roman"/>
                <w:sz w:val="24"/>
              </w:rPr>
              <w:t>黑烟车抓拍仪内置车牌识别系统，通过控制摄像头识别出过往车辆车牌信息，联合黑烟车识别系统，将车牌信息与排放黑烟视频图片关联。</w:t>
            </w:r>
            <w:r>
              <w:rPr>
                <w:rFonts w:ascii="Times New Roman" w:hAnsi="Times New Roman" w:eastAsia="宋体" w:cs="Times New Roman"/>
                <w:sz w:val="24"/>
              </w:rPr>
              <w:br w:type="textWrapping"/>
            </w:r>
            <w:r>
              <w:rPr>
                <w:rFonts w:ascii="Times New Roman" w:hAnsi="宋体" w:eastAsia="宋体" w:cs="Times New Roman"/>
                <w:sz w:val="24"/>
              </w:rPr>
              <w:t>监控中心能自动为经过监控点的每辆车抓拍高清的彩色照片，照片应能浏览目标车辆的整体（车辆经过监控点的情况，尤其是车牌和车辆的排烟情况），亦应包含车牌、车型、时间、地点等附加内容，图片可以进行存储、拷贝、打印和用作排放黑烟车辆证据等用途。</w:t>
            </w:r>
            <w:r>
              <w:rPr>
                <w:rFonts w:ascii="Times New Roman" w:hAnsi="Times New Roman" w:eastAsia="宋体" w:cs="Times New Roman"/>
                <w:sz w:val="24"/>
              </w:rPr>
              <w:br w:type="textWrapping"/>
            </w:r>
            <w:r>
              <w:rPr>
                <w:rFonts w:hint="eastAsia" w:ascii="Times New Roman" w:hAnsi="Times New Roman" w:eastAsia="宋体" w:cs="Times New Roman"/>
                <w:sz w:val="24"/>
                <w:lang w:val="en-US" w:eastAsia="zh-CN"/>
              </w:rPr>
              <w:t xml:space="preserve">    </w:t>
            </w:r>
            <w:r>
              <w:rPr>
                <w:rFonts w:ascii="Times New Roman" w:hAnsi="宋体" w:eastAsia="宋体" w:cs="Times New Roman"/>
                <w:sz w:val="24"/>
              </w:rPr>
              <w:t>在电脑端操作控制部分的软件，图片可以叠加时间、地点、违法代码、违法行为、防伪信息、设备编号、行驶方向、林格曼黑度等级功能。</w:t>
            </w:r>
          </w:p>
          <w:p>
            <w:pPr>
              <w:widowControl/>
              <w:spacing w:line="280" w:lineRule="exact"/>
              <w:ind w:firstLine="480" w:firstLineChars="200"/>
              <w:rPr>
                <w:rFonts w:ascii="Times New Roman" w:hAnsi="宋体" w:eastAsia="宋体" w:cs="Times New Roman"/>
                <w:sz w:val="24"/>
              </w:rPr>
            </w:pPr>
            <w:r>
              <w:rPr>
                <w:rFonts w:ascii="Times New Roman" w:hAnsi="宋体" w:eastAsia="宋体" w:cs="Times New Roman"/>
                <w:sz w:val="24"/>
              </w:rPr>
              <w:t>检查生成的视频和图片完整性和大小，系统可以选择需要的文件，包括车头大图，车牌图片，车尾特写大图，车位黑烟车区域图，前后车合成图，视频；并可以选择任意搭配组合。</w:t>
            </w:r>
          </w:p>
          <w:p>
            <w:pPr>
              <w:widowControl/>
              <w:spacing w:line="280" w:lineRule="exact"/>
              <w:rPr>
                <w:rFonts w:ascii="Times New Roman" w:hAnsi="宋体" w:eastAsia="宋体" w:cs="Times New Roman"/>
                <w:sz w:val="24"/>
              </w:rPr>
            </w:pPr>
            <w:r>
              <w:rPr>
                <w:rFonts w:hint="eastAsia" w:ascii="Times New Roman" w:hAnsi="Times New Roman" w:eastAsia="宋体" w:cs="Times New Roman"/>
                <w:sz w:val="24"/>
                <w:lang w:val="en-US" w:eastAsia="zh-CN"/>
              </w:rPr>
              <w:t xml:space="preserve">  </w:t>
            </w:r>
            <w:r>
              <w:rPr>
                <w:rFonts w:ascii="Times New Roman" w:hAnsi="宋体" w:eastAsia="宋体" w:cs="Times New Roman"/>
                <w:sz w:val="24"/>
              </w:rPr>
              <w:t>可以选择是所有过车保存数据还是只保存黑烟车数据。</w:t>
            </w:r>
          </w:p>
          <w:p>
            <w:pPr>
              <w:widowControl/>
              <w:spacing w:line="280" w:lineRule="exact"/>
              <w:rPr>
                <w:rFonts w:ascii="Times New Roman" w:hAnsi="宋体" w:eastAsia="宋体" w:cs="Times New Roman"/>
                <w:sz w:val="24"/>
              </w:rPr>
            </w:pPr>
            <w:r>
              <w:rPr>
                <w:rFonts w:hint="eastAsia" w:ascii="Times New Roman" w:hAnsi="Times New Roman" w:eastAsia="宋体" w:cs="Times New Roman"/>
                <w:sz w:val="24"/>
                <w:lang w:val="en-US" w:eastAsia="zh-CN"/>
              </w:rPr>
              <w:t xml:space="preserve">  </w:t>
            </w:r>
            <w:r>
              <w:rPr>
                <w:rFonts w:ascii="Times New Roman" w:hAnsi="宋体" w:eastAsia="宋体" w:cs="Times New Roman"/>
                <w:sz w:val="24"/>
              </w:rPr>
              <w:t>智能识别设备与北京时间同步，</w:t>
            </w:r>
            <w:r>
              <w:rPr>
                <w:rFonts w:ascii="Times New Roman" w:hAnsi="Times New Roman" w:eastAsia="宋体" w:cs="Times New Roman"/>
                <w:sz w:val="24"/>
              </w:rPr>
              <w:t>24</w:t>
            </w:r>
            <w:r>
              <w:rPr>
                <w:rFonts w:ascii="Times New Roman" w:hAnsi="宋体" w:eastAsia="宋体" w:cs="Times New Roman"/>
                <w:sz w:val="24"/>
              </w:rPr>
              <w:t>小时误差小于</w:t>
            </w:r>
            <w:r>
              <w:rPr>
                <w:rFonts w:ascii="Times New Roman" w:hAnsi="Times New Roman" w:eastAsia="宋体" w:cs="Times New Roman"/>
                <w:sz w:val="24"/>
              </w:rPr>
              <w:t>0.3</w:t>
            </w:r>
            <w:r>
              <w:rPr>
                <w:rFonts w:ascii="Times New Roman" w:hAnsi="宋体" w:eastAsia="宋体" w:cs="Times New Roman"/>
                <w:sz w:val="24"/>
              </w:rPr>
              <w:t>秒，并在取证时与北京时间误差小于</w:t>
            </w:r>
            <w:r>
              <w:rPr>
                <w:rFonts w:ascii="Times New Roman" w:hAnsi="Times New Roman" w:eastAsia="宋体" w:cs="Times New Roman"/>
                <w:sz w:val="24"/>
              </w:rPr>
              <w:t>0.5</w:t>
            </w:r>
            <w:r>
              <w:rPr>
                <w:rFonts w:ascii="Times New Roman" w:hAnsi="宋体" w:eastAsia="宋体" w:cs="Times New Roman"/>
                <w:sz w:val="24"/>
              </w:rPr>
              <w:t>秒。</w:t>
            </w:r>
          </w:p>
          <w:p>
            <w:pPr>
              <w:widowControl/>
              <w:spacing w:line="280" w:lineRule="exact"/>
              <w:rPr>
                <w:rFonts w:ascii="Times New Roman" w:hAnsi="宋体" w:eastAsia="宋体" w:cs="Times New Roman"/>
                <w:sz w:val="24"/>
              </w:rPr>
            </w:pPr>
            <w:r>
              <w:rPr>
                <w:rFonts w:hint="eastAsia" w:ascii="Times New Roman" w:hAnsi="Times New Roman" w:eastAsia="宋体" w:cs="Times New Roman"/>
                <w:sz w:val="24"/>
                <w:lang w:val="en-US" w:eastAsia="zh-CN"/>
              </w:rPr>
              <w:t xml:space="preserve">  </w:t>
            </w:r>
            <w:r>
              <w:rPr>
                <w:rFonts w:ascii="Times New Roman" w:hAnsi="宋体" w:eastAsia="宋体" w:cs="Times New Roman"/>
                <w:sz w:val="24"/>
              </w:rPr>
              <w:t>黑烟车证据信息可实时采集抓拍、实时分析识别。从黑烟车从监测点经过时刻起，黑烟车图片生成低于</w:t>
            </w:r>
            <w:r>
              <w:rPr>
                <w:rFonts w:ascii="Times New Roman" w:hAnsi="Times New Roman" w:eastAsia="宋体" w:cs="Times New Roman"/>
                <w:sz w:val="24"/>
              </w:rPr>
              <w:t>0.1</w:t>
            </w:r>
            <w:r>
              <w:rPr>
                <w:rFonts w:ascii="Times New Roman" w:hAnsi="宋体" w:eastAsia="宋体" w:cs="Times New Roman"/>
                <w:sz w:val="24"/>
              </w:rPr>
              <w:t>秒，黑烟车视频和图片数据生成时间低于</w:t>
            </w:r>
            <w:r>
              <w:rPr>
                <w:rFonts w:ascii="Times New Roman" w:hAnsi="Times New Roman" w:eastAsia="宋体" w:cs="Times New Roman"/>
                <w:sz w:val="24"/>
              </w:rPr>
              <w:t>5</w:t>
            </w:r>
            <w:r>
              <w:rPr>
                <w:rFonts w:ascii="Times New Roman" w:hAnsi="宋体" w:eastAsia="宋体" w:cs="Times New Roman"/>
                <w:sz w:val="24"/>
              </w:rPr>
              <w:t>秒，确认黑烟车视频为黑烟车进入视野时到抓拍到冒烟的整个过程录像。</w:t>
            </w:r>
          </w:p>
          <w:p>
            <w:pPr>
              <w:widowControl/>
              <w:spacing w:line="280" w:lineRule="exact"/>
              <w:ind w:firstLine="240" w:firstLineChars="100"/>
              <w:rPr>
                <w:rFonts w:ascii="Times New Roman" w:hAnsi="Times New Roman" w:eastAsia="宋体" w:cs="Times New Roman"/>
                <w:sz w:val="24"/>
              </w:rPr>
            </w:pPr>
            <w:r>
              <w:rPr>
                <w:rFonts w:ascii="Times New Roman" w:hAnsi="宋体" w:eastAsia="宋体" w:cs="Times New Roman"/>
                <w:sz w:val="24"/>
              </w:rPr>
              <w:t>黑烟车辆车牌因黑烟遮挡、污损等原因而无法识别，仍然可以通过算法匹配分析对车头驾驶人和车牌进行识别，并与车位图片叠加合成提供黑烟车辆的准确信息。</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280" w:lineRule="exact"/>
              <w:jc w:val="center"/>
              <w:rPr>
                <w:rFonts w:hint="eastAsia" w:ascii="Times New Roman" w:hAnsi="宋体" w:eastAsia="宋体" w:cs="Times New Roman"/>
                <w:sz w:val="24"/>
              </w:rPr>
            </w:pPr>
            <w:r>
              <w:rPr>
                <w:rFonts w:hint="eastAsia" w:ascii="Times New Roman" w:hAnsi="宋体" w:eastAsia="宋体" w:cs="Times New Roman"/>
                <w:sz w:val="24"/>
              </w:rPr>
              <w:t>3</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280" w:lineRule="exact"/>
              <w:jc w:val="center"/>
              <w:rPr>
                <w:rFonts w:hint="eastAsia" w:ascii="Times New Roman" w:hAnsi="宋体" w:eastAsia="宋体" w:cs="Times New Roman"/>
                <w:sz w:val="24"/>
              </w:rPr>
            </w:pPr>
            <w:r>
              <w:rPr>
                <w:rFonts w:hint="eastAsia" w:ascii="Times New Roman" w:hAnsi="宋体" w:eastAsia="宋体" w:cs="Times New Roman"/>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hint="eastAsia" w:ascii="Times New Roman" w:hAnsi="Times New Roman" w:eastAsia="宋体" w:cs="Times New Roman"/>
                <w:b/>
                <w:bCs/>
                <w:sz w:val="24"/>
              </w:rPr>
            </w:pPr>
            <w:r>
              <w:rPr>
                <w:rFonts w:hint="eastAsia" w:ascii="Times New Roman" w:hAnsi="Times New Roman" w:eastAsia="宋体" w:cs="Times New Roman"/>
                <w:b/>
                <w:bCs/>
                <w:sz w:val="24"/>
              </w:rPr>
              <w:t>17</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280" w:lineRule="exact"/>
              <w:rPr>
                <w:rFonts w:ascii="Times New Roman" w:hAnsi="Times New Roman" w:eastAsia="宋体" w:cs="Times New Roman"/>
                <w:b/>
                <w:bCs/>
                <w:sz w:val="24"/>
              </w:rPr>
            </w:pPr>
            <w:r>
              <w:rPr>
                <w:rFonts w:ascii="Times New Roman" w:hAnsi="宋体" w:eastAsia="宋体" w:cs="Times New Roman"/>
                <w:b/>
                <w:sz w:val="24"/>
              </w:rPr>
              <w:t>环境参数修正系统</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top"/>
          </w:tcPr>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1</w:t>
            </w:r>
            <w:r>
              <w:rPr>
                <w:rFonts w:ascii="Times New Roman" w:hAnsi="宋体" w:eastAsia="宋体" w:cs="Times New Roman"/>
                <w:sz w:val="24"/>
              </w:rPr>
              <w:t>、现场采集光照度、温湿度、降雨情况、风速和道路黑烟车智能识别算法对接，根据实时环境参数，调整自动抓拍算法，合理有效的生成实际数据，并根据天气因素自动控制黑烟车智能抓拍系统运行。</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2</w:t>
            </w:r>
            <w:r>
              <w:rPr>
                <w:rFonts w:hint="eastAsia" w:ascii="Times New Roman" w:hAnsi="Times New Roman" w:eastAsia="宋体" w:cs="Times New Roman"/>
                <w:sz w:val="24"/>
                <w:lang w:eastAsia="zh-CN"/>
              </w:rPr>
              <w:t>、</w:t>
            </w:r>
            <w:r>
              <w:rPr>
                <w:rFonts w:ascii="Times New Roman" w:hAnsi="宋体" w:eastAsia="宋体" w:cs="Times New Roman"/>
                <w:sz w:val="24"/>
              </w:rPr>
              <w:t>检查系统控制模块功能，确认手动检测功能完整性良好，可以根据温湿度，光照度，雨量，风速，风向，大气压不同天气情况，设置系统工作状态。</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280" w:lineRule="exact"/>
              <w:jc w:val="center"/>
              <w:rPr>
                <w:rFonts w:hint="eastAsia" w:ascii="Times New Roman" w:hAnsi="Times New Roman" w:eastAsia="宋体" w:cs="Times New Roman"/>
                <w:sz w:val="24"/>
              </w:rPr>
            </w:pPr>
            <w:r>
              <w:rPr>
                <w:rFonts w:hint="eastAsia" w:ascii="Times New Roman" w:hAnsi="Times New Roman" w:eastAsia="宋体" w:cs="Times New Roman"/>
                <w:sz w:val="24"/>
              </w:rPr>
              <w:t>3</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280" w:lineRule="exact"/>
              <w:jc w:val="center"/>
              <w:rPr>
                <w:rFonts w:ascii="Times New Roman" w:hAnsi="Times New Roman" w:eastAsia="宋体" w:cs="Times New Roman"/>
                <w:sz w:val="24"/>
              </w:rPr>
            </w:pPr>
            <w:r>
              <w:rPr>
                <w:rFonts w:hint="eastAsia" w:ascii="Times New Roman" w:hAnsi="Times New Roman" w:eastAsia="宋体" w:cs="Times New Roman"/>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hint="eastAsia" w:ascii="Times New Roman" w:hAnsi="Times New Roman" w:eastAsia="宋体" w:cs="Times New Roman"/>
                <w:b/>
                <w:bCs/>
                <w:sz w:val="24"/>
              </w:rPr>
            </w:pPr>
            <w:r>
              <w:rPr>
                <w:rFonts w:hint="eastAsia" w:ascii="Times New Roman" w:hAnsi="Times New Roman" w:eastAsia="宋体" w:cs="Times New Roman"/>
                <w:b/>
                <w:bCs/>
                <w:sz w:val="24"/>
              </w:rPr>
              <w:t>18</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宋体" w:eastAsia="宋体" w:cs="Times New Roman"/>
                <w:b/>
                <w:sz w:val="24"/>
              </w:rPr>
              <w:t>视频摄像机</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280" w:lineRule="exact"/>
              <w:rPr>
                <w:rFonts w:ascii="Times New Roman" w:hAnsi="Times New Roman" w:eastAsia="宋体" w:cs="Times New Roman"/>
                <w:sz w:val="24"/>
              </w:rPr>
            </w:pPr>
            <w:r>
              <w:rPr>
                <w:rFonts w:ascii="Times New Roman" w:hAnsi="宋体" w:eastAsia="宋体" w:cs="Times New Roman"/>
                <w:sz w:val="24"/>
              </w:rPr>
              <w:t>采用</w:t>
            </w:r>
            <w:r>
              <w:rPr>
                <w:rFonts w:ascii="Times New Roman" w:hAnsi="Times New Roman" w:eastAsia="宋体" w:cs="Times New Roman"/>
                <w:sz w:val="24"/>
              </w:rPr>
              <w:t>1</w:t>
            </w:r>
            <w:r>
              <w:rPr>
                <w:rFonts w:ascii="Times New Roman" w:hAnsi="宋体" w:eastAsia="宋体" w:cs="Times New Roman"/>
                <w:sz w:val="24"/>
              </w:rPr>
              <w:t>英寸</w:t>
            </w:r>
            <w:r>
              <w:rPr>
                <w:rFonts w:ascii="Times New Roman" w:hAnsi="Times New Roman" w:eastAsia="宋体" w:cs="Times New Roman"/>
                <w:sz w:val="24"/>
              </w:rPr>
              <w:t>900W</w:t>
            </w:r>
            <w:r>
              <w:rPr>
                <w:rFonts w:ascii="Times New Roman" w:hAnsi="宋体" w:eastAsia="宋体" w:cs="Times New Roman"/>
                <w:sz w:val="24"/>
              </w:rPr>
              <w:t>像素彩色全局曝光</w:t>
            </w:r>
            <w:r>
              <w:rPr>
                <w:rFonts w:ascii="Times New Roman" w:hAnsi="Times New Roman" w:eastAsia="宋体" w:cs="Times New Roman"/>
                <w:sz w:val="24"/>
              </w:rPr>
              <w:t xml:space="preserve"> GMOS </w:t>
            </w:r>
            <w:r>
              <w:rPr>
                <w:rFonts w:ascii="Times New Roman" w:hAnsi="宋体" w:eastAsia="宋体" w:cs="Times New Roman"/>
                <w:sz w:val="24"/>
              </w:rPr>
              <w:t>高清智能摄像机：</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1</w:t>
            </w:r>
            <w:r>
              <w:rPr>
                <w:rFonts w:ascii="Times New Roman" w:hAnsi="宋体" w:eastAsia="宋体" w:cs="Times New Roman"/>
                <w:sz w:val="24"/>
              </w:rPr>
              <w:t>）最大分辨率可达</w:t>
            </w:r>
            <w:r>
              <w:rPr>
                <w:rFonts w:ascii="Times New Roman" w:hAnsi="Times New Roman" w:eastAsia="宋体" w:cs="Times New Roman"/>
                <w:sz w:val="24"/>
              </w:rPr>
              <w:t xml:space="preserve"> 4096×2160</w:t>
            </w:r>
            <w:r>
              <w:rPr>
                <w:rFonts w:ascii="Times New Roman" w:hAnsi="宋体" w:eastAsia="宋体" w:cs="Times New Roman"/>
                <w:sz w:val="24"/>
              </w:rPr>
              <w:t>，帧率高达</w:t>
            </w:r>
            <w:r>
              <w:rPr>
                <w:rFonts w:ascii="Times New Roman" w:hAnsi="Times New Roman" w:eastAsia="宋体" w:cs="Times New Roman"/>
                <w:sz w:val="24"/>
              </w:rPr>
              <w:t xml:space="preserve"> 25 </w:t>
            </w:r>
            <w:r>
              <w:rPr>
                <w:rFonts w:ascii="Times New Roman" w:hAnsi="宋体" w:eastAsia="宋体" w:cs="Times New Roman"/>
                <w:sz w:val="24"/>
              </w:rPr>
              <w:t>帧。</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2</w:t>
            </w:r>
            <w:r>
              <w:rPr>
                <w:rFonts w:ascii="Times New Roman" w:hAnsi="宋体" w:eastAsia="宋体" w:cs="Times New Roman"/>
                <w:sz w:val="24"/>
              </w:rPr>
              <w:t>）样机抓拍</w:t>
            </w:r>
            <w:r>
              <w:rPr>
                <w:rFonts w:ascii="Times New Roman" w:hAnsi="Times New Roman" w:eastAsia="宋体" w:cs="Times New Roman"/>
                <w:sz w:val="24"/>
              </w:rPr>
              <w:t>JPEG</w:t>
            </w:r>
            <w:r>
              <w:rPr>
                <w:rFonts w:ascii="Times New Roman" w:hAnsi="宋体" w:eastAsia="宋体" w:cs="Times New Roman"/>
                <w:sz w:val="24"/>
              </w:rPr>
              <w:t>格式的图片。</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3</w:t>
            </w:r>
            <w:r>
              <w:rPr>
                <w:rFonts w:ascii="Times New Roman" w:hAnsi="宋体" w:eastAsia="宋体" w:cs="Times New Roman"/>
                <w:sz w:val="24"/>
              </w:rPr>
              <w:t>）支持机动车辆抓拍，支持车牌、车型、车身颜色、车辆主品牌及车辆子品牌、挂坠、安全带、遮阳板等信息识别。</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4</w:t>
            </w:r>
            <w:r>
              <w:rPr>
                <w:rFonts w:ascii="Times New Roman" w:hAnsi="宋体" w:eastAsia="宋体" w:cs="Times New Roman"/>
                <w:sz w:val="24"/>
              </w:rPr>
              <w:t>）支持线圈、视频等触发模式</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5</w:t>
            </w:r>
            <w:r>
              <w:rPr>
                <w:rFonts w:ascii="Times New Roman" w:hAnsi="宋体" w:eastAsia="宋体" w:cs="Times New Roman"/>
                <w:sz w:val="24"/>
              </w:rPr>
              <w:t>）支持</w:t>
            </w:r>
            <w:r>
              <w:rPr>
                <w:rFonts w:ascii="Times New Roman" w:hAnsi="Times New Roman" w:eastAsia="宋体" w:cs="Times New Roman"/>
                <w:sz w:val="24"/>
              </w:rPr>
              <w:t>9</w:t>
            </w:r>
            <w:r>
              <w:rPr>
                <w:rFonts w:ascii="Times New Roman" w:hAnsi="宋体" w:eastAsia="宋体" w:cs="Times New Roman"/>
                <w:sz w:val="24"/>
              </w:rPr>
              <w:t>种常见颜色（白、灰、黄、红、紫、绿、蓝、棕、黑）识别。</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6</w:t>
            </w:r>
            <w:r>
              <w:rPr>
                <w:rFonts w:ascii="Times New Roman" w:hAnsi="宋体" w:eastAsia="宋体" w:cs="Times New Roman"/>
                <w:sz w:val="24"/>
              </w:rPr>
              <w:t>）支持车辆检测处理器、雷达、补光灯的接入。</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7</w:t>
            </w:r>
            <w:r>
              <w:rPr>
                <w:rFonts w:ascii="Times New Roman" w:hAnsi="宋体" w:eastAsia="宋体" w:cs="Times New Roman"/>
                <w:sz w:val="24"/>
              </w:rPr>
              <w:t>）支持远程数据上传，可将抓拍的图片上传给终端服务器、</w:t>
            </w:r>
            <w:r>
              <w:rPr>
                <w:rFonts w:ascii="Times New Roman" w:hAnsi="Times New Roman" w:eastAsia="宋体" w:cs="Times New Roman"/>
                <w:sz w:val="24"/>
              </w:rPr>
              <w:t>FTP</w:t>
            </w:r>
            <w:r>
              <w:rPr>
                <w:rFonts w:ascii="Times New Roman" w:hAnsi="宋体" w:eastAsia="宋体" w:cs="Times New Roman"/>
                <w:sz w:val="24"/>
              </w:rPr>
              <w:t>服务器或者后端平台等</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8</w:t>
            </w:r>
            <w:r>
              <w:rPr>
                <w:rFonts w:ascii="Times New Roman" w:hAnsi="宋体" w:eastAsia="宋体" w:cs="Times New Roman"/>
                <w:sz w:val="24"/>
              </w:rPr>
              <w:t>）支持</w:t>
            </w:r>
            <w:r>
              <w:rPr>
                <w:rFonts w:ascii="Times New Roman" w:hAnsi="Times New Roman" w:eastAsia="宋体" w:cs="Times New Roman"/>
                <w:sz w:val="24"/>
              </w:rPr>
              <w:t xml:space="preserve"> LED </w:t>
            </w:r>
            <w:r>
              <w:rPr>
                <w:rFonts w:ascii="Times New Roman" w:hAnsi="宋体" w:eastAsia="宋体" w:cs="Times New Roman"/>
                <w:sz w:val="24"/>
              </w:rPr>
              <w:t>频闪灯同步补光，防护罩内置</w:t>
            </w:r>
            <w:r>
              <w:rPr>
                <w:rFonts w:ascii="Times New Roman" w:hAnsi="Times New Roman" w:eastAsia="宋体" w:cs="Times New Roman"/>
                <w:sz w:val="24"/>
              </w:rPr>
              <w:t xml:space="preserve"> LED </w:t>
            </w:r>
            <w:r>
              <w:rPr>
                <w:rFonts w:ascii="Times New Roman" w:hAnsi="宋体" w:eastAsia="宋体" w:cs="Times New Roman"/>
                <w:sz w:val="24"/>
              </w:rPr>
              <w:t>车牌补光灯，摄像机内置网络防雷；</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9</w:t>
            </w:r>
            <w:r>
              <w:rPr>
                <w:rFonts w:ascii="Times New Roman" w:hAnsi="宋体" w:eastAsia="宋体" w:cs="Times New Roman"/>
                <w:sz w:val="24"/>
              </w:rPr>
              <w:t>）可以识别</w:t>
            </w:r>
            <w:r>
              <w:rPr>
                <w:rFonts w:ascii="Times New Roman" w:hAnsi="Times New Roman" w:eastAsia="宋体" w:cs="Times New Roman"/>
                <w:sz w:val="24"/>
              </w:rPr>
              <w:t>8</w:t>
            </w:r>
            <w:r>
              <w:rPr>
                <w:rFonts w:ascii="Times New Roman" w:hAnsi="宋体" w:eastAsia="宋体" w:cs="Times New Roman"/>
                <w:sz w:val="24"/>
              </w:rPr>
              <w:t>种车型：大客车、小客车、大货车、小货车、面包车、皮卡、小轿车及</w:t>
            </w:r>
            <w:r>
              <w:rPr>
                <w:rFonts w:ascii="Times New Roman" w:hAnsi="Times New Roman" w:eastAsia="宋体" w:cs="Times New Roman"/>
                <w:sz w:val="24"/>
              </w:rPr>
              <w:t>SUV</w:t>
            </w:r>
            <w:r>
              <w:rPr>
                <w:rFonts w:ascii="Times New Roman" w:hAnsi="宋体" w:eastAsia="宋体" w:cs="Times New Roman"/>
                <w:sz w:val="24"/>
              </w:rPr>
              <w:t>。</w:t>
            </w:r>
          </w:p>
          <w:p>
            <w:pPr>
              <w:widowControl/>
              <w:spacing w:line="280" w:lineRule="exact"/>
              <w:rPr>
                <w:rFonts w:ascii="Times New Roman" w:hAnsi="Times New Roman" w:eastAsia="宋体" w:cs="Times New Roman"/>
                <w:sz w:val="24"/>
              </w:rPr>
            </w:pPr>
            <w:r>
              <w:rPr>
                <w:rFonts w:ascii="Times New Roman" w:hAnsi="Times New Roman" w:eastAsia="宋体" w:cs="Times New Roman"/>
                <w:sz w:val="24"/>
              </w:rPr>
              <w:t>10</w:t>
            </w:r>
            <w:r>
              <w:rPr>
                <w:rFonts w:ascii="Times New Roman" w:hAnsi="宋体" w:eastAsia="宋体" w:cs="Times New Roman"/>
                <w:sz w:val="24"/>
              </w:rPr>
              <w:t>）支持线圈、视频等触发模式。</w:t>
            </w:r>
          </w:p>
          <w:p>
            <w:pPr>
              <w:spacing w:line="280" w:lineRule="exact"/>
              <w:rPr>
                <w:rFonts w:ascii="Times New Roman" w:hAnsi="Times New Roman" w:eastAsia="宋体" w:cs="Times New Roman"/>
                <w:sz w:val="24"/>
              </w:rPr>
            </w:pPr>
            <w:r>
              <w:rPr>
                <w:rFonts w:ascii="Times New Roman" w:hAnsi="Times New Roman" w:eastAsia="宋体" w:cs="Times New Roman"/>
                <w:sz w:val="24"/>
              </w:rPr>
              <w:t>11</w:t>
            </w:r>
            <w:r>
              <w:rPr>
                <w:rFonts w:ascii="Times New Roman" w:hAnsi="宋体" w:eastAsia="宋体" w:cs="Times New Roman"/>
                <w:sz w:val="24"/>
              </w:rPr>
              <w:t>）防护等级：</w:t>
            </w:r>
            <w:r>
              <w:rPr>
                <w:rFonts w:ascii="Times New Roman" w:hAnsi="Times New Roman" w:eastAsia="宋体" w:cs="Times New Roman"/>
                <w:sz w:val="24"/>
              </w:rPr>
              <w:t>IP65</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Times New Roman" w:eastAsia="宋体" w:cs="Times New Roman"/>
                <w:sz w:val="24"/>
              </w:rPr>
            </w:pPr>
            <w:r>
              <w:rPr>
                <w:rFonts w:hint="eastAsia" w:ascii="Times New Roman" w:hAnsi="Times New Roman" w:eastAsia="宋体" w:cs="Times New Roman"/>
                <w:sz w:val="24"/>
              </w:rPr>
              <w:t>3</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Times New Roman" w:eastAsia="宋体" w:cs="Times New Roman"/>
                <w:sz w:val="24"/>
              </w:rPr>
            </w:pPr>
            <w:r>
              <w:rPr>
                <w:rFonts w:hint="eastAsia" w:ascii="Times New Roman" w:hAnsi="Times New Roman" w:eastAsia="宋体" w:cs="Times New Roman"/>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hint="eastAsia" w:ascii="Times New Roman" w:hAnsi="Times New Roman" w:eastAsia="宋体" w:cs="Times New Roman"/>
                <w:b/>
                <w:bCs/>
                <w:sz w:val="24"/>
              </w:rPr>
            </w:pPr>
            <w:r>
              <w:rPr>
                <w:rFonts w:ascii="Times New Roman" w:hAnsi="Times New Roman" w:eastAsia="宋体" w:cs="Times New Roman"/>
                <w:b/>
                <w:bCs/>
                <w:sz w:val="24"/>
              </w:rPr>
              <w:t>1</w:t>
            </w:r>
            <w:r>
              <w:rPr>
                <w:rFonts w:hint="eastAsia" w:ascii="Times New Roman" w:hAnsi="Times New Roman" w:eastAsia="宋体" w:cs="Times New Roman"/>
                <w:b/>
                <w:bCs/>
                <w:sz w:val="24"/>
              </w:rPr>
              <w:t>9</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jc w:val="center"/>
              <w:rPr>
                <w:rFonts w:hint="eastAsia" w:ascii="Times New Roman" w:hAnsi="Times New Roman" w:eastAsia="宋体" w:cs="Times New Roman"/>
              </w:rPr>
            </w:pPr>
            <w:r>
              <w:rPr>
                <w:rFonts w:ascii="Times New Roman" w:hAnsi="宋体" w:eastAsia="宋体" w:cs="Times New Roman"/>
                <w:b/>
                <w:sz w:val="24"/>
              </w:rPr>
              <w:t>补光灯</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60" w:lineRule="exact"/>
              <w:rPr>
                <w:rFonts w:ascii="宋体" w:hAnsi="宋体" w:eastAsia="宋体" w:cs="Times New Roman"/>
                <w:sz w:val="24"/>
              </w:rPr>
            </w:pPr>
            <w:r>
              <w:rPr>
                <w:rFonts w:hint="eastAsia" w:ascii="宋体" w:hAnsi="宋体" w:eastAsia="宋体" w:cs="Times New Roman"/>
                <w:sz w:val="24"/>
              </w:rPr>
              <w:t>车头补光灯（频闪）</w:t>
            </w:r>
          </w:p>
          <w:p>
            <w:pPr>
              <w:spacing w:line="260" w:lineRule="exact"/>
              <w:rPr>
                <w:rFonts w:hint="eastAsia" w:ascii="宋体" w:hAnsi="宋体" w:eastAsia="宋体" w:cs="Times New Roman"/>
                <w:sz w:val="24"/>
              </w:rPr>
            </w:pPr>
            <w:r>
              <w:rPr>
                <w:rFonts w:hint="eastAsia" w:ascii="宋体" w:hAnsi="宋体" w:eastAsia="宋体" w:cs="Times New Roman"/>
                <w:sz w:val="24"/>
              </w:rPr>
              <w:t>1）车牌识别补光灯珠数量 16 颗。</w:t>
            </w:r>
          </w:p>
          <w:p>
            <w:pPr>
              <w:spacing w:line="260" w:lineRule="exact"/>
              <w:rPr>
                <w:rFonts w:hint="eastAsia" w:ascii="宋体" w:hAnsi="宋体" w:eastAsia="宋体" w:cs="Times New Roman"/>
                <w:sz w:val="24"/>
              </w:rPr>
            </w:pPr>
            <w:r>
              <w:rPr>
                <w:rFonts w:hint="eastAsia" w:ascii="宋体" w:hAnsi="宋体" w:eastAsia="宋体" w:cs="Times New Roman"/>
                <w:sz w:val="24"/>
              </w:rPr>
              <w:t>2）色温 5000K~7000K。</w:t>
            </w:r>
          </w:p>
          <w:p>
            <w:pPr>
              <w:spacing w:line="260" w:lineRule="exact"/>
              <w:rPr>
                <w:rFonts w:hint="eastAsia" w:ascii="宋体" w:hAnsi="宋体" w:eastAsia="宋体" w:cs="Times New Roman"/>
                <w:sz w:val="24"/>
              </w:rPr>
            </w:pPr>
            <w:r>
              <w:rPr>
                <w:rFonts w:hint="eastAsia" w:ascii="宋体" w:hAnsi="宋体" w:eastAsia="宋体" w:cs="Times New Roman"/>
                <w:sz w:val="24"/>
              </w:rPr>
              <w:t>3）发光角度 10°-40°。</w:t>
            </w:r>
          </w:p>
          <w:p>
            <w:pPr>
              <w:spacing w:line="260" w:lineRule="exact"/>
              <w:rPr>
                <w:rFonts w:hint="eastAsia" w:ascii="宋体" w:hAnsi="宋体" w:eastAsia="宋体" w:cs="Times New Roman"/>
                <w:sz w:val="24"/>
              </w:rPr>
            </w:pPr>
            <w:r>
              <w:rPr>
                <w:rFonts w:hint="eastAsia" w:ascii="宋体" w:hAnsi="宋体" w:eastAsia="宋体" w:cs="Times New Roman"/>
                <w:sz w:val="24"/>
              </w:rPr>
              <w:t>4）工作环境 工作温度-40℃～+70℃ 工作湿度 10%～90%。</w:t>
            </w:r>
          </w:p>
          <w:p>
            <w:pPr>
              <w:spacing w:line="260" w:lineRule="exact"/>
              <w:rPr>
                <w:rFonts w:hint="eastAsia" w:ascii="宋体" w:hAnsi="宋体" w:eastAsia="宋体" w:cs="Times New Roman"/>
                <w:sz w:val="24"/>
              </w:rPr>
            </w:pPr>
            <w:r>
              <w:rPr>
                <w:rFonts w:hint="eastAsia" w:ascii="宋体" w:hAnsi="宋体" w:eastAsia="宋体" w:cs="Times New Roman"/>
                <w:sz w:val="24"/>
              </w:rPr>
              <w:t>5）防护等级 IP66。</w:t>
            </w:r>
          </w:p>
          <w:p>
            <w:pPr>
              <w:spacing w:line="260" w:lineRule="exact"/>
              <w:rPr>
                <w:rFonts w:hint="eastAsia" w:ascii="宋体" w:hAnsi="宋体" w:eastAsia="宋体" w:cs="Times New Roman"/>
                <w:sz w:val="24"/>
              </w:rPr>
            </w:pPr>
            <w:r>
              <w:rPr>
                <w:rFonts w:hint="eastAsia" w:ascii="宋体" w:hAnsi="宋体" w:eastAsia="宋体" w:cs="Times New Roman"/>
                <w:sz w:val="24"/>
              </w:rPr>
              <w:t>6）采用先进的恒流驱动技术，电流控制准确、稳定，产品稳定性好、可靠性高，可有效减少光衰。</w:t>
            </w:r>
          </w:p>
          <w:p>
            <w:pPr>
              <w:spacing w:line="260" w:lineRule="exact"/>
              <w:rPr>
                <w:rFonts w:hint="eastAsia" w:ascii="宋体" w:hAnsi="宋体" w:eastAsia="宋体" w:cs="Times New Roman"/>
                <w:sz w:val="24"/>
              </w:rPr>
            </w:pPr>
            <w:r>
              <w:rPr>
                <w:rFonts w:hint="eastAsia" w:ascii="宋体" w:hAnsi="宋体" w:eastAsia="宋体" w:cs="Times New Roman"/>
                <w:sz w:val="24"/>
              </w:rPr>
              <w:t>7）支持相机误触发保护功能，触发信号输入异常时自动保护、并自动恢复经与业。</w:t>
            </w:r>
          </w:p>
          <w:p>
            <w:pPr>
              <w:spacing w:line="260" w:lineRule="exact"/>
              <w:rPr>
                <w:rFonts w:hint="eastAsia" w:ascii="宋体" w:hAnsi="宋体" w:eastAsia="宋体" w:cs="Times New Roman"/>
                <w:sz w:val="24"/>
              </w:rPr>
            </w:pPr>
            <w:r>
              <w:rPr>
                <w:rFonts w:hint="eastAsia" w:ascii="宋体" w:hAnsi="宋体" w:eastAsia="宋体" w:cs="Times New Roman"/>
                <w:sz w:val="24"/>
              </w:rPr>
              <w:t>8）光学设计，发光均匀，目标光斑显明，有效减少光污染</w:t>
            </w:r>
          </w:p>
          <w:p>
            <w:pPr>
              <w:spacing w:line="260" w:lineRule="exact"/>
              <w:rPr>
                <w:rFonts w:hint="eastAsia" w:ascii="宋体" w:hAnsi="宋体" w:eastAsia="宋体" w:cs="Times New Roman"/>
                <w:sz w:val="24"/>
              </w:rPr>
            </w:pPr>
            <w:r>
              <w:rPr>
                <w:rFonts w:hint="eastAsia" w:ascii="宋体" w:hAnsi="宋体" w:eastAsia="宋体" w:cs="Times New Roman"/>
                <w:sz w:val="24"/>
              </w:rPr>
              <w:t>车尾补光灯（常亮）</w:t>
            </w:r>
          </w:p>
          <w:p>
            <w:pPr>
              <w:spacing w:line="260" w:lineRule="exact"/>
              <w:rPr>
                <w:rFonts w:hint="eastAsia" w:ascii="宋体" w:hAnsi="宋体" w:eastAsia="宋体" w:cs="Times New Roman"/>
                <w:sz w:val="24"/>
              </w:rPr>
            </w:pPr>
            <w:r>
              <w:rPr>
                <w:rFonts w:hint="eastAsia" w:ascii="宋体" w:hAnsi="宋体" w:eastAsia="宋体" w:cs="Times New Roman"/>
                <w:sz w:val="24"/>
              </w:rPr>
              <w:t>1）灯珠数量 48 颗。</w:t>
            </w:r>
          </w:p>
          <w:p>
            <w:pPr>
              <w:spacing w:line="260" w:lineRule="exact"/>
              <w:rPr>
                <w:rFonts w:hint="eastAsia" w:ascii="宋体" w:hAnsi="宋体" w:eastAsia="宋体" w:cs="Times New Roman"/>
                <w:sz w:val="24"/>
              </w:rPr>
            </w:pPr>
            <w:r>
              <w:rPr>
                <w:rFonts w:hint="eastAsia" w:ascii="宋体" w:hAnsi="宋体" w:eastAsia="宋体" w:cs="Times New Roman"/>
                <w:sz w:val="24"/>
              </w:rPr>
              <w:t>2）可视距离1m-200m。</w:t>
            </w:r>
          </w:p>
          <w:p>
            <w:pPr>
              <w:spacing w:line="260" w:lineRule="exact"/>
              <w:rPr>
                <w:rFonts w:hint="eastAsia" w:ascii="宋体" w:hAnsi="宋体" w:eastAsia="宋体" w:cs="Times New Roman"/>
                <w:sz w:val="24"/>
              </w:rPr>
            </w:pPr>
            <w:r>
              <w:rPr>
                <w:rFonts w:hint="eastAsia" w:ascii="宋体" w:hAnsi="宋体" w:eastAsia="宋体" w:cs="Times New Roman"/>
                <w:sz w:val="24"/>
              </w:rPr>
              <w:t>3）工作方式 光控。</w:t>
            </w:r>
          </w:p>
          <w:p>
            <w:pPr>
              <w:spacing w:line="260" w:lineRule="exact"/>
              <w:rPr>
                <w:rFonts w:hint="eastAsia" w:ascii="宋体" w:hAnsi="宋体" w:eastAsia="宋体" w:cs="Times New Roman"/>
                <w:sz w:val="24"/>
              </w:rPr>
            </w:pPr>
            <w:r>
              <w:rPr>
                <w:rFonts w:hint="eastAsia" w:ascii="宋体" w:hAnsi="宋体" w:eastAsia="宋体" w:cs="Times New Roman"/>
                <w:sz w:val="24"/>
              </w:rPr>
              <w:t>4）工作电压AC110-220V(标配)，功率53W。</w:t>
            </w:r>
          </w:p>
          <w:p>
            <w:pPr>
              <w:spacing w:line="260" w:lineRule="exact"/>
              <w:rPr>
                <w:rFonts w:hint="eastAsia" w:ascii="宋体" w:hAnsi="宋体" w:eastAsia="宋体" w:cs="Times New Roman"/>
                <w:sz w:val="24"/>
              </w:rPr>
            </w:pPr>
            <w:r>
              <w:rPr>
                <w:rFonts w:hint="eastAsia" w:ascii="宋体" w:hAnsi="宋体" w:eastAsia="宋体" w:cs="Times New Roman"/>
                <w:sz w:val="24"/>
              </w:rPr>
              <w:t>5）防护等级 IP66。</w:t>
            </w:r>
          </w:p>
          <w:p>
            <w:pPr>
              <w:spacing w:line="260" w:lineRule="exact"/>
              <w:rPr>
                <w:rFonts w:hint="eastAsia" w:ascii="Calibri" w:hAnsi="Calibri" w:eastAsia="宋体" w:cs="Times New Roman"/>
                <w:szCs w:val="21"/>
              </w:rPr>
            </w:pPr>
            <w:r>
              <w:rPr>
                <w:rFonts w:hint="eastAsia" w:ascii="宋体" w:hAnsi="宋体" w:eastAsia="宋体" w:cs="Times New Roman"/>
                <w:sz w:val="24"/>
              </w:rPr>
              <w:t>适应环境温度-30℃至+60℃。</w:t>
            </w:r>
          </w:p>
          <w:p>
            <w:pPr>
              <w:widowControl/>
              <w:spacing w:line="280" w:lineRule="exact"/>
              <w:rPr>
                <w:rFonts w:ascii="Times New Roman" w:hAnsi="宋体" w:eastAsia="宋体" w:cs="Times New Roman"/>
                <w:sz w:val="24"/>
              </w:rPr>
            </w:pP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Times New Roman" w:eastAsia="宋体" w:cs="Times New Roman"/>
                <w:sz w:val="24"/>
              </w:rPr>
            </w:pPr>
            <w:r>
              <w:rPr>
                <w:rFonts w:hint="eastAsia" w:ascii="Times New Roman" w:hAnsi="Times New Roman" w:eastAsia="宋体" w:cs="Times New Roman"/>
                <w:sz w:val="24"/>
              </w:rPr>
              <w:t>3</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Times New Roman" w:eastAsia="宋体" w:cs="Times New Roman"/>
                <w:sz w:val="24"/>
              </w:rPr>
            </w:pPr>
            <w:r>
              <w:rPr>
                <w:rFonts w:hint="eastAsia" w:ascii="Times New Roman" w:hAnsi="Times New Roman" w:eastAsia="宋体" w:cs="Times New Roman"/>
                <w:sz w:val="24"/>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nil"/>
              <w:left w:val="single" w:color="auto" w:sz="4" w:space="0"/>
              <w:bottom w:val="single" w:color="auto" w:sz="4" w:space="0"/>
              <w:right w:val="single" w:color="auto" w:sz="4" w:space="0"/>
            </w:tcBorders>
            <w:shd w:val="clear" w:color="auto" w:fill="auto"/>
            <w:noWrap w:val="0"/>
            <w:vAlign w:val="center"/>
          </w:tcPr>
          <w:p>
            <w:pPr>
              <w:widowControl/>
              <w:spacing w:line="280" w:lineRule="exact"/>
              <w:jc w:val="center"/>
              <w:rPr>
                <w:rFonts w:hint="eastAsia" w:ascii="Times New Roman" w:hAnsi="Times New Roman" w:eastAsia="宋体" w:cs="Times New Roman"/>
                <w:b/>
                <w:bCs/>
                <w:sz w:val="24"/>
              </w:rPr>
            </w:pPr>
            <w:r>
              <w:rPr>
                <w:rFonts w:hint="eastAsia" w:ascii="Times New Roman" w:hAnsi="Times New Roman" w:eastAsia="宋体" w:cs="Times New Roman"/>
                <w:b/>
                <w:bCs/>
                <w:sz w:val="24"/>
              </w:rPr>
              <w:t>20</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rPr>
                <w:rFonts w:ascii="宋体" w:hAnsi="宋体" w:eastAsia="宋体" w:cs="Times New Roman"/>
                <w:b/>
              </w:rPr>
            </w:pPr>
            <w:r>
              <w:rPr>
                <w:rFonts w:hint="eastAsia" w:ascii="宋体" w:hAnsi="宋体" w:eastAsia="宋体" w:cs="Times New Roman"/>
                <w:b/>
                <w:sz w:val="24"/>
              </w:rPr>
              <w:t>现场安装施工、配套设施及系统集成</w:t>
            </w:r>
          </w:p>
          <w:p>
            <w:pPr>
              <w:jc w:val="center"/>
              <w:rPr>
                <w:rFonts w:ascii="Times New Roman" w:hAnsi="宋体" w:eastAsia="宋体" w:cs="Times New Roman"/>
                <w:b/>
                <w:sz w:val="24"/>
              </w:rPr>
            </w:pP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pStyle w:val="65"/>
              <w:wordWrap/>
              <w:spacing w:line="280" w:lineRule="exact"/>
              <w:rPr>
                <w:rFonts w:ascii="仿宋" w:hAnsi="仿宋" w:eastAsia="仿宋" w:cs="Times New Roman"/>
              </w:rPr>
            </w:pPr>
            <w:r>
              <w:rPr>
                <w:rFonts w:hint="eastAsia" w:ascii="仿宋" w:hAnsi="仿宋" w:eastAsia="仿宋" w:cs="Times New Roman"/>
              </w:rPr>
              <w:t>1、固定式遥测系统安装：</w:t>
            </w:r>
          </w:p>
          <w:p>
            <w:pPr>
              <w:pStyle w:val="65"/>
              <w:wordWrap/>
              <w:spacing w:line="280" w:lineRule="exact"/>
              <w:rPr>
                <w:rFonts w:hint="eastAsia" w:ascii="仿宋" w:hAnsi="仿宋" w:eastAsia="仿宋" w:cs="Times New Roman"/>
              </w:rPr>
            </w:pPr>
            <w:r>
              <w:rPr>
                <w:rFonts w:hint="eastAsia" w:ascii="仿宋" w:hAnsi="仿宋" w:eastAsia="仿宋" w:cs="Times New Roman"/>
              </w:rPr>
              <w:t>1）立杆安装；</w:t>
            </w:r>
          </w:p>
          <w:p>
            <w:pPr>
              <w:pStyle w:val="65"/>
              <w:wordWrap/>
              <w:spacing w:line="280" w:lineRule="exact"/>
              <w:rPr>
                <w:rFonts w:hint="eastAsia" w:ascii="仿宋" w:hAnsi="仿宋" w:eastAsia="仿宋" w:cs="Times New Roman"/>
              </w:rPr>
            </w:pPr>
            <w:r>
              <w:rPr>
                <w:rFonts w:hint="eastAsia" w:ascii="仿宋" w:hAnsi="仿宋" w:eastAsia="仿宋" w:cs="Times New Roman"/>
              </w:rPr>
              <w:t>2）空调恒温机柜安装；</w:t>
            </w:r>
          </w:p>
          <w:p>
            <w:pPr>
              <w:pStyle w:val="65"/>
              <w:wordWrap/>
              <w:spacing w:line="280" w:lineRule="exact"/>
              <w:rPr>
                <w:rFonts w:hint="eastAsia" w:ascii="仿宋" w:hAnsi="仿宋" w:eastAsia="仿宋" w:cs="Times New Roman"/>
              </w:rPr>
            </w:pPr>
            <w:r>
              <w:rPr>
                <w:rFonts w:hint="eastAsia" w:ascii="仿宋" w:hAnsi="仿宋" w:eastAsia="仿宋" w:cs="Times New Roman"/>
              </w:rPr>
              <w:t>3）激光遥测系统设备安装；</w:t>
            </w:r>
          </w:p>
          <w:p>
            <w:pPr>
              <w:pStyle w:val="65"/>
              <w:wordWrap/>
              <w:spacing w:line="280" w:lineRule="exact"/>
              <w:rPr>
                <w:rFonts w:hint="eastAsia" w:ascii="仿宋" w:hAnsi="仿宋" w:eastAsia="仿宋" w:cs="Times New Roman"/>
              </w:rPr>
            </w:pPr>
            <w:r>
              <w:rPr>
                <w:rFonts w:hint="eastAsia" w:ascii="仿宋" w:hAnsi="仿宋" w:eastAsia="仿宋" w:cs="Times New Roman"/>
              </w:rPr>
              <w:t>4）摄像机安装（高车作业）；</w:t>
            </w:r>
          </w:p>
          <w:p>
            <w:pPr>
              <w:pStyle w:val="65"/>
              <w:wordWrap/>
              <w:spacing w:line="280" w:lineRule="exact"/>
              <w:rPr>
                <w:rFonts w:hint="eastAsia" w:ascii="仿宋" w:hAnsi="仿宋" w:eastAsia="仿宋" w:cs="Times New Roman"/>
              </w:rPr>
            </w:pPr>
            <w:r>
              <w:rPr>
                <w:rFonts w:hint="eastAsia" w:ascii="仿宋" w:hAnsi="仿宋" w:eastAsia="仿宋" w:cs="Times New Roman"/>
              </w:rPr>
              <w:t>5）现场辅助设施安装；</w:t>
            </w:r>
          </w:p>
          <w:p>
            <w:pPr>
              <w:pStyle w:val="65"/>
              <w:wordWrap/>
              <w:spacing w:line="280" w:lineRule="exact"/>
              <w:rPr>
                <w:rFonts w:hint="eastAsia" w:ascii="仿宋" w:hAnsi="仿宋" w:eastAsia="仿宋" w:cs="Times New Roman"/>
              </w:rPr>
            </w:pPr>
            <w:r>
              <w:rPr>
                <w:rFonts w:hint="eastAsia" w:ascii="仿宋" w:hAnsi="仿宋" w:eastAsia="仿宋" w:cs="Times New Roman"/>
              </w:rPr>
              <w:t>5）符合本项目实际需求。</w:t>
            </w:r>
          </w:p>
          <w:p>
            <w:pPr>
              <w:pStyle w:val="65"/>
              <w:wordWrap/>
              <w:spacing w:line="280" w:lineRule="exact"/>
              <w:rPr>
                <w:rFonts w:hint="eastAsia" w:ascii="仿宋" w:hAnsi="仿宋" w:eastAsia="仿宋" w:cs="Times New Roman"/>
              </w:rPr>
            </w:pPr>
            <w:r>
              <w:rPr>
                <w:rFonts w:hint="eastAsia" w:ascii="仿宋" w:hAnsi="仿宋" w:eastAsia="仿宋" w:cs="Times New Roman"/>
              </w:rPr>
              <w:t>6）结合远程端数据中心服务器，对现场1套现场检测点遥测设备、车牌识别系统、速度加速度测试单元、环境参数测量单元等软硬件进行安装调试并满足本项目实际需求。</w:t>
            </w:r>
          </w:p>
          <w:p>
            <w:pPr>
              <w:pStyle w:val="65"/>
              <w:wordWrap/>
              <w:spacing w:line="280" w:lineRule="exact"/>
              <w:rPr>
                <w:rFonts w:hint="eastAsia" w:ascii="仿宋" w:hAnsi="仿宋" w:eastAsia="仿宋" w:cs="Times New Roman"/>
              </w:rPr>
            </w:pPr>
            <w:r>
              <w:rPr>
                <w:rFonts w:hint="eastAsia" w:ascii="仿宋" w:hAnsi="仿宋" w:eastAsia="仿宋" w:cs="Times New Roman"/>
              </w:rPr>
              <w:t>2、设备安装方式:固定式机动车尾气遥感监测设备水平安装在道路两边，需要架设龙门架或者L杆，旁边加装设备安装箱用于放置电源及控制系统等。</w:t>
            </w:r>
          </w:p>
          <w:p>
            <w:pPr>
              <w:pStyle w:val="65"/>
              <w:wordWrap/>
              <w:spacing w:line="280" w:lineRule="exact"/>
              <w:rPr>
                <w:rFonts w:hint="eastAsia" w:ascii="仿宋" w:hAnsi="仿宋" w:eastAsia="仿宋" w:cs="Times New Roman"/>
              </w:rPr>
            </w:pPr>
            <w:r>
              <w:rPr>
                <w:rFonts w:hint="eastAsia" w:ascii="仿宋" w:hAnsi="仿宋" w:eastAsia="仿宋" w:cs="Times New Roman"/>
              </w:rPr>
              <w:t>3、安装地基、手孔井等设计、施工及处理：1）机柜地基应与道路地基隔离，隔离带深度不小于0.5米，地基向地下不少于1.5米，满足在重型车辆通过时的抗震要求。</w:t>
            </w:r>
          </w:p>
          <w:p>
            <w:pPr>
              <w:pStyle w:val="65"/>
              <w:wordWrap/>
              <w:spacing w:line="280" w:lineRule="exact"/>
              <w:rPr>
                <w:rFonts w:hint="eastAsia" w:ascii="仿宋" w:hAnsi="仿宋" w:eastAsia="仿宋" w:cs="Times New Roman"/>
              </w:rPr>
            </w:pPr>
            <w:r>
              <w:rPr>
                <w:rFonts w:hint="eastAsia" w:ascii="仿宋" w:hAnsi="仿宋" w:eastAsia="仿宋" w:cs="Times New Roman"/>
              </w:rPr>
              <w:t>2）基坑四壁周围砖砌，中间混领土浇注成型，表层用水泥打平。</w:t>
            </w:r>
          </w:p>
          <w:p>
            <w:pPr>
              <w:pStyle w:val="65"/>
              <w:wordWrap/>
              <w:spacing w:line="280" w:lineRule="exact"/>
              <w:rPr>
                <w:rFonts w:hint="eastAsia" w:ascii="仿宋" w:hAnsi="仿宋" w:eastAsia="仿宋" w:cs="Times New Roman"/>
              </w:rPr>
            </w:pPr>
            <w:r>
              <w:rPr>
                <w:rFonts w:hint="eastAsia" w:ascii="仿宋" w:hAnsi="仿宋" w:eastAsia="仿宋" w:cs="Times New Roman"/>
              </w:rPr>
              <w:t>3）预留走线管两根，走线管必须使用防腐防锈钢管，具有一定抗压机耐腐蚀性，直径不小于12cm，走线管一段入土，另一端尽量靠近设备室侧面，以便于走线及后期维护。</w:t>
            </w:r>
          </w:p>
          <w:p>
            <w:pPr>
              <w:pStyle w:val="65"/>
              <w:wordWrap/>
              <w:spacing w:line="280" w:lineRule="exact"/>
              <w:rPr>
                <w:rFonts w:hint="eastAsia" w:ascii="仿宋" w:hAnsi="仿宋" w:eastAsia="仿宋" w:cs="Times New Roman"/>
              </w:rPr>
            </w:pPr>
            <w:r>
              <w:rPr>
                <w:rFonts w:hint="eastAsia" w:ascii="仿宋" w:hAnsi="仿宋" w:eastAsia="仿宋" w:cs="Times New Roman"/>
              </w:rPr>
              <w:t>4）地基上端平台宽度不小于30cm，便于使用中机柜的维护与机柜上端设备的检修。</w:t>
            </w:r>
          </w:p>
          <w:p>
            <w:pPr>
              <w:pStyle w:val="65"/>
              <w:wordWrap/>
              <w:spacing w:line="280" w:lineRule="exact"/>
              <w:rPr>
                <w:rFonts w:hint="eastAsia" w:ascii="仿宋" w:hAnsi="仿宋" w:eastAsia="仿宋" w:cs="Times New Roman"/>
              </w:rPr>
            </w:pPr>
            <w:r>
              <w:rPr>
                <w:rFonts w:hint="eastAsia" w:ascii="仿宋" w:hAnsi="仿宋" w:eastAsia="仿宋" w:cs="Times New Roman"/>
              </w:rPr>
              <w:t>5）地基平台内侧用于安装空调机柜，根据机柜尺寸及结构，预留紧固装置，平台中心作磨砂处理。</w:t>
            </w:r>
          </w:p>
          <w:p>
            <w:pPr>
              <w:pStyle w:val="65"/>
              <w:wordWrap/>
              <w:spacing w:line="280" w:lineRule="exact"/>
              <w:rPr>
                <w:rFonts w:hint="eastAsia" w:ascii="仿宋" w:hAnsi="仿宋" w:eastAsia="仿宋" w:cs="Times New Roman"/>
              </w:rPr>
            </w:pPr>
            <w:r>
              <w:rPr>
                <w:rFonts w:hint="eastAsia" w:ascii="仿宋" w:hAnsi="仿宋" w:eastAsia="仿宋" w:cs="Times New Roman"/>
              </w:rPr>
              <w:t>6）混凝土道路拆除、机柜下沉箱设计施工，包括所有现场安装设施地基 基础。</w:t>
            </w:r>
          </w:p>
          <w:p>
            <w:pPr>
              <w:pStyle w:val="65"/>
              <w:wordWrap/>
              <w:spacing w:line="280" w:lineRule="exact"/>
              <w:rPr>
                <w:rFonts w:hint="eastAsia" w:ascii="仿宋" w:hAnsi="仿宋" w:eastAsia="仿宋" w:cs="Times New Roman"/>
              </w:rPr>
            </w:pPr>
            <w:r>
              <w:rPr>
                <w:rFonts w:hint="eastAsia" w:ascii="仿宋" w:hAnsi="仿宋" w:eastAsia="仿宋" w:cs="Times New Roman"/>
              </w:rPr>
              <w:t>7）施工过程中，尽可能不破坏道路原貌。（如有改变，施工结束后按原貌及时恢复。）</w:t>
            </w:r>
          </w:p>
          <w:p>
            <w:pPr>
              <w:pStyle w:val="65"/>
              <w:wordWrap/>
              <w:spacing w:line="280" w:lineRule="exact"/>
              <w:rPr>
                <w:rFonts w:hint="eastAsia" w:ascii="仿宋" w:hAnsi="仿宋" w:eastAsia="仿宋" w:cs="Times New Roman"/>
              </w:rPr>
            </w:pPr>
            <w:r>
              <w:rPr>
                <w:rFonts w:hint="eastAsia" w:ascii="仿宋" w:hAnsi="仿宋" w:eastAsia="仿宋" w:cs="Times New Roman"/>
              </w:rPr>
              <w:t>8）符合本项目实际需求。</w:t>
            </w:r>
          </w:p>
          <w:p>
            <w:pPr>
              <w:pStyle w:val="65"/>
              <w:wordWrap/>
              <w:spacing w:line="280" w:lineRule="exact"/>
              <w:rPr>
                <w:rFonts w:hint="eastAsia" w:ascii="仿宋" w:hAnsi="仿宋" w:eastAsia="仿宋" w:cs="Times New Roman"/>
              </w:rPr>
            </w:pPr>
            <w:r>
              <w:rPr>
                <w:rFonts w:hint="eastAsia" w:ascii="仿宋" w:hAnsi="仿宋" w:eastAsia="仿宋" w:cs="Times New Roman"/>
              </w:rPr>
              <w:t>4、供电及网络管线铺设（含电缆及网线）：1）对前端检测点设备，设计并铺设供电及网络管线，达到项目现场实际工作需求。</w:t>
            </w:r>
          </w:p>
          <w:p>
            <w:pPr>
              <w:pStyle w:val="65"/>
              <w:wordWrap/>
              <w:spacing w:line="280" w:lineRule="exact"/>
              <w:rPr>
                <w:rFonts w:hint="eastAsia" w:ascii="仿宋" w:hAnsi="仿宋" w:eastAsia="仿宋" w:cs="Times New Roman"/>
              </w:rPr>
            </w:pPr>
            <w:r>
              <w:rPr>
                <w:rFonts w:hint="eastAsia" w:ascii="仿宋" w:hAnsi="仿宋" w:eastAsia="仿宋" w:cs="Times New Roman"/>
              </w:rPr>
              <w:t>2）单个检测点带宽满足所有图片及检测数据实时、同步传输回监控中心且监控中心可实时、同步操控前端系统、设备的要求。</w:t>
            </w:r>
          </w:p>
          <w:p>
            <w:pPr>
              <w:pStyle w:val="65"/>
              <w:wordWrap/>
              <w:spacing w:line="280" w:lineRule="exact"/>
              <w:rPr>
                <w:rFonts w:hint="eastAsia" w:ascii="仿宋" w:hAnsi="仿宋" w:eastAsia="仿宋" w:cs="Times New Roman"/>
              </w:rPr>
            </w:pPr>
            <w:r>
              <w:rPr>
                <w:rFonts w:hint="eastAsia" w:ascii="仿宋" w:hAnsi="仿宋" w:eastAsia="仿宋" w:cs="Times New Roman"/>
              </w:rPr>
              <w:t>3）现场布线包括机柜综合布线施工、电缆沿线桥、线槽、沟内支架及导管敷、硬塑料管埋地敷设施施工、镀锌钢管敷设施等施工等。</w:t>
            </w:r>
          </w:p>
          <w:p>
            <w:pPr>
              <w:pStyle w:val="65"/>
              <w:wordWrap/>
              <w:spacing w:line="280" w:lineRule="exact"/>
              <w:rPr>
                <w:rFonts w:hint="eastAsia" w:ascii="仿宋" w:hAnsi="仿宋" w:eastAsia="仿宋" w:cs="Times New Roman"/>
              </w:rPr>
            </w:pPr>
            <w:r>
              <w:rPr>
                <w:rFonts w:hint="eastAsia" w:ascii="仿宋" w:hAnsi="仿宋" w:eastAsia="仿宋" w:cs="Times New Roman"/>
              </w:rPr>
              <w:t>5、现场防水处理：</w:t>
            </w:r>
          </w:p>
          <w:p>
            <w:pPr>
              <w:pStyle w:val="65"/>
              <w:wordWrap/>
              <w:spacing w:line="280" w:lineRule="exact"/>
              <w:rPr>
                <w:rFonts w:hint="eastAsia" w:ascii="仿宋" w:hAnsi="仿宋" w:eastAsia="仿宋" w:cs="Times New Roman"/>
              </w:rPr>
            </w:pPr>
            <w:r>
              <w:rPr>
                <w:rFonts w:hint="eastAsia" w:ascii="仿宋" w:hAnsi="仿宋" w:eastAsia="仿宋" w:cs="Times New Roman"/>
              </w:rPr>
              <w:t>1）防尘、防水、防盗、耐腐处理；</w:t>
            </w:r>
          </w:p>
          <w:p>
            <w:pPr>
              <w:pStyle w:val="65"/>
              <w:wordWrap/>
              <w:spacing w:line="280" w:lineRule="exact"/>
              <w:rPr>
                <w:rFonts w:hint="eastAsia" w:ascii="仿宋" w:hAnsi="仿宋" w:eastAsia="仿宋" w:cs="Times New Roman"/>
              </w:rPr>
            </w:pPr>
            <w:r>
              <w:rPr>
                <w:rFonts w:hint="eastAsia" w:ascii="仿宋" w:hAnsi="仿宋" w:eastAsia="仿宋" w:cs="Times New Roman"/>
              </w:rPr>
              <w:t>2）机柜底座、走线槽严格按照工程施工要求，预留走水通道，外部密封。</w:t>
            </w:r>
          </w:p>
          <w:p>
            <w:pPr>
              <w:pStyle w:val="65"/>
              <w:wordWrap/>
              <w:spacing w:line="280" w:lineRule="exact"/>
              <w:rPr>
                <w:rFonts w:hint="eastAsia" w:ascii="仿宋" w:hAnsi="仿宋" w:eastAsia="仿宋" w:cs="Times New Roman"/>
              </w:rPr>
            </w:pPr>
            <w:r>
              <w:rPr>
                <w:rFonts w:hint="eastAsia" w:ascii="仿宋" w:hAnsi="仿宋" w:eastAsia="仿宋" w:cs="Times New Roman"/>
              </w:rPr>
              <w:t>3）敷设地下管线、安装地基及检修井需防水。</w:t>
            </w:r>
          </w:p>
          <w:p>
            <w:pPr>
              <w:pStyle w:val="65"/>
              <w:wordWrap/>
              <w:spacing w:line="280" w:lineRule="exact"/>
              <w:rPr>
                <w:rFonts w:hint="eastAsia" w:ascii="仿宋" w:hAnsi="仿宋" w:eastAsia="仿宋" w:cs="Times New Roman"/>
              </w:rPr>
            </w:pPr>
            <w:r>
              <w:rPr>
                <w:rFonts w:hint="eastAsia" w:ascii="仿宋" w:hAnsi="仿宋" w:eastAsia="仿宋" w:cs="Times New Roman"/>
              </w:rPr>
              <w:t>4）外路面施工材料需满足防水要求。</w:t>
            </w:r>
          </w:p>
          <w:p>
            <w:pPr>
              <w:pStyle w:val="65"/>
              <w:wordWrap/>
              <w:spacing w:line="280" w:lineRule="exact"/>
              <w:rPr>
                <w:rFonts w:hint="eastAsia" w:ascii="仿宋" w:hAnsi="仿宋" w:eastAsia="仿宋" w:cs="Times New Roman"/>
              </w:rPr>
            </w:pPr>
            <w:r>
              <w:rPr>
                <w:rFonts w:hint="eastAsia" w:ascii="仿宋" w:hAnsi="仿宋" w:eastAsia="仿宋" w:cs="Times New Roman"/>
              </w:rPr>
              <w:t>6、安防配套建设:</w:t>
            </w:r>
          </w:p>
          <w:p>
            <w:pPr>
              <w:pStyle w:val="65"/>
              <w:wordWrap/>
              <w:spacing w:line="280" w:lineRule="exact"/>
              <w:rPr>
                <w:rFonts w:hint="eastAsia" w:ascii="仿宋" w:hAnsi="仿宋" w:eastAsia="仿宋" w:cs="Times New Roman"/>
              </w:rPr>
            </w:pPr>
            <w:r>
              <w:rPr>
                <w:rFonts w:hint="eastAsia" w:ascii="仿宋" w:hAnsi="仿宋" w:eastAsia="仿宋" w:cs="Times New Roman"/>
              </w:rPr>
              <w:t>1)对检测点现场，根据现场规划，设置安防监控设施，可实现远程端自动控制，视频资料可以随时调阅，要求监控录像存储周期不小于30日历日。包括录像录音设备3/4录像机带编辑机、硬盘录像机、摄像设备彩色CCD全景摄像机。</w:t>
            </w:r>
          </w:p>
          <w:p>
            <w:pPr>
              <w:spacing w:line="280" w:lineRule="exact"/>
              <w:rPr>
                <w:rFonts w:hint="eastAsia" w:ascii="Calibri" w:hAnsi="Calibri" w:eastAsia="宋体" w:cs="Times New Roman"/>
              </w:rPr>
            </w:pPr>
            <w:r>
              <w:rPr>
                <w:rFonts w:hint="eastAsia" w:ascii="仿宋" w:hAnsi="仿宋" w:eastAsia="仿宋" w:cs="Times New Roman"/>
                <w:sz w:val="24"/>
              </w:rPr>
              <w:t>2)为了保护前端设备安全性，现场设置水泥防撞隔离墩及钢护栏，外部作警示反光膜处理。</w:t>
            </w:r>
          </w:p>
          <w:p>
            <w:pPr>
              <w:spacing w:line="260" w:lineRule="exact"/>
              <w:rPr>
                <w:rFonts w:hint="eastAsia" w:ascii="宋体" w:hAnsi="宋体" w:eastAsia="宋体" w:cs="Times New Roman"/>
                <w:sz w:val="24"/>
              </w:rPr>
            </w:pP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Times New Roman" w:eastAsia="宋体" w:cs="Times New Roman"/>
                <w:sz w:val="24"/>
              </w:rPr>
            </w:pPr>
            <w:r>
              <w:rPr>
                <w:rFonts w:hint="eastAsia" w:ascii="Times New Roman" w:hAnsi="Times New Roman" w:eastAsia="宋体" w:cs="Times New Roman"/>
                <w:sz w:val="24"/>
              </w:rPr>
              <w:t>1</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Times New Roman" w:eastAsia="宋体" w:cs="Times New Roman"/>
                <w:sz w:val="24"/>
              </w:rPr>
            </w:pPr>
            <w:r>
              <w:rPr>
                <w:rFonts w:hint="eastAsia" w:ascii="Times New Roman" w:hAnsi="Times New Roman" w:eastAsia="宋体" w:cs="Times New Roman"/>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93" w:type="pct"/>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Times New Roman" w:eastAsia="宋体" w:cs="Times New Roman"/>
                <w:b/>
                <w:bCs/>
                <w:sz w:val="24"/>
              </w:rPr>
            </w:pPr>
            <w:r>
              <w:rPr>
                <w:rFonts w:hint="eastAsia" w:ascii="Times New Roman" w:hAnsi="Times New Roman" w:eastAsia="宋体" w:cs="Times New Roman"/>
                <w:b/>
                <w:bCs/>
                <w:sz w:val="24"/>
              </w:rPr>
              <w:t>21</w:t>
            </w:r>
          </w:p>
        </w:tc>
        <w:tc>
          <w:tcPr>
            <w:tcW w:w="1012"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ascii="Times New Roman" w:hAnsi="Times New Roman" w:eastAsia="宋体" w:cs="Times New Roman"/>
                <w:b/>
                <w:bCs/>
                <w:sz w:val="24"/>
              </w:rPr>
            </w:pPr>
            <w:r>
              <w:rPr>
                <w:rFonts w:ascii="Times New Roman" w:hAnsi="宋体" w:eastAsia="宋体" w:cs="Times New Roman"/>
                <w:b/>
                <w:bCs/>
                <w:sz w:val="24"/>
              </w:rPr>
              <w:t>系统运维</w:t>
            </w:r>
          </w:p>
        </w:tc>
        <w:tc>
          <w:tcPr>
            <w:tcW w:w="2493"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widowControl/>
              <w:spacing w:line="280" w:lineRule="exact"/>
              <w:ind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3</w:t>
            </w:r>
            <w:r>
              <w:rPr>
                <w:rFonts w:ascii="Times New Roman" w:hAnsi="宋体" w:eastAsia="宋体" w:cs="Times New Roman"/>
                <w:kern w:val="0"/>
                <w:sz w:val="24"/>
              </w:rPr>
              <w:t>年系统运维，中标单位须安排</w:t>
            </w:r>
            <w:r>
              <w:rPr>
                <w:rFonts w:ascii="Times New Roman" w:hAnsi="Times New Roman" w:eastAsia="宋体" w:cs="Times New Roman"/>
                <w:kern w:val="0"/>
                <w:sz w:val="24"/>
              </w:rPr>
              <w:t>1</w:t>
            </w:r>
            <w:r>
              <w:rPr>
                <w:rFonts w:ascii="Times New Roman" w:hAnsi="宋体" w:eastAsia="宋体" w:cs="Times New Roman"/>
                <w:kern w:val="0"/>
                <w:sz w:val="24"/>
              </w:rPr>
              <w:t>名具有遥测项目实施经验的人员驻场运维。</w:t>
            </w:r>
          </w:p>
          <w:p>
            <w:pPr>
              <w:widowControl/>
              <w:spacing w:line="280" w:lineRule="exact"/>
              <w:ind w:firstLine="480" w:firstLineChars="200"/>
              <w:rPr>
                <w:rFonts w:ascii="Times New Roman" w:hAnsi="Times New Roman" w:eastAsia="宋体" w:cs="Times New Roman"/>
                <w:kern w:val="0"/>
                <w:sz w:val="24"/>
              </w:rPr>
            </w:pPr>
            <w:r>
              <w:rPr>
                <w:rFonts w:ascii="Times New Roman" w:hAnsi="宋体" w:eastAsia="宋体" w:cs="Times New Roman"/>
                <w:kern w:val="0"/>
                <w:sz w:val="24"/>
              </w:rPr>
              <w:t>总体目标：确保固定水平式机动车尾气遥感检测系统和</w:t>
            </w:r>
            <w:r>
              <w:rPr>
                <w:rFonts w:ascii="Times New Roman" w:hAnsi="Times New Roman" w:eastAsia="宋体" w:cs="Times New Roman"/>
                <w:kern w:val="0"/>
                <w:sz w:val="24"/>
              </w:rPr>
              <w:t>1</w:t>
            </w:r>
            <w:r>
              <w:rPr>
                <w:rFonts w:ascii="Times New Roman" w:hAnsi="宋体" w:eastAsia="宋体" w:cs="Times New Roman"/>
                <w:kern w:val="0"/>
                <w:sz w:val="24"/>
              </w:rPr>
              <w:t>套遥感监测平台的正常运行，监测数据准确，为采购人做好相关数据的维护、采集、统计分析、服务等工作。具体内容：</w:t>
            </w:r>
          </w:p>
          <w:p>
            <w:pPr>
              <w:widowControl/>
              <w:spacing w:line="280" w:lineRule="exact"/>
              <w:ind w:firstLine="480" w:firstLineChars="200"/>
              <w:rPr>
                <w:rFonts w:ascii="Times New Roman" w:hAnsi="Times New Roman" w:eastAsia="宋体" w:cs="Times New Roman"/>
                <w:kern w:val="0"/>
                <w:sz w:val="24"/>
              </w:rPr>
            </w:pPr>
            <w:r>
              <w:rPr>
                <w:rFonts w:ascii="Times New Roman" w:hAnsi="宋体" w:eastAsia="宋体" w:cs="Times New Roman"/>
                <w:kern w:val="0"/>
                <w:sz w:val="24"/>
              </w:rPr>
              <w:t>含</w:t>
            </w:r>
            <w:r>
              <w:rPr>
                <w:rFonts w:ascii="Times New Roman" w:hAnsi="Times New Roman" w:eastAsia="宋体" w:cs="Times New Roman"/>
                <w:sz w:val="24"/>
              </w:rPr>
              <w:t>50兆及以上</w:t>
            </w:r>
            <w:r>
              <w:rPr>
                <w:rFonts w:ascii="Times New Roman" w:hAnsi="宋体" w:eastAsia="宋体" w:cs="Times New Roman"/>
                <w:kern w:val="0"/>
                <w:sz w:val="24"/>
              </w:rPr>
              <w:t>专线网络、电费、设备配件更换、标准气体供应、设备日常维护检修、软件平台维护、设备检定</w:t>
            </w:r>
            <w:r>
              <w:rPr>
                <w:rFonts w:ascii="Times New Roman" w:hAnsi="Times New Roman" w:eastAsia="宋体" w:cs="Times New Roman"/>
                <w:kern w:val="0"/>
                <w:sz w:val="24"/>
              </w:rPr>
              <w:t>/</w:t>
            </w:r>
            <w:r>
              <w:rPr>
                <w:rFonts w:ascii="Times New Roman" w:hAnsi="宋体" w:eastAsia="宋体" w:cs="Times New Roman"/>
                <w:kern w:val="0"/>
                <w:sz w:val="24"/>
              </w:rPr>
              <w:t>校准、</w:t>
            </w:r>
            <w:r>
              <w:rPr>
                <w:rFonts w:ascii="Times New Roman" w:hAnsi="Times New Roman" w:eastAsia="宋体" w:cs="Times New Roman"/>
                <w:sz w:val="24"/>
              </w:rPr>
              <w:t>提供与一期平台数据对接的技术协助</w:t>
            </w:r>
            <w:r>
              <w:rPr>
                <w:rFonts w:ascii="Times New Roman" w:hAnsi="宋体" w:eastAsia="宋体" w:cs="Times New Roman"/>
                <w:kern w:val="0"/>
                <w:sz w:val="24"/>
              </w:rPr>
              <w:t>等。</w:t>
            </w:r>
          </w:p>
          <w:p>
            <w:pPr>
              <w:widowControl/>
              <w:spacing w:line="280" w:lineRule="exact"/>
              <w:rPr>
                <w:rFonts w:ascii="Times New Roman" w:hAnsi="Times New Roman" w:eastAsia="宋体" w:cs="Times New Roman"/>
                <w:kern w:val="0"/>
                <w:sz w:val="24"/>
              </w:rPr>
            </w:pPr>
            <w:r>
              <w:rPr>
                <w:rFonts w:ascii="Times New Roman" w:hAnsi="宋体" w:eastAsia="宋体" w:cs="Times New Roman"/>
                <w:kern w:val="0"/>
                <w:sz w:val="24"/>
              </w:rPr>
              <w:t>说明：</w:t>
            </w:r>
          </w:p>
          <w:p>
            <w:pPr>
              <w:widowControl/>
              <w:spacing w:line="280" w:lineRule="exact"/>
              <w:rPr>
                <w:rFonts w:ascii="Times New Roman" w:hAnsi="Times New Roman" w:eastAsia="宋体" w:cs="Times New Roman"/>
                <w:kern w:val="0"/>
                <w:sz w:val="24"/>
              </w:rPr>
            </w:pPr>
            <w:r>
              <w:rPr>
                <w:rFonts w:ascii="Times New Roman" w:hAnsi="宋体" w:eastAsia="宋体" w:cs="Times New Roman"/>
                <w:kern w:val="0"/>
                <w:sz w:val="24"/>
              </w:rPr>
              <w:t>（</w:t>
            </w:r>
            <w:r>
              <w:rPr>
                <w:rFonts w:ascii="Times New Roman" w:hAnsi="Times New Roman" w:eastAsia="宋体" w:cs="Times New Roman"/>
                <w:kern w:val="0"/>
                <w:sz w:val="24"/>
              </w:rPr>
              <w:t>1</w:t>
            </w:r>
            <w:r>
              <w:rPr>
                <w:rFonts w:ascii="Times New Roman" w:hAnsi="宋体" w:eastAsia="宋体" w:cs="Times New Roman"/>
                <w:kern w:val="0"/>
                <w:sz w:val="24"/>
              </w:rPr>
              <w:t>）</w:t>
            </w:r>
            <w:r>
              <w:rPr>
                <w:rFonts w:ascii="Times New Roman" w:hAnsi="Times New Roman" w:eastAsia="宋体" w:cs="Times New Roman"/>
                <w:sz w:val="24"/>
              </w:rPr>
              <w:t>50兆及以上</w:t>
            </w:r>
            <w:r>
              <w:rPr>
                <w:rFonts w:ascii="Times New Roman" w:hAnsi="宋体" w:eastAsia="宋体" w:cs="Times New Roman"/>
                <w:kern w:val="0"/>
                <w:sz w:val="24"/>
              </w:rPr>
              <w:t>专线网络费用。</w:t>
            </w:r>
          </w:p>
          <w:p>
            <w:pPr>
              <w:widowControl/>
              <w:spacing w:line="280" w:lineRule="exact"/>
              <w:rPr>
                <w:rFonts w:ascii="Times New Roman" w:hAnsi="Times New Roman" w:eastAsia="宋体" w:cs="Times New Roman"/>
                <w:kern w:val="0"/>
                <w:sz w:val="24"/>
              </w:rPr>
            </w:pPr>
            <w:r>
              <w:rPr>
                <w:rFonts w:ascii="Times New Roman" w:hAnsi="宋体" w:eastAsia="宋体" w:cs="Times New Roman"/>
                <w:kern w:val="0"/>
                <w:sz w:val="24"/>
              </w:rPr>
              <w:t>（</w:t>
            </w:r>
            <w:r>
              <w:rPr>
                <w:rFonts w:ascii="Times New Roman" w:hAnsi="Times New Roman" w:eastAsia="宋体" w:cs="Times New Roman"/>
                <w:kern w:val="0"/>
                <w:sz w:val="24"/>
              </w:rPr>
              <w:t>2</w:t>
            </w:r>
            <w:r>
              <w:rPr>
                <w:rFonts w:ascii="Times New Roman" w:hAnsi="宋体" w:eastAsia="宋体" w:cs="Times New Roman"/>
                <w:kern w:val="0"/>
                <w:sz w:val="24"/>
              </w:rPr>
              <w:t>）设备日常运维包括一周一次日常维护检修，包括校准、检查、维修、清洁、工作记录等。</w:t>
            </w:r>
          </w:p>
          <w:p>
            <w:pPr>
              <w:widowControl/>
              <w:spacing w:line="280" w:lineRule="exact"/>
              <w:rPr>
                <w:rFonts w:ascii="Times New Roman" w:hAnsi="Times New Roman" w:eastAsia="宋体" w:cs="Times New Roman"/>
                <w:kern w:val="0"/>
                <w:sz w:val="24"/>
              </w:rPr>
            </w:pPr>
            <w:r>
              <w:rPr>
                <w:rFonts w:ascii="Times New Roman" w:hAnsi="宋体" w:eastAsia="宋体" w:cs="Times New Roman"/>
                <w:kern w:val="0"/>
                <w:sz w:val="24"/>
              </w:rPr>
              <w:t>（</w:t>
            </w:r>
            <w:r>
              <w:rPr>
                <w:rFonts w:ascii="Times New Roman" w:hAnsi="Times New Roman" w:eastAsia="宋体" w:cs="Times New Roman"/>
                <w:kern w:val="0"/>
                <w:sz w:val="24"/>
              </w:rPr>
              <w:t>3</w:t>
            </w:r>
            <w:r>
              <w:rPr>
                <w:rFonts w:ascii="Times New Roman" w:hAnsi="宋体" w:eastAsia="宋体" w:cs="Times New Roman"/>
                <w:kern w:val="0"/>
                <w:sz w:val="24"/>
              </w:rPr>
              <w:t>）设备耗材、标准气体、配件更换等费用。</w:t>
            </w:r>
          </w:p>
          <w:p>
            <w:pPr>
              <w:widowControl/>
              <w:spacing w:line="280" w:lineRule="exact"/>
              <w:rPr>
                <w:rFonts w:ascii="Times New Roman" w:hAnsi="Times New Roman" w:eastAsia="宋体" w:cs="Times New Roman"/>
                <w:kern w:val="0"/>
                <w:sz w:val="24"/>
              </w:rPr>
            </w:pPr>
            <w:r>
              <w:rPr>
                <w:rFonts w:ascii="Times New Roman" w:hAnsi="宋体" w:eastAsia="宋体" w:cs="Times New Roman"/>
                <w:kern w:val="0"/>
                <w:sz w:val="24"/>
              </w:rPr>
              <w:t>（</w:t>
            </w:r>
            <w:r>
              <w:rPr>
                <w:rFonts w:ascii="Times New Roman" w:hAnsi="Times New Roman" w:eastAsia="宋体" w:cs="Times New Roman"/>
                <w:kern w:val="0"/>
                <w:sz w:val="24"/>
              </w:rPr>
              <w:t>4</w:t>
            </w:r>
            <w:r>
              <w:rPr>
                <w:rFonts w:ascii="Times New Roman" w:hAnsi="宋体" w:eastAsia="宋体" w:cs="Times New Roman"/>
                <w:kern w:val="0"/>
                <w:sz w:val="24"/>
              </w:rPr>
              <w:t>）运维车辆的费用。</w:t>
            </w:r>
          </w:p>
          <w:p>
            <w:pPr>
              <w:widowControl/>
              <w:spacing w:line="280" w:lineRule="exact"/>
              <w:rPr>
                <w:rFonts w:ascii="Times New Roman" w:hAnsi="Times New Roman" w:eastAsia="宋体" w:cs="Times New Roman"/>
                <w:kern w:val="0"/>
                <w:sz w:val="24"/>
              </w:rPr>
            </w:pPr>
            <w:r>
              <w:rPr>
                <w:rFonts w:ascii="Times New Roman" w:hAnsi="宋体" w:eastAsia="宋体" w:cs="Times New Roman"/>
                <w:kern w:val="0"/>
                <w:sz w:val="24"/>
              </w:rPr>
              <w:t>（</w:t>
            </w:r>
            <w:r>
              <w:rPr>
                <w:rFonts w:ascii="Times New Roman" w:hAnsi="Times New Roman" w:eastAsia="宋体" w:cs="Times New Roman"/>
                <w:kern w:val="0"/>
                <w:sz w:val="24"/>
              </w:rPr>
              <w:t>5</w:t>
            </w:r>
            <w:r>
              <w:rPr>
                <w:rFonts w:ascii="Times New Roman" w:hAnsi="宋体" w:eastAsia="宋体" w:cs="Times New Roman"/>
                <w:kern w:val="0"/>
                <w:sz w:val="24"/>
              </w:rPr>
              <w:t>）人员高空作业费用。</w:t>
            </w:r>
          </w:p>
          <w:p>
            <w:pPr>
              <w:spacing w:line="280" w:lineRule="exact"/>
              <w:rPr>
                <w:rFonts w:ascii="Times New Roman" w:hAnsi="Times New Roman" w:eastAsia="宋体" w:cs="Times New Roman"/>
                <w:kern w:val="0"/>
                <w:sz w:val="24"/>
              </w:rPr>
            </w:pPr>
            <w:r>
              <w:rPr>
                <w:rFonts w:ascii="Times New Roman" w:hAnsi="宋体" w:eastAsia="宋体" w:cs="Times New Roman"/>
                <w:kern w:val="0"/>
                <w:sz w:val="24"/>
              </w:rPr>
              <w:t>（</w:t>
            </w:r>
            <w:r>
              <w:rPr>
                <w:rFonts w:ascii="Times New Roman" w:hAnsi="Times New Roman" w:eastAsia="宋体" w:cs="Times New Roman"/>
                <w:kern w:val="0"/>
                <w:sz w:val="24"/>
              </w:rPr>
              <w:t>6</w:t>
            </w:r>
            <w:r>
              <w:rPr>
                <w:rFonts w:ascii="Times New Roman" w:hAnsi="宋体" w:eastAsia="宋体" w:cs="Times New Roman"/>
                <w:kern w:val="0"/>
                <w:sz w:val="24"/>
              </w:rPr>
              <w:t>）软件管理平台的技术服务费用。</w:t>
            </w:r>
          </w:p>
          <w:p>
            <w:pPr>
              <w:spacing w:line="280" w:lineRule="exact"/>
              <w:rPr>
                <w:rFonts w:ascii="Times New Roman" w:hAnsi="Times New Roman" w:eastAsia="宋体" w:cs="Times New Roman"/>
                <w:sz w:val="24"/>
              </w:rPr>
            </w:pPr>
            <w:r>
              <w:rPr>
                <w:rFonts w:ascii="Times New Roman" w:hAnsi="宋体" w:eastAsia="宋体" w:cs="Times New Roman"/>
                <w:kern w:val="0"/>
                <w:sz w:val="24"/>
              </w:rPr>
              <w:t>（</w:t>
            </w:r>
            <w:r>
              <w:rPr>
                <w:rFonts w:ascii="Times New Roman" w:hAnsi="Times New Roman" w:eastAsia="宋体" w:cs="Times New Roman"/>
                <w:kern w:val="0"/>
                <w:sz w:val="24"/>
              </w:rPr>
              <w:t>7</w:t>
            </w:r>
            <w:r>
              <w:rPr>
                <w:rFonts w:ascii="Times New Roman" w:hAnsi="宋体" w:eastAsia="宋体" w:cs="Times New Roman"/>
                <w:kern w:val="0"/>
                <w:sz w:val="24"/>
              </w:rPr>
              <w:t>）</w:t>
            </w:r>
            <w:r>
              <w:rPr>
                <w:rFonts w:ascii="Times New Roman" w:hAnsi="宋体" w:eastAsia="宋体" w:cs="Times New Roman"/>
                <w:sz w:val="24"/>
              </w:rPr>
              <w:t>省级以上计量部门出具</w:t>
            </w:r>
            <w:r>
              <w:rPr>
                <w:rFonts w:ascii="Times New Roman" w:hAnsi="宋体" w:eastAsia="宋体" w:cs="Times New Roman"/>
                <w:kern w:val="0"/>
                <w:sz w:val="24"/>
              </w:rPr>
              <w:t>设备检定</w:t>
            </w:r>
            <w:r>
              <w:rPr>
                <w:rFonts w:ascii="Times New Roman" w:hAnsi="Times New Roman" w:eastAsia="宋体" w:cs="Times New Roman"/>
                <w:kern w:val="0"/>
                <w:sz w:val="24"/>
              </w:rPr>
              <w:t>/</w:t>
            </w:r>
            <w:r>
              <w:rPr>
                <w:rFonts w:ascii="Times New Roman" w:hAnsi="宋体" w:eastAsia="宋体" w:cs="Times New Roman"/>
                <w:kern w:val="0"/>
                <w:sz w:val="24"/>
              </w:rPr>
              <w:t>校准证书费用。</w:t>
            </w:r>
          </w:p>
        </w:tc>
        <w:tc>
          <w:tcPr>
            <w:tcW w:w="438"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宋体" w:eastAsia="宋体" w:cs="Times New Roman"/>
                <w:kern w:val="0"/>
              </w:rPr>
            </w:pPr>
            <w:r>
              <w:rPr>
                <w:rFonts w:hint="eastAsia" w:ascii="Times New Roman" w:hAnsi="宋体" w:eastAsia="宋体" w:cs="Times New Roman"/>
                <w:kern w:val="0"/>
              </w:rPr>
              <w:t>3</w:t>
            </w:r>
          </w:p>
        </w:tc>
        <w:tc>
          <w:tcPr>
            <w:tcW w:w="461" w:type="pct"/>
            <w:tcBorders>
              <w:top w:val="single" w:color="auto" w:sz="4" w:space="0"/>
              <w:left w:val="nil"/>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center"/>
              <w:rPr>
                <w:rFonts w:hint="eastAsia" w:ascii="Times New Roman" w:hAnsi="宋体" w:eastAsia="宋体" w:cs="Times New Roman"/>
                <w:kern w:val="0"/>
              </w:rPr>
            </w:pPr>
            <w:r>
              <w:rPr>
                <w:rFonts w:hint="eastAsia" w:ascii="Times New Roman" w:hAnsi="宋体" w:eastAsia="宋体" w:cs="Times New Roman"/>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jc w:val="center"/>
        </w:trPr>
        <w:tc>
          <w:tcPr>
            <w:tcW w:w="5000" w:type="pct"/>
            <w:gridSpan w:val="5"/>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pPr>
              <w:spacing w:line="280" w:lineRule="exact"/>
              <w:jc w:val="left"/>
              <w:rPr>
                <w:rFonts w:hint="eastAsia" w:ascii="宋体" w:hAnsi="宋体" w:eastAsia="宋体" w:cs="Times New Roman"/>
                <w:bCs/>
                <w:color w:val="000000"/>
                <w:sz w:val="24"/>
              </w:rPr>
            </w:pPr>
            <w:r>
              <w:rPr>
                <w:rFonts w:hint="eastAsia" w:ascii="Times New Roman" w:hAnsi="Times New Roman" w:eastAsia="宋体" w:cs="Times New Roman"/>
                <w:color w:val="000000"/>
                <w:sz w:val="24"/>
              </w:rPr>
              <w:t>售后服务及要求;</w:t>
            </w:r>
          </w:p>
          <w:p>
            <w:pPr>
              <w:widowControl/>
              <w:jc w:val="left"/>
              <w:rPr>
                <w:rFonts w:hint="eastAsia" w:ascii="宋体" w:hAnsi="宋体" w:eastAsia="宋体" w:cs="宋体"/>
                <w:color w:val="000000"/>
                <w:kern w:val="0"/>
                <w:sz w:val="24"/>
              </w:rPr>
            </w:pPr>
            <w:r>
              <w:rPr>
                <w:rFonts w:hint="eastAsia" w:ascii="宋体" w:hAnsi="宋体" w:eastAsia="宋体" w:cs="宋体"/>
                <w:b/>
                <w:bCs/>
                <w:color w:val="000000"/>
                <w:kern w:val="0"/>
                <w:sz w:val="24"/>
              </w:rPr>
              <w:t>★</w:t>
            </w:r>
            <w:r>
              <w:rPr>
                <w:rFonts w:hint="eastAsia" w:ascii="Arial" w:hAnsi="Arial" w:eastAsia="宋体" w:cs="Arial"/>
                <w:color w:val="000000"/>
                <w:kern w:val="0"/>
                <w:sz w:val="24"/>
              </w:rPr>
              <w:t>1、合同签订期：自中标通知书发出之日起</w:t>
            </w:r>
            <w:r>
              <w:rPr>
                <w:rFonts w:hint="eastAsia" w:ascii="Arial" w:hAnsi="Arial" w:eastAsia="宋体" w:cs="Arial"/>
                <w:color w:val="000000"/>
                <w:kern w:val="0"/>
                <w:sz w:val="24"/>
                <w:u w:val="single"/>
              </w:rPr>
              <w:t>15</w:t>
            </w:r>
            <w:r>
              <w:rPr>
                <w:rFonts w:hint="eastAsia" w:ascii="Arial" w:hAnsi="Arial" w:eastAsia="宋体" w:cs="Arial"/>
                <w:color w:val="000000"/>
                <w:kern w:val="0"/>
                <w:sz w:val="24"/>
              </w:rPr>
              <w:t>日内。</w:t>
            </w:r>
          </w:p>
          <w:p>
            <w:pPr>
              <w:widowControl/>
              <w:spacing w:line="280" w:lineRule="exact"/>
              <w:jc w:val="left"/>
              <w:rPr>
                <w:rFonts w:ascii="Arial" w:hAnsi="Arial" w:eastAsia="宋体" w:cs="Arial"/>
                <w:color w:val="000000"/>
                <w:kern w:val="0"/>
                <w:sz w:val="24"/>
              </w:rPr>
            </w:pPr>
            <w:r>
              <w:rPr>
                <w:rFonts w:hint="eastAsia" w:ascii="宋体" w:hAnsi="宋体" w:eastAsia="宋体" w:cs="宋体"/>
                <w:b/>
                <w:bCs/>
                <w:color w:val="000000"/>
                <w:kern w:val="0"/>
                <w:sz w:val="24"/>
              </w:rPr>
              <w:t>★</w:t>
            </w:r>
            <w:r>
              <w:rPr>
                <w:rFonts w:hint="eastAsia" w:ascii="Arial" w:hAnsi="Arial" w:eastAsia="宋体" w:cs="Arial"/>
                <w:color w:val="000000"/>
                <w:kern w:val="0"/>
                <w:sz w:val="24"/>
              </w:rPr>
              <w:t>2、服务期期：</w:t>
            </w:r>
            <w:r>
              <w:rPr>
                <w:rFonts w:hint="eastAsia" w:ascii="宋体" w:hAnsi="宋体" w:eastAsia="宋体" w:cs="仿宋"/>
                <w:kern w:val="0"/>
                <w:sz w:val="24"/>
              </w:rPr>
              <w:t>质量保证期一年（自提交全部成果，并验收合格之日起），运维服务三年</w:t>
            </w:r>
            <w:r>
              <w:rPr>
                <w:rFonts w:hint="eastAsia" w:ascii="Arial" w:hAnsi="Arial" w:eastAsia="宋体" w:cs="Arial"/>
                <w:color w:val="000000"/>
                <w:kern w:val="0"/>
                <w:sz w:val="24"/>
              </w:rPr>
              <w:t xml:space="preserve">。 </w:t>
            </w:r>
          </w:p>
          <w:p>
            <w:pPr>
              <w:widowControl/>
              <w:spacing w:line="280" w:lineRule="exact"/>
              <w:rPr>
                <w:rFonts w:hint="eastAsia" w:ascii="Times New Roman" w:hAnsi="Times New Roman" w:eastAsia="宋体" w:cs="Times New Roman"/>
                <w:color w:val="000000"/>
                <w:sz w:val="24"/>
              </w:rPr>
            </w:pPr>
            <w:r>
              <w:rPr>
                <w:rFonts w:hint="eastAsia" w:ascii="Times New Roman" w:hAnsi="Times New Roman" w:eastAsia="宋体" w:cs="Arial"/>
                <w:color w:val="000000"/>
                <w:sz w:val="24"/>
              </w:rPr>
              <w:t>3、</w:t>
            </w:r>
            <w:r>
              <w:rPr>
                <w:rFonts w:hint="eastAsia" w:ascii="Times New Roman" w:hAnsi="Times New Roman" w:eastAsia="宋体" w:cs="Times New Roman"/>
                <w:color w:val="000000"/>
                <w:sz w:val="24"/>
              </w:rPr>
              <w:t>其他要求：</w:t>
            </w:r>
          </w:p>
          <w:p>
            <w:pPr>
              <w:widowControl/>
              <w:spacing w:line="280" w:lineRule="exact"/>
              <w:rPr>
                <w:rFonts w:hint="eastAsia" w:ascii="Times New Roman" w:hAnsi="宋体" w:eastAsia="宋体" w:cs="Times New Roman"/>
                <w:color w:val="000000"/>
                <w:kern w:val="0"/>
                <w:sz w:val="24"/>
              </w:rPr>
            </w:pPr>
            <w:r>
              <w:rPr>
                <w:rFonts w:hint="eastAsia" w:ascii="Times New Roman" w:hAnsi="Times New Roman" w:eastAsia="宋体" w:cs="Times New Roman"/>
                <w:color w:val="000000"/>
                <w:sz w:val="24"/>
              </w:rPr>
              <w:t>（1）</w:t>
            </w:r>
            <w:r>
              <w:rPr>
                <w:rFonts w:ascii="Times New Roman" w:hAnsi="Times New Roman" w:eastAsia="宋体" w:cs="Times New Roman"/>
                <w:color w:val="000000"/>
                <w:kern w:val="0"/>
                <w:sz w:val="24"/>
              </w:rPr>
              <w:t>3</w:t>
            </w:r>
            <w:r>
              <w:rPr>
                <w:rFonts w:ascii="Times New Roman" w:hAnsi="宋体" w:eastAsia="宋体" w:cs="Times New Roman"/>
                <w:color w:val="000000"/>
                <w:kern w:val="0"/>
                <w:sz w:val="24"/>
              </w:rPr>
              <w:t>年系统运维，中标单位须安排</w:t>
            </w:r>
            <w:r>
              <w:rPr>
                <w:rFonts w:ascii="Times New Roman" w:hAnsi="Times New Roman" w:eastAsia="宋体" w:cs="Times New Roman"/>
                <w:color w:val="000000"/>
                <w:kern w:val="0"/>
                <w:sz w:val="24"/>
              </w:rPr>
              <w:t>1</w:t>
            </w:r>
            <w:r>
              <w:rPr>
                <w:rFonts w:ascii="Times New Roman" w:hAnsi="宋体" w:eastAsia="宋体" w:cs="Times New Roman"/>
                <w:color w:val="000000"/>
                <w:kern w:val="0"/>
                <w:sz w:val="24"/>
              </w:rPr>
              <w:t>名具有遥测项目实施经验的人员驻场运维</w:t>
            </w:r>
            <w:r>
              <w:rPr>
                <w:rFonts w:hint="eastAsia" w:ascii="Times New Roman" w:hAnsi="宋体" w:eastAsia="宋体" w:cs="Times New Roman"/>
                <w:color w:val="000000"/>
                <w:kern w:val="0"/>
                <w:sz w:val="24"/>
              </w:rPr>
              <w:t>，</w:t>
            </w:r>
            <w:r>
              <w:rPr>
                <w:rFonts w:ascii="Times New Roman" w:hAnsi="宋体" w:eastAsia="宋体" w:cs="Times New Roman"/>
                <w:color w:val="000000"/>
                <w:kern w:val="0"/>
                <w:sz w:val="24"/>
              </w:rPr>
              <w:t>确保固定水平式机动车尾气遥感检测系统和</w:t>
            </w:r>
            <w:r>
              <w:rPr>
                <w:rFonts w:ascii="Times New Roman" w:hAnsi="Times New Roman" w:eastAsia="宋体" w:cs="Times New Roman"/>
                <w:color w:val="000000"/>
                <w:kern w:val="0"/>
                <w:sz w:val="24"/>
              </w:rPr>
              <w:t>1</w:t>
            </w:r>
            <w:r>
              <w:rPr>
                <w:rFonts w:ascii="Times New Roman" w:hAnsi="宋体" w:eastAsia="宋体" w:cs="Times New Roman"/>
                <w:color w:val="000000"/>
                <w:kern w:val="0"/>
                <w:sz w:val="24"/>
              </w:rPr>
              <w:t>套遥感监测平台的正常运行，监测数据准确，为采购人做好相关数据的维护、采集、统计分析、服务等工作。</w:t>
            </w:r>
          </w:p>
          <w:p>
            <w:pPr>
              <w:pStyle w:val="2"/>
              <w:spacing w:line="280" w:lineRule="exact"/>
              <w:rPr>
                <w:rFonts w:hint="eastAsia" w:ascii="Times New Roman" w:hAnsi="Times New Roman" w:eastAsia="宋体" w:cs="Times New Roman"/>
              </w:rPr>
            </w:pPr>
            <w:r>
              <w:rPr>
                <w:rFonts w:hint="eastAsia" w:ascii="Times New Roman" w:hAnsi="Times New Roman" w:eastAsia="宋体" w:cs="Times New Roman"/>
              </w:rPr>
              <w:t>（2）</w:t>
            </w:r>
            <w:r>
              <w:rPr>
                <w:rFonts w:hint="eastAsia" w:ascii="宋体" w:hAnsi="宋体" w:eastAsia="宋体" w:cs="仿宋"/>
              </w:rPr>
              <w:t>投标报价必须包括设备的所有费用，包括采购、运输、劳务、管理、利润、税金、保险、协调、安装、调试、验收、培训、售后服务以及所有的不定因素的风险等。</w:t>
            </w:r>
          </w:p>
          <w:p>
            <w:pPr>
              <w:widowControl/>
              <w:spacing w:line="280" w:lineRule="exact"/>
              <w:rPr>
                <w:rFonts w:hint="eastAsia" w:ascii="宋体" w:hAnsi="宋体" w:eastAsia="宋体" w:cs="宋体"/>
                <w:color w:val="000000"/>
                <w:sz w:val="24"/>
              </w:rPr>
            </w:pPr>
            <w:r>
              <w:rPr>
                <w:rFonts w:hint="eastAsia" w:ascii="宋体" w:hAnsi="宋体" w:eastAsia="宋体" w:cs="宋体"/>
                <w:b/>
                <w:bCs/>
                <w:color w:val="000000"/>
                <w:kern w:val="0"/>
                <w:sz w:val="24"/>
              </w:rPr>
              <w:t>★</w:t>
            </w:r>
            <w:r>
              <w:rPr>
                <w:rFonts w:hint="eastAsia" w:ascii="Arial" w:hAnsi="Arial" w:eastAsia="宋体" w:cs="Arial"/>
                <w:color w:val="000000"/>
                <w:kern w:val="0"/>
                <w:sz w:val="24"/>
              </w:rPr>
              <w:t>4、地点：</w:t>
            </w:r>
            <w:r>
              <w:rPr>
                <w:rFonts w:hint="eastAsia" w:ascii="宋体" w:hAnsi="宋体" w:eastAsia="宋体" w:cs="宋体"/>
                <w:color w:val="000000"/>
                <w:sz w:val="24"/>
              </w:rPr>
              <w:t>采购人指定地点；</w:t>
            </w:r>
          </w:p>
          <w:p>
            <w:pPr>
              <w:snapToGrid w:val="0"/>
              <w:spacing w:line="280" w:lineRule="exact"/>
              <w:rPr>
                <w:rFonts w:ascii="Times New Roman" w:hAnsi="Times New Roman" w:eastAsia="宋体" w:cs="Times New Roman"/>
              </w:rPr>
            </w:pPr>
            <w:r>
              <w:rPr>
                <w:rFonts w:hint="eastAsia" w:ascii="宋体" w:hAnsi="宋体" w:eastAsia="宋体" w:cs="宋体"/>
                <w:b/>
                <w:bCs/>
                <w:color w:val="000000"/>
                <w:kern w:val="0"/>
                <w:sz w:val="24"/>
              </w:rPr>
              <w:t>★</w:t>
            </w:r>
            <w:r>
              <w:rPr>
                <w:rFonts w:hint="eastAsia" w:ascii="Arial" w:hAnsi="Arial" w:eastAsia="宋体" w:cs="Arial"/>
                <w:color w:val="000000"/>
                <w:kern w:val="0"/>
                <w:sz w:val="24"/>
              </w:rPr>
              <w:t>5、付款条件：</w:t>
            </w:r>
            <w:r>
              <w:rPr>
                <w:rFonts w:hint="eastAsia" w:ascii="宋体" w:hAnsi="宋体" w:eastAsia="宋体" w:cs="Times New Roman"/>
                <w:bCs/>
                <w:color w:val="000000"/>
                <w:sz w:val="24"/>
              </w:rPr>
              <w:t>本合同签订后十日内，支付</w:t>
            </w:r>
            <w:r>
              <w:rPr>
                <w:rFonts w:hint="eastAsia" w:ascii="宋体" w:hAnsi="宋体" w:eastAsia="宋体" w:cs="Times New Roman"/>
                <w:bCs/>
                <w:color w:val="000000"/>
                <w:sz w:val="24"/>
                <w:u w:val="single"/>
              </w:rPr>
              <w:t>30%</w:t>
            </w:r>
            <w:r>
              <w:rPr>
                <w:rFonts w:hint="eastAsia" w:ascii="宋体" w:hAnsi="宋体" w:eastAsia="宋体" w:cs="仿宋"/>
                <w:kern w:val="0"/>
                <w:sz w:val="24"/>
              </w:rPr>
              <w:t>合同款</w:t>
            </w:r>
            <w:r>
              <w:rPr>
                <w:rFonts w:hint="eastAsia" w:ascii="宋体" w:hAnsi="宋体" w:eastAsia="宋体" w:cs="Times New Roman"/>
                <w:bCs/>
                <w:color w:val="000000"/>
                <w:sz w:val="24"/>
              </w:rPr>
              <w:t>，</w:t>
            </w:r>
            <w:r>
              <w:rPr>
                <w:rFonts w:hint="eastAsia" w:ascii="宋体" w:hAnsi="宋体" w:eastAsia="宋体" w:cs="仿宋"/>
                <w:kern w:val="0"/>
                <w:sz w:val="24"/>
              </w:rPr>
              <w:t>项目验收完支付</w:t>
            </w:r>
            <w:r>
              <w:rPr>
                <w:rFonts w:hint="eastAsia" w:ascii="宋体" w:hAnsi="宋体" w:eastAsia="宋体" w:cs="仿宋"/>
                <w:kern w:val="0"/>
                <w:sz w:val="24"/>
                <w:u w:val="single"/>
              </w:rPr>
              <w:t>55%</w:t>
            </w:r>
            <w:r>
              <w:rPr>
                <w:rFonts w:hint="eastAsia" w:ascii="宋体" w:hAnsi="宋体" w:eastAsia="宋体" w:cs="仿宋"/>
                <w:kern w:val="0"/>
                <w:sz w:val="24"/>
              </w:rPr>
              <w:t>合同款，第一年运维结束后支付5%合同款，第二年运维结束后支付5%合同款，第三年运维结束后支付剩余5%合同款，</w:t>
            </w:r>
            <w:r>
              <w:rPr>
                <w:rFonts w:hint="eastAsia" w:ascii="宋体" w:hAnsi="宋体" w:eastAsia="宋体" w:cs="Times New Roman"/>
                <w:bCs/>
                <w:color w:val="000000"/>
                <w:sz w:val="24"/>
              </w:rPr>
              <w:t>服务方应事先开具等额发票。如果服务方延误开发票，发包方有权相应延误付款。</w:t>
            </w:r>
          </w:p>
        </w:tc>
      </w:tr>
    </w:tbl>
    <w:p>
      <w:pPr>
        <w:rPr>
          <w:rFonts w:ascii="方正小标宋简体" w:eastAsia="方正小标宋简体"/>
          <w:sz w:val="44"/>
          <w:szCs w:val="44"/>
        </w:rPr>
      </w:pPr>
    </w:p>
    <w:p>
      <w:pPr>
        <w:pStyle w:val="20"/>
        <w:spacing w:line="360" w:lineRule="exact"/>
        <w:rPr>
          <w:rFonts w:hint="eastAsia"/>
          <w:color w:val="000000"/>
        </w:rPr>
      </w:pPr>
    </w:p>
    <w:p>
      <w:pPr>
        <w:pStyle w:val="3"/>
        <w:rPr>
          <w:rFonts w:hint="eastAsia"/>
          <w:color w:val="000000"/>
        </w:rPr>
      </w:pPr>
      <w:bookmarkStart w:id="22" w:name="_Toc28145"/>
      <w:bookmarkStart w:id="23" w:name="_Toc381103833"/>
    </w:p>
    <w:p>
      <w:pPr>
        <w:pStyle w:val="3"/>
        <w:rPr>
          <w:rFonts w:hint="eastAsia"/>
          <w:color w:val="000000"/>
        </w:rPr>
      </w:pPr>
    </w:p>
    <w:p>
      <w:pPr>
        <w:rPr>
          <w:rFonts w:hint="eastAsia"/>
        </w:rPr>
      </w:pPr>
    </w:p>
    <w:p>
      <w:pPr>
        <w:pStyle w:val="14"/>
        <w:rPr>
          <w:rFonts w:hint="eastAsia" w:ascii="Times New Roman" w:hAnsi="Times New Roman" w:eastAsia="宋体"/>
        </w:rPr>
      </w:pPr>
    </w:p>
    <w:p>
      <w:pPr>
        <w:rPr>
          <w:rFonts w:hint="eastAsia"/>
        </w:rPr>
      </w:pPr>
    </w:p>
    <w:p>
      <w:pPr>
        <w:pStyle w:val="14"/>
        <w:rPr>
          <w:rFonts w:hint="eastAsia" w:ascii="Times New Roman" w:hAnsi="Times New Roman" w:eastAsia="宋体"/>
        </w:rPr>
      </w:pPr>
    </w:p>
    <w:p>
      <w:pPr>
        <w:rPr>
          <w:rFonts w:hint="eastAsia"/>
        </w:rPr>
      </w:pPr>
    </w:p>
    <w:p>
      <w:pPr>
        <w:pStyle w:val="14"/>
        <w:rPr>
          <w:rFonts w:hint="eastAsia" w:ascii="Times New Roman" w:hAnsi="Times New Roman" w:eastAsia="宋体"/>
        </w:rPr>
      </w:pPr>
    </w:p>
    <w:p>
      <w:pPr>
        <w:rPr>
          <w:rFonts w:hint="eastAsia"/>
        </w:rPr>
      </w:pPr>
    </w:p>
    <w:p>
      <w:pPr>
        <w:pStyle w:val="14"/>
        <w:rPr>
          <w:rFonts w:hint="eastAsia" w:ascii="Times New Roman" w:hAnsi="Times New Roman" w:eastAsia="宋体"/>
        </w:rPr>
      </w:pPr>
    </w:p>
    <w:p>
      <w:pPr>
        <w:rPr>
          <w:rFonts w:hint="eastAsia"/>
        </w:rPr>
      </w:pPr>
    </w:p>
    <w:p>
      <w:pPr>
        <w:pStyle w:val="14"/>
        <w:rPr>
          <w:rFonts w:hint="eastAsia" w:ascii="Times New Roman" w:hAnsi="Times New Roman" w:eastAsia="宋体"/>
        </w:rPr>
      </w:pPr>
    </w:p>
    <w:p>
      <w:pPr>
        <w:rPr>
          <w:rFonts w:hint="eastAsia"/>
        </w:rPr>
      </w:pPr>
    </w:p>
    <w:p>
      <w:pPr>
        <w:rPr>
          <w:rFonts w:hint="eastAsia"/>
        </w:rPr>
      </w:pPr>
    </w:p>
    <w:p>
      <w:pPr>
        <w:pStyle w:val="14"/>
        <w:rPr>
          <w:rFonts w:hint="eastAsia" w:ascii="Times New Roman" w:hAnsi="Times New Roman" w:eastAsia="宋体"/>
        </w:rPr>
      </w:pPr>
    </w:p>
    <w:p>
      <w:pPr>
        <w:pStyle w:val="3"/>
        <w:jc w:val="both"/>
        <w:rPr>
          <w:rFonts w:hint="eastAsia"/>
          <w:color w:val="000000"/>
        </w:rPr>
      </w:pPr>
    </w:p>
    <w:p>
      <w:pPr>
        <w:rPr>
          <w:rFonts w:hint="eastAsia"/>
          <w:color w:val="000000"/>
        </w:rPr>
      </w:pPr>
    </w:p>
    <w:p>
      <w:pPr>
        <w:pStyle w:val="2"/>
        <w:rPr>
          <w:rFonts w:hint="eastAsia"/>
          <w:color w:val="000000"/>
        </w:rPr>
      </w:pPr>
    </w:p>
    <w:p>
      <w:pPr>
        <w:pStyle w:val="2"/>
        <w:rPr>
          <w:rFonts w:hint="eastAsia"/>
          <w:color w:val="000000"/>
        </w:rPr>
      </w:pPr>
    </w:p>
    <w:p>
      <w:pPr>
        <w:pStyle w:val="3"/>
        <w:rPr>
          <w:rFonts w:hint="eastAsia"/>
          <w:color w:val="000000"/>
        </w:rPr>
      </w:pPr>
    </w:p>
    <w:p>
      <w:pPr>
        <w:pStyle w:val="3"/>
        <w:rPr>
          <w:rFonts w:hint="eastAsia"/>
          <w:color w:val="000000"/>
        </w:rPr>
      </w:pPr>
    </w:p>
    <w:p>
      <w:pPr>
        <w:pStyle w:val="3"/>
        <w:rPr>
          <w:rFonts w:hint="eastAsia"/>
          <w:color w:val="000000"/>
        </w:rPr>
      </w:pPr>
    </w:p>
    <w:p>
      <w:pPr>
        <w:pStyle w:val="3"/>
        <w:rPr>
          <w:color w:val="000000"/>
        </w:rPr>
      </w:pPr>
      <w:bookmarkStart w:id="30" w:name="_GoBack"/>
      <w:bookmarkEnd w:id="30"/>
      <w:r>
        <w:rPr>
          <w:rFonts w:hint="eastAsia"/>
          <w:color w:val="000000"/>
        </w:rPr>
        <w:t>第四章  评标方法和定标标准</w:t>
      </w:r>
      <w:bookmarkEnd w:id="22"/>
      <w:bookmarkEnd w:id="23"/>
    </w:p>
    <w:p>
      <w:pPr>
        <w:pStyle w:val="20"/>
        <w:spacing w:line="440" w:lineRule="exact"/>
        <w:jc w:val="center"/>
        <w:rPr>
          <w:rFonts w:hint="eastAsia"/>
          <w:color w:val="000000"/>
        </w:rPr>
      </w:pPr>
    </w:p>
    <w:p>
      <w:pPr>
        <w:pStyle w:val="20"/>
        <w:spacing w:line="440" w:lineRule="exact"/>
        <w:jc w:val="center"/>
        <w:rPr>
          <w:rFonts w:hint="eastAsia"/>
          <w:color w:val="000000"/>
        </w:rPr>
      </w:pPr>
    </w:p>
    <w:p>
      <w:pPr>
        <w:pStyle w:val="20"/>
        <w:spacing w:line="440" w:lineRule="exact"/>
        <w:jc w:val="center"/>
        <w:rPr>
          <w:rFonts w:hint="eastAsia"/>
          <w:color w:val="000000"/>
        </w:rPr>
      </w:pPr>
    </w:p>
    <w:p>
      <w:pPr>
        <w:pStyle w:val="20"/>
        <w:spacing w:line="440" w:lineRule="exact"/>
        <w:jc w:val="center"/>
        <w:rPr>
          <w:rFonts w:hint="eastAsia"/>
          <w:color w:val="000000"/>
        </w:rPr>
      </w:pPr>
    </w:p>
    <w:p>
      <w:pPr>
        <w:pStyle w:val="20"/>
        <w:spacing w:line="440" w:lineRule="exact"/>
        <w:jc w:val="center"/>
        <w:rPr>
          <w:rFonts w:hint="eastAsia"/>
          <w:color w:val="000000"/>
        </w:rPr>
      </w:pPr>
    </w:p>
    <w:p>
      <w:pPr>
        <w:pStyle w:val="20"/>
        <w:spacing w:line="440" w:lineRule="exact"/>
        <w:jc w:val="center"/>
        <w:rPr>
          <w:rFonts w:hint="eastAsia"/>
          <w:color w:val="000000"/>
        </w:rPr>
      </w:pPr>
    </w:p>
    <w:p>
      <w:pPr>
        <w:pStyle w:val="20"/>
        <w:spacing w:line="440" w:lineRule="exact"/>
        <w:jc w:val="center"/>
        <w:rPr>
          <w:rFonts w:hint="eastAsia"/>
          <w:color w:val="000000"/>
        </w:rPr>
      </w:pPr>
    </w:p>
    <w:p>
      <w:pPr>
        <w:pStyle w:val="20"/>
        <w:spacing w:line="440" w:lineRule="exact"/>
        <w:jc w:val="center"/>
        <w:rPr>
          <w:rFonts w:hint="eastAsia"/>
          <w:color w:val="000000"/>
        </w:rPr>
      </w:pPr>
    </w:p>
    <w:p>
      <w:pPr>
        <w:pStyle w:val="20"/>
        <w:spacing w:line="440" w:lineRule="exact"/>
        <w:jc w:val="center"/>
        <w:rPr>
          <w:rFonts w:hint="eastAsia"/>
          <w:color w:val="000000"/>
        </w:rPr>
      </w:pPr>
    </w:p>
    <w:p>
      <w:pPr>
        <w:jc w:val="center"/>
        <w:outlineLvl w:val="1"/>
        <w:rPr>
          <w:rFonts w:hint="eastAsia"/>
          <w:b/>
          <w:bCs/>
          <w:sz w:val="32"/>
          <w:szCs w:val="32"/>
        </w:rPr>
      </w:pPr>
      <w:r>
        <w:rPr>
          <w:color w:val="000000"/>
        </w:rPr>
        <w:br w:type="page"/>
      </w:r>
      <w:bookmarkStart w:id="24" w:name="_Toc7424"/>
      <w:r>
        <w:rPr>
          <w:rFonts w:hint="eastAsia"/>
          <w:b/>
          <w:bCs/>
          <w:sz w:val="32"/>
          <w:szCs w:val="32"/>
        </w:rPr>
        <w:t>评标方法和定标标准</w:t>
      </w:r>
      <w:bookmarkEnd w:id="24"/>
    </w:p>
    <w:p>
      <w:pPr>
        <w:pStyle w:val="6"/>
        <w:rPr>
          <w:rFonts w:hint="eastAsia"/>
        </w:rPr>
      </w:pPr>
    </w:p>
    <w:p>
      <w:pPr>
        <w:pStyle w:val="20"/>
        <w:adjustRightInd w:val="0"/>
        <w:snapToGrid w:val="0"/>
        <w:spacing w:line="460" w:lineRule="exact"/>
        <w:ind w:firstLine="373" w:firstLineChars="177"/>
        <w:jc w:val="left"/>
        <w:rPr>
          <w:rFonts w:hAnsi="宋体"/>
          <w:b/>
          <w:bCs/>
          <w:color w:val="000000"/>
        </w:rPr>
      </w:pPr>
      <w:r>
        <w:rPr>
          <w:rFonts w:hint="eastAsia" w:hAnsi="宋体"/>
          <w:b/>
          <w:bCs/>
          <w:color w:val="000000"/>
        </w:rPr>
        <w:t>一、评标原则</w:t>
      </w:r>
    </w:p>
    <w:p>
      <w:pPr>
        <w:pStyle w:val="20"/>
        <w:spacing w:line="400" w:lineRule="exact"/>
        <w:ind w:firstLine="420"/>
        <w:rPr>
          <w:rFonts w:hAnsi="宋体"/>
          <w:bCs/>
          <w:color w:val="FF0000"/>
        </w:rPr>
      </w:pPr>
      <w:r>
        <w:rPr>
          <w:rFonts w:hint="eastAsia" w:hAnsi="宋体"/>
          <w:bCs/>
          <w:color w:val="000000"/>
        </w:rPr>
        <w:t>（一）评委构成：</w:t>
      </w:r>
      <w:r>
        <w:rPr>
          <w:rFonts w:hint="eastAsia" w:hAnsi="宋体"/>
          <w:bCs/>
        </w:rPr>
        <w:t>本招标采购项目的评委分别由依法组成的评审专家、采购人代表单数构成，其中专家人数不少于成员总数的三分之二。</w:t>
      </w:r>
    </w:p>
    <w:p>
      <w:pPr>
        <w:pStyle w:val="20"/>
        <w:adjustRightInd w:val="0"/>
        <w:snapToGrid w:val="0"/>
        <w:spacing w:line="460" w:lineRule="exact"/>
        <w:ind w:firstLine="371" w:firstLineChars="177"/>
        <w:jc w:val="left"/>
        <w:rPr>
          <w:rFonts w:hint="eastAsia" w:hAnsi="宋体"/>
          <w:bCs/>
          <w:color w:val="000000"/>
        </w:rPr>
      </w:pPr>
      <w:r>
        <w:rPr>
          <w:rFonts w:hint="eastAsia" w:hAnsi="宋体"/>
          <w:bCs/>
          <w:color w:val="000000"/>
        </w:rPr>
        <w:t>（二）评标依据：评委将以招响应文件为评标依据，按百分制打分。</w:t>
      </w:r>
    </w:p>
    <w:p>
      <w:pPr>
        <w:adjustRightInd w:val="0"/>
        <w:snapToGrid w:val="0"/>
        <w:spacing w:line="460" w:lineRule="exact"/>
        <w:ind w:firstLine="315" w:firstLineChars="150"/>
        <w:rPr>
          <w:rFonts w:hint="eastAsia" w:hAnsi="宋体"/>
          <w:b/>
          <w:bCs/>
          <w:color w:val="000000"/>
        </w:rPr>
      </w:pPr>
      <w:r>
        <w:rPr>
          <w:rFonts w:hint="eastAsia" w:ascii="宋体" w:hAnsi="宋体"/>
          <w:color w:val="000000"/>
          <w:szCs w:val="21"/>
        </w:rPr>
        <w:t>（</w:t>
      </w:r>
      <w:r>
        <w:rPr>
          <w:rFonts w:hint="eastAsia" w:ascii="宋体" w:hAnsi="宋体"/>
          <w:bCs/>
          <w:color w:val="000000"/>
          <w:kern w:val="0"/>
          <w:szCs w:val="21"/>
        </w:rPr>
        <w:t>三）评标方式：以封闭方式进行。</w:t>
      </w:r>
    </w:p>
    <w:p>
      <w:pPr>
        <w:pStyle w:val="20"/>
        <w:adjustRightInd w:val="0"/>
        <w:snapToGrid w:val="0"/>
        <w:spacing w:line="460" w:lineRule="exact"/>
        <w:ind w:firstLine="373" w:firstLineChars="177"/>
        <w:jc w:val="left"/>
        <w:rPr>
          <w:rFonts w:hAnsi="宋体"/>
          <w:b/>
          <w:bCs/>
          <w:color w:val="000000"/>
        </w:rPr>
      </w:pPr>
      <w:bookmarkStart w:id="25" w:name="_Toc381264729"/>
      <w:r>
        <w:rPr>
          <w:rFonts w:hint="eastAsia" w:hAnsi="宋体"/>
          <w:b/>
          <w:bCs/>
          <w:color w:val="000000"/>
        </w:rPr>
        <w:t>二、评标方法</w:t>
      </w:r>
      <w:bookmarkEnd w:id="25"/>
    </w:p>
    <w:p>
      <w:pPr>
        <w:pStyle w:val="20"/>
        <w:adjustRightInd w:val="0"/>
        <w:snapToGrid w:val="0"/>
        <w:spacing w:line="460" w:lineRule="exact"/>
        <w:ind w:firstLine="373" w:firstLineChars="177"/>
        <w:jc w:val="left"/>
        <w:rPr>
          <w:rFonts w:hAnsi="宋体"/>
          <w:b/>
          <w:bCs/>
          <w:color w:val="000000"/>
        </w:rPr>
      </w:pPr>
      <w:r>
        <w:rPr>
          <w:rFonts w:hint="eastAsia" w:hAnsi="宋体"/>
          <w:b/>
          <w:bCs/>
          <w:color w:val="000000"/>
        </w:rPr>
        <w:t>（一）对进入详评的，采用百分制综合评分法。</w:t>
      </w:r>
    </w:p>
    <w:p>
      <w:pPr>
        <w:pStyle w:val="20"/>
        <w:adjustRightInd w:val="0"/>
        <w:snapToGrid w:val="0"/>
        <w:spacing w:line="460" w:lineRule="exact"/>
        <w:ind w:firstLine="373" w:firstLineChars="177"/>
        <w:jc w:val="left"/>
        <w:rPr>
          <w:rFonts w:hAnsi="宋体"/>
          <w:b/>
          <w:bCs/>
          <w:color w:val="000000"/>
        </w:rPr>
      </w:pPr>
      <w:r>
        <w:rPr>
          <w:rFonts w:hint="eastAsia" w:hAnsi="宋体"/>
          <w:b/>
          <w:bCs/>
          <w:color w:val="000000"/>
        </w:rPr>
        <w:t>（二）计分办法（按四舍五入取至百分位）：</w:t>
      </w:r>
    </w:p>
    <w:p>
      <w:pPr>
        <w:pStyle w:val="20"/>
        <w:adjustRightInd w:val="0"/>
        <w:snapToGrid w:val="0"/>
        <w:spacing w:line="460" w:lineRule="exact"/>
        <w:jc w:val="left"/>
        <w:rPr>
          <w:rFonts w:hAnsi="宋体"/>
          <w:b/>
          <w:bCs/>
          <w:color w:val="000000"/>
        </w:rPr>
      </w:pPr>
      <w:bookmarkStart w:id="26" w:name="_Toc381264730"/>
      <w:r>
        <w:rPr>
          <w:rFonts w:hint="eastAsia" w:hAnsi="宋体"/>
          <w:b/>
          <w:bCs/>
          <w:color w:val="000000"/>
        </w:rPr>
        <w:t>1、价格分…………………………………………………………………………………………30分</w:t>
      </w:r>
    </w:p>
    <w:p>
      <w:pPr>
        <w:adjustRightInd w:val="0"/>
        <w:snapToGrid w:val="0"/>
        <w:spacing w:line="460" w:lineRule="exact"/>
        <w:ind w:firstLine="420" w:firstLineChars="200"/>
        <w:textAlignment w:val="baseline"/>
        <w:rPr>
          <w:rFonts w:ascii="宋体" w:hAnsi="宋体"/>
          <w:bCs/>
          <w:color w:val="000000"/>
          <w:szCs w:val="22"/>
        </w:rPr>
      </w:pPr>
      <w:r>
        <w:rPr>
          <w:rFonts w:hint="eastAsia" w:ascii="宋体" w:hAnsi="宋体"/>
          <w:bCs/>
          <w:color w:val="000000"/>
          <w:szCs w:val="22"/>
        </w:rPr>
        <w:t>（1）评标价为</w:t>
      </w:r>
      <w:r>
        <w:rPr>
          <w:rFonts w:hint="eastAsia" w:ascii="宋体" w:hAnsi="宋体"/>
          <w:bCs/>
          <w:color w:val="000000"/>
          <w:szCs w:val="22"/>
          <w:lang w:eastAsia="zh-CN"/>
        </w:rPr>
        <w:t>磋商供应商</w:t>
      </w:r>
      <w:r>
        <w:rPr>
          <w:rFonts w:hint="eastAsia" w:ascii="宋体" w:hAnsi="宋体"/>
          <w:bCs/>
          <w:color w:val="000000"/>
          <w:szCs w:val="22"/>
        </w:rPr>
        <w:t>的</w:t>
      </w:r>
      <w:r>
        <w:rPr>
          <w:rFonts w:hint="eastAsia" w:ascii="宋体" w:hAnsi="宋体"/>
          <w:bCs/>
          <w:color w:val="000000"/>
          <w:szCs w:val="22"/>
          <w:lang w:eastAsia="zh-CN"/>
        </w:rPr>
        <w:t>磋商</w:t>
      </w:r>
      <w:r>
        <w:rPr>
          <w:rFonts w:hint="eastAsia" w:ascii="宋体" w:hAnsi="宋体"/>
          <w:bCs/>
          <w:color w:val="000000"/>
          <w:szCs w:val="22"/>
        </w:rPr>
        <w:t>报价进行政策性扣除后的价格，评标价只是作为评标时使用。最终成交人的成交金额＝</w:t>
      </w:r>
      <w:r>
        <w:rPr>
          <w:rFonts w:hint="eastAsia" w:ascii="宋体" w:hAnsi="宋体"/>
          <w:bCs/>
          <w:color w:val="000000"/>
          <w:szCs w:val="22"/>
          <w:lang w:eastAsia="zh-CN"/>
        </w:rPr>
        <w:t>磋商</w:t>
      </w:r>
      <w:r>
        <w:rPr>
          <w:rFonts w:hint="eastAsia" w:ascii="宋体" w:hAnsi="宋体"/>
          <w:bCs/>
          <w:color w:val="000000"/>
          <w:szCs w:val="22"/>
        </w:rPr>
        <w:t>报价。</w:t>
      </w:r>
    </w:p>
    <w:p>
      <w:pPr>
        <w:adjustRightInd w:val="0"/>
        <w:snapToGrid w:val="0"/>
        <w:spacing w:line="460" w:lineRule="exact"/>
        <w:ind w:firstLine="420" w:firstLineChars="200"/>
        <w:textAlignment w:val="baseline"/>
        <w:rPr>
          <w:rFonts w:ascii="宋体" w:hAnsi="宋体"/>
          <w:bCs/>
          <w:color w:val="000000"/>
          <w:szCs w:val="22"/>
        </w:rPr>
      </w:pPr>
      <w:r>
        <w:rPr>
          <w:rFonts w:hint="eastAsia" w:ascii="宋体" w:hAnsi="宋体"/>
          <w:bCs/>
          <w:color w:val="000000"/>
          <w:szCs w:val="22"/>
        </w:rPr>
        <w:t>（2）政策性扣除计算方法。</w:t>
      </w:r>
    </w:p>
    <w:p>
      <w:pPr>
        <w:adjustRightInd w:val="0"/>
        <w:snapToGrid w:val="0"/>
        <w:spacing w:line="460" w:lineRule="exact"/>
        <w:ind w:firstLine="525" w:firstLineChars="250"/>
        <w:textAlignment w:val="baseline"/>
        <w:rPr>
          <w:rFonts w:ascii="宋体" w:hAnsi="宋体"/>
          <w:bCs/>
          <w:color w:val="000000"/>
          <w:szCs w:val="22"/>
        </w:rPr>
      </w:pPr>
      <w:r>
        <w:rPr>
          <w:rFonts w:hint="eastAsia" w:ascii="宋体" w:hAnsi="宋体"/>
          <w:bCs/>
          <w:color w:val="000000"/>
          <w:szCs w:val="22"/>
        </w:rPr>
        <w:t>供应商符合小型、微型企业或监狱企业条件的，其竞标报价将按相应比例进行扣除，用扣除后的价格参与评审（计算价格分）。</w:t>
      </w:r>
    </w:p>
    <w:p>
      <w:pPr>
        <w:adjustRightInd w:val="0"/>
        <w:snapToGrid w:val="0"/>
        <w:spacing w:line="460" w:lineRule="exact"/>
        <w:ind w:firstLine="525" w:firstLineChars="250"/>
        <w:textAlignment w:val="baseline"/>
        <w:rPr>
          <w:rFonts w:ascii="宋体" w:hAnsi="宋体"/>
          <w:bCs/>
          <w:color w:val="000000"/>
          <w:szCs w:val="22"/>
        </w:rPr>
      </w:pPr>
      <w:r>
        <w:rPr>
          <w:rFonts w:hint="eastAsia" w:ascii="宋体" w:hAnsi="宋体"/>
          <w:bCs/>
          <w:color w:val="000000"/>
          <w:szCs w:val="22"/>
        </w:rPr>
        <w:t>小型、微型企业组成联合体参加竞标的，联合体视同为小型、微型企业享受扶持政策。</w:t>
      </w:r>
    </w:p>
    <w:p>
      <w:pPr>
        <w:adjustRightInd w:val="0"/>
        <w:snapToGrid w:val="0"/>
        <w:spacing w:line="460" w:lineRule="exact"/>
        <w:ind w:firstLine="420" w:firstLineChars="200"/>
        <w:textAlignment w:val="baseline"/>
        <w:rPr>
          <w:rFonts w:ascii="宋体" w:hAnsi="宋体"/>
          <w:bCs/>
          <w:color w:val="000000"/>
          <w:szCs w:val="22"/>
        </w:rPr>
      </w:pPr>
      <w:r>
        <w:rPr>
          <w:rFonts w:hint="eastAsia" w:ascii="宋体" w:hAnsi="宋体"/>
          <w:bCs/>
          <w:color w:val="000000"/>
          <w:szCs w:val="22"/>
        </w:rPr>
        <w:t>（3）按照《财政部、司法部关于政府采购支持监狱企业发展有关问题的通知》（财库〔2014〕68号）之规定，监狱企业视同小型、微型企业。</w:t>
      </w:r>
    </w:p>
    <w:p>
      <w:pPr>
        <w:adjustRightInd w:val="0"/>
        <w:snapToGrid w:val="0"/>
        <w:spacing w:line="460" w:lineRule="exact"/>
        <w:ind w:firstLine="420" w:firstLineChars="200"/>
        <w:textAlignment w:val="baseline"/>
        <w:rPr>
          <w:rFonts w:ascii="宋体" w:hAnsi="宋体"/>
          <w:bCs/>
          <w:color w:val="000000"/>
          <w:szCs w:val="22"/>
        </w:rPr>
      </w:pPr>
      <w:r>
        <w:rPr>
          <w:rFonts w:hint="eastAsia" w:ascii="宋体" w:hAnsi="宋体"/>
          <w:bCs/>
          <w:color w:val="000000"/>
          <w:szCs w:val="22"/>
        </w:rPr>
        <w:t>（4）按照《政府采购促进中小企业发展暂行办法》（财库[2011]181号）之规定，竞标产品被认定为小型和微型企业产品（以具有认定职能的部门出具的证明材料为准）的，对小型和微型企业产品的价格给予10%的扣除，扣除后的价格为评标报价，即评标报价=竞标价×（1-10%）；大中型企业和其他自然人、法人或者其他组织与小型、微型企业组成联合体竞标，联合体协议中约定小型、微型企业的协议合同金额占到联合体协议合同总金额30%以上的，联合体竞标价给予2%的扣除，扣除后的价格为评标价，即评标报价=竞标价×（1-2%）；除上述情况外，评标报价=竞标价。</w:t>
      </w:r>
    </w:p>
    <w:p>
      <w:pPr>
        <w:adjustRightInd w:val="0"/>
        <w:snapToGrid w:val="0"/>
        <w:spacing w:line="460" w:lineRule="exact"/>
        <w:ind w:firstLine="420" w:firstLineChars="200"/>
        <w:textAlignment w:val="baseline"/>
        <w:rPr>
          <w:rFonts w:ascii="宋体" w:hAnsi="宋体"/>
          <w:bCs/>
          <w:color w:val="000000"/>
          <w:szCs w:val="22"/>
        </w:rPr>
      </w:pPr>
      <w:r>
        <w:rPr>
          <w:rFonts w:hint="eastAsia" w:ascii="宋体" w:hAnsi="宋体"/>
          <w:bCs/>
          <w:color w:val="000000"/>
          <w:szCs w:val="22"/>
        </w:rPr>
        <w:t>（5）以进入综合评分环节的最低的评标报价为基准价，基准价报价得分为</w:t>
      </w:r>
      <w:r>
        <w:rPr>
          <w:rFonts w:hint="eastAsia" w:ascii="宋体" w:hAnsi="宋体"/>
          <w:bCs/>
          <w:color w:val="000000"/>
          <w:szCs w:val="22"/>
          <w:lang w:val="en-US" w:eastAsia="zh-CN"/>
        </w:rPr>
        <w:t>30</w:t>
      </w:r>
      <w:r>
        <w:rPr>
          <w:rFonts w:hint="eastAsia" w:ascii="宋体" w:hAnsi="宋体"/>
          <w:bCs/>
          <w:color w:val="000000"/>
          <w:szCs w:val="22"/>
        </w:rPr>
        <w:t>分。</w:t>
      </w:r>
    </w:p>
    <w:p>
      <w:pPr>
        <w:pStyle w:val="20"/>
        <w:adjustRightInd w:val="0"/>
        <w:snapToGrid w:val="0"/>
        <w:spacing w:line="460" w:lineRule="exact"/>
        <w:ind w:firstLine="525" w:firstLineChars="250"/>
        <w:jc w:val="left"/>
        <w:rPr>
          <w:rFonts w:hAnsi="宋体"/>
          <w:bCs/>
          <w:color w:val="000000"/>
        </w:rPr>
      </w:pPr>
      <w:r>
        <w:rPr>
          <w:rFonts w:hint="eastAsia" w:hAnsi="宋体"/>
          <w:bCs/>
          <w:color w:val="000000"/>
        </w:rPr>
        <w:t>某</w:t>
      </w:r>
      <w:r>
        <w:rPr>
          <w:rFonts w:hint="eastAsia" w:hAnsi="宋体"/>
          <w:bCs/>
          <w:color w:val="000000"/>
          <w:lang w:eastAsia="zh-CN"/>
        </w:rPr>
        <w:t>磋商供应商</w:t>
      </w:r>
      <w:r>
        <w:rPr>
          <w:rFonts w:hint="eastAsia" w:hAnsi="宋体"/>
          <w:bCs/>
          <w:color w:val="000000"/>
        </w:rPr>
        <w:t>价格分＝（基准价÷某</w:t>
      </w:r>
      <w:r>
        <w:rPr>
          <w:rFonts w:hint="eastAsia" w:hAnsi="宋体"/>
          <w:bCs/>
          <w:color w:val="000000"/>
          <w:lang w:eastAsia="zh-CN"/>
        </w:rPr>
        <w:t>磋商供应商</w:t>
      </w:r>
      <w:r>
        <w:rPr>
          <w:rFonts w:hint="eastAsia" w:hAnsi="宋体"/>
          <w:bCs/>
          <w:color w:val="000000"/>
        </w:rPr>
        <w:t>评标报价金额）×30分。</w:t>
      </w:r>
    </w:p>
    <w:p>
      <w:pPr>
        <w:adjustRightInd w:val="0"/>
        <w:snapToGrid w:val="0"/>
        <w:spacing w:line="460" w:lineRule="exact"/>
        <w:rPr>
          <w:rFonts w:ascii="宋体" w:hAnsi="宋体"/>
          <w:color w:val="000000"/>
          <w:szCs w:val="21"/>
        </w:rPr>
      </w:pPr>
      <w:r>
        <w:rPr>
          <w:rFonts w:hint="eastAsia" w:ascii="宋体" w:hAnsi="宋体"/>
          <w:b/>
          <w:color w:val="000000"/>
          <w:szCs w:val="21"/>
        </w:rPr>
        <w:t>2</w:t>
      </w:r>
      <w:r>
        <w:rPr>
          <w:rFonts w:ascii="宋体" w:hAnsi="宋体"/>
          <w:b/>
          <w:color w:val="000000"/>
          <w:szCs w:val="21"/>
        </w:rPr>
        <w:t>、</w:t>
      </w:r>
      <w:r>
        <w:rPr>
          <w:rFonts w:hint="eastAsia" w:ascii="宋体" w:hAnsi="宋体"/>
          <w:b/>
          <w:bCs/>
          <w:color w:val="000000"/>
          <w:szCs w:val="21"/>
        </w:rPr>
        <w:t>技术分</w:t>
      </w:r>
      <w:r>
        <w:rPr>
          <w:rFonts w:hint="eastAsia" w:ascii="宋体" w:hAnsi="宋体"/>
          <w:b/>
          <w:color w:val="000000"/>
          <w:szCs w:val="21"/>
        </w:rPr>
        <w:t>………………………………………………………………………………………6</w:t>
      </w:r>
      <w:r>
        <w:rPr>
          <w:rFonts w:hint="eastAsia" w:ascii="宋体" w:hAnsi="宋体"/>
          <w:b/>
          <w:color w:val="000000"/>
          <w:szCs w:val="21"/>
          <w:lang w:val="en-US" w:eastAsia="zh-CN"/>
        </w:rPr>
        <w:t>7</w:t>
      </w:r>
      <w:r>
        <w:rPr>
          <w:rFonts w:hint="eastAsia" w:ascii="宋体" w:hAnsi="宋体"/>
          <w:b/>
          <w:color w:val="000000"/>
          <w:szCs w:val="21"/>
        </w:rPr>
        <w:t>分</w:t>
      </w:r>
    </w:p>
    <w:p>
      <w:pPr>
        <w:adjustRightInd w:val="0"/>
        <w:snapToGrid w:val="0"/>
        <w:spacing w:line="460" w:lineRule="exact"/>
        <w:rPr>
          <w:rFonts w:ascii="宋体" w:hAnsi="宋体"/>
          <w:b/>
          <w:bCs/>
          <w:color w:val="000000"/>
          <w:szCs w:val="21"/>
        </w:rPr>
      </w:pPr>
      <w:r>
        <w:rPr>
          <w:rFonts w:hint="eastAsia" w:ascii="宋体" w:hAnsi="宋体"/>
          <w:b/>
          <w:bCs/>
          <w:color w:val="000000"/>
          <w:szCs w:val="21"/>
        </w:rPr>
        <w:t>2.1.</w:t>
      </w:r>
      <w:r>
        <w:rPr>
          <w:rFonts w:hint="eastAsia" w:ascii="宋体" w:hAnsi="宋体"/>
          <w:b/>
          <w:color w:val="000000"/>
          <w:szCs w:val="21"/>
        </w:rPr>
        <w:t xml:space="preserve"> 组织实施、技术方案分……………………………………………………………………30分</w:t>
      </w:r>
    </w:p>
    <w:p>
      <w:pPr>
        <w:adjustRightInd w:val="0"/>
        <w:snapToGrid w:val="0"/>
        <w:spacing w:line="460" w:lineRule="exact"/>
        <w:ind w:firstLine="420" w:firstLineChars="200"/>
        <w:rPr>
          <w:rFonts w:hint="eastAsia" w:ascii="宋体" w:hAnsi="宋体"/>
          <w:color w:val="000000"/>
          <w:szCs w:val="21"/>
        </w:rPr>
      </w:pPr>
      <w:r>
        <w:rPr>
          <w:rFonts w:hint="eastAsia" w:ascii="宋体" w:hAnsi="宋体"/>
          <w:color w:val="000000"/>
          <w:szCs w:val="21"/>
        </w:rPr>
        <w:t>一档（30分）：组织实施方案详细、具体，操作性强，优于项目需求，项目组织机构健全，职责分明，人员资源配置合理，整体组织实施方案具有科学性，可行性，合理性，全面性，有安全保密制度、例会制度、定期阶段性汇报制度，提供的技术方案技术方法思路清晰、可行性强，能准确理解项目需求，项目技术方案内容能够结合项目实际情况达到有关规范要求，作业方法成熟、先进，在现行行业相关政策要求以及技术条件下，能采取切实可行的技术措施确保获得相对准确的技术指标和有相应的技术成果，方法合理、科学，能满足本项目提出的所有要求。</w:t>
      </w:r>
    </w:p>
    <w:p>
      <w:pPr>
        <w:adjustRightInd w:val="0"/>
        <w:snapToGrid w:val="0"/>
        <w:spacing w:line="460" w:lineRule="exact"/>
        <w:ind w:firstLine="420" w:firstLineChars="200"/>
        <w:rPr>
          <w:rFonts w:hint="eastAsia" w:ascii="宋体" w:hAnsi="宋体"/>
          <w:color w:val="000000"/>
          <w:szCs w:val="21"/>
        </w:rPr>
      </w:pPr>
      <w:r>
        <w:rPr>
          <w:rFonts w:hint="eastAsia" w:ascii="宋体" w:hAnsi="宋体"/>
          <w:color w:val="000000"/>
          <w:szCs w:val="21"/>
        </w:rPr>
        <w:t>二档（20分）：组织实施方案符合项目需求，整体组织实施方案设计具有科学性、可行性、合理性、全面性，有安全保密制度、例会制度、定期阶段性汇报制度，提供的技术方案技术方法思路可行，能理解项目需求，项目技术方案内容达到有关规范要求并合理可行，且满足项目需求。</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三档（10分）：组织实施方案基本符合项目需求，整体组织实施方案设计合理，提供的技术方法和思路、项目技术方案内容基本满足项目需求。</w:t>
      </w:r>
    </w:p>
    <w:p>
      <w:pPr>
        <w:adjustRightInd w:val="0"/>
        <w:snapToGrid w:val="0"/>
        <w:spacing w:line="460" w:lineRule="exact"/>
        <w:rPr>
          <w:rFonts w:ascii="宋体" w:hAnsi="宋体"/>
          <w:color w:val="000000"/>
          <w:szCs w:val="21"/>
        </w:rPr>
      </w:pPr>
      <w:r>
        <w:rPr>
          <w:rFonts w:hint="eastAsia" w:ascii="宋体" w:hAnsi="宋体"/>
          <w:b/>
          <w:color w:val="000000"/>
          <w:szCs w:val="21"/>
        </w:rPr>
        <w:t>2.2. 进度、质量保证措施………………………………………………………………………20分</w:t>
      </w:r>
    </w:p>
    <w:p>
      <w:pPr>
        <w:adjustRightInd w:val="0"/>
        <w:snapToGrid w:val="0"/>
        <w:spacing w:line="460" w:lineRule="exact"/>
        <w:ind w:firstLine="420" w:firstLineChars="200"/>
        <w:rPr>
          <w:rFonts w:hint="eastAsia" w:ascii="宋体" w:hAnsi="宋体"/>
          <w:color w:val="000000"/>
          <w:szCs w:val="21"/>
        </w:rPr>
      </w:pPr>
      <w:r>
        <w:rPr>
          <w:rFonts w:hint="eastAsia" w:ascii="宋体" w:hAnsi="宋体"/>
          <w:color w:val="000000"/>
          <w:szCs w:val="21"/>
        </w:rPr>
        <w:t>一档（20分）：措施详细、具体，内容全面，方法得力、科学，能满足本项目提出的所有要求（对项目的服务有正确深刻理解与充分认识，表述清晰、完整、严谨、合理、有效、成熟，进度及质量保证体系完整，措施得力）。</w:t>
      </w:r>
    </w:p>
    <w:p>
      <w:pPr>
        <w:adjustRightInd w:val="0"/>
        <w:snapToGrid w:val="0"/>
        <w:spacing w:line="460" w:lineRule="exact"/>
        <w:ind w:firstLine="420" w:firstLineChars="200"/>
        <w:rPr>
          <w:rFonts w:hint="eastAsia" w:ascii="宋体" w:hAnsi="宋体"/>
          <w:color w:val="000000"/>
          <w:szCs w:val="21"/>
        </w:rPr>
      </w:pPr>
      <w:r>
        <w:rPr>
          <w:rFonts w:hint="eastAsia" w:ascii="宋体" w:hAnsi="宋体"/>
          <w:color w:val="000000"/>
          <w:szCs w:val="21"/>
        </w:rPr>
        <w:t>二档（12分）：方案较详细、较具体，内容较齐全（对本项目的服务有正确理解与认识，表述清晰、完整，进度及质量保证体系完整，措施基本得力）。</w:t>
      </w:r>
    </w:p>
    <w:p>
      <w:pPr>
        <w:adjustRightInd w:val="0"/>
        <w:snapToGrid w:val="0"/>
        <w:spacing w:line="460" w:lineRule="exact"/>
        <w:ind w:firstLine="420" w:firstLineChars="200"/>
        <w:rPr>
          <w:rFonts w:hint="eastAsia" w:ascii="宋体" w:hAnsi="宋体"/>
          <w:color w:val="000000"/>
          <w:szCs w:val="21"/>
        </w:rPr>
      </w:pPr>
      <w:r>
        <w:rPr>
          <w:rFonts w:hint="eastAsia" w:ascii="宋体" w:hAnsi="宋体"/>
          <w:color w:val="000000"/>
          <w:szCs w:val="21"/>
        </w:rPr>
        <w:t>三档（5分）：项目进度保证措施、质量保证措施，技术保证措施，技术方法和思路、技术方案内容基本满足项目需求（对本项目的服务没有正确理解与认识，表述不清晰或部分不具体，质量保证体系基本完整，措施不得力）。</w:t>
      </w:r>
    </w:p>
    <w:p>
      <w:pPr>
        <w:adjustRightInd w:val="0"/>
        <w:snapToGrid w:val="0"/>
        <w:spacing w:line="460" w:lineRule="exact"/>
        <w:rPr>
          <w:rFonts w:ascii="宋体" w:hAnsi="宋体"/>
          <w:b/>
          <w:bCs/>
        </w:rPr>
      </w:pPr>
      <w:r>
        <w:rPr>
          <w:rFonts w:hint="eastAsia" w:ascii="宋体" w:hAnsi="宋体"/>
          <w:b/>
          <w:bCs/>
          <w:szCs w:val="21"/>
        </w:rPr>
        <w:t xml:space="preserve">2.3. </w:t>
      </w:r>
      <w:r>
        <w:rPr>
          <w:rFonts w:hint="eastAsia"/>
          <w:b/>
          <w:bCs/>
          <w:szCs w:val="21"/>
        </w:rPr>
        <w:t>售后服务分</w:t>
      </w:r>
      <w:r>
        <w:rPr>
          <w:rFonts w:ascii="宋体" w:hAnsi="宋体"/>
          <w:b/>
          <w:bCs/>
        </w:rPr>
        <w:t>………………………………………………………………</w:t>
      </w:r>
      <w:r>
        <w:rPr>
          <w:rFonts w:hint="eastAsia" w:ascii="宋体" w:hAnsi="宋体"/>
          <w:b/>
          <w:bCs/>
        </w:rPr>
        <w:t>1</w:t>
      </w:r>
      <w:r>
        <w:rPr>
          <w:rFonts w:hint="eastAsia" w:ascii="宋体" w:hAnsi="宋体"/>
          <w:b/>
          <w:bCs/>
          <w:lang w:val="en-US" w:eastAsia="zh-CN"/>
        </w:rPr>
        <w:t>7</w:t>
      </w:r>
      <w:r>
        <w:rPr>
          <w:rFonts w:ascii="宋体" w:hAnsi="宋体"/>
          <w:b/>
          <w:bCs/>
        </w:rPr>
        <w:t>分</w:t>
      </w:r>
    </w:p>
    <w:p>
      <w:pPr>
        <w:pStyle w:val="35"/>
        <w:adjustRightInd w:val="0"/>
        <w:snapToGrid w:val="0"/>
        <w:spacing w:before="0" w:beforeAutospacing="0" w:after="0" w:afterAutospacing="0" w:line="460" w:lineRule="exact"/>
        <w:ind w:firstLine="420" w:firstLineChars="200"/>
        <w:rPr>
          <w:rFonts w:hint="eastAsia" w:ascii="Times New Roman" w:hAnsi="Times New Roman"/>
          <w:kern w:val="2"/>
          <w:sz w:val="21"/>
        </w:rPr>
      </w:pPr>
      <w:r>
        <w:rPr>
          <w:rFonts w:hint="eastAsia" w:ascii="Times New Roman" w:hAnsi="Times New Roman"/>
          <w:kern w:val="2"/>
          <w:sz w:val="21"/>
        </w:rPr>
        <w:t>一档（1</w:t>
      </w:r>
      <w:r>
        <w:rPr>
          <w:rFonts w:hint="eastAsia" w:ascii="Times New Roman" w:hAnsi="Times New Roman"/>
          <w:kern w:val="2"/>
          <w:sz w:val="21"/>
          <w:lang w:val="en-US" w:eastAsia="zh-CN"/>
        </w:rPr>
        <w:t>7</w:t>
      </w:r>
      <w:r>
        <w:rPr>
          <w:rFonts w:hint="eastAsia" w:ascii="Times New Roman" w:hAnsi="Times New Roman"/>
          <w:kern w:val="2"/>
          <w:sz w:val="21"/>
        </w:rPr>
        <w:t>）分：经评委综合评定，售后服务方案优秀。售后服务方案比较细致、合理、可行，保障响应措施较有力，服务经验丰富，响应时间短，快捷、迅速，有该项目详细的售后服务方案、售后服务流程、应急预案、质量保障方案。</w:t>
      </w:r>
    </w:p>
    <w:p>
      <w:pPr>
        <w:pStyle w:val="35"/>
        <w:adjustRightInd w:val="0"/>
        <w:snapToGrid w:val="0"/>
        <w:spacing w:before="0" w:beforeAutospacing="0" w:after="0" w:afterAutospacing="0" w:line="460" w:lineRule="exact"/>
        <w:ind w:firstLine="420" w:firstLineChars="200"/>
        <w:rPr>
          <w:rFonts w:hint="eastAsia" w:ascii="Times New Roman" w:hAnsi="Times New Roman"/>
          <w:kern w:val="2"/>
          <w:sz w:val="21"/>
        </w:rPr>
      </w:pPr>
      <w:r>
        <w:rPr>
          <w:rFonts w:hint="eastAsia" w:ascii="Times New Roman" w:hAnsi="Times New Roman"/>
          <w:kern w:val="2"/>
          <w:sz w:val="21"/>
        </w:rPr>
        <w:t>二档（</w:t>
      </w:r>
      <w:r>
        <w:rPr>
          <w:rFonts w:hint="eastAsia" w:ascii="Times New Roman" w:hAnsi="Times New Roman"/>
          <w:kern w:val="2"/>
          <w:sz w:val="21"/>
          <w:lang w:val="en-US" w:eastAsia="zh-CN"/>
        </w:rPr>
        <w:t>12</w:t>
      </w:r>
      <w:r>
        <w:rPr>
          <w:rFonts w:hint="eastAsia" w:ascii="Times New Roman" w:hAnsi="Times New Roman"/>
          <w:kern w:val="2"/>
          <w:sz w:val="21"/>
        </w:rPr>
        <w:t>）分：经评委综合评定，售后服务方案良好；售后服务方案比较细致、合理、可行，保障响应措施较有力，服务经验较丰富。</w:t>
      </w:r>
    </w:p>
    <w:p>
      <w:pPr>
        <w:pStyle w:val="35"/>
        <w:adjustRightInd w:val="0"/>
        <w:snapToGrid w:val="0"/>
        <w:spacing w:before="0" w:beforeAutospacing="0" w:after="0" w:afterAutospacing="0" w:line="460" w:lineRule="exact"/>
        <w:ind w:firstLine="420" w:firstLineChars="200"/>
        <w:rPr>
          <w:rFonts w:hint="eastAsia" w:ascii="Times New Roman" w:hAnsi="Times New Roman"/>
          <w:sz w:val="21"/>
          <w:szCs w:val="21"/>
        </w:rPr>
      </w:pPr>
      <w:r>
        <w:rPr>
          <w:rFonts w:hint="eastAsia" w:ascii="Times New Roman" w:hAnsi="Times New Roman"/>
          <w:kern w:val="2"/>
          <w:sz w:val="21"/>
        </w:rPr>
        <w:t>三档（</w:t>
      </w:r>
      <w:r>
        <w:rPr>
          <w:rFonts w:hint="eastAsia" w:ascii="Times New Roman" w:hAnsi="Times New Roman"/>
          <w:kern w:val="2"/>
          <w:sz w:val="21"/>
          <w:lang w:val="en-US" w:eastAsia="zh-CN"/>
        </w:rPr>
        <w:t>8</w:t>
      </w:r>
      <w:r>
        <w:rPr>
          <w:rFonts w:hint="eastAsia" w:ascii="Times New Roman" w:hAnsi="Times New Roman"/>
          <w:kern w:val="2"/>
          <w:sz w:val="21"/>
        </w:rPr>
        <w:t>）分：经评委综合评定，售后服务方案一般：售后服务方案简单、基本可行，缺乏保障响应措施，服务经验。</w:t>
      </w:r>
      <w:r>
        <w:rPr>
          <w:rFonts w:hint="eastAsia" w:ascii="Times New Roman" w:hAnsi="Times New Roman"/>
          <w:sz w:val="21"/>
          <w:szCs w:val="21"/>
        </w:rPr>
        <w:t>（注：以上各岗位人员只能担任一个岗位负责人，不能兼岗）</w:t>
      </w:r>
    </w:p>
    <w:p>
      <w:pPr>
        <w:adjustRightInd w:val="0"/>
        <w:snapToGrid w:val="0"/>
        <w:spacing w:line="460" w:lineRule="exact"/>
        <w:rPr>
          <w:rFonts w:ascii="宋体" w:hAnsi="宋体"/>
          <w:b/>
          <w:szCs w:val="21"/>
        </w:rPr>
      </w:pPr>
      <w:r>
        <w:rPr>
          <w:rFonts w:hint="eastAsia" w:ascii="宋体" w:hAnsi="宋体"/>
          <w:b/>
          <w:szCs w:val="21"/>
          <w:lang w:val="en-US" w:eastAsia="zh-CN"/>
        </w:rPr>
        <w:t>3</w:t>
      </w:r>
      <w:r>
        <w:rPr>
          <w:rFonts w:ascii="宋体" w:hAnsi="宋体"/>
          <w:b/>
          <w:szCs w:val="21"/>
        </w:rPr>
        <w:t>、</w:t>
      </w:r>
      <w:r>
        <w:rPr>
          <w:rFonts w:hint="eastAsia" w:ascii="宋体" w:hAnsi="宋体"/>
          <w:b/>
          <w:szCs w:val="21"/>
        </w:rPr>
        <w:t>业绩分</w:t>
      </w:r>
      <w:r>
        <w:rPr>
          <w:rFonts w:ascii="宋体" w:hAnsi="宋体"/>
          <w:b/>
          <w:szCs w:val="21"/>
        </w:rPr>
        <w:t>………………………………………………………………………………</w:t>
      </w:r>
      <w:r>
        <w:rPr>
          <w:rFonts w:hint="eastAsia" w:ascii="宋体" w:hAnsi="宋体"/>
          <w:b/>
          <w:szCs w:val="21"/>
        </w:rPr>
        <w:t>3</w:t>
      </w:r>
      <w:r>
        <w:rPr>
          <w:rFonts w:ascii="宋体" w:hAnsi="宋体"/>
          <w:b/>
          <w:szCs w:val="21"/>
        </w:rPr>
        <w:t>分</w:t>
      </w:r>
    </w:p>
    <w:p>
      <w:pPr>
        <w:pStyle w:val="20"/>
        <w:adjustRightInd w:val="0"/>
        <w:snapToGrid w:val="0"/>
        <w:spacing w:line="460" w:lineRule="exact"/>
        <w:ind w:firstLine="371" w:firstLineChars="177"/>
        <w:jc w:val="left"/>
        <w:rPr>
          <w:rFonts w:hint="eastAsia" w:hAnsi="宋体"/>
          <w:bCs/>
          <w:lang w:val="zh-CN"/>
        </w:rPr>
      </w:pPr>
      <w:r>
        <w:rPr>
          <w:rFonts w:hint="eastAsia" w:hAnsi="宋体"/>
          <w:bCs/>
          <w:lang w:val="zh-CN"/>
        </w:rPr>
        <w:t>2017年至投标截止日前，投标人独立承建的机动车尾气监测监管类政府项目业绩：</w:t>
      </w:r>
    </w:p>
    <w:p>
      <w:pPr>
        <w:pStyle w:val="20"/>
        <w:adjustRightInd w:val="0"/>
        <w:snapToGrid w:val="0"/>
        <w:spacing w:line="460" w:lineRule="exact"/>
        <w:ind w:firstLine="371" w:firstLineChars="177"/>
        <w:jc w:val="left"/>
        <w:rPr>
          <w:rFonts w:hint="eastAsia" w:hAnsi="宋体"/>
          <w:bCs/>
          <w:lang w:val="zh-CN"/>
        </w:rPr>
      </w:pPr>
      <w:r>
        <w:rPr>
          <w:rFonts w:hint="eastAsia" w:hAnsi="宋体"/>
          <w:bCs/>
          <w:lang w:val="zh-CN"/>
        </w:rPr>
        <w:t>1</w:t>
      </w:r>
      <w:r>
        <w:rPr>
          <w:rFonts w:hint="eastAsia" w:hAnsi="宋体"/>
          <w:bCs/>
        </w:rPr>
        <w:t>.</w:t>
      </w:r>
      <w:r>
        <w:rPr>
          <w:rFonts w:hint="eastAsia" w:hAnsi="宋体"/>
          <w:bCs/>
          <w:lang w:val="zh-CN"/>
        </w:rPr>
        <w:t>投标人独立承建的同类机动车遥感监测项目业绩，每提供一个得</w:t>
      </w:r>
      <w:r>
        <w:rPr>
          <w:rFonts w:hint="eastAsia" w:hAnsi="宋体"/>
          <w:bCs/>
        </w:rPr>
        <w:t>1</w:t>
      </w:r>
      <w:r>
        <w:rPr>
          <w:rFonts w:hint="eastAsia" w:hAnsi="宋体"/>
          <w:bCs/>
          <w:lang w:val="zh-CN"/>
        </w:rPr>
        <w:t>分，最高得1分；</w:t>
      </w:r>
    </w:p>
    <w:p>
      <w:pPr>
        <w:pStyle w:val="20"/>
        <w:adjustRightInd w:val="0"/>
        <w:snapToGrid w:val="0"/>
        <w:spacing w:line="460" w:lineRule="exact"/>
        <w:ind w:firstLine="371" w:firstLineChars="177"/>
        <w:jc w:val="left"/>
        <w:rPr>
          <w:rFonts w:hint="eastAsia" w:hAnsi="宋体"/>
          <w:bCs/>
          <w:color w:val="000000"/>
          <w:lang w:val="zh-CN"/>
        </w:rPr>
      </w:pPr>
      <w:r>
        <w:rPr>
          <w:rFonts w:hint="eastAsia" w:hAnsi="宋体"/>
          <w:bCs/>
          <w:color w:val="000000"/>
        </w:rPr>
        <w:t>2.</w:t>
      </w:r>
      <w:r>
        <w:rPr>
          <w:rFonts w:hint="eastAsia" w:hAnsi="宋体"/>
          <w:bCs/>
          <w:color w:val="000000"/>
          <w:lang w:val="zh-CN"/>
        </w:rPr>
        <w:t>投标人独立承担的机动车环保检验系统项目业绩，每个得0.5分，最高得</w:t>
      </w:r>
      <w:r>
        <w:rPr>
          <w:rFonts w:hint="eastAsia" w:hAnsi="宋体"/>
          <w:bCs/>
          <w:color w:val="000000"/>
        </w:rPr>
        <w:t>1</w:t>
      </w:r>
      <w:r>
        <w:rPr>
          <w:rFonts w:hint="eastAsia" w:hAnsi="宋体"/>
          <w:bCs/>
          <w:color w:val="000000"/>
          <w:lang w:val="zh-CN"/>
        </w:rPr>
        <w:t>分。</w:t>
      </w:r>
    </w:p>
    <w:p>
      <w:pPr>
        <w:pStyle w:val="20"/>
        <w:adjustRightInd w:val="0"/>
        <w:snapToGrid w:val="0"/>
        <w:spacing w:line="460" w:lineRule="exact"/>
        <w:ind w:firstLine="371" w:firstLineChars="177"/>
        <w:jc w:val="left"/>
        <w:rPr>
          <w:rFonts w:hint="eastAsia" w:hAnsi="宋体"/>
          <w:bCs/>
          <w:color w:val="000000"/>
          <w:lang w:val="zh-CN"/>
        </w:rPr>
      </w:pPr>
      <w:r>
        <w:rPr>
          <w:rFonts w:hint="eastAsia" w:hAnsi="宋体"/>
          <w:bCs/>
          <w:color w:val="000000"/>
          <w:lang w:val="zh-CN"/>
        </w:rPr>
        <w:t>3.投标人独立承担的机动车排放监管系统与公安联网项目业绩，每个得1分，最高得1分。</w:t>
      </w:r>
    </w:p>
    <w:p>
      <w:pPr>
        <w:pStyle w:val="20"/>
        <w:adjustRightInd w:val="0"/>
        <w:snapToGrid w:val="0"/>
        <w:spacing w:line="460" w:lineRule="exact"/>
        <w:ind w:firstLine="371" w:firstLineChars="177"/>
        <w:jc w:val="left"/>
        <w:rPr>
          <w:rFonts w:hint="eastAsia" w:hAnsi="宋体"/>
          <w:bCs/>
          <w:color w:val="000000"/>
        </w:rPr>
      </w:pPr>
      <w:r>
        <w:rPr>
          <w:rFonts w:hint="eastAsia" w:hAnsi="宋体"/>
          <w:bCs/>
          <w:color w:val="000000"/>
          <w:lang w:val="zh-CN"/>
        </w:rPr>
        <w:t>注：投标文件中提供中标通知书、合同及验收报告复印件加盖投标人公章。</w:t>
      </w:r>
      <w:r>
        <w:rPr>
          <w:rFonts w:hint="eastAsia" w:hAnsi="宋体"/>
          <w:bCs/>
          <w:color w:val="000000"/>
        </w:rPr>
        <w:t xml:space="preserve"> </w:t>
      </w:r>
    </w:p>
    <w:p>
      <w:pPr>
        <w:pStyle w:val="20"/>
        <w:adjustRightInd w:val="0"/>
        <w:snapToGrid w:val="0"/>
        <w:spacing w:line="460" w:lineRule="exact"/>
        <w:ind w:firstLine="371" w:firstLineChars="177"/>
        <w:jc w:val="left"/>
        <w:rPr>
          <w:rFonts w:hint="eastAsia" w:hAnsi="宋体"/>
          <w:b/>
          <w:bCs/>
          <w:color w:val="000000"/>
        </w:rPr>
      </w:pPr>
      <w:r>
        <w:rPr>
          <w:rFonts w:hint="eastAsia" w:hAnsi="宋体"/>
          <w:bCs/>
          <w:color w:val="000000"/>
        </w:rPr>
        <w:t>（三）总得分=1+2+3。</w:t>
      </w:r>
    </w:p>
    <w:p>
      <w:pPr>
        <w:pStyle w:val="20"/>
        <w:adjustRightInd w:val="0"/>
        <w:snapToGrid w:val="0"/>
        <w:spacing w:line="460" w:lineRule="exact"/>
        <w:ind w:firstLine="373" w:firstLineChars="177"/>
        <w:jc w:val="left"/>
        <w:rPr>
          <w:rFonts w:hint="eastAsia" w:hAnsi="宋体"/>
          <w:b/>
          <w:bCs/>
          <w:color w:val="000000"/>
        </w:rPr>
      </w:pPr>
      <w:r>
        <w:rPr>
          <w:rFonts w:hint="eastAsia" w:hAnsi="宋体"/>
          <w:b/>
          <w:bCs/>
          <w:color w:val="000000"/>
        </w:rPr>
        <w:t>三、成交候选人推荐原则</w:t>
      </w:r>
      <w:bookmarkEnd w:id="26"/>
    </w:p>
    <w:p>
      <w:pPr>
        <w:pStyle w:val="20"/>
        <w:adjustRightInd w:val="0"/>
        <w:snapToGrid w:val="0"/>
        <w:spacing w:line="460" w:lineRule="exact"/>
        <w:ind w:firstLine="371" w:firstLineChars="177"/>
        <w:jc w:val="left"/>
        <w:rPr>
          <w:rFonts w:hint="eastAsia" w:hAnsi="宋体"/>
          <w:color w:val="000000"/>
        </w:rPr>
      </w:pPr>
      <w:r>
        <w:rPr>
          <w:rFonts w:hint="eastAsia" w:hAnsi="宋体"/>
          <w:color w:val="000000"/>
        </w:rPr>
        <w:t>评标委员会将根据总得分由高到低排列次序（总得分相同时，以竞标报价由低到高顺序排列；总得分相同且竞标报价相同的，按技术指标优劣顺序排列）并推荐三名成交候选供应商。招标采购单位应当确定评审委员会推荐排名第一的成交候选人为成交人。排名第一的成交候选人放弃成交、因不可抗力提出不能履行合同，或者招标文件规定应当提交履约保证金而在规定的期限内未能提交的，招标采购单位可以确定排定第二的成交候选人为成交人。排名第二的成交候选人因前款规定的同样原因不能签订合同的，招标采购单位可以确定排名第三的成交候选人为成交人，其余以此类推。</w:t>
      </w:r>
    </w:p>
    <w:p>
      <w:pPr>
        <w:pStyle w:val="20"/>
        <w:adjustRightInd w:val="0"/>
        <w:snapToGrid w:val="0"/>
        <w:spacing w:line="460" w:lineRule="exact"/>
        <w:ind w:firstLine="373" w:firstLineChars="177"/>
        <w:jc w:val="left"/>
        <w:rPr>
          <w:rFonts w:hint="eastAsia" w:hAnsi="宋体"/>
          <w:b/>
          <w:bCs/>
          <w:color w:val="000000"/>
        </w:rPr>
      </w:pPr>
      <w:r>
        <w:rPr>
          <w:rFonts w:hint="eastAsia" w:hAnsi="宋体"/>
          <w:b/>
          <w:bCs/>
          <w:color w:val="000000"/>
        </w:rPr>
        <w:t>四、说明</w:t>
      </w:r>
    </w:p>
    <w:p>
      <w:pPr>
        <w:pStyle w:val="20"/>
        <w:adjustRightInd w:val="0"/>
        <w:snapToGrid w:val="0"/>
        <w:spacing w:line="460" w:lineRule="exact"/>
        <w:ind w:firstLine="371" w:firstLineChars="177"/>
        <w:jc w:val="left"/>
        <w:rPr>
          <w:rFonts w:hint="eastAsia" w:hAnsi="宋体"/>
          <w:color w:val="000000"/>
        </w:rPr>
      </w:pPr>
      <w:r>
        <w:rPr>
          <w:rFonts w:hint="eastAsia" w:hAnsi="宋体"/>
          <w:color w:val="000000"/>
        </w:rPr>
        <w:t>1、</w:t>
      </w:r>
      <w:r>
        <w:rPr>
          <w:rFonts w:hint="eastAsia" w:hAnsi="宋体"/>
          <w:color w:val="000000"/>
          <w:lang w:eastAsia="zh-CN"/>
        </w:rPr>
        <w:t>磋商供应商</w:t>
      </w:r>
      <w:r>
        <w:rPr>
          <w:rFonts w:hint="eastAsia" w:hAnsi="宋体"/>
          <w:color w:val="000000"/>
        </w:rPr>
        <w:t>应在响应文件中附上以上涉及的有关证书、文件、合同等的复印件。因</w:t>
      </w:r>
      <w:r>
        <w:rPr>
          <w:rFonts w:hint="eastAsia" w:hAnsi="宋体"/>
          <w:color w:val="000000"/>
          <w:lang w:eastAsia="zh-CN"/>
        </w:rPr>
        <w:t>磋商供应商</w:t>
      </w:r>
      <w:r>
        <w:rPr>
          <w:rFonts w:hint="eastAsia" w:hAnsi="宋体"/>
          <w:color w:val="000000"/>
        </w:rPr>
        <w:t>资料不全或不清楚影响到最终得分的责任由</w:t>
      </w:r>
      <w:r>
        <w:rPr>
          <w:rFonts w:hint="eastAsia" w:hAnsi="宋体"/>
          <w:color w:val="000000"/>
          <w:lang w:eastAsia="zh-CN"/>
        </w:rPr>
        <w:t>磋商供应商</w:t>
      </w:r>
      <w:r>
        <w:rPr>
          <w:rFonts w:hint="eastAsia" w:hAnsi="宋体"/>
          <w:color w:val="000000"/>
        </w:rPr>
        <w:t>自负。</w:t>
      </w:r>
    </w:p>
    <w:p>
      <w:pPr>
        <w:pStyle w:val="20"/>
        <w:adjustRightInd w:val="0"/>
        <w:snapToGrid w:val="0"/>
        <w:spacing w:line="460" w:lineRule="exact"/>
        <w:ind w:firstLine="371" w:firstLineChars="177"/>
        <w:jc w:val="left"/>
        <w:rPr>
          <w:rFonts w:hint="eastAsia" w:hAnsi="宋体"/>
          <w:color w:val="000000"/>
        </w:rPr>
      </w:pPr>
      <w:r>
        <w:rPr>
          <w:rFonts w:hint="eastAsia" w:hAnsi="宋体"/>
          <w:color w:val="000000"/>
        </w:rPr>
        <w:t>2、对于存在严重不平衡、不合理、有可能低于</w:t>
      </w:r>
      <w:r>
        <w:rPr>
          <w:rFonts w:hint="eastAsia" w:hAnsi="宋体"/>
          <w:color w:val="000000"/>
          <w:lang w:eastAsia="zh-CN"/>
        </w:rPr>
        <w:t>磋商供应商</w:t>
      </w:r>
      <w:r>
        <w:rPr>
          <w:rFonts w:hint="eastAsia" w:hAnsi="宋体"/>
          <w:color w:val="000000"/>
        </w:rPr>
        <w:t>自身成本的竞标价，</w:t>
      </w:r>
      <w:r>
        <w:rPr>
          <w:rFonts w:hint="eastAsia" w:hAnsi="宋体"/>
          <w:color w:val="000000"/>
          <w:lang w:eastAsia="zh-CN"/>
        </w:rPr>
        <w:t>磋商供应商</w:t>
      </w:r>
      <w:r>
        <w:rPr>
          <w:rFonts w:hint="eastAsia" w:hAnsi="宋体"/>
          <w:color w:val="000000"/>
        </w:rPr>
        <w:t>不能合理说明或不能提供相关证明材料的，评标委员会有权予以拒绝。</w:t>
      </w:r>
    </w:p>
    <w:p>
      <w:pPr>
        <w:pStyle w:val="20"/>
        <w:adjustRightInd w:val="0"/>
        <w:snapToGrid w:val="0"/>
        <w:spacing w:line="460" w:lineRule="exact"/>
        <w:ind w:firstLine="371" w:firstLineChars="177"/>
        <w:jc w:val="left"/>
        <w:rPr>
          <w:rFonts w:hint="eastAsia" w:hAnsi="宋体"/>
          <w:color w:val="000000"/>
        </w:rPr>
      </w:pPr>
      <w:r>
        <w:rPr>
          <w:rFonts w:hint="eastAsia" w:hAnsi="宋体"/>
          <w:color w:val="000000"/>
        </w:rPr>
        <w:t>3、</w:t>
      </w:r>
      <w:r>
        <w:rPr>
          <w:rFonts w:hint="eastAsia" w:hAnsi="宋体"/>
          <w:color w:val="000000"/>
          <w:lang w:eastAsia="zh-CN"/>
        </w:rPr>
        <w:t>磋商供应商</w:t>
      </w:r>
      <w:r>
        <w:rPr>
          <w:rFonts w:hint="eastAsia" w:hAnsi="宋体"/>
          <w:color w:val="000000"/>
        </w:rPr>
        <w:t>一旦被发现有虚假响应情况，将被取消竞标或成交资格。</w:t>
      </w:r>
    </w:p>
    <w:p>
      <w:pPr>
        <w:pStyle w:val="20"/>
        <w:adjustRightInd w:val="0"/>
        <w:snapToGrid w:val="0"/>
        <w:spacing w:line="460" w:lineRule="exact"/>
        <w:ind w:firstLine="371" w:firstLineChars="177"/>
        <w:jc w:val="left"/>
        <w:rPr>
          <w:rFonts w:hint="eastAsia" w:hAnsi="宋体"/>
          <w:color w:val="000000"/>
        </w:rPr>
      </w:pPr>
    </w:p>
    <w:p>
      <w:pPr>
        <w:pStyle w:val="20"/>
        <w:snapToGrid w:val="0"/>
        <w:spacing w:line="400" w:lineRule="exact"/>
        <w:ind w:firstLine="371" w:firstLineChars="177"/>
        <w:jc w:val="left"/>
        <w:rPr>
          <w:rFonts w:hint="eastAsia" w:hAnsi="宋体"/>
          <w:color w:val="000000"/>
        </w:rPr>
      </w:pPr>
    </w:p>
    <w:p>
      <w:pPr>
        <w:pStyle w:val="20"/>
        <w:tabs>
          <w:tab w:val="left" w:pos="4214"/>
        </w:tabs>
        <w:spacing w:line="420" w:lineRule="exact"/>
        <w:ind w:firstLine="420" w:firstLineChars="200"/>
        <w:rPr>
          <w:rFonts w:hint="eastAsia" w:hAnsi="宋体"/>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588" w:header="720" w:footer="720" w:gutter="0"/>
          <w:pgNumType w:start="0"/>
          <w:cols w:space="720" w:num="1"/>
          <w:titlePg/>
          <w:docGrid w:linePitch="331" w:charSpace="0"/>
        </w:sectPr>
      </w:pPr>
    </w:p>
    <w:p>
      <w:pPr>
        <w:spacing w:line="240" w:lineRule="atLeast"/>
        <w:jc w:val="center"/>
        <w:rPr>
          <w:rFonts w:hint="eastAsia"/>
          <w:color w:val="000000"/>
        </w:rPr>
      </w:pPr>
    </w:p>
    <w:p>
      <w:pPr>
        <w:spacing w:line="240" w:lineRule="atLeast"/>
        <w:jc w:val="center"/>
        <w:rPr>
          <w:rFonts w:hint="eastAsia"/>
          <w:color w:val="000000"/>
        </w:rPr>
      </w:pPr>
    </w:p>
    <w:p>
      <w:pPr>
        <w:pStyle w:val="3"/>
        <w:rPr>
          <w:rFonts w:hint="eastAsia"/>
          <w:color w:val="000000"/>
        </w:rPr>
      </w:pPr>
      <w:bookmarkStart w:id="27" w:name="_Toc28059"/>
      <w:r>
        <w:rPr>
          <w:rFonts w:hint="eastAsia"/>
          <w:color w:val="000000"/>
        </w:rPr>
        <w:t>第五章  响应文件（格式）</w:t>
      </w:r>
      <w:bookmarkEnd w:id="27"/>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p>
    <w:p>
      <w:pPr>
        <w:spacing w:line="240" w:lineRule="atLeast"/>
        <w:jc w:val="center"/>
        <w:rPr>
          <w:rFonts w:hint="eastAsia" w:ascii="宋体" w:hAnsi="宋体"/>
          <w:b/>
          <w:color w:val="000000"/>
          <w:sz w:val="32"/>
          <w:szCs w:val="32"/>
        </w:rPr>
      </w:pPr>
      <w:r>
        <w:rPr>
          <w:rFonts w:hint="eastAsia" w:ascii="宋体" w:hAnsi="宋体"/>
          <w:b/>
          <w:color w:val="000000"/>
          <w:sz w:val="32"/>
          <w:szCs w:val="32"/>
        </w:rPr>
        <w:t>响 应 文 件 (封面)</w:t>
      </w:r>
    </w:p>
    <w:p>
      <w:pPr>
        <w:spacing w:line="360" w:lineRule="auto"/>
        <w:jc w:val="center"/>
        <w:rPr>
          <w:rFonts w:hint="eastAsia" w:ascii="宋体" w:hAnsi="宋体"/>
          <w:color w:val="000000"/>
          <w:szCs w:val="21"/>
        </w:rPr>
      </w:pPr>
    </w:p>
    <w:p>
      <w:pPr>
        <w:spacing w:line="360" w:lineRule="auto"/>
        <w:jc w:val="center"/>
        <w:rPr>
          <w:rFonts w:hint="eastAsia" w:ascii="宋体" w:hAnsi="宋体"/>
          <w:color w:val="000000"/>
          <w:szCs w:val="21"/>
        </w:rPr>
      </w:pPr>
    </w:p>
    <w:p>
      <w:pPr>
        <w:spacing w:line="560" w:lineRule="exact"/>
        <w:jc w:val="left"/>
        <w:rPr>
          <w:rFonts w:hint="eastAsia" w:ascii="宋体" w:hAnsi="宋体"/>
          <w:color w:val="000000"/>
          <w:szCs w:val="21"/>
          <w:u w:val="single"/>
        </w:rPr>
      </w:pPr>
      <w:r>
        <w:rPr>
          <w:rFonts w:hint="eastAsia" w:ascii="宋体" w:hAnsi="宋体"/>
          <w:color w:val="000000"/>
          <w:szCs w:val="21"/>
        </w:rPr>
        <w:t>采购项目编号：</w:t>
      </w:r>
      <w:r>
        <w:rPr>
          <w:rFonts w:hint="eastAsia" w:ascii="宋体" w:hAnsi="宋体"/>
          <w:color w:val="000000"/>
          <w:szCs w:val="21"/>
          <w:u w:val="single"/>
        </w:rPr>
        <w:t xml:space="preserve">                       </w:t>
      </w:r>
    </w:p>
    <w:p>
      <w:pPr>
        <w:tabs>
          <w:tab w:val="left" w:pos="3240"/>
        </w:tabs>
        <w:spacing w:line="560" w:lineRule="exact"/>
        <w:jc w:val="left"/>
        <w:rPr>
          <w:rFonts w:hint="eastAsia" w:ascii="宋体" w:hAnsi="宋体"/>
          <w:color w:val="000000"/>
          <w:szCs w:val="21"/>
          <w:u w:val="single"/>
        </w:rPr>
      </w:pPr>
      <w:r>
        <w:rPr>
          <w:rFonts w:hint="eastAsia" w:ascii="宋体" w:hAnsi="宋体"/>
          <w:color w:val="000000"/>
          <w:szCs w:val="21"/>
        </w:rPr>
        <w:t>采购项目名称：</w:t>
      </w:r>
      <w:r>
        <w:rPr>
          <w:rFonts w:hint="eastAsia" w:ascii="宋体" w:hAnsi="宋体"/>
          <w:color w:val="000000"/>
          <w:szCs w:val="21"/>
          <w:u w:val="single"/>
        </w:rPr>
        <w:t xml:space="preserve">                       </w:t>
      </w:r>
    </w:p>
    <w:p>
      <w:pPr>
        <w:tabs>
          <w:tab w:val="left" w:pos="2625"/>
        </w:tabs>
        <w:spacing w:line="360" w:lineRule="auto"/>
        <w:jc w:val="center"/>
        <w:rPr>
          <w:rFonts w:hint="eastAsia" w:ascii="宋体" w:hAnsi="宋体"/>
          <w:color w:val="000000"/>
          <w:szCs w:val="21"/>
        </w:rPr>
      </w:pPr>
    </w:p>
    <w:p>
      <w:pPr>
        <w:tabs>
          <w:tab w:val="left" w:pos="2625"/>
        </w:tabs>
        <w:spacing w:line="360" w:lineRule="auto"/>
        <w:jc w:val="center"/>
        <w:rPr>
          <w:rFonts w:hint="eastAsia" w:ascii="宋体" w:hAnsi="宋体"/>
          <w:color w:val="000000"/>
          <w:szCs w:val="21"/>
        </w:rPr>
      </w:pPr>
    </w:p>
    <w:p>
      <w:pPr>
        <w:spacing w:line="360" w:lineRule="auto"/>
        <w:jc w:val="center"/>
        <w:rPr>
          <w:rFonts w:hint="eastAsia" w:ascii="宋体" w:hAnsi="宋体"/>
          <w:color w:val="000000"/>
          <w:szCs w:val="21"/>
        </w:rPr>
      </w:pPr>
      <w:r>
        <w:rPr>
          <w:rFonts w:hint="eastAsia" w:ascii="宋体" w:hAnsi="宋体"/>
          <w:color w:val="000000"/>
          <w:szCs w:val="21"/>
        </w:rPr>
        <w:t xml:space="preserve">                                        （供应商名称）</w:t>
      </w:r>
    </w:p>
    <w:p>
      <w:pPr>
        <w:spacing w:line="360" w:lineRule="auto"/>
        <w:ind w:firstLine="6111" w:firstLineChars="2910"/>
        <w:rPr>
          <w:rFonts w:hint="eastAsia" w:ascii="宋体" w:hAnsi="宋体"/>
          <w:color w:val="000000"/>
          <w:szCs w:val="21"/>
        </w:rPr>
      </w:pPr>
      <w:r>
        <w:rPr>
          <w:rFonts w:hint="eastAsia" w:ascii="宋体" w:hAnsi="宋体"/>
          <w:color w:val="000000"/>
          <w:szCs w:val="21"/>
        </w:rPr>
        <w:t>年</w:t>
      </w:r>
      <w:r>
        <w:rPr>
          <w:rFonts w:hint="eastAsia" w:ascii="宋体" w:hAnsi="宋体" w:cs="宋体"/>
          <w:color w:val="000000"/>
          <w:szCs w:val="21"/>
        </w:rPr>
        <w:t xml:space="preserve">    </w:t>
      </w:r>
      <w:r>
        <w:rPr>
          <w:rFonts w:hint="eastAsia" w:ascii="宋体" w:hAnsi="宋体"/>
          <w:color w:val="000000"/>
          <w:szCs w:val="21"/>
        </w:rPr>
        <w:t>月    日</w:t>
      </w: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00" w:lineRule="auto"/>
        <w:rPr>
          <w:rFonts w:hint="eastAsia" w:ascii="宋体" w:hAnsi="宋体"/>
          <w:color w:val="000000"/>
          <w:szCs w:val="21"/>
        </w:rPr>
      </w:pPr>
    </w:p>
    <w:p>
      <w:pPr>
        <w:spacing w:line="380" w:lineRule="exact"/>
        <w:rPr>
          <w:rFonts w:ascii="宋体" w:hAnsi="宋体"/>
          <w:b/>
          <w:color w:val="000000"/>
          <w:sz w:val="28"/>
          <w:szCs w:val="28"/>
        </w:rPr>
      </w:pPr>
      <w:r>
        <w:rPr>
          <w:rFonts w:ascii="宋体" w:hAnsi="宋体"/>
          <w:b/>
          <w:color w:val="000000"/>
          <w:sz w:val="28"/>
          <w:szCs w:val="28"/>
        </w:rPr>
        <w:br w:type="page"/>
      </w:r>
      <w:r>
        <w:rPr>
          <w:rFonts w:hint="eastAsia" w:ascii="宋体" w:hAnsi="宋体"/>
          <w:b/>
          <w:color w:val="000000"/>
          <w:sz w:val="28"/>
          <w:szCs w:val="28"/>
        </w:rPr>
        <w:t>1.报价文件</w:t>
      </w:r>
    </w:p>
    <w:p>
      <w:pPr>
        <w:spacing w:line="300" w:lineRule="auto"/>
        <w:jc w:val="center"/>
        <w:rPr>
          <w:rFonts w:hint="eastAsia" w:ascii="宋体" w:hAnsi="宋体"/>
          <w:b/>
          <w:color w:val="000000"/>
          <w:sz w:val="28"/>
          <w:szCs w:val="28"/>
        </w:rPr>
      </w:pPr>
      <w:r>
        <w:rPr>
          <w:rFonts w:hint="eastAsia" w:ascii="宋体" w:hAnsi="宋体"/>
          <w:b/>
          <w:color w:val="000000"/>
          <w:sz w:val="28"/>
          <w:szCs w:val="28"/>
        </w:rPr>
        <w:t xml:space="preserve"> </w:t>
      </w:r>
    </w:p>
    <w:p>
      <w:pPr>
        <w:spacing w:line="300" w:lineRule="auto"/>
        <w:jc w:val="center"/>
        <w:rPr>
          <w:rFonts w:hint="eastAsia" w:ascii="宋体" w:hAnsi="宋体"/>
          <w:b/>
          <w:color w:val="000000"/>
          <w:sz w:val="32"/>
          <w:szCs w:val="32"/>
        </w:rPr>
      </w:pPr>
      <w:r>
        <w:rPr>
          <w:rFonts w:hint="eastAsia" w:ascii="宋体" w:hAnsi="宋体"/>
          <w:b/>
          <w:color w:val="000000"/>
          <w:sz w:val="32"/>
          <w:szCs w:val="32"/>
        </w:rPr>
        <w:t>磋 商 报 价 表（格式）</w:t>
      </w:r>
    </w:p>
    <w:p>
      <w:pPr>
        <w:spacing w:line="300" w:lineRule="auto"/>
        <w:jc w:val="center"/>
        <w:rPr>
          <w:rFonts w:hint="eastAsia" w:ascii="宋体" w:hAnsi="宋体"/>
          <w:b/>
          <w:color w:val="000000"/>
          <w:sz w:val="32"/>
          <w:szCs w:val="32"/>
        </w:rPr>
      </w:pPr>
    </w:p>
    <w:p>
      <w:pPr>
        <w:spacing w:line="300" w:lineRule="auto"/>
        <w:rPr>
          <w:rFonts w:hint="eastAsia" w:ascii="宋体" w:hAnsi="宋体"/>
          <w:color w:val="000000"/>
          <w:szCs w:val="21"/>
          <w:u w:val="single"/>
        </w:rPr>
      </w:pPr>
      <w:r>
        <w:rPr>
          <w:rFonts w:hint="eastAsia" w:ascii="宋体" w:hAnsi="宋体"/>
          <w:color w:val="000000"/>
          <w:szCs w:val="21"/>
        </w:rPr>
        <w:t>采购项目编号：</w:t>
      </w:r>
      <w:r>
        <w:rPr>
          <w:rFonts w:hAnsi="宋体"/>
          <w:color w:val="000000"/>
          <w:u w:val="single"/>
        </w:rPr>
        <w:t xml:space="preserve"> </w:t>
      </w:r>
      <w:r>
        <w:rPr>
          <w:rFonts w:hint="eastAsia" w:hAnsi="宋体"/>
          <w:color w:val="000000"/>
          <w:u w:val="single"/>
        </w:rPr>
        <w:t xml:space="preserve">              </w:t>
      </w:r>
    </w:p>
    <w:p>
      <w:pPr>
        <w:spacing w:line="300" w:lineRule="auto"/>
        <w:rPr>
          <w:rFonts w:hint="eastAsia" w:ascii="宋体" w:hAnsi="宋体"/>
          <w:color w:val="000000"/>
          <w:szCs w:val="21"/>
        </w:rPr>
      </w:pPr>
      <w:r>
        <w:rPr>
          <w:rFonts w:hint="eastAsia" w:ascii="宋体" w:hAnsi="宋体"/>
          <w:color w:val="000000"/>
          <w:szCs w:val="21"/>
        </w:rPr>
        <w:t>采购项目名称：</w:t>
      </w:r>
      <w:r>
        <w:rPr>
          <w:rFonts w:hint="eastAsia" w:ascii="宋体" w:hAnsi="宋体"/>
          <w:color w:val="000000"/>
          <w:szCs w:val="21"/>
          <w:u w:val="single"/>
        </w:rPr>
        <w:t xml:space="preserve">                </w:t>
      </w:r>
      <w:r>
        <w:rPr>
          <w:rFonts w:hint="eastAsia" w:ascii="宋体" w:hAnsi="宋体"/>
          <w:color w:val="000000"/>
          <w:szCs w:val="21"/>
        </w:rPr>
        <w:t xml:space="preserve">    </w:t>
      </w:r>
    </w:p>
    <w:p>
      <w:pPr>
        <w:spacing w:line="300" w:lineRule="auto"/>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分标：</w:t>
      </w:r>
    </w:p>
    <w:tbl>
      <w:tblPr>
        <w:tblStyle w:val="4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31"/>
        <w:gridCol w:w="3730"/>
        <w:gridCol w:w="3118"/>
        <w:gridCol w:w="113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63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宋体" w:hAnsi="宋体" w:eastAsia="宋体" w:cs="Times New Roman"/>
                <w:b/>
                <w:color w:val="000000"/>
              </w:rPr>
            </w:pPr>
            <w:r>
              <w:rPr>
                <w:rFonts w:hint="eastAsia" w:ascii="宋体" w:hAnsi="宋体" w:eastAsia="宋体" w:cs="Times New Roman"/>
                <w:b/>
                <w:color w:val="000000"/>
              </w:rPr>
              <w:t>项号</w:t>
            </w:r>
          </w:p>
        </w:tc>
        <w:tc>
          <w:tcPr>
            <w:tcW w:w="3730"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eastAsia="宋体" w:cs="Times New Roman"/>
                <w:b/>
                <w:color w:val="000000"/>
              </w:rPr>
            </w:pPr>
            <w:r>
              <w:rPr>
                <w:rFonts w:hint="eastAsia" w:ascii="宋体" w:hAnsi="宋体" w:eastAsia="宋体" w:cs="Times New Roman"/>
                <w:b/>
                <w:color w:val="000000"/>
              </w:rPr>
              <w:t>服务内容</w:t>
            </w:r>
          </w:p>
        </w:tc>
        <w:tc>
          <w:tcPr>
            <w:tcW w:w="3118"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Times New Roman" w:hAnsi="Times New Roman" w:eastAsia="宋体" w:cs="Times New Roman"/>
                <w:b/>
                <w:color w:val="000000"/>
              </w:rPr>
            </w:pPr>
            <w:r>
              <w:rPr>
                <w:rFonts w:hint="eastAsia" w:ascii="Times New Roman" w:hAnsi="Times New Roman" w:eastAsia="宋体" w:cs="Times New Roman"/>
                <w:b/>
                <w:color w:val="000000"/>
              </w:rPr>
              <w:t>报价（元）</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Times New Roman" w:hAnsi="Times New Roman" w:eastAsia="宋体" w:cs="Times New Roman"/>
                <w:b/>
                <w:color w:val="000000"/>
              </w:rPr>
            </w:pPr>
            <w:r>
              <w:rPr>
                <w:rFonts w:hint="eastAsia" w:ascii="Times New Roman" w:hAnsi="Times New Roman" w:eastAsia="宋体" w:cs="Times New Roman"/>
                <w:b/>
                <w:color w:val="000000"/>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631" w:type="dxa"/>
            <w:tcBorders>
              <w:top w:val="single" w:color="auto" w:sz="4" w:space="0"/>
              <w:left w:val="single" w:color="auto" w:sz="4" w:space="0"/>
              <w:bottom w:val="single" w:color="auto" w:sz="4" w:space="0"/>
              <w:right w:val="single" w:color="auto" w:sz="4" w:space="0"/>
            </w:tcBorders>
            <w:noWrap w:val="0"/>
            <w:vAlign w:val="center"/>
          </w:tcPr>
          <w:p>
            <w:pPr>
              <w:pStyle w:val="20"/>
              <w:spacing w:line="260" w:lineRule="exact"/>
              <w:jc w:val="center"/>
              <w:rPr>
                <w:rFonts w:eastAsia="宋体" w:cs="Times New Roman"/>
                <w:b/>
                <w:color w:val="000000"/>
                <w:szCs w:val="21"/>
              </w:rPr>
            </w:pPr>
            <w:r>
              <w:rPr>
                <w:rFonts w:hint="eastAsia" w:eastAsia="宋体" w:cs="Times New Roman"/>
                <w:b/>
                <w:color w:val="000000"/>
                <w:szCs w:val="21"/>
              </w:rPr>
              <w:t>1</w:t>
            </w:r>
          </w:p>
        </w:tc>
        <w:tc>
          <w:tcPr>
            <w:tcW w:w="373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eastAsia="宋体" w:cs="宋体"/>
                <w:b/>
                <w:bCs/>
                <w:color w:val="000000"/>
                <w:kern w:val="0"/>
                <w:szCs w:val="21"/>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631" w:type="dxa"/>
            <w:tcBorders>
              <w:top w:val="single" w:color="auto" w:sz="4" w:space="0"/>
              <w:left w:val="single" w:color="auto" w:sz="4" w:space="0"/>
              <w:bottom w:val="single" w:color="auto" w:sz="4" w:space="0"/>
              <w:right w:val="single" w:color="auto" w:sz="4" w:space="0"/>
            </w:tcBorders>
            <w:noWrap w:val="0"/>
            <w:vAlign w:val="center"/>
          </w:tcPr>
          <w:p>
            <w:pPr>
              <w:pStyle w:val="20"/>
              <w:spacing w:line="260" w:lineRule="exact"/>
              <w:jc w:val="center"/>
              <w:rPr>
                <w:rFonts w:eastAsia="宋体" w:cs="Times New Roman"/>
                <w:b/>
                <w:color w:val="000000"/>
                <w:szCs w:val="21"/>
              </w:rPr>
            </w:pPr>
            <w:r>
              <w:rPr>
                <w:rFonts w:hint="eastAsia" w:eastAsia="宋体" w:cs="Times New Roman"/>
                <w:b/>
                <w:color w:val="000000"/>
                <w:szCs w:val="21"/>
              </w:rPr>
              <w:t>2</w:t>
            </w:r>
          </w:p>
        </w:tc>
        <w:tc>
          <w:tcPr>
            <w:tcW w:w="3730"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ascii="宋体" w:hAnsi="宋体" w:eastAsia="宋体" w:cs="宋体"/>
                <w:b/>
                <w:bCs/>
                <w:color w:val="000000"/>
                <w:kern w:val="0"/>
                <w:szCs w:val="21"/>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631" w:type="dxa"/>
            <w:tcBorders>
              <w:top w:val="single" w:color="auto" w:sz="4" w:space="0"/>
              <w:left w:val="single" w:color="auto" w:sz="4" w:space="0"/>
              <w:bottom w:val="single" w:color="auto" w:sz="4" w:space="0"/>
              <w:right w:val="single" w:color="auto" w:sz="4" w:space="0"/>
            </w:tcBorders>
            <w:noWrap w:val="0"/>
            <w:vAlign w:val="center"/>
          </w:tcPr>
          <w:p>
            <w:pPr>
              <w:pStyle w:val="20"/>
              <w:spacing w:line="260" w:lineRule="exact"/>
              <w:jc w:val="center"/>
              <w:rPr>
                <w:rFonts w:hint="eastAsia" w:eastAsia="宋体" w:cs="Times New Roman"/>
                <w:b/>
                <w:color w:val="000000"/>
                <w:szCs w:val="21"/>
              </w:rPr>
            </w:pPr>
            <w:r>
              <w:rPr>
                <w:rFonts w:hint="eastAsia" w:eastAsia="宋体" w:cs="Times New Roman"/>
                <w:b/>
                <w:color w:val="000000"/>
                <w:szCs w:val="21"/>
              </w:rPr>
              <w:t>3</w:t>
            </w:r>
          </w:p>
        </w:tc>
        <w:tc>
          <w:tcPr>
            <w:tcW w:w="3730" w:type="dxa"/>
            <w:tcBorders>
              <w:top w:val="single" w:color="auto" w:sz="4" w:space="0"/>
              <w:left w:val="single" w:color="auto" w:sz="4" w:space="0"/>
              <w:bottom w:val="single" w:color="auto" w:sz="4" w:space="0"/>
              <w:right w:val="single" w:color="auto" w:sz="4" w:space="0"/>
            </w:tcBorders>
            <w:noWrap w:val="0"/>
            <w:vAlign w:val="center"/>
          </w:tcPr>
          <w:p>
            <w:pPr>
              <w:pStyle w:val="20"/>
              <w:spacing w:line="260" w:lineRule="exact"/>
              <w:jc w:val="center"/>
              <w:rPr>
                <w:rFonts w:hAnsi="宋体" w:eastAsia="宋体" w:cs="宋体"/>
                <w:b/>
                <w:bCs/>
                <w:color w:val="000000"/>
                <w:kern w:val="0"/>
                <w:szCs w:val="21"/>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631" w:type="dxa"/>
            <w:tcBorders>
              <w:top w:val="single" w:color="auto" w:sz="4" w:space="0"/>
              <w:left w:val="single" w:color="auto" w:sz="4" w:space="0"/>
              <w:bottom w:val="single" w:color="auto" w:sz="4" w:space="0"/>
              <w:right w:val="single" w:color="auto" w:sz="4" w:space="0"/>
            </w:tcBorders>
            <w:noWrap w:val="0"/>
            <w:vAlign w:val="center"/>
          </w:tcPr>
          <w:p>
            <w:pPr>
              <w:pStyle w:val="20"/>
              <w:spacing w:line="260" w:lineRule="exact"/>
              <w:jc w:val="center"/>
              <w:rPr>
                <w:rFonts w:hint="eastAsia" w:eastAsia="宋体" w:cs="Times New Roman"/>
                <w:b/>
                <w:color w:val="000000"/>
                <w:szCs w:val="21"/>
              </w:rPr>
            </w:pPr>
            <w:r>
              <w:rPr>
                <w:rFonts w:hint="eastAsia" w:eastAsia="宋体" w:cs="Times New Roman"/>
                <w:b/>
                <w:color w:val="000000"/>
                <w:szCs w:val="21"/>
              </w:rPr>
              <w:t>4</w:t>
            </w:r>
          </w:p>
        </w:tc>
        <w:tc>
          <w:tcPr>
            <w:tcW w:w="3730" w:type="dxa"/>
            <w:tcBorders>
              <w:top w:val="single" w:color="auto" w:sz="4" w:space="0"/>
              <w:left w:val="single" w:color="auto" w:sz="4" w:space="0"/>
              <w:bottom w:val="single" w:color="auto" w:sz="4" w:space="0"/>
              <w:right w:val="single" w:color="auto" w:sz="4" w:space="0"/>
            </w:tcBorders>
            <w:noWrap w:val="0"/>
            <w:vAlign w:val="center"/>
          </w:tcPr>
          <w:p>
            <w:pPr>
              <w:pStyle w:val="20"/>
              <w:spacing w:line="260" w:lineRule="exact"/>
              <w:jc w:val="center"/>
              <w:rPr>
                <w:rFonts w:hint="eastAsia" w:hAnsi="宋体" w:eastAsia="宋体" w:cs="宋体"/>
                <w:b/>
                <w:bCs/>
                <w:color w:val="000000"/>
                <w:kern w:val="0"/>
                <w:szCs w:val="21"/>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631" w:type="dxa"/>
            <w:tcBorders>
              <w:top w:val="single" w:color="auto" w:sz="4" w:space="0"/>
              <w:left w:val="single" w:color="auto" w:sz="4" w:space="0"/>
              <w:bottom w:val="single" w:color="auto" w:sz="4" w:space="0"/>
              <w:right w:val="single" w:color="auto" w:sz="4" w:space="0"/>
            </w:tcBorders>
            <w:noWrap w:val="0"/>
            <w:vAlign w:val="center"/>
          </w:tcPr>
          <w:p>
            <w:pPr>
              <w:pStyle w:val="20"/>
              <w:spacing w:line="260" w:lineRule="exact"/>
              <w:jc w:val="center"/>
              <w:rPr>
                <w:rFonts w:hint="eastAsia" w:eastAsia="宋体" w:cs="Times New Roman"/>
                <w:b/>
                <w:color w:val="000000"/>
                <w:szCs w:val="21"/>
              </w:rPr>
            </w:pPr>
            <w:r>
              <w:rPr>
                <w:rFonts w:hint="eastAsia" w:eastAsia="宋体" w:cs="Times New Roman"/>
                <w:b/>
                <w:color w:val="000000"/>
                <w:szCs w:val="21"/>
              </w:rPr>
              <w:t>5</w:t>
            </w:r>
          </w:p>
        </w:tc>
        <w:tc>
          <w:tcPr>
            <w:tcW w:w="3730" w:type="dxa"/>
            <w:tcBorders>
              <w:top w:val="single" w:color="auto" w:sz="4" w:space="0"/>
              <w:left w:val="single" w:color="auto" w:sz="4" w:space="0"/>
              <w:bottom w:val="single" w:color="auto" w:sz="4" w:space="0"/>
              <w:right w:val="single" w:color="auto" w:sz="4" w:space="0"/>
            </w:tcBorders>
            <w:noWrap w:val="0"/>
            <w:vAlign w:val="center"/>
          </w:tcPr>
          <w:p>
            <w:pPr>
              <w:pStyle w:val="20"/>
              <w:spacing w:line="260" w:lineRule="exact"/>
              <w:jc w:val="center"/>
              <w:rPr>
                <w:rFonts w:hint="eastAsia" w:hAnsi="宋体" w:eastAsia="宋体" w:cs="宋体"/>
                <w:b/>
                <w:bCs/>
                <w:color w:val="000000"/>
                <w:kern w:val="0"/>
                <w:szCs w:val="21"/>
              </w:rPr>
            </w:pPr>
          </w:p>
        </w:tc>
        <w:tc>
          <w:tcPr>
            <w:tcW w:w="3118"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jc w:val="center"/>
              <w:rPr>
                <w:rFonts w:hint="eastAsia" w:ascii="宋体" w:hAnsi="宋体" w:eastAsia="宋体" w:cs="Times New Roman"/>
                <w:color w:val="000000"/>
                <w:spacing w:val="20"/>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861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1418"/>
              </w:tabs>
              <w:snapToGrid w:val="0"/>
              <w:spacing w:before="50" w:after="50"/>
              <w:rPr>
                <w:rFonts w:ascii="宋体" w:hAnsi="宋体" w:eastAsia="宋体" w:cs="Times New Roman"/>
                <w:color w:val="000000"/>
                <w:spacing w:val="20"/>
                <w:sz w:val="24"/>
                <w:szCs w:val="20"/>
              </w:rPr>
            </w:pPr>
            <w:r>
              <w:rPr>
                <w:rFonts w:hint="eastAsia" w:ascii="宋体" w:hAnsi="宋体" w:eastAsia="宋体" w:cs="Times New Roman"/>
                <w:color w:val="000000"/>
                <w:spacing w:val="20"/>
                <w:sz w:val="24"/>
                <w:szCs w:val="20"/>
              </w:rPr>
              <w:t>合计（总报价）：人民币（大写）</w:t>
            </w:r>
            <w:r>
              <w:rPr>
                <w:rFonts w:hint="eastAsia" w:ascii="宋体" w:hAnsi="宋体" w:eastAsia="宋体" w:cs="Times New Roman"/>
                <w:color w:val="000000"/>
                <w:spacing w:val="20"/>
                <w:sz w:val="24"/>
                <w:szCs w:val="20"/>
                <w:u w:val="single"/>
              </w:rPr>
              <w:t xml:space="preserve">           </w:t>
            </w:r>
            <w:r>
              <w:rPr>
                <w:rFonts w:hint="eastAsia" w:ascii="宋体" w:hAnsi="宋体" w:eastAsia="宋体" w:cs="Times New Roman"/>
                <w:color w:val="000000"/>
                <w:spacing w:val="20"/>
                <w:sz w:val="24"/>
                <w:szCs w:val="20"/>
              </w:rPr>
              <w:t>（￥</w:t>
            </w:r>
            <w:r>
              <w:rPr>
                <w:rFonts w:hint="eastAsia" w:ascii="宋体" w:hAnsi="宋体" w:eastAsia="宋体" w:cs="Times New Roman"/>
                <w:color w:val="000000"/>
                <w:spacing w:val="20"/>
                <w:sz w:val="24"/>
                <w:szCs w:val="20"/>
                <w:u w:val="single"/>
              </w:rPr>
              <w:t xml:space="preserve">          </w:t>
            </w:r>
            <w:r>
              <w:rPr>
                <w:rFonts w:ascii="宋体" w:hAnsi="宋体" w:eastAsia="宋体" w:cs="Times New Roman"/>
                <w:color w:val="000000"/>
                <w:spacing w:val="20"/>
                <w:sz w:val="24"/>
                <w:szCs w:val="20"/>
              </w:rPr>
              <w:t>)</w:t>
            </w:r>
          </w:p>
          <w:p>
            <w:pPr>
              <w:tabs>
                <w:tab w:val="left" w:pos="1418"/>
              </w:tabs>
              <w:snapToGrid w:val="0"/>
              <w:spacing w:before="50" w:after="50"/>
              <w:rPr>
                <w:rFonts w:hint="eastAsia" w:ascii="宋体" w:hAnsi="宋体" w:eastAsia="宋体" w:cs="Times New Roman"/>
                <w:color w:val="000000"/>
                <w:spacing w:val="20"/>
                <w:sz w:val="24"/>
                <w:szCs w:val="20"/>
              </w:rPr>
            </w:pPr>
            <w:r>
              <w:rPr>
                <w:rFonts w:hint="eastAsia" w:ascii="宋体" w:hAnsi="宋体" w:eastAsia="宋体" w:cs="Times New Roman"/>
                <w:color w:val="000000"/>
                <w:spacing w:val="20"/>
                <w:sz w:val="24"/>
                <w:szCs w:val="20"/>
              </w:rPr>
              <w:t xml:space="preserve">服务期限： </w:t>
            </w:r>
          </w:p>
        </w:tc>
      </w:tr>
    </w:tbl>
    <w:p>
      <w:pPr>
        <w:spacing w:line="300" w:lineRule="auto"/>
        <w:rPr>
          <w:rFonts w:hint="eastAsia" w:ascii="宋体" w:hAnsi="宋体"/>
          <w:color w:val="000000"/>
          <w:szCs w:val="21"/>
        </w:rPr>
      </w:pPr>
      <w:r>
        <w:rPr>
          <w:rFonts w:hint="eastAsia" w:ascii="宋体" w:hAnsi="宋体"/>
          <w:color w:val="000000"/>
          <w:szCs w:val="21"/>
        </w:rPr>
        <w:t xml:space="preserve"> </w:t>
      </w:r>
    </w:p>
    <w:p>
      <w:pPr>
        <w:pStyle w:val="20"/>
        <w:spacing w:line="360" w:lineRule="auto"/>
        <w:rPr>
          <w:rFonts w:hint="eastAsia" w:hAnsi="宋体"/>
          <w:color w:val="000000"/>
          <w:u w:val="single"/>
        </w:rPr>
      </w:pPr>
      <w:r>
        <w:rPr>
          <w:rFonts w:hint="eastAsia" w:hAnsi="宋体"/>
          <w:color w:val="000000"/>
        </w:rPr>
        <w:t>法定代表人或被授权人签字：</w:t>
      </w:r>
      <w:r>
        <w:rPr>
          <w:rFonts w:hint="eastAsia" w:hAnsi="宋体"/>
          <w:color w:val="000000"/>
          <w:u w:val="single"/>
        </w:rPr>
        <w:t xml:space="preserve">              </w:t>
      </w:r>
    </w:p>
    <w:p>
      <w:pPr>
        <w:pStyle w:val="20"/>
        <w:spacing w:line="360" w:lineRule="auto"/>
        <w:rPr>
          <w:rFonts w:hint="eastAsia" w:hAnsi="宋体"/>
          <w:color w:val="000000"/>
          <w:u w:val="single"/>
        </w:rPr>
      </w:pPr>
      <w:r>
        <w:rPr>
          <w:rFonts w:hint="eastAsia" w:hAnsi="宋体"/>
          <w:color w:val="000000"/>
        </w:rPr>
        <w:t>供应商章：</w:t>
      </w:r>
      <w:r>
        <w:rPr>
          <w:rFonts w:hint="eastAsia" w:hAnsi="宋体"/>
          <w:color w:val="000000"/>
          <w:u w:val="single"/>
        </w:rPr>
        <w:t xml:space="preserve">                            </w:t>
      </w:r>
    </w:p>
    <w:p>
      <w:pPr>
        <w:pStyle w:val="20"/>
        <w:spacing w:line="360" w:lineRule="auto"/>
        <w:rPr>
          <w:rFonts w:hint="eastAsia" w:hAnsi="宋体"/>
          <w:color w:val="000000"/>
        </w:rPr>
      </w:pPr>
      <w:r>
        <w:rPr>
          <w:rFonts w:hint="eastAsia" w:hAnsi="宋体"/>
          <w:color w:val="000000"/>
        </w:rPr>
        <w:t>日期:</w:t>
      </w:r>
      <w:r>
        <w:rPr>
          <w:rFonts w:hint="eastAsia" w:hAnsi="宋体"/>
          <w:color w:val="000000"/>
          <w:u w:val="single"/>
        </w:rPr>
        <w:t xml:space="preserve">     </w:t>
      </w:r>
      <w:r>
        <w:rPr>
          <w:rFonts w:hint="eastAsia" w:hAnsi="宋体"/>
          <w:color w:val="000000"/>
        </w:rPr>
        <w:t>年</w:t>
      </w:r>
      <w:r>
        <w:rPr>
          <w:rFonts w:hint="eastAsia" w:hAnsi="宋体"/>
          <w:color w:val="000000"/>
          <w:u w:val="single"/>
        </w:rPr>
        <w:t xml:space="preserve">     </w:t>
      </w:r>
      <w:r>
        <w:rPr>
          <w:rFonts w:hint="eastAsia" w:hAnsi="宋体"/>
          <w:color w:val="000000"/>
        </w:rPr>
        <w:t>月</w:t>
      </w:r>
      <w:r>
        <w:rPr>
          <w:rFonts w:hint="eastAsia" w:hAnsi="宋体"/>
          <w:color w:val="000000"/>
          <w:u w:val="single"/>
        </w:rPr>
        <w:t xml:space="preserve">    </w:t>
      </w:r>
      <w:r>
        <w:rPr>
          <w:rFonts w:hint="eastAsia" w:hAnsi="宋体"/>
          <w:color w:val="000000"/>
        </w:rPr>
        <w:t xml:space="preserve">日 </w:t>
      </w:r>
    </w:p>
    <w:p>
      <w:pPr>
        <w:pStyle w:val="20"/>
        <w:rPr>
          <w:rFonts w:hint="eastAsia"/>
          <w:bCs/>
          <w:color w:val="000000"/>
        </w:rPr>
      </w:pPr>
    </w:p>
    <w:p>
      <w:pPr>
        <w:pStyle w:val="20"/>
        <w:spacing w:line="380" w:lineRule="exact"/>
        <w:rPr>
          <w:rFonts w:hint="eastAsia"/>
          <w:bCs/>
          <w:color w:val="000000"/>
        </w:rPr>
      </w:pPr>
      <w:r>
        <w:rPr>
          <w:rFonts w:hint="eastAsia"/>
          <w:bCs/>
          <w:color w:val="000000"/>
        </w:rPr>
        <w:t>竞标报价说明：</w:t>
      </w:r>
    </w:p>
    <w:p>
      <w:pPr>
        <w:pStyle w:val="20"/>
        <w:spacing w:line="380" w:lineRule="exact"/>
        <w:ind w:firstLine="420" w:firstLineChars="200"/>
        <w:rPr>
          <w:rFonts w:hint="eastAsia" w:hAnsi="宋体"/>
          <w:color w:val="000000"/>
          <w:szCs w:val="21"/>
        </w:rPr>
      </w:pPr>
      <w:r>
        <w:rPr>
          <w:rFonts w:hint="eastAsia" w:hAnsi="宋体"/>
          <w:color w:val="000000"/>
          <w:szCs w:val="21"/>
        </w:rPr>
        <w:t>本</w:t>
      </w:r>
      <w:r>
        <w:rPr>
          <w:rFonts w:hint="eastAsia" w:hAnsi="宋体"/>
          <w:color w:val="000000"/>
          <w:szCs w:val="21"/>
          <w:lang w:eastAsia="zh-CN"/>
        </w:rPr>
        <w:t>磋商供应商</w:t>
      </w:r>
      <w:r>
        <w:rPr>
          <w:rFonts w:hint="eastAsia" w:hAnsi="宋体"/>
          <w:color w:val="000000"/>
          <w:szCs w:val="21"/>
        </w:rPr>
        <w:t>的报价已包括了实施和完成服务所需的劳务费、技术服务费、交通、通讯、办公场地、管理费、税费和利润等费用和政策性文件规定及合同包含的所有风险、责任等各项应有的费用。</w:t>
      </w:r>
    </w:p>
    <w:p>
      <w:pPr>
        <w:pStyle w:val="20"/>
        <w:spacing w:line="380" w:lineRule="exact"/>
        <w:ind w:firstLine="420" w:firstLineChars="200"/>
        <w:rPr>
          <w:rFonts w:hint="eastAsia" w:hAnsi="宋体"/>
          <w:color w:val="000000"/>
          <w:szCs w:val="21"/>
        </w:rPr>
      </w:pPr>
      <w:r>
        <w:rPr>
          <w:rFonts w:hint="eastAsia" w:hAnsi="宋体"/>
          <w:color w:val="000000"/>
          <w:szCs w:val="21"/>
        </w:rPr>
        <w:t>各磋商人应该根据项目实际情况及结合市场报价进行综合报价。总报价在合同实施期间不因市场价格变化因素而变动。</w:t>
      </w:r>
    </w:p>
    <w:p>
      <w:pPr>
        <w:pStyle w:val="20"/>
        <w:spacing w:line="380" w:lineRule="exact"/>
        <w:ind w:firstLine="420" w:firstLineChars="200"/>
        <w:rPr>
          <w:rFonts w:hint="eastAsia" w:ascii="黑体" w:eastAsia="黑体"/>
          <w:b/>
          <w:bCs/>
          <w:color w:val="000000"/>
          <w:sz w:val="32"/>
        </w:rPr>
      </w:pPr>
      <w:r>
        <w:rPr>
          <w:rFonts w:hint="eastAsia" w:hAnsi="宋体"/>
          <w:color w:val="000000"/>
          <w:szCs w:val="21"/>
        </w:rPr>
        <w:t>注：报价取小数点后两位</w:t>
      </w:r>
    </w:p>
    <w:p>
      <w:pPr>
        <w:pStyle w:val="20"/>
        <w:spacing w:line="360" w:lineRule="exact"/>
        <w:ind w:left="412"/>
        <w:rPr>
          <w:rFonts w:hint="eastAsia" w:hAnsi="宋体"/>
          <w:color w:val="000000"/>
        </w:rPr>
      </w:pPr>
    </w:p>
    <w:p>
      <w:pPr>
        <w:pStyle w:val="20"/>
        <w:spacing w:line="360" w:lineRule="exact"/>
        <w:ind w:left="412"/>
        <w:rPr>
          <w:rFonts w:hint="eastAsia" w:hAnsi="宋体"/>
          <w:color w:val="000000"/>
        </w:rPr>
      </w:pPr>
    </w:p>
    <w:p>
      <w:pPr>
        <w:pStyle w:val="20"/>
        <w:spacing w:line="360" w:lineRule="exact"/>
        <w:ind w:left="412"/>
        <w:rPr>
          <w:rFonts w:hint="eastAsia" w:hAnsi="宋体"/>
          <w:color w:val="000000"/>
        </w:rPr>
      </w:pPr>
    </w:p>
    <w:p>
      <w:pPr>
        <w:pStyle w:val="20"/>
        <w:spacing w:line="360" w:lineRule="exact"/>
        <w:ind w:left="412"/>
        <w:rPr>
          <w:rFonts w:hint="eastAsia" w:hAnsi="宋体"/>
          <w:color w:val="000000"/>
        </w:rPr>
      </w:pPr>
    </w:p>
    <w:p>
      <w:pPr>
        <w:pStyle w:val="20"/>
        <w:spacing w:line="360" w:lineRule="exact"/>
        <w:ind w:left="412"/>
        <w:rPr>
          <w:rFonts w:hint="eastAsia" w:hAnsi="宋体"/>
          <w:color w:val="000000"/>
        </w:rPr>
      </w:pPr>
    </w:p>
    <w:p>
      <w:pPr>
        <w:pStyle w:val="20"/>
        <w:spacing w:line="360" w:lineRule="exact"/>
        <w:ind w:left="412"/>
        <w:rPr>
          <w:rFonts w:hint="eastAsia" w:hAnsi="宋体"/>
          <w:color w:val="000000"/>
        </w:rPr>
      </w:pPr>
    </w:p>
    <w:p>
      <w:pPr>
        <w:pStyle w:val="20"/>
        <w:spacing w:line="360" w:lineRule="exact"/>
        <w:ind w:left="412"/>
        <w:rPr>
          <w:rFonts w:hint="eastAsia" w:hAnsi="宋体"/>
          <w:color w:val="000000"/>
        </w:rPr>
      </w:pPr>
    </w:p>
    <w:p>
      <w:pPr>
        <w:pStyle w:val="20"/>
        <w:spacing w:line="360" w:lineRule="exact"/>
        <w:ind w:left="412"/>
        <w:rPr>
          <w:rFonts w:hint="eastAsia" w:hAnsi="宋体"/>
          <w:color w:val="000000"/>
        </w:rPr>
      </w:pPr>
    </w:p>
    <w:p>
      <w:pPr>
        <w:spacing w:line="300" w:lineRule="exact"/>
        <w:ind w:left="840" w:hanging="840"/>
        <w:rPr>
          <w:rFonts w:hint="eastAsia" w:ascii="宋体" w:hAnsi="宋体"/>
          <w:color w:val="000000"/>
          <w:szCs w:val="21"/>
        </w:rPr>
      </w:pPr>
      <w:r>
        <w:rPr>
          <w:rFonts w:hint="eastAsia" w:ascii="宋体" w:hAnsi="宋体"/>
          <w:b/>
          <w:color w:val="000000"/>
          <w:sz w:val="28"/>
          <w:szCs w:val="28"/>
        </w:rPr>
        <w:t>2.商务技术文件</w:t>
      </w:r>
      <w:r>
        <w:rPr>
          <w:rFonts w:hint="eastAsia" w:ascii="宋体" w:hAnsi="宋体"/>
          <w:b/>
          <w:color w:val="000000"/>
          <w:szCs w:val="21"/>
        </w:rPr>
        <w:t>：</w:t>
      </w:r>
    </w:p>
    <w:p>
      <w:pPr>
        <w:spacing w:line="400" w:lineRule="exact"/>
        <w:ind w:firstLine="210" w:firstLineChars="100"/>
        <w:rPr>
          <w:rFonts w:ascii="宋体" w:hAnsi="宋体"/>
          <w:color w:val="000000"/>
          <w:szCs w:val="21"/>
        </w:rPr>
      </w:pPr>
      <w:r>
        <w:rPr>
          <w:rFonts w:hint="eastAsia" w:ascii="宋体" w:hAnsi="宋体"/>
          <w:color w:val="000000"/>
          <w:szCs w:val="21"/>
        </w:rPr>
        <w:t>1）供应商必须按格式填写“磋商书”及“磋商声明书”；</w:t>
      </w:r>
    </w:p>
    <w:p>
      <w:pPr>
        <w:spacing w:line="400" w:lineRule="exact"/>
        <w:ind w:left="105" w:firstLine="105" w:firstLineChars="50"/>
        <w:rPr>
          <w:rFonts w:hint="eastAsia" w:ascii="宋体" w:hAnsi="宋体"/>
          <w:color w:val="000000"/>
          <w:szCs w:val="21"/>
        </w:rPr>
      </w:pPr>
      <w:r>
        <w:rPr>
          <w:rFonts w:hint="eastAsia" w:ascii="宋体" w:hAnsi="宋体"/>
          <w:color w:val="000000"/>
          <w:szCs w:val="21"/>
        </w:rPr>
        <w:t>2）供应商提供保证金交纳凭证复印件；</w:t>
      </w:r>
    </w:p>
    <w:p>
      <w:pPr>
        <w:spacing w:line="400" w:lineRule="exact"/>
        <w:ind w:left="105" w:firstLine="105" w:firstLineChars="50"/>
        <w:rPr>
          <w:rFonts w:hint="eastAsia" w:ascii="宋体" w:hAnsi="宋体"/>
          <w:color w:val="000000"/>
          <w:szCs w:val="21"/>
        </w:rPr>
      </w:pPr>
      <w:r>
        <w:rPr>
          <w:rFonts w:hint="eastAsia" w:ascii="宋体" w:hAnsi="宋体"/>
          <w:color w:val="000000"/>
          <w:szCs w:val="21"/>
        </w:rPr>
        <w:t>3）供应商必须提供</w:t>
      </w:r>
      <w:r>
        <w:rPr>
          <w:rFonts w:hint="eastAsia" w:hAnsi="宋体"/>
          <w:bCs/>
          <w:color w:val="000000"/>
          <w:szCs w:val="21"/>
        </w:rPr>
        <w:t>有效的“营业执照”正本或副本复印件</w:t>
      </w:r>
      <w:r>
        <w:rPr>
          <w:rFonts w:hint="eastAsia" w:ascii="宋体" w:hAnsi="宋体"/>
          <w:color w:val="000000"/>
          <w:szCs w:val="21"/>
        </w:rPr>
        <w:t>（</w:t>
      </w:r>
      <w:r>
        <w:rPr>
          <w:rFonts w:hint="eastAsia" w:hAnsi="宋体"/>
          <w:bCs/>
          <w:color w:val="000000"/>
          <w:szCs w:val="21"/>
        </w:rPr>
        <w:t>必须提交</w:t>
      </w:r>
      <w:r>
        <w:rPr>
          <w:rFonts w:hint="eastAsia"/>
          <w:color w:val="000000"/>
        </w:rPr>
        <w:t>，加盖公章</w:t>
      </w:r>
      <w:r>
        <w:rPr>
          <w:rFonts w:hint="eastAsia" w:ascii="宋体" w:hAnsi="宋体"/>
          <w:color w:val="000000"/>
          <w:szCs w:val="21"/>
        </w:rPr>
        <w:t>）；</w:t>
      </w:r>
    </w:p>
    <w:p>
      <w:pPr>
        <w:spacing w:line="400" w:lineRule="exact"/>
        <w:ind w:firstLine="210" w:firstLineChars="100"/>
        <w:rPr>
          <w:rFonts w:hint="eastAsia" w:ascii="宋体" w:hAnsi="宋体"/>
          <w:color w:val="000000"/>
          <w:szCs w:val="21"/>
        </w:rPr>
      </w:pPr>
      <w:r>
        <w:rPr>
          <w:rFonts w:hint="eastAsia" w:ascii="宋体" w:hAnsi="宋体"/>
          <w:color w:val="000000"/>
          <w:szCs w:val="21"/>
        </w:rPr>
        <w:t>4）供应商有效的资质证书复印件。（</w:t>
      </w:r>
      <w:r>
        <w:rPr>
          <w:rFonts w:hint="eastAsia" w:hAnsi="宋体"/>
          <w:bCs/>
          <w:color w:val="000000"/>
          <w:szCs w:val="21"/>
        </w:rPr>
        <w:t>必须提交</w:t>
      </w:r>
      <w:r>
        <w:rPr>
          <w:rFonts w:hint="eastAsia"/>
          <w:color w:val="000000"/>
        </w:rPr>
        <w:t>，加盖公章</w:t>
      </w:r>
      <w:r>
        <w:rPr>
          <w:rFonts w:hint="eastAsia" w:ascii="宋体" w:hAnsi="宋体"/>
          <w:color w:val="000000"/>
          <w:szCs w:val="21"/>
        </w:rPr>
        <w:t>）；</w:t>
      </w:r>
    </w:p>
    <w:p>
      <w:pPr>
        <w:spacing w:line="400" w:lineRule="exact"/>
        <w:ind w:firstLine="210" w:firstLineChars="100"/>
        <w:rPr>
          <w:rFonts w:hint="eastAsia" w:ascii="宋体" w:hAnsi="宋体"/>
          <w:color w:val="000000"/>
          <w:szCs w:val="21"/>
        </w:rPr>
      </w:pPr>
      <w:r>
        <w:rPr>
          <w:rFonts w:hint="eastAsia" w:ascii="宋体" w:hAnsi="宋体"/>
          <w:color w:val="000000"/>
          <w:szCs w:val="21"/>
        </w:rPr>
        <w:t>5）</w:t>
      </w:r>
      <w:r>
        <w:rPr>
          <w:rFonts w:hint="eastAsia" w:hAnsi="宋体"/>
          <w:bCs/>
          <w:color w:val="000000"/>
          <w:szCs w:val="21"/>
        </w:rPr>
        <w:t>法定代表人有效的正反面身份证复印件；（必须提交</w:t>
      </w:r>
      <w:r>
        <w:rPr>
          <w:rFonts w:hint="eastAsia"/>
          <w:color w:val="000000"/>
        </w:rPr>
        <w:t>，加盖公章</w:t>
      </w:r>
      <w:r>
        <w:rPr>
          <w:rFonts w:hint="eastAsia" w:hAnsi="宋体"/>
          <w:bCs/>
          <w:color w:val="000000"/>
          <w:szCs w:val="21"/>
        </w:rPr>
        <w:t>）</w:t>
      </w:r>
    </w:p>
    <w:p>
      <w:pPr>
        <w:spacing w:line="400" w:lineRule="exact"/>
        <w:ind w:firstLine="210" w:firstLineChars="100"/>
        <w:rPr>
          <w:rFonts w:hint="eastAsia" w:ascii="宋体" w:hAnsi="宋体"/>
          <w:color w:val="000000"/>
          <w:szCs w:val="21"/>
        </w:rPr>
      </w:pPr>
      <w:r>
        <w:rPr>
          <w:rFonts w:hint="eastAsia" w:ascii="宋体" w:hAnsi="宋体"/>
          <w:color w:val="000000"/>
          <w:szCs w:val="21"/>
        </w:rPr>
        <w:t>6）</w:t>
      </w:r>
      <w:r>
        <w:rPr>
          <w:rFonts w:hint="eastAsia" w:hAnsi="宋体" w:cs="Arial"/>
          <w:snapToGrid w:val="0"/>
          <w:color w:val="000000"/>
          <w:kern w:val="0"/>
          <w:szCs w:val="21"/>
        </w:rPr>
        <w:t>派委托人时还须提供法定代表人授权委托书复印件、委托代理人有效的身份证正反面</w:t>
      </w:r>
      <w:r>
        <w:rPr>
          <w:rFonts w:hint="eastAsia" w:hAnsi="宋体"/>
          <w:color w:val="000000"/>
          <w:szCs w:val="21"/>
        </w:rPr>
        <w:t>复印件</w:t>
      </w:r>
      <w:r>
        <w:rPr>
          <w:rFonts w:hint="eastAsia" w:hAnsi="宋体" w:cs="Arial"/>
          <w:snapToGrid w:val="0"/>
          <w:color w:val="000000"/>
          <w:kern w:val="0"/>
          <w:szCs w:val="21"/>
        </w:rPr>
        <w:t>；（委托代理时必须提供，否则将被当作资格审查不合格而取消磋商资格）；（必须提交</w:t>
      </w:r>
      <w:r>
        <w:rPr>
          <w:rFonts w:hint="eastAsia" w:hAnsi="宋体"/>
          <w:bCs/>
          <w:color w:val="000000"/>
          <w:szCs w:val="21"/>
        </w:rPr>
        <w:t>）</w:t>
      </w:r>
    </w:p>
    <w:p>
      <w:pPr>
        <w:spacing w:line="400" w:lineRule="exact"/>
        <w:ind w:firstLine="205" w:firstLineChars="98"/>
        <w:rPr>
          <w:rFonts w:hint="eastAsia" w:ascii="宋体" w:hAnsi="宋体"/>
          <w:color w:val="000000"/>
          <w:szCs w:val="21"/>
        </w:rPr>
      </w:pPr>
      <w:r>
        <w:rPr>
          <w:rFonts w:hint="eastAsia" w:ascii="宋体" w:hAnsi="宋体"/>
          <w:color w:val="000000"/>
          <w:szCs w:val="21"/>
        </w:rPr>
        <w:t>7）</w:t>
      </w:r>
      <w:r>
        <w:rPr>
          <w:rFonts w:hint="eastAsia" w:ascii="宋体" w:hAnsi="宋体"/>
          <w:color w:val="000000"/>
          <w:szCs w:val="21"/>
          <w:lang w:eastAsia="zh-CN"/>
        </w:rPr>
        <w:t>磋商供应商</w:t>
      </w:r>
      <w:r>
        <w:rPr>
          <w:rFonts w:hint="eastAsia" w:ascii="宋体" w:hAnsi="宋体"/>
          <w:color w:val="000000"/>
          <w:szCs w:val="21"/>
        </w:rPr>
        <w:t>2020年7月至2020年10月的中华人民共和国税收转账专用完税证或税务机关出具的依法缴纳税收证明复印件。（提供复印件，必须提交，否则竞标无效）</w:t>
      </w:r>
    </w:p>
    <w:p>
      <w:pPr>
        <w:spacing w:line="400" w:lineRule="exact"/>
        <w:ind w:firstLine="205" w:firstLineChars="98"/>
        <w:rPr>
          <w:rFonts w:hint="eastAsia" w:ascii="宋体" w:hAnsi="宋体"/>
          <w:color w:val="000000"/>
          <w:szCs w:val="21"/>
        </w:rPr>
      </w:pPr>
      <w:r>
        <w:rPr>
          <w:rFonts w:hint="eastAsia" w:ascii="宋体" w:hAnsi="宋体" w:cs="Arial"/>
          <w:snapToGrid w:val="0"/>
          <w:color w:val="000000"/>
          <w:kern w:val="0"/>
          <w:szCs w:val="21"/>
        </w:rPr>
        <w:t>8）</w:t>
      </w:r>
      <w:r>
        <w:rPr>
          <w:rFonts w:hint="eastAsia" w:ascii="宋体" w:hAnsi="宋体"/>
          <w:color w:val="000000"/>
          <w:szCs w:val="21"/>
        </w:rPr>
        <w:t>根据《第三章  服务需求一览表》中要求提供相关必须提供的证明材料。</w:t>
      </w:r>
    </w:p>
    <w:p>
      <w:pPr>
        <w:spacing w:line="400" w:lineRule="exact"/>
        <w:ind w:firstLine="205" w:firstLineChars="98"/>
        <w:rPr>
          <w:rFonts w:hint="eastAsia" w:ascii="宋体" w:hAnsi="宋体"/>
          <w:color w:val="000000"/>
          <w:szCs w:val="21"/>
        </w:rPr>
      </w:pPr>
      <w:r>
        <w:rPr>
          <w:rFonts w:hint="eastAsia" w:ascii="宋体" w:hAnsi="宋体" w:cs="Arial"/>
          <w:snapToGrid w:val="0"/>
          <w:color w:val="000000"/>
          <w:kern w:val="0"/>
          <w:szCs w:val="21"/>
        </w:rPr>
        <w:t>9）</w:t>
      </w:r>
      <w:r>
        <w:rPr>
          <w:rFonts w:hint="eastAsia" w:ascii="宋体" w:hAnsi="宋体"/>
          <w:color w:val="000000"/>
          <w:szCs w:val="21"/>
        </w:rPr>
        <w:t>认为必要提供的声明及文件资料（例如：人员配置表、技术方案、项目实施管理方案等）。</w:t>
      </w: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r>
        <w:rPr>
          <w:rFonts w:hint="eastAsia" w:ascii="宋体" w:hAnsi="宋体"/>
          <w:color w:val="000000"/>
          <w:szCs w:val="21"/>
        </w:rPr>
        <w:tab/>
      </w: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tabs>
          <w:tab w:val="left" w:pos="465"/>
        </w:tabs>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spacing w:line="300" w:lineRule="exact"/>
        <w:ind w:firstLine="315" w:firstLineChars="150"/>
        <w:rPr>
          <w:rFonts w:hint="eastAsia" w:ascii="宋体" w:hAnsi="宋体"/>
          <w:color w:val="000000"/>
          <w:szCs w:val="21"/>
        </w:rPr>
      </w:pPr>
    </w:p>
    <w:p>
      <w:pPr>
        <w:numPr>
          <w:ilvl w:val="0"/>
          <w:numId w:val="7"/>
        </w:numPr>
        <w:spacing w:line="300" w:lineRule="auto"/>
        <w:rPr>
          <w:rFonts w:hint="eastAsia" w:ascii="宋体" w:hAnsi="宋体"/>
          <w:b/>
          <w:color w:val="000000"/>
          <w:sz w:val="28"/>
          <w:szCs w:val="28"/>
        </w:rPr>
      </w:pPr>
      <w:r>
        <w:rPr>
          <w:rFonts w:hint="eastAsia" w:ascii="宋体" w:hAnsi="宋体"/>
          <w:b/>
          <w:color w:val="000000"/>
          <w:sz w:val="28"/>
          <w:szCs w:val="28"/>
        </w:rPr>
        <w:t>“磋商书”及“磋商声明书”；</w:t>
      </w:r>
    </w:p>
    <w:p>
      <w:pPr>
        <w:spacing w:line="300" w:lineRule="auto"/>
        <w:rPr>
          <w:rFonts w:hint="eastAsia" w:ascii="宋体" w:hAnsi="宋体"/>
          <w:b/>
          <w:color w:val="000000"/>
          <w:sz w:val="28"/>
          <w:szCs w:val="28"/>
        </w:rPr>
      </w:pPr>
    </w:p>
    <w:p>
      <w:pPr>
        <w:spacing w:line="300" w:lineRule="auto"/>
        <w:jc w:val="center"/>
        <w:rPr>
          <w:rFonts w:hint="eastAsia" w:ascii="宋体" w:hAnsi="宋体"/>
          <w:b/>
          <w:color w:val="000000"/>
          <w:sz w:val="32"/>
          <w:szCs w:val="32"/>
        </w:rPr>
      </w:pPr>
      <w:r>
        <w:rPr>
          <w:rFonts w:hint="eastAsia" w:ascii="宋体" w:hAnsi="宋体"/>
          <w:b/>
          <w:color w:val="000000"/>
          <w:sz w:val="32"/>
          <w:szCs w:val="32"/>
        </w:rPr>
        <w:t>磋  商  书（格式）</w:t>
      </w:r>
    </w:p>
    <w:p>
      <w:pPr>
        <w:pStyle w:val="20"/>
        <w:spacing w:line="440" w:lineRule="exact"/>
        <w:rPr>
          <w:rFonts w:hint="eastAsia" w:hAnsi="宋体"/>
          <w:color w:val="000000"/>
        </w:rPr>
      </w:pPr>
      <w:r>
        <w:rPr>
          <w:rFonts w:hint="eastAsia" w:hAnsi="宋体"/>
          <w:color w:val="000000"/>
          <w:u w:val="single"/>
        </w:rPr>
        <w:t xml:space="preserve"> XX广西科联招标中心有限公司</w:t>
      </w:r>
      <w:r>
        <w:rPr>
          <w:rFonts w:hint="eastAsia" w:hAnsi="宋体"/>
          <w:color w:val="000000"/>
        </w:rPr>
        <w:t>：</w:t>
      </w:r>
    </w:p>
    <w:p>
      <w:pPr>
        <w:pStyle w:val="20"/>
        <w:spacing w:line="440" w:lineRule="exact"/>
        <w:ind w:firstLine="480"/>
        <w:rPr>
          <w:rFonts w:hint="eastAsia" w:hAnsi="宋体"/>
          <w:color w:val="000000"/>
        </w:rPr>
      </w:pPr>
      <w:r>
        <w:rPr>
          <w:rFonts w:hint="eastAsia" w:hAnsi="宋体"/>
          <w:color w:val="000000"/>
        </w:rPr>
        <w:t>依据贵方</w:t>
      </w:r>
      <w:r>
        <w:rPr>
          <w:rFonts w:hint="eastAsia" w:hAnsi="宋体"/>
          <w:color w:val="000000"/>
          <w:u w:val="single"/>
        </w:rPr>
        <w:t xml:space="preserve">               </w:t>
      </w:r>
      <w:r>
        <w:rPr>
          <w:rFonts w:hint="eastAsia" w:hAnsi="宋体"/>
          <w:color w:val="000000"/>
        </w:rPr>
        <w:t>项目（采购项目名称及项目编号）采购的磋商邀请，我方</w:t>
      </w:r>
      <w:r>
        <w:rPr>
          <w:rFonts w:hint="eastAsia" w:hAnsi="宋体"/>
          <w:color w:val="000000"/>
          <w:u w:val="single"/>
        </w:rPr>
        <w:t>（姓名和职务）</w:t>
      </w:r>
      <w:r>
        <w:rPr>
          <w:rFonts w:hint="eastAsia" w:hAnsi="宋体"/>
          <w:color w:val="000000"/>
        </w:rPr>
        <w:t>经正式授权并代表供应商</w:t>
      </w:r>
      <w:r>
        <w:rPr>
          <w:rFonts w:hint="eastAsia" w:hAnsi="宋体"/>
          <w:color w:val="000000"/>
          <w:u w:val="single"/>
        </w:rPr>
        <w:t xml:space="preserve">             （</w:t>
      </w:r>
      <w:r>
        <w:rPr>
          <w:rFonts w:hint="eastAsia" w:hAnsi="宋体"/>
          <w:color w:val="000000"/>
        </w:rPr>
        <w:t>供应商名称、地址</w:t>
      </w:r>
      <w:r>
        <w:rPr>
          <w:rFonts w:hint="eastAsia" w:hAnsi="宋体"/>
          <w:b/>
          <w:color w:val="000000"/>
        </w:rPr>
        <w:t>）</w:t>
      </w:r>
      <w:r>
        <w:rPr>
          <w:rFonts w:hint="eastAsia" w:hAnsi="宋体"/>
          <w:color w:val="000000"/>
        </w:rPr>
        <w:t>提交响应文件价格文件、技术文件正本一份和副本</w:t>
      </w:r>
      <w:r>
        <w:rPr>
          <w:rFonts w:hint="eastAsia" w:hAnsi="宋体"/>
          <w:color w:val="000000"/>
          <w:u w:val="single"/>
        </w:rPr>
        <w:t>四</w:t>
      </w:r>
      <w:r>
        <w:rPr>
          <w:rFonts w:hint="eastAsia" w:hAnsi="宋体"/>
          <w:color w:val="000000"/>
        </w:rPr>
        <w:t>份。</w:t>
      </w:r>
    </w:p>
    <w:p>
      <w:pPr>
        <w:pStyle w:val="20"/>
        <w:spacing w:line="440" w:lineRule="exact"/>
        <w:rPr>
          <w:rFonts w:hint="eastAsia" w:hAnsi="宋体"/>
          <w:color w:val="000000"/>
        </w:rPr>
      </w:pPr>
      <w:r>
        <w:rPr>
          <w:rFonts w:hint="eastAsia" w:hAnsi="宋体"/>
          <w:color w:val="000000"/>
        </w:rPr>
        <w:t>在此，签字代表宣布同意如下：</w:t>
      </w:r>
    </w:p>
    <w:p>
      <w:pPr>
        <w:pStyle w:val="20"/>
        <w:spacing w:line="440" w:lineRule="exact"/>
        <w:ind w:firstLine="480"/>
        <w:rPr>
          <w:rFonts w:hint="eastAsia" w:hAnsi="宋体"/>
          <w:color w:val="000000"/>
        </w:rPr>
      </w:pPr>
      <w:r>
        <w:rPr>
          <w:rFonts w:hint="eastAsia" w:hAnsi="宋体"/>
          <w:color w:val="000000"/>
        </w:rPr>
        <w:t>1. 将按竞争性磋商文件的约定履行合同责任和义务；</w:t>
      </w:r>
    </w:p>
    <w:p>
      <w:pPr>
        <w:pStyle w:val="20"/>
        <w:spacing w:line="440" w:lineRule="exact"/>
        <w:ind w:left="480"/>
        <w:rPr>
          <w:rFonts w:hint="eastAsia" w:hAnsi="宋体"/>
          <w:color w:val="000000"/>
        </w:rPr>
      </w:pPr>
      <w:r>
        <w:rPr>
          <w:rFonts w:hint="eastAsia" w:hAnsi="宋体"/>
          <w:color w:val="000000"/>
        </w:rPr>
        <w:t>2. 已详细审查全部竞争性磋商文件，包括</w:t>
      </w:r>
      <w:r>
        <w:rPr>
          <w:rFonts w:hint="eastAsia" w:hAnsi="宋体"/>
          <w:color w:val="000000"/>
          <w:u w:val="single"/>
        </w:rPr>
        <w:t>（补遗文件）（如果有的话）</w:t>
      </w:r>
      <w:r>
        <w:rPr>
          <w:rFonts w:hint="eastAsia" w:hAnsi="宋体"/>
          <w:color w:val="000000"/>
        </w:rPr>
        <w:t>；将自行承担因对全部竞争性磋商文件（补遗文件）（如果有的话）理解不正确或误解而产生的相应后果；我们完全理解并同意放弃对这方面有不明及误解的权利；</w:t>
      </w:r>
    </w:p>
    <w:p>
      <w:pPr>
        <w:pStyle w:val="20"/>
        <w:spacing w:line="440" w:lineRule="exact"/>
        <w:ind w:left="480"/>
        <w:rPr>
          <w:rFonts w:hint="eastAsia" w:hAnsi="宋体"/>
          <w:color w:val="000000"/>
        </w:rPr>
      </w:pPr>
      <w:r>
        <w:rPr>
          <w:rFonts w:hint="eastAsia" w:hAnsi="宋体"/>
          <w:color w:val="000000"/>
        </w:rPr>
        <w:t>3. 因自身原因，失去联系或无法在磋商小组规定的时间内完成最后报价的，经磋商小组集体讨论，可以认定报价为最后报价或拒绝磋商（对不同意见，以投票表决形式，少数服从多数确定）。</w:t>
      </w:r>
    </w:p>
    <w:p>
      <w:pPr>
        <w:spacing w:line="380" w:lineRule="exact"/>
        <w:ind w:left="105" w:leftChars="50" w:firstLine="315" w:firstLineChars="150"/>
        <w:rPr>
          <w:rFonts w:hint="eastAsia" w:hAnsi="宋体"/>
          <w:color w:val="000000"/>
        </w:rPr>
      </w:pPr>
      <w:r>
        <w:rPr>
          <w:rFonts w:hint="eastAsia" w:ascii="宋体" w:hAnsi="宋体"/>
          <w:color w:val="000000"/>
          <w:szCs w:val="21"/>
        </w:rPr>
        <w:t>4 本项目响应文件有效期：自响应文件递交截止之日起至采购合同签订之日止。</w:t>
      </w:r>
    </w:p>
    <w:p>
      <w:pPr>
        <w:pStyle w:val="20"/>
        <w:spacing w:line="440" w:lineRule="exact"/>
        <w:ind w:left="840" w:hanging="360"/>
        <w:rPr>
          <w:rFonts w:hint="eastAsia" w:hAnsi="宋体"/>
          <w:color w:val="000000"/>
        </w:rPr>
      </w:pPr>
      <w:r>
        <w:rPr>
          <w:rFonts w:hint="eastAsia" w:hAnsi="宋体"/>
          <w:color w:val="000000"/>
        </w:rPr>
        <w:t>5. 同意提供按照贵方可能要求的与其磋商有关的一切数据或资料；</w:t>
      </w:r>
    </w:p>
    <w:p>
      <w:pPr>
        <w:pStyle w:val="20"/>
        <w:spacing w:line="440" w:lineRule="exact"/>
        <w:ind w:firstLine="480"/>
        <w:rPr>
          <w:rFonts w:hint="eastAsia" w:hAnsi="宋体"/>
          <w:color w:val="000000"/>
          <w:u w:val="single"/>
        </w:rPr>
      </w:pPr>
      <w:r>
        <w:rPr>
          <w:rFonts w:hint="eastAsia" w:hAnsi="宋体"/>
          <w:color w:val="000000"/>
        </w:rPr>
        <w:t>6. 与本磋商有关的一切正式往来信函请寄：</w:t>
      </w:r>
      <w:r>
        <w:rPr>
          <w:rFonts w:hint="eastAsia" w:hAnsi="宋体"/>
          <w:color w:val="000000"/>
          <w:u w:val="single"/>
        </w:rPr>
        <w:t xml:space="preserve">                       </w:t>
      </w:r>
      <w:r>
        <w:rPr>
          <w:rFonts w:hint="eastAsia" w:hAnsi="宋体"/>
          <w:color w:val="000000"/>
        </w:rPr>
        <w:t>邮政编号：</w:t>
      </w:r>
      <w:r>
        <w:rPr>
          <w:rFonts w:hint="eastAsia" w:hAnsi="宋体"/>
          <w:color w:val="000000"/>
          <w:u w:val="single"/>
        </w:rPr>
        <w:t xml:space="preserve">    </w:t>
      </w:r>
    </w:p>
    <w:p>
      <w:pPr>
        <w:pStyle w:val="20"/>
        <w:spacing w:line="440" w:lineRule="exact"/>
        <w:ind w:firstLine="840"/>
        <w:rPr>
          <w:rFonts w:hint="eastAsia" w:hAnsi="宋体"/>
          <w:color w:val="000000"/>
        </w:rPr>
      </w:pPr>
      <w:r>
        <w:rPr>
          <w:rFonts w:hint="eastAsia" w:hAnsi="宋体"/>
          <w:color w:val="000000"/>
        </w:rPr>
        <w:t>电话/传真：</w:t>
      </w:r>
      <w:r>
        <w:rPr>
          <w:rFonts w:hint="eastAsia" w:hAnsi="宋体"/>
          <w:color w:val="000000"/>
          <w:u w:val="single"/>
        </w:rPr>
        <w:t xml:space="preserve">                        </w:t>
      </w:r>
      <w:r>
        <w:rPr>
          <w:rFonts w:hint="eastAsia" w:hAnsi="宋体"/>
          <w:color w:val="000000"/>
        </w:rPr>
        <w:t xml:space="preserve"> 电子函件：</w:t>
      </w:r>
      <w:r>
        <w:rPr>
          <w:rFonts w:hint="eastAsia" w:hAnsi="宋体"/>
          <w:color w:val="000000"/>
          <w:u w:val="single"/>
        </w:rPr>
        <w:t xml:space="preserve">             </w:t>
      </w:r>
    </w:p>
    <w:p>
      <w:pPr>
        <w:pStyle w:val="20"/>
        <w:spacing w:line="440" w:lineRule="exact"/>
        <w:ind w:firstLine="840"/>
        <w:rPr>
          <w:rFonts w:hint="eastAsia" w:hAnsi="宋体"/>
          <w:color w:val="000000"/>
          <w:u w:val="single"/>
        </w:rPr>
      </w:pPr>
      <w:r>
        <w:rPr>
          <w:rFonts w:hint="eastAsia" w:hAnsi="宋体"/>
          <w:color w:val="000000"/>
        </w:rPr>
        <w:t>日期：</w:t>
      </w:r>
      <w:r>
        <w:rPr>
          <w:rFonts w:hint="eastAsia" w:hAnsi="宋体"/>
          <w:color w:val="000000"/>
          <w:u w:val="single"/>
        </w:rPr>
        <w:t xml:space="preserve">      </w:t>
      </w:r>
      <w:r>
        <w:rPr>
          <w:rFonts w:hint="eastAsia" w:hAnsi="宋体"/>
          <w:color w:val="000000"/>
        </w:rPr>
        <w:t>年</w:t>
      </w:r>
      <w:r>
        <w:rPr>
          <w:rFonts w:hint="eastAsia" w:hAnsi="宋体"/>
          <w:color w:val="000000"/>
          <w:u w:val="single"/>
        </w:rPr>
        <w:t xml:space="preserve">   </w:t>
      </w:r>
      <w:r>
        <w:rPr>
          <w:rFonts w:hint="eastAsia" w:hAnsi="宋体"/>
          <w:color w:val="000000"/>
        </w:rPr>
        <w:t>月</w:t>
      </w:r>
      <w:r>
        <w:rPr>
          <w:rFonts w:hint="eastAsia" w:hAnsi="宋体"/>
          <w:color w:val="000000"/>
          <w:u w:val="single"/>
        </w:rPr>
        <w:t xml:space="preserve">    </w:t>
      </w:r>
      <w:r>
        <w:rPr>
          <w:rFonts w:hint="eastAsia" w:hAnsi="宋体"/>
          <w:color w:val="000000"/>
        </w:rPr>
        <w:t>日</w:t>
      </w:r>
    </w:p>
    <w:p>
      <w:pPr>
        <w:pStyle w:val="20"/>
        <w:spacing w:line="440" w:lineRule="exact"/>
        <w:ind w:firstLine="840"/>
        <w:rPr>
          <w:rFonts w:hint="eastAsia" w:hAnsi="宋体"/>
          <w:color w:val="000000"/>
          <w:u w:val="single"/>
        </w:rPr>
      </w:pPr>
      <w:r>
        <w:rPr>
          <w:rFonts w:hint="eastAsia" w:hAnsi="宋体"/>
          <w:color w:val="000000"/>
        </w:rPr>
        <w:t>法定代表人或被授权人签字：</w:t>
      </w:r>
      <w:r>
        <w:rPr>
          <w:rFonts w:hint="eastAsia" w:hAnsi="宋体"/>
          <w:color w:val="000000"/>
          <w:u w:val="single"/>
        </w:rPr>
        <w:t xml:space="preserve">                       </w:t>
      </w:r>
    </w:p>
    <w:p>
      <w:pPr>
        <w:pStyle w:val="20"/>
        <w:spacing w:line="440" w:lineRule="exact"/>
        <w:ind w:firstLine="840"/>
        <w:rPr>
          <w:rFonts w:hint="eastAsia" w:hAnsi="宋体"/>
          <w:color w:val="000000"/>
        </w:rPr>
      </w:pPr>
      <w:r>
        <w:rPr>
          <w:rFonts w:hint="eastAsia" w:hAnsi="宋体"/>
          <w:color w:val="000000"/>
        </w:rPr>
        <w:t>供应商章：</w:t>
      </w:r>
      <w:r>
        <w:rPr>
          <w:rFonts w:hint="eastAsia" w:hAnsi="宋体"/>
          <w:color w:val="000000"/>
          <w:u w:val="single"/>
        </w:rPr>
        <w:t xml:space="preserve">                           </w:t>
      </w:r>
      <w:r>
        <w:rPr>
          <w:rFonts w:hint="eastAsia" w:hAnsi="宋体"/>
          <w:color w:val="000000"/>
        </w:rPr>
        <w:t xml:space="preserve">                           </w:t>
      </w:r>
    </w:p>
    <w:p>
      <w:pPr>
        <w:pStyle w:val="20"/>
        <w:spacing w:line="440" w:lineRule="exact"/>
        <w:ind w:firstLine="840"/>
        <w:rPr>
          <w:rFonts w:hint="eastAsia" w:hAnsi="宋体"/>
          <w:color w:val="000000"/>
        </w:rPr>
      </w:pPr>
      <w:r>
        <w:rPr>
          <w:rFonts w:hint="eastAsia" w:hAnsi="宋体"/>
          <w:color w:val="000000"/>
        </w:rPr>
        <w:t>开户银行：</w:t>
      </w:r>
      <w:r>
        <w:rPr>
          <w:rFonts w:hint="eastAsia" w:hAnsi="宋体"/>
          <w:color w:val="000000"/>
          <w:u w:val="single"/>
        </w:rPr>
        <w:t xml:space="preserve">                         </w:t>
      </w:r>
    </w:p>
    <w:p>
      <w:pPr>
        <w:pStyle w:val="20"/>
        <w:spacing w:line="440" w:lineRule="exact"/>
        <w:ind w:firstLine="840"/>
        <w:rPr>
          <w:rFonts w:hint="eastAsia" w:hAnsi="宋体"/>
          <w:b/>
          <w:color w:val="000000"/>
        </w:rPr>
      </w:pPr>
      <w:r>
        <w:rPr>
          <w:rFonts w:hint="eastAsia" w:hAnsi="宋体"/>
          <w:color w:val="000000"/>
        </w:rPr>
        <w:t>账号/行号：</w:t>
      </w:r>
      <w:r>
        <w:rPr>
          <w:rFonts w:hint="eastAsia" w:hAnsi="宋体"/>
          <w:color w:val="000000"/>
          <w:u w:val="single"/>
        </w:rPr>
        <w:t xml:space="preserve">           </w:t>
      </w:r>
    </w:p>
    <w:p>
      <w:pPr>
        <w:pStyle w:val="20"/>
        <w:spacing w:line="440" w:lineRule="exact"/>
        <w:ind w:firstLine="840"/>
        <w:rPr>
          <w:rFonts w:hint="eastAsia" w:hAnsi="宋体"/>
          <w:color w:val="000000"/>
        </w:rPr>
      </w:pPr>
      <w:r>
        <w:rPr>
          <w:rFonts w:hint="eastAsia" w:hAnsi="宋体"/>
          <w:color w:val="000000"/>
        </w:rPr>
        <w:t xml:space="preserve">      </w:t>
      </w:r>
    </w:p>
    <w:p>
      <w:pPr>
        <w:pStyle w:val="20"/>
        <w:spacing w:line="440" w:lineRule="exact"/>
        <w:ind w:firstLine="840"/>
        <w:rPr>
          <w:rFonts w:hint="eastAsia" w:hAnsi="宋体"/>
          <w:b/>
          <w:color w:val="000000"/>
        </w:rPr>
      </w:pPr>
      <w:r>
        <w:rPr>
          <w:rFonts w:hint="eastAsia" w:hAnsi="宋体"/>
          <w:b/>
          <w:color w:val="000000"/>
        </w:rPr>
        <w:t>注：磋商书必须由法定代表人或被授权人签字并加盖供应商章。</w:t>
      </w:r>
    </w:p>
    <w:p>
      <w:pPr>
        <w:pStyle w:val="20"/>
        <w:spacing w:line="440" w:lineRule="exact"/>
        <w:ind w:firstLine="840"/>
        <w:rPr>
          <w:rFonts w:hint="eastAsia" w:hAnsi="宋体"/>
          <w:color w:val="000000"/>
        </w:rPr>
      </w:pPr>
    </w:p>
    <w:p>
      <w:pPr>
        <w:pStyle w:val="20"/>
        <w:spacing w:line="440" w:lineRule="exact"/>
        <w:ind w:firstLine="840"/>
        <w:rPr>
          <w:rFonts w:hint="eastAsia" w:hAnsi="宋体"/>
          <w:b/>
          <w:color w:val="000000"/>
        </w:rPr>
      </w:pPr>
    </w:p>
    <w:p>
      <w:pPr>
        <w:pStyle w:val="20"/>
        <w:spacing w:line="440" w:lineRule="exact"/>
        <w:ind w:firstLine="840"/>
        <w:rPr>
          <w:rFonts w:hint="eastAsia" w:hAnsi="宋体"/>
          <w:b/>
          <w:color w:val="000000"/>
        </w:rPr>
      </w:pPr>
    </w:p>
    <w:p>
      <w:pPr>
        <w:pStyle w:val="20"/>
        <w:spacing w:line="440" w:lineRule="exact"/>
        <w:ind w:firstLine="840"/>
        <w:rPr>
          <w:rFonts w:hint="eastAsia" w:hAnsi="宋体"/>
          <w:b/>
          <w:color w:val="000000"/>
        </w:rPr>
      </w:pPr>
    </w:p>
    <w:p>
      <w:pPr>
        <w:pStyle w:val="20"/>
        <w:spacing w:line="440" w:lineRule="exact"/>
        <w:ind w:firstLine="840"/>
        <w:rPr>
          <w:rFonts w:hint="eastAsia" w:hAnsi="宋体"/>
          <w:b/>
          <w:color w:val="000000"/>
        </w:rPr>
      </w:pPr>
    </w:p>
    <w:p>
      <w:pPr>
        <w:pStyle w:val="20"/>
        <w:spacing w:line="440" w:lineRule="exact"/>
        <w:ind w:firstLine="840"/>
        <w:rPr>
          <w:rFonts w:hint="eastAsia" w:hAnsi="宋体"/>
          <w:b/>
          <w:color w:val="000000"/>
        </w:rPr>
      </w:pPr>
    </w:p>
    <w:p>
      <w:pPr>
        <w:spacing w:line="320" w:lineRule="exact"/>
        <w:jc w:val="center"/>
        <w:rPr>
          <w:rFonts w:hint="eastAsia" w:ascii="宋体" w:hAnsi="宋体"/>
          <w:b/>
          <w:color w:val="000000"/>
          <w:sz w:val="32"/>
          <w:szCs w:val="32"/>
        </w:rPr>
      </w:pPr>
    </w:p>
    <w:p>
      <w:pPr>
        <w:spacing w:line="320" w:lineRule="exact"/>
        <w:jc w:val="center"/>
        <w:rPr>
          <w:rFonts w:hint="eastAsia" w:ascii="宋体" w:hAnsi="宋体"/>
          <w:b/>
          <w:color w:val="000000"/>
          <w:sz w:val="32"/>
          <w:szCs w:val="32"/>
        </w:rPr>
      </w:pPr>
      <w:r>
        <w:rPr>
          <w:rFonts w:hint="eastAsia" w:ascii="宋体" w:hAnsi="宋体"/>
          <w:b/>
          <w:color w:val="000000"/>
          <w:sz w:val="32"/>
          <w:szCs w:val="32"/>
        </w:rPr>
        <w:t>磋商声明书（格式）</w:t>
      </w:r>
    </w:p>
    <w:p>
      <w:pPr>
        <w:spacing w:line="320" w:lineRule="exact"/>
        <w:jc w:val="center"/>
        <w:rPr>
          <w:rFonts w:hint="eastAsia" w:ascii="宋体" w:hAnsi="宋体"/>
          <w:color w:val="000000"/>
          <w:sz w:val="24"/>
          <w:szCs w:val="20"/>
        </w:rPr>
      </w:pPr>
    </w:p>
    <w:p>
      <w:pPr>
        <w:snapToGrid w:val="0"/>
        <w:spacing w:before="120" w:beforeLines="50" w:after="50"/>
        <w:rPr>
          <w:rFonts w:hint="eastAsia" w:ascii="宋体" w:hAnsi="宋体"/>
          <w:color w:val="000000"/>
          <w:szCs w:val="21"/>
        </w:rPr>
      </w:pPr>
      <w:r>
        <w:rPr>
          <w:rFonts w:hint="eastAsia" w:ascii="宋体" w:hAnsi="宋体"/>
          <w:color w:val="000000"/>
          <w:szCs w:val="21"/>
        </w:rPr>
        <w:t>致：</w:t>
      </w:r>
      <w:r>
        <w:rPr>
          <w:rFonts w:hint="eastAsia" w:ascii="宋体" w:hAnsi="宋体"/>
          <w:color w:val="000000"/>
          <w:szCs w:val="21"/>
          <w:u w:val="single"/>
        </w:rPr>
        <w:t xml:space="preserve"> XX广西科联招标中心有限公司</w:t>
      </w:r>
      <w:r>
        <w:rPr>
          <w:rFonts w:hint="eastAsia" w:ascii="宋体" w:hAnsi="宋体"/>
          <w:color w:val="000000"/>
          <w:szCs w:val="21"/>
        </w:rPr>
        <w:t>：</w:t>
      </w:r>
    </w:p>
    <w:p>
      <w:pPr>
        <w:snapToGrid w:val="0"/>
        <w:spacing w:before="120" w:beforeLines="50" w:after="50" w:line="360" w:lineRule="exact"/>
        <w:ind w:firstLine="630" w:firstLineChars="300"/>
        <w:rPr>
          <w:rFonts w:hint="eastAsia" w:ascii="宋体" w:hAnsi="宋体"/>
          <w:color w:val="000000"/>
          <w:szCs w:val="21"/>
        </w:rPr>
      </w:pPr>
      <w:r>
        <w:rPr>
          <w:rFonts w:hint="eastAsia" w:ascii="宋体" w:hAnsi="宋体"/>
          <w:color w:val="000000"/>
          <w:szCs w:val="21"/>
          <w:u w:val="single"/>
        </w:rPr>
        <w:t>_______ _</w:t>
      </w:r>
      <w:r>
        <w:rPr>
          <w:rFonts w:hint="eastAsia" w:ascii="宋体" w:hAnsi="宋体"/>
          <w:color w:val="000000"/>
          <w:szCs w:val="21"/>
        </w:rPr>
        <w:t>（供应商名称）系中华人民共和国合法企业，经营地址</w:t>
      </w:r>
      <w:r>
        <w:rPr>
          <w:rFonts w:hint="eastAsia" w:ascii="宋体" w:hAnsi="宋体"/>
          <w:color w:val="000000"/>
          <w:szCs w:val="21"/>
          <w:u w:val="single"/>
        </w:rPr>
        <w:t xml:space="preserve">                  </w:t>
      </w:r>
      <w:r>
        <w:rPr>
          <w:rFonts w:hint="eastAsia" w:ascii="宋体" w:hAnsi="宋体"/>
          <w:color w:val="000000"/>
          <w:szCs w:val="21"/>
        </w:rPr>
        <w:t>。</w:t>
      </w:r>
    </w:p>
    <w:p>
      <w:pPr>
        <w:snapToGrid w:val="0"/>
        <w:spacing w:before="120" w:beforeLines="50" w:line="360" w:lineRule="exact"/>
        <w:ind w:firstLine="420" w:firstLineChars="200"/>
        <w:rPr>
          <w:rFonts w:hint="eastAsia" w:ascii="宋体" w:hAnsi="宋体"/>
          <w:color w:val="000000"/>
          <w:szCs w:val="21"/>
        </w:rPr>
      </w:pPr>
      <w:r>
        <w:rPr>
          <w:rFonts w:hint="eastAsia" w:ascii="宋体" w:hAnsi="宋体"/>
          <w:color w:val="000000"/>
          <w:szCs w:val="21"/>
        </w:rPr>
        <w:t>我</w:t>
      </w:r>
      <w:r>
        <w:rPr>
          <w:rFonts w:hint="eastAsia" w:ascii="宋体" w:hAnsi="宋体"/>
          <w:color w:val="000000"/>
          <w:szCs w:val="21"/>
          <w:u w:val="single"/>
        </w:rPr>
        <w:t>___    __</w:t>
      </w:r>
      <w:r>
        <w:rPr>
          <w:rFonts w:hint="eastAsia" w:ascii="宋体" w:hAnsi="宋体"/>
          <w:color w:val="000000"/>
          <w:szCs w:val="21"/>
        </w:rPr>
        <w:t>（姓名）系</w:t>
      </w:r>
      <w:r>
        <w:rPr>
          <w:rFonts w:hint="eastAsia" w:ascii="宋体" w:hAnsi="宋体"/>
          <w:color w:val="000000"/>
          <w:szCs w:val="21"/>
          <w:u w:val="single"/>
        </w:rPr>
        <w:t>_______     __</w:t>
      </w:r>
      <w:r>
        <w:rPr>
          <w:rFonts w:hint="eastAsia" w:ascii="宋体" w:hAnsi="宋体"/>
          <w:color w:val="000000"/>
          <w:szCs w:val="21"/>
        </w:rPr>
        <w:t>（供应商名称）的法定代表人或被授权人，我方愿意参加贵方组织的_____</w:t>
      </w:r>
      <w:r>
        <w:rPr>
          <w:rFonts w:hint="eastAsia" w:ascii="宋体" w:hAnsi="宋体"/>
          <w:color w:val="000000"/>
          <w:szCs w:val="21"/>
          <w:u w:val="single"/>
        </w:rPr>
        <w:t>_              _     _</w:t>
      </w:r>
      <w:r>
        <w:rPr>
          <w:rFonts w:hint="eastAsia" w:ascii="宋体" w:hAnsi="宋体"/>
          <w:color w:val="000000"/>
          <w:szCs w:val="21"/>
        </w:rPr>
        <w:t>_项目的磋商，为便于贵方公正、择优地确定成交供应商及其产品和服务，我方就本次磋商有关事项郑重声明如下：</w:t>
      </w:r>
    </w:p>
    <w:p>
      <w:pPr>
        <w:snapToGrid w:val="0"/>
        <w:spacing w:line="360" w:lineRule="exact"/>
        <w:ind w:firstLine="420" w:firstLineChars="200"/>
        <w:rPr>
          <w:rFonts w:hint="eastAsia" w:ascii="宋体" w:hAnsi="宋体"/>
          <w:color w:val="000000"/>
          <w:szCs w:val="21"/>
        </w:rPr>
      </w:pPr>
      <w:r>
        <w:rPr>
          <w:rFonts w:hint="eastAsia" w:ascii="宋体" w:hAnsi="宋体"/>
          <w:color w:val="000000"/>
          <w:szCs w:val="21"/>
        </w:rPr>
        <w:t>1.我方向贵方提交的所有响应文件、资料都是准确的和真实的。</w:t>
      </w:r>
    </w:p>
    <w:p>
      <w:pPr>
        <w:snapToGrid w:val="0"/>
        <w:spacing w:before="120" w:beforeLines="50" w:line="360" w:lineRule="exact"/>
        <w:ind w:firstLine="420" w:firstLineChars="200"/>
        <w:rPr>
          <w:rFonts w:hint="eastAsia" w:ascii="宋体" w:hAnsi="宋体"/>
          <w:color w:val="000000"/>
          <w:szCs w:val="21"/>
        </w:rPr>
      </w:pPr>
      <w:r>
        <w:rPr>
          <w:rFonts w:hint="eastAsia" w:ascii="宋体" w:hAnsi="宋体"/>
          <w:color w:val="000000"/>
          <w:szCs w:val="21"/>
        </w:rPr>
        <w:t>2.我方不是采购人的附属机构；在获知本项目采购信息后，与采购人聘请的为此项目提供咨询服务的公司及其附属机构没有任何联系。</w:t>
      </w:r>
    </w:p>
    <w:p>
      <w:pPr>
        <w:snapToGrid w:val="0"/>
        <w:spacing w:before="120" w:beforeLines="50" w:line="360" w:lineRule="exact"/>
        <w:ind w:firstLine="420" w:firstLineChars="200"/>
        <w:rPr>
          <w:rFonts w:hint="eastAsia" w:ascii="宋体" w:hAnsi="宋体"/>
          <w:color w:val="000000"/>
          <w:szCs w:val="21"/>
        </w:rPr>
      </w:pPr>
      <w:r>
        <w:rPr>
          <w:rFonts w:hint="eastAsia" w:ascii="宋体" w:hAnsi="宋体"/>
          <w:color w:val="000000"/>
          <w:szCs w:val="21"/>
        </w:rPr>
        <w:t>3.我方此次向贵方提供的服务名称为：</w:t>
      </w:r>
      <w:r>
        <w:rPr>
          <w:rFonts w:hint="eastAsia" w:ascii="宋体" w:hAnsi="宋体"/>
          <w:color w:val="000000"/>
          <w:szCs w:val="21"/>
          <w:u w:val="single"/>
        </w:rPr>
        <w:t xml:space="preserve">                              </w:t>
      </w:r>
      <w:r>
        <w:rPr>
          <w:rFonts w:hint="eastAsia" w:ascii="宋体" w:hAnsi="宋体"/>
          <w:color w:val="000000"/>
          <w:szCs w:val="21"/>
        </w:rPr>
        <w:t>。</w:t>
      </w:r>
    </w:p>
    <w:p>
      <w:pPr>
        <w:snapToGrid w:val="0"/>
        <w:spacing w:before="120" w:beforeLines="50" w:line="360" w:lineRule="exact"/>
        <w:ind w:firstLine="420" w:firstLineChars="200"/>
        <w:rPr>
          <w:rFonts w:hint="eastAsia" w:ascii="宋体" w:hAnsi="宋体"/>
          <w:color w:val="000000"/>
          <w:szCs w:val="21"/>
          <w:u w:val="single"/>
        </w:rPr>
      </w:pPr>
      <w:r>
        <w:rPr>
          <w:rFonts w:hint="eastAsia" w:ascii="宋体" w:hAnsi="宋体"/>
          <w:color w:val="000000"/>
          <w:szCs w:val="21"/>
        </w:rPr>
        <w:t>4.以上事项如有虚假或隐瞒，我方愿意承担一切后果，并不再寻求任何旨在减轻或免除法律责任的辩解。</w:t>
      </w:r>
    </w:p>
    <w:p>
      <w:pPr>
        <w:snapToGrid w:val="0"/>
        <w:spacing w:line="360" w:lineRule="exact"/>
        <w:ind w:firstLine="420" w:firstLineChars="200"/>
        <w:rPr>
          <w:rFonts w:hint="eastAsia" w:ascii="宋体" w:hAnsi="宋体"/>
          <w:color w:val="000000"/>
          <w:szCs w:val="21"/>
        </w:rPr>
      </w:pPr>
      <w:r>
        <w:rPr>
          <w:rFonts w:hint="eastAsia" w:ascii="宋体" w:hAnsi="宋体"/>
          <w:color w:val="000000"/>
          <w:szCs w:val="21"/>
        </w:rPr>
        <w:t>5. 我方在此声明，我方及由本人担任法定代表人的其他机构在参加本项目的政府采购活动前三年内，在经营活动中没有重大违法记录，符合《中华人民共和国政府采购法》及《中华人民共和国政府采购实施条例》规定的供应商条件，我方对此声明负全部法律责任。</w:t>
      </w:r>
    </w:p>
    <w:p>
      <w:pPr>
        <w:pStyle w:val="16"/>
        <w:tabs>
          <w:tab w:val="left" w:pos="939"/>
        </w:tabs>
        <w:snapToGrid w:val="0"/>
        <w:ind w:left="716" w:leftChars="150" w:hanging="401" w:hangingChars="191"/>
        <w:rPr>
          <w:rFonts w:hint="eastAsia" w:ascii="宋体" w:hAnsi="宋体"/>
          <w:color w:val="000000"/>
          <w:szCs w:val="21"/>
        </w:rPr>
      </w:pPr>
    </w:p>
    <w:p>
      <w:pPr>
        <w:pStyle w:val="60"/>
        <w:snapToGrid w:val="0"/>
        <w:spacing w:before="120" w:beforeLines="50"/>
        <w:ind w:firstLine="200"/>
        <w:rPr>
          <w:rFonts w:hint="eastAsia" w:ascii="宋体" w:hAnsi="宋体"/>
          <w:color w:val="000000"/>
          <w:sz w:val="21"/>
          <w:szCs w:val="21"/>
        </w:rPr>
      </w:pPr>
    </w:p>
    <w:p>
      <w:pPr>
        <w:snapToGrid w:val="0"/>
        <w:spacing w:before="120" w:beforeLines="50"/>
        <w:ind w:right="480" w:firstLine="2730" w:firstLineChars="1300"/>
        <w:rPr>
          <w:rFonts w:hint="eastAsia" w:ascii="宋体" w:hAnsi="宋体"/>
          <w:color w:val="000000"/>
          <w:szCs w:val="21"/>
          <w:u w:val="single"/>
        </w:rPr>
      </w:pPr>
      <w:r>
        <w:rPr>
          <w:rFonts w:hint="eastAsia" w:ascii="宋体" w:hAnsi="宋体"/>
          <w:color w:val="000000"/>
          <w:szCs w:val="21"/>
        </w:rPr>
        <w:t>法定代表人或被授权人签字：</w:t>
      </w:r>
      <w:r>
        <w:rPr>
          <w:rFonts w:hint="eastAsia" w:ascii="宋体" w:hAnsi="宋体"/>
          <w:color w:val="000000"/>
          <w:szCs w:val="21"/>
          <w:u w:val="single"/>
        </w:rPr>
        <w:t xml:space="preserve">             </w:t>
      </w:r>
    </w:p>
    <w:p>
      <w:pPr>
        <w:snapToGrid w:val="0"/>
        <w:spacing w:before="120" w:beforeLines="50" w:after="50"/>
        <w:ind w:right="480" w:firstLine="2730" w:firstLineChars="1300"/>
        <w:rPr>
          <w:rFonts w:hint="eastAsia" w:ascii="宋体" w:hAnsi="宋体"/>
          <w:color w:val="000000"/>
          <w:szCs w:val="21"/>
          <w:u w:val="single"/>
        </w:rPr>
      </w:pPr>
      <w:r>
        <w:rPr>
          <w:rFonts w:hint="eastAsia" w:ascii="宋体" w:hAnsi="宋体"/>
          <w:color w:val="000000"/>
          <w:szCs w:val="21"/>
        </w:rPr>
        <w:t>供应商章：</w:t>
      </w:r>
      <w:r>
        <w:rPr>
          <w:rFonts w:hint="eastAsia" w:ascii="宋体" w:hAnsi="宋体"/>
          <w:color w:val="000000"/>
          <w:szCs w:val="21"/>
          <w:u w:val="single"/>
        </w:rPr>
        <w:t xml:space="preserve">                             </w:t>
      </w:r>
    </w:p>
    <w:p>
      <w:pPr>
        <w:snapToGrid w:val="0"/>
        <w:spacing w:before="120" w:beforeLines="50" w:after="50"/>
        <w:ind w:right="480" w:firstLine="2730" w:firstLineChars="1300"/>
        <w:rPr>
          <w:rFonts w:hint="eastAsia" w:hAnsi="宋体"/>
          <w:color w:val="000000"/>
        </w:rPr>
      </w:pPr>
      <w:r>
        <w:rPr>
          <w:rFonts w:hint="eastAsia" w:hAnsi="宋体"/>
          <w:color w:val="000000"/>
        </w:rPr>
        <w:t>日期：</w:t>
      </w:r>
      <w:r>
        <w:rPr>
          <w:rFonts w:hint="eastAsia" w:hAnsi="宋体"/>
          <w:color w:val="000000"/>
          <w:u w:val="single"/>
        </w:rPr>
        <w:t xml:space="preserve">     </w:t>
      </w:r>
      <w:r>
        <w:rPr>
          <w:rFonts w:hint="eastAsia" w:hAnsi="宋体"/>
          <w:color w:val="000000"/>
        </w:rPr>
        <w:t>年</w:t>
      </w:r>
      <w:r>
        <w:rPr>
          <w:rFonts w:hint="eastAsia" w:hAnsi="宋体"/>
          <w:color w:val="000000"/>
          <w:u w:val="single"/>
        </w:rPr>
        <w:t xml:space="preserve">     </w:t>
      </w:r>
      <w:r>
        <w:rPr>
          <w:rFonts w:hint="eastAsia" w:hAnsi="宋体"/>
          <w:color w:val="000000"/>
        </w:rPr>
        <w:t>月</w:t>
      </w:r>
      <w:r>
        <w:rPr>
          <w:rFonts w:hint="eastAsia" w:hAnsi="宋体"/>
          <w:color w:val="000000"/>
          <w:u w:val="single"/>
        </w:rPr>
        <w:t xml:space="preserve">    </w:t>
      </w:r>
      <w:r>
        <w:rPr>
          <w:rFonts w:hint="eastAsia" w:hAnsi="宋体"/>
          <w:color w:val="000000"/>
        </w:rPr>
        <w:t xml:space="preserve">日 </w:t>
      </w: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pStyle w:val="20"/>
        <w:spacing w:line="440" w:lineRule="exact"/>
        <w:ind w:firstLine="840"/>
        <w:rPr>
          <w:rFonts w:hint="eastAsia" w:hAnsi="宋体"/>
          <w:color w:val="000000"/>
        </w:rPr>
      </w:pPr>
    </w:p>
    <w:p>
      <w:pPr>
        <w:spacing w:line="360" w:lineRule="auto"/>
        <w:ind w:left="105" w:firstLine="141" w:firstLineChars="50"/>
        <w:rPr>
          <w:rFonts w:hint="eastAsia" w:ascii="宋体" w:hAnsi="宋体"/>
          <w:b/>
          <w:color w:val="000000"/>
          <w:sz w:val="28"/>
          <w:szCs w:val="28"/>
        </w:rPr>
      </w:pPr>
      <w:r>
        <w:rPr>
          <w:rFonts w:hint="eastAsia" w:ascii="宋体" w:hAnsi="宋体"/>
          <w:b/>
          <w:color w:val="000000"/>
          <w:sz w:val="28"/>
          <w:szCs w:val="28"/>
        </w:rPr>
        <w:t>2）保证金交纳凭证复印件；</w:t>
      </w:r>
    </w:p>
    <w:p>
      <w:pPr>
        <w:spacing w:line="360" w:lineRule="auto"/>
        <w:ind w:left="105" w:firstLine="141" w:firstLineChars="50"/>
        <w:rPr>
          <w:rFonts w:hint="eastAsia" w:ascii="宋体" w:hAnsi="宋体"/>
          <w:b/>
          <w:color w:val="000000"/>
          <w:sz w:val="28"/>
          <w:szCs w:val="28"/>
        </w:rPr>
      </w:pPr>
    </w:p>
    <w:p>
      <w:pPr>
        <w:spacing w:line="360" w:lineRule="auto"/>
        <w:ind w:left="142" w:firstLine="141" w:firstLineChars="50"/>
        <w:rPr>
          <w:rFonts w:hint="eastAsia" w:ascii="宋体" w:hAnsi="宋体"/>
          <w:b/>
          <w:color w:val="000000"/>
          <w:sz w:val="28"/>
          <w:szCs w:val="28"/>
        </w:rPr>
      </w:pPr>
      <w:r>
        <w:rPr>
          <w:rFonts w:hint="eastAsia" w:ascii="宋体" w:hAnsi="宋体"/>
          <w:b/>
          <w:color w:val="000000"/>
          <w:sz w:val="28"/>
          <w:szCs w:val="28"/>
        </w:rPr>
        <w:t>3）</w:t>
      </w:r>
      <w:r>
        <w:rPr>
          <w:rFonts w:hint="eastAsia" w:hAnsi="宋体"/>
          <w:bCs/>
          <w:color w:val="000000"/>
          <w:sz w:val="28"/>
          <w:szCs w:val="28"/>
        </w:rPr>
        <w:t>“</w:t>
      </w:r>
      <w:r>
        <w:rPr>
          <w:rFonts w:hint="eastAsia" w:hAnsi="宋体"/>
          <w:b/>
          <w:color w:val="000000"/>
          <w:sz w:val="28"/>
          <w:szCs w:val="28"/>
        </w:rPr>
        <w:t>营业执照”正本或副本复印件</w:t>
      </w:r>
      <w:r>
        <w:rPr>
          <w:rFonts w:hint="eastAsia" w:ascii="宋体" w:hAnsi="宋体"/>
          <w:b/>
          <w:color w:val="000000"/>
          <w:sz w:val="28"/>
          <w:szCs w:val="28"/>
        </w:rPr>
        <w:t>（</w:t>
      </w:r>
      <w:r>
        <w:rPr>
          <w:rFonts w:hint="eastAsia" w:hAnsi="宋体"/>
          <w:b/>
          <w:color w:val="000000"/>
          <w:sz w:val="28"/>
          <w:szCs w:val="28"/>
        </w:rPr>
        <w:t>必须提交</w:t>
      </w:r>
      <w:r>
        <w:rPr>
          <w:rFonts w:hint="eastAsia" w:ascii="宋体" w:hAnsi="宋体"/>
          <w:b/>
          <w:color w:val="000000"/>
          <w:sz w:val="28"/>
          <w:szCs w:val="28"/>
        </w:rPr>
        <w:t>）；</w:t>
      </w:r>
    </w:p>
    <w:p>
      <w:pPr>
        <w:spacing w:line="360" w:lineRule="auto"/>
        <w:ind w:left="142" w:firstLine="141" w:firstLineChars="50"/>
        <w:rPr>
          <w:rFonts w:hint="eastAsia" w:ascii="宋体" w:hAnsi="宋体"/>
          <w:b/>
          <w:color w:val="000000"/>
          <w:sz w:val="28"/>
          <w:szCs w:val="28"/>
        </w:rPr>
      </w:pPr>
    </w:p>
    <w:p>
      <w:pPr>
        <w:spacing w:line="360" w:lineRule="auto"/>
        <w:ind w:firstLine="281" w:firstLineChars="100"/>
        <w:rPr>
          <w:rFonts w:hint="eastAsia" w:ascii="宋体" w:hAnsi="宋体"/>
          <w:b/>
          <w:color w:val="000000"/>
          <w:sz w:val="28"/>
          <w:szCs w:val="28"/>
        </w:rPr>
      </w:pPr>
      <w:r>
        <w:rPr>
          <w:rFonts w:hint="eastAsia" w:ascii="宋体" w:hAnsi="宋体"/>
          <w:b/>
          <w:color w:val="000000"/>
          <w:sz w:val="28"/>
          <w:szCs w:val="28"/>
        </w:rPr>
        <w:t>4）供应商有效的资质证书复印件（</w:t>
      </w:r>
      <w:r>
        <w:rPr>
          <w:rFonts w:hint="eastAsia" w:ascii="宋体" w:hAnsi="宋体"/>
          <w:b/>
          <w:bCs/>
          <w:color w:val="000000"/>
          <w:sz w:val="28"/>
          <w:szCs w:val="28"/>
        </w:rPr>
        <w:t>必须提交</w:t>
      </w:r>
      <w:r>
        <w:rPr>
          <w:rFonts w:hint="eastAsia" w:ascii="宋体" w:hAnsi="宋体"/>
          <w:b/>
          <w:color w:val="000000"/>
          <w:sz w:val="28"/>
          <w:szCs w:val="28"/>
        </w:rPr>
        <w:t>，加盖公章）；</w:t>
      </w:r>
    </w:p>
    <w:p>
      <w:pPr>
        <w:spacing w:line="360" w:lineRule="auto"/>
        <w:ind w:firstLine="281" w:firstLineChars="100"/>
        <w:rPr>
          <w:rFonts w:hint="eastAsia" w:ascii="宋体" w:hAnsi="宋体"/>
          <w:b/>
          <w:color w:val="000000"/>
          <w:sz w:val="28"/>
          <w:szCs w:val="28"/>
        </w:rPr>
      </w:pPr>
    </w:p>
    <w:p>
      <w:pPr>
        <w:spacing w:line="360" w:lineRule="auto"/>
        <w:ind w:firstLine="281" w:firstLineChars="100"/>
        <w:rPr>
          <w:rFonts w:hint="eastAsia" w:hAnsi="宋体"/>
          <w:b/>
          <w:color w:val="000000"/>
          <w:sz w:val="28"/>
          <w:szCs w:val="28"/>
        </w:rPr>
      </w:pPr>
      <w:r>
        <w:rPr>
          <w:rFonts w:hint="eastAsia" w:ascii="宋体" w:hAnsi="宋体"/>
          <w:b/>
          <w:color w:val="000000"/>
          <w:sz w:val="28"/>
          <w:szCs w:val="28"/>
        </w:rPr>
        <w:t>5）</w:t>
      </w:r>
      <w:r>
        <w:rPr>
          <w:rFonts w:hint="eastAsia" w:hAnsi="宋体"/>
          <w:b/>
          <w:color w:val="000000"/>
          <w:sz w:val="28"/>
          <w:szCs w:val="28"/>
        </w:rPr>
        <w:t>法定代表人有效的正反面身份证复印件（必须提交）</w:t>
      </w:r>
    </w:p>
    <w:p>
      <w:pPr>
        <w:spacing w:line="360" w:lineRule="auto"/>
        <w:ind w:firstLine="281" w:firstLineChars="100"/>
        <w:rPr>
          <w:rFonts w:hint="eastAsia" w:hAnsi="宋体"/>
          <w:b/>
          <w:color w:val="000000"/>
          <w:sz w:val="28"/>
          <w:szCs w:val="28"/>
        </w:rPr>
      </w:pPr>
    </w:p>
    <w:p>
      <w:pPr>
        <w:spacing w:line="360" w:lineRule="auto"/>
        <w:ind w:firstLine="281" w:firstLineChars="100"/>
        <w:rPr>
          <w:rFonts w:hint="eastAsia" w:ascii="宋体" w:hAnsi="宋体"/>
          <w:b/>
          <w:color w:val="000000"/>
          <w:sz w:val="28"/>
          <w:szCs w:val="28"/>
        </w:rPr>
      </w:pPr>
      <w:r>
        <w:rPr>
          <w:rFonts w:ascii="宋体" w:hAnsi="宋体"/>
          <w:b/>
          <w:color w:val="000000"/>
          <w:sz w:val="28"/>
          <w:szCs w:val="28"/>
        </w:rPr>
        <w:br w:type="page"/>
      </w:r>
      <w:r>
        <w:rPr>
          <w:rFonts w:hint="eastAsia" w:ascii="宋体" w:hAnsi="宋体"/>
          <w:b/>
          <w:color w:val="000000"/>
          <w:sz w:val="28"/>
          <w:szCs w:val="28"/>
        </w:rPr>
        <w:t>6）派委托人时还须提供法定代表人授权委托书复印件、委托代理人有效的身份证正反面复印件；</w:t>
      </w:r>
    </w:p>
    <w:p>
      <w:pPr>
        <w:spacing w:line="380" w:lineRule="exact"/>
        <w:ind w:left="596" w:leftChars="150" w:hanging="281" w:hangingChars="100"/>
        <w:rPr>
          <w:rFonts w:ascii="宋体" w:hAnsi="宋体"/>
          <w:b/>
          <w:color w:val="000000"/>
          <w:sz w:val="28"/>
          <w:szCs w:val="28"/>
        </w:rPr>
      </w:pPr>
    </w:p>
    <w:p>
      <w:pPr>
        <w:snapToGrid w:val="0"/>
        <w:spacing w:before="120" w:beforeLines="50" w:after="50"/>
        <w:jc w:val="center"/>
        <w:rPr>
          <w:rFonts w:hint="eastAsia" w:ascii="宋体" w:hAnsi="宋体"/>
          <w:b/>
          <w:color w:val="000000"/>
          <w:sz w:val="24"/>
          <w:szCs w:val="20"/>
        </w:rPr>
      </w:pPr>
      <w:r>
        <w:rPr>
          <w:rFonts w:hint="eastAsia" w:ascii="宋体" w:hAnsi="宋体"/>
          <w:b/>
          <w:color w:val="000000"/>
          <w:sz w:val="24"/>
        </w:rPr>
        <w:t>授权委托书（格式）</w:t>
      </w:r>
    </w:p>
    <w:p>
      <w:pPr>
        <w:snapToGrid w:val="0"/>
        <w:spacing w:before="120" w:beforeLines="50" w:after="50"/>
        <w:rPr>
          <w:rFonts w:hint="eastAsia" w:ascii="宋体" w:hAnsi="宋体"/>
          <w:b/>
          <w:bCs/>
          <w:color w:val="000000"/>
          <w:sz w:val="24"/>
          <w:szCs w:val="20"/>
        </w:rPr>
      </w:pPr>
      <w:r>
        <w:rPr>
          <w:rFonts w:hint="eastAsia" w:ascii="宋体" w:hAnsi="宋体"/>
          <w:bCs/>
          <w:color w:val="000000"/>
          <w:sz w:val="24"/>
        </w:rPr>
        <w:t>致：</w:t>
      </w:r>
      <w:r>
        <w:rPr>
          <w:rFonts w:hint="eastAsia" w:ascii="宋体" w:hAnsi="宋体"/>
          <w:color w:val="000000"/>
          <w:sz w:val="24"/>
          <w:u w:val="single"/>
        </w:rPr>
        <w:t xml:space="preserve">          </w:t>
      </w:r>
      <w:r>
        <w:rPr>
          <w:rFonts w:hint="eastAsia" w:ascii="宋体" w:hAnsi="宋体"/>
          <w:color w:val="000000"/>
          <w:sz w:val="24"/>
        </w:rPr>
        <w:t>（采购代理机构）</w:t>
      </w:r>
      <w:r>
        <w:rPr>
          <w:rFonts w:hint="eastAsia" w:ascii="宋体" w:hAnsi="宋体"/>
          <w:b/>
          <w:bCs/>
          <w:color w:val="000000"/>
          <w:sz w:val="24"/>
        </w:rPr>
        <w:t xml:space="preserve"> </w:t>
      </w:r>
      <w:r>
        <w:rPr>
          <w:rFonts w:hint="eastAsia" w:ascii="宋体" w:hAnsi="宋体"/>
          <w:color w:val="000000"/>
          <w:sz w:val="24"/>
        </w:rPr>
        <w:t>：</w:t>
      </w:r>
    </w:p>
    <w:p>
      <w:pPr>
        <w:snapToGrid w:val="0"/>
        <w:spacing w:before="120" w:beforeLines="50" w:after="50"/>
        <w:ind w:firstLine="566" w:firstLineChars="236"/>
        <w:rPr>
          <w:rFonts w:hint="eastAsia" w:ascii="宋体" w:hAnsi="宋体"/>
          <w:color w:val="000000"/>
          <w:sz w:val="24"/>
          <w:szCs w:val="20"/>
        </w:rPr>
      </w:pPr>
      <w:r>
        <w:rPr>
          <w:rFonts w:hint="eastAsia" w:ascii="宋体" w:hAnsi="宋体"/>
          <w:color w:val="000000"/>
          <w:sz w:val="24"/>
        </w:rPr>
        <w:t>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 xml:space="preserve">（供应商名称）的法定代表人，现授权委托（本单位在职职工） </w:t>
      </w:r>
      <w:r>
        <w:rPr>
          <w:rFonts w:hint="eastAsia" w:ascii="宋体" w:hAnsi="宋体"/>
          <w:color w:val="000000"/>
          <w:sz w:val="24"/>
          <w:u w:val="single"/>
        </w:rPr>
        <w:t xml:space="preserve">              </w:t>
      </w:r>
      <w:r>
        <w:rPr>
          <w:rFonts w:hint="eastAsia" w:ascii="宋体" w:hAnsi="宋体"/>
          <w:color w:val="000000"/>
          <w:sz w:val="24"/>
        </w:rPr>
        <w:t>（姓名）以我方的名义参加</w:t>
      </w:r>
      <w:r>
        <w:rPr>
          <w:rFonts w:hint="eastAsia" w:ascii="宋体" w:hAnsi="宋体"/>
          <w:color w:val="000000"/>
          <w:sz w:val="24"/>
          <w:u w:val="single"/>
        </w:rPr>
        <w:t xml:space="preserve">              </w:t>
      </w:r>
      <w:r>
        <w:rPr>
          <w:rFonts w:hint="eastAsia" w:ascii="宋体" w:hAnsi="宋体"/>
          <w:color w:val="000000"/>
          <w:sz w:val="24"/>
        </w:rPr>
        <w:t>项目的磋商活动，并代表我方全权办理针对上述项目的磋商、评审、签约等具体事务和签署相关文件。</w:t>
      </w:r>
    </w:p>
    <w:p>
      <w:pPr>
        <w:snapToGrid w:val="0"/>
        <w:spacing w:before="120" w:beforeLines="50" w:after="50"/>
        <w:rPr>
          <w:rFonts w:hint="eastAsia" w:ascii="宋体" w:hAnsi="宋体"/>
          <w:color w:val="000000"/>
          <w:sz w:val="24"/>
          <w:szCs w:val="20"/>
        </w:rPr>
      </w:pPr>
      <w:r>
        <w:rPr>
          <w:rFonts w:hint="eastAsia" w:ascii="宋体" w:hAnsi="宋体"/>
          <w:color w:val="000000"/>
          <w:sz w:val="24"/>
        </w:rPr>
        <w:t xml:space="preserve">    我方对被授权人的签字事项负全部责任。</w:t>
      </w:r>
    </w:p>
    <w:p>
      <w:pPr>
        <w:snapToGrid w:val="0"/>
        <w:spacing w:before="120" w:beforeLines="50" w:after="50"/>
        <w:ind w:firstLine="480"/>
        <w:rPr>
          <w:rFonts w:hint="eastAsia" w:ascii="宋体" w:hAnsi="宋体"/>
          <w:color w:val="000000"/>
          <w:sz w:val="24"/>
          <w:szCs w:val="20"/>
        </w:rPr>
      </w:pPr>
      <w:r>
        <w:rPr>
          <w:rFonts w:hint="eastAsia" w:ascii="宋体" w:hAnsi="宋体"/>
          <w:color w:val="000000"/>
          <w:sz w:val="24"/>
          <w:u w:val="single"/>
        </w:rPr>
        <w:t>在撤销授权的书面通知以前，本授权书一直有效。</w:t>
      </w:r>
      <w:r>
        <w:rPr>
          <w:rFonts w:hint="eastAsia" w:ascii="宋体" w:hAnsi="宋体"/>
          <w:color w:val="000000"/>
          <w:sz w:val="24"/>
        </w:rPr>
        <w:t>被授权人在授权书有效期内签署的所有文件不因授权的撤销而失效。</w:t>
      </w:r>
    </w:p>
    <w:p>
      <w:pPr>
        <w:snapToGrid w:val="0"/>
        <w:spacing w:before="120" w:beforeLines="50" w:after="50"/>
        <w:ind w:firstLine="480"/>
        <w:rPr>
          <w:rFonts w:hint="eastAsia" w:ascii="宋体" w:hAnsi="宋体"/>
          <w:color w:val="000000"/>
          <w:sz w:val="24"/>
        </w:rPr>
      </w:pPr>
      <w:r>
        <w:rPr>
          <w:rFonts w:hint="eastAsia" w:ascii="宋体" w:hAnsi="宋体"/>
          <w:color w:val="000000"/>
          <w:sz w:val="24"/>
        </w:rPr>
        <w:t>被授权人无转委托权，特此委托。</w:t>
      </w:r>
    </w:p>
    <w:p>
      <w:pPr>
        <w:snapToGrid w:val="0"/>
        <w:spacing w:before="120" w:beforeLines="50" w:after="50"/>
        <w:ind w:firstLine="480"/>
        <w:rPr>
          <w:rFonts w:hint="eastAsia" w:ascii="宋体" w:hAnsi="宋体"/>
          <w:color w:val="000000"/>
          <w:sz w:val="24"/>
          <w:szCs w:val="20"/>
        </w:rPr>
      </w:pPr>
      <w:r>
        <w:rPr>
          <w:rFonts w:hint="eastAsia" w:ascii="宋体" w:hAnsi="宋体"/>
          <w:color w:val="000000"/>
          <w:sz w:val="24"/>
        </w:rPr>
        <w:t>附：被授权人有效身份证正反面复印件</w:t>
      </w:r>
    </w:p>
    <w:p>
      <w:pPr>
        <w:snapToGrid w:val="0"/>
        <w:spacing w:before="120" w:beforeLines="50" w:after="50"/>
        <w:rPr>
          <w:rFonts w:hint="eastAsia" w:ascii="宋体" w:hAnsi="宋体"/>
          <w:color w:val="000000"/>
          <w:sz w:val="24"/>
          <w:szCs w:val="20"/>
        </w:rPr>
      </w:pPr>
    </w:p>
    <w:p>
      <w:pPr>
        <w:snapToGrid w:val="0"/>
        <w:spacing w:before="120" w:beforeLines="50" w:after="50"/>
        <w:rPr>
          <w:rFonts w:hint="eastAsia" w:ascii="宋体" w:hAnsi="宋体"/>
          <w:color w:val="000000"/>
          <w:sz w:val="24"/>
          <w:u w:val="single"/>
        </w:rPr>
      </w:pPr>
      <w:r>
        <w:rPr>
          <w:rFonts w:hint="eastAsia" w:ascii="宋体" w:hAnsi="宋体"/>
          <w:color w:val="000000"/>
          <w:sz w:val="24"/>
        </w:rPr>
        <w:t>被授权人签字：</w:t>
      </w:r>
      <w:r>
        <w:rPr>
          <w:rFonts w:hint="eastAsia" w:ascii="宋体" w:hAnsi="宋体"/>
          <w:color w:val="000000"/>
          <w:sz w:val="24"/>
          <w:u w:val="single"/>
        </w:rPr>
        <w:t xml:space="preserve">               </w:t>
      </w:r>
      <w:r>
        <w:rPr>
          <w:rFonts w:hint="eastAsia" w:ascii="宋体" w:hAnsi="宋体"/>
          <w:color w:val="000000"/>
          <w:sz w:val="24"/>
        </w:rPr>
        <w:t xml:space="preserve">       法定代表人签字：</w:t>
      </w:r>
      <w:r>
        <w:rPr>
          <w:rFonts w:hint="eastAsia" w:ascii="宋体" w:hAnsi="宋体"/>
          <w:color w:val="000000"/>
          <w:sz w:val="24"/>
          <w:u w:val="single"/>
        </w:rPr>
        <w:t xml:space="preserve">              </w:t>
      </w:r>
    </w:p>
    <w:p>
      <w:pPr>
        <w:snapToGrid w:val="0"/>
        <w:spacing w:before="120" w:beforeLines="50" w:after="50"/>
        <w:rPr>
          <w:rFonts w:hint="eastAsia" w:ascii="宋体" w:hAnsi="宋体"/>
          <w:color w:val="000000"/>
          <w:sz w:val="24"/>
          <w:szCs w:val="20"/>
        </w:rPr>
      </w:pPr>
      <w:r>
        <w:rPr>
          <w:rFonts w:hint="eastAsia" w:ascii="宋体" w:hAnsi="宋体"/>
          <w:color w:val="000000"/>
          <w:sz w:val="24"/>
        </w:rPr>
        <w:t>所在部门职务：</w:t>
      </w:r>
      <w:r>
        <w:rPr>
          <w:rFonts w:hint="eastAsia" w:ascii="宋体" w:hAnsi="宋体"/>
          <w:color w:val="000000"/>
          <w:sz w:val="24"/>
          <w:u w:val="single"/>
        </w:rPr>
        <w:t xml:space="preserve">               </w:t>
      </w:r>
      <w:r>
        <w:rPr>
          <w:rFonts w:hint="eastAsia" w:ascii="宋体" w:hAnsi="宋体"/>
          <w:color w:val="000000"/>
          <w:sz w:val="24"/>
        </w:rPr>
        <w:t xml:space="preserve">                      职务：</w:t>
      </w:r>
      <w:r>
        <w:rPr>
          <w:rFonts w:hint="eastAsia" w:ascii="宋体" w:hAnsi="宋体"/>
          <w:color w:val="000000"/>
          <w:sz w:val="24"/>
          <w:u w:val="single"/>
        </w:rPr>
        <w:t xml:space="preserve">                  </w:t>
      </w:r>
    </w:p>
    <w:p>
      <w:pPr>
        <w:snapToGrid w:val="0"/>
        <w:spacing w:before="120" w:beforeLines="50" w:after="50"/>
        <w:rPr>
          <w:rFonts w:hint="eastAsia" w:ascii="宋体" w:hAnsi="宋体"/>
          <w:color w:val="000000"/>
          <w:sz w:val="24"/>
          <w:szCs w:val="20"/>
        </w:rPr>
      </w:pPr>
      <w:r>
        <w:rPr>
          <w:rFonts w:hint="eastAsia" w:ascii="宋体" w:hAnsi="宋体"/>
          <w:color w:val="000000"/>
          <w:sz w:val="24"/>
        </w:rPr>
        <w:t>被授权人身份证号码：</w:t>
      </w:r>
      <w:r>
        <w:rPr>
          <w:rFonts w:hint="eastAsia" w:ascii="宋体" w:hAnsi="宋体"/>
          <w:color w:val="000000"/>
          <w:sz w:val="24"/>
          <w:u w:val="single"/>
        </w:rPr>
        <w:t xml:space="preserve">                             </w:t>
      </w:r>
      <w:r>
        <w:rPr>
          <w:rFonts w:hint="eastAsia" w:ascii="宋体" w:hAnsi="宋体"/>
          <w:color w:val="000000"/>
          <w:sz w:val="24"/>
        </w:rPr>
        <w:t xml:space="preserve"> </w:t>
      </w:r>
    </w:p>
    <w:p>
      <w:pPr>
        <w:snapToGrid w:val="0"/>
        <w:spacing w:before="120" w:beforeLines="50" w:after="50"/>
        <w:jc w:val="center"/>
        <w:rPr>
          <w:rFonts w:hint="eastAsia" w:ascii="宋体" w:hAnsi="宋体"/>
          <w:color w:val="000000"/>
          <w:sz w:val="24"/>
          <w:szCs w:val="20"/>
        </w:rPr>
      </w:pPr>
      <w:r>
        <w:rPr>
          <w:rFonts w:hint="eastAsia" w:ascii="宋体" w:hAnsi="宋体"/>
          <w:color w:val="000000"/>
          <w:sz w:val="24"/>
        </w:rPr>
        <w:t xml:space="preserve">                  供应商章：</w:t>
      </w:r>
    </w:p>
    <w:p>
      <w:pPr>
        <w:autoSpaceDE w:val="0"/>
        <w:autoSpaceDN w:val="0"/>
        <w:spacing w:line="300" w:lineRule="auto"/>
        <w:ind w:left="480" w:hanging="480"/>
        <w:rPr>
          <w:rFonts w:hint="eastAsia" w:ascii="宋体" w:hAnsi="宋体"/>
          <w:color w:val="000000"/>
          <w:szCs w:val="21"/>
        </w:rPr>
      </w:pPr>
      <w:r>
        <w:rPr>
          <w:rFonts w:hint="eastAsia" w:ascii="宋体" w:hAnsi="宋体"/>
          <w:color w:val="000000"/>
          <w:sz w:val="24"/>
        </w:rPr>
        <w:t xml:space="preserve">                                             年    月    日</w:t>
      </w:r>
    </w:p>
    <w:p>
      <w:pPr>
        <w:spacing w:line="380" w:lineRule="exact"/>
        <w:rPr>
          <w:rFonts w:hint="eastAsia" w:ascii="宋体" w:hAnsi="宋体"/>
          <w:color w:val="000000"/>
          <w:sz w:val="24"/>
        </w:rPr>
      </w:pPr>
    </w:p>
    <w:p>
      <w:pPr>
        <w:spacing w:line="380" w:lineRule="exact"/>
        <w:rPr>
          <w:rFonts w:hint="eastAsia"/>
          <w:b/>
          <w:color w:val="000000"/>
        </w:rPr>
      </w:pPr>
      <w:r>
        <w:rPr>
          <w:rFonts w:hint="eastAsia"/>
          <w:b/>
          <w:color w:val="000000"/>
        </w:rPr>
        <w:t>说明：此授权委托书必须由法定代表人及被授权人签字并加盖供应商章。</w:t>
      </w:r>
    </w:p>
    <w:p>
      <w:pPr>
        <w:spacing w:line="380" w:lineRule="exact"/>
        <w:rPr>
          <w:rFonts w:hint="eastAsia" w:ascii="宋体" w:hAnsi="宋体"/>
          <w:color w:val="000000"/>
          <w:szCs w:val="21"/>
        </w:rPr>
      </w:pPr>
    </w:p>
    <w:tbl>
      <w:tblPr>
        <w:tblStyle w:val="41"/>
        <w:tblW w:w="0" w:type="auto"/>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1" w:hRule="atLeast"/>
        </w:trPr>
        <w:tc>
          <w:tcPr>
            <w:tcW w:w="8577" w:type="dxa"/>
            <w:noWrap w:val="0"/>
            <w:vAlign w:val="top"/>
          </w:tcPr>
          <w:p>
            <w:pPr>
              <w:spacing w:line="300" w:lineRule="auto"/>
              <w:rPr>
                <w:rFonts w:hint="eastAsia" w:ascii="宋体" w:hAnsi="宋体" w:eastAsia="宋体" w:cs="Times New Roman"/>
                <w:color w:val="000000"/>
                <w:szCs w:val="21"/>
              </w:rPr>
            </w:pPr>
            <w:r>
              <w:rPr>
                <w:rFonts w:hint="eastAsia" w:ascii="宋体" w:hAnsi="宋体" w:eastAsia="宋体" w:cs="Times New Roman"/>
                <w:color w:val="000000"/>
                <w:szCs w:val="21"/>
              </w:rPr>
              <w:t xml:space="preserve">粘贴被授权人身份证正反面（复印件）  </w:t>
            </w:r>
          </w:p>
        </w:tc>
      </w:tr>
    </w:tbl>
    <w:p>
      <w:pPr>
        <w:spacing w:line="300" w:lineRule="auto"/>
        <w:rPr>
          <w:rFonts w:hint="eastAsia" w:ascii="宋体" w:hAnsi="宋体"/>
          <w:b/>
          <w:color w:val="000000"/>
          <w:sz w:val="28"/>
          <w:szCs w:val="28"/>
        </w:rPr>
      </w:pPr>
    </w:p>
    <w:p>
      <w:pPr>
        <w:spacing w:line="300" w:lineRule="auto"/>
        <w:rPr>
          <w:rFonts w:hint="eastAsia" w:ascii="宋体" w:hAnsi="宋体"/>
          <w:b/>
          <w:color w:val="000000"/>
          <w:sz w:val="28"/>
          <w:szCs w:val="28"/>
        </w:rPr>
      </w:pPr>
    </w:p>
    <w:p>
      <w:pPr>
        <w:spacing w:line="300" w:lineRule="auto"/>
        <w:rPr>
          <w:rFonts w:hint="eastAsia" w:ascii="宋体" w:hAnsi="宋体"/>
          <w:b/>
          <w:color w:val="000000"/>
          <w:sz w:val="28"/>
          <w:szCs w:val="28"/>
        </w:rPr>
      </w:pPr>
    </w:p>
    <w:p>
      <w:pPr>
        <w:spacing w:line="300" w:lineRule="auto"/>
        <w:rPr>
          <w:rFonts w:hint="eastAsia" w:ascii="宋体" w:hAnsi="宋体"/>
          <w:b/>
          <w:color w:val="000000"/>
          <w:sz w:val="28"/>
          <w:szCs w:val="28"/>
        </w:rPr>
      </w:pPr>
    </w:p>
    <w:p>
      <w:pPr>
        <w:spacing w:line="360" w:lineRule="auto"/>
        <w:ind w:firstLine="275" w:firstLineChars="98"/>
        <w:rPr>
          <w:rFonts w:hint="eastAsia" w:ascii="宋体" w:hAnsi="宋体"/>
          <w:b/>
          <w:color w:val="000000"/>
          <w:sz w:val="28"/>
          <w:szCs w:val="28"/>
        </w:rPr>
      </w:pPr>
      <w:r>
        <w:rPr>
          <w:rFonts w:hint="eastAsia" w:ascii="宋体" w:hAnsi="宋体"/>
          <w:b/>
          <w:color w:val="000000"/>
          <w:sz w:val="28"/>
          <w:szCs w:val="28"/>
        </w:rPr>
        <w:t>7）</w:t>
      </w:r>
      <w:r>
        <w:rPr>
          <w:rFonts w:hint="eastAsia" w:ascii="宋体" w:hAnsi="宋体"/>
          <w:b/>
          <w:color w:val="000000"/>
          <w:sz w:val="28"/>
          <w:szCs w:val="28"/>
          <w:lang w:eastAsia="zh-CN"/>
        </w:rPr>
        <w:t>磋商供应商</w:t>
      </w:r>
      <w:r>
        <w:rPr>
          <w:rFonts w:hint="eastAsia" w:ascii="宋体" w:hAnsi="宋体"/>
          <w:b/>
          <w:color w:val="000000"/>
          <w:sz w:val="28"/>
          <w:szCs w:val="28"/>
        </w:rPr>
        <w:t>2020年7月至2020年10月的中华人民共和国税收转账专用完税证或税务机关出具的依法缴纳税收证明复印件。（提供复印件，必须提交，否则竞标无效）</w:t>
      </w:r>
    </w:p>
    <w:p>
      <w:pPr>
        <w:spacing w:line="360" w:lineRule="auto"/>
        <w:ind w:firstLine="275" w:firstLineChars="98"/>
        <w:rPr>
          <w:rFonts w:hint="eastAsia" w:ascii="宋体" w:hAnsi="宋体"/>
          <w:b/>
          <w:color w:val="000000"/>
          <w:sz w:val="28"/>
          <w:szCs w:val="28"/>
        </w:rPr>
      </w:pPr>
    </w:p>
    <w:p>
      <w:pPr>
        <w:spacing w:line="360" w:lineRule="auto"/>
        <w:ind w:firstLine="275" w:firstLineChars="98"/>
        <w:rPr>
          <w:rFonts w:hint="eastAsia" w:ascii="宋体" w:hAnsi="宋体"/>
          <w:b/>
          <w:color w:val="000000"/>
          <w:sz w:val="28"/>
          <w:szCs w:val="28"/>
        </w:rPr>
      </w:pPr>
      <w:r>
        <w:rPr>
          <w:rFonts w:hint="eastAsia" w:ascii="宋体" w:hAnsi="宋体"/>
          <w:b/>
          <w:color w:val="000000"/>
          <w:sz w:val="28"/>
          <w:szCs w:val="28"/>
        </w:rPr>
        <w:t>8）根据《第三章  服务需求一览表》中要求提供相关必须提供的证明材料</w:t>
      </w:r>
    </w:p>
    <w:p>
      <w:pPr>
        <w:spacing w:line="360" w:lineRule="auto"/>
        <w:ind w:firstLine="275" w:firstLineChars="98"/>
        <w:rPr>
          <w:rFonts w:hint="eastAsia" w:ascii="宋体" w:hAnsi="宋体"/>
          <w:b/>
          <w:color w:val="000000"/>
          <w:sz w:val="28"/>
          <w:szCs w:val="28"/>
        </w:rPr>
      </w:pPr>
    </w:p>
    <w:p>
      <w:pPr>
        <w:spacing w:line="360" w:lineRule="auto"/>
        <w:ind w:firstLine="275" w:firstLineChars="98"/>
        <w:rPr>
          <w:rFonts w:hint="eastAsia" w:ascii="宋体" w:hAnsi="宋体"/>
          <w:b/>
          <w:color w:val="000000"/>
          <w:sz w:val="28"/>
          <w:szCs w:val="28"/>
        </w:rPr>
      </w:pPr>
      <w:r>
        <w:rPr>
          <w:rFonts w:hint="eastAsia" w:ascii="宋体" w:hAnsi="宋体"/>
          <w:b/>
          <w:color w:val="000000"/>
          <w:sz w:val="28"/>
          <w:szCs w:val="28"/>
        </w:rPr>
        <w:t>9）</w:t>
      </w:r>
      <w:r>
        <w:rPr>
          <w:rFonts w:hint="eastAsia" w:ascii="宋体" w:hAnsi="宋体"/>
          <w:b/>
          <w:color w:val="000000"/>
          <w:sz w:val="28"/>
          <w:szCs w:val="28"/>
          <w:lang w:eastAsia="zh-CN"/>
        </w:rPr>
        <w:t>磋商供应商</w:t>
      </w:r>
      <w:r>
        <w:rPr>
          <w:rFonts w:hint="eastAsia" w:ascii="宋体" w:hAnsi="宋体"/>
          <w:b/>
          <w:color w:val="000000"/>
          <w:sz w:val="28"/>
          <w:szCs w:val="28"/>
        </w:rPr>
        <w:t>认为必要提供的声明及文件资料（例如：</w:t>
      </w:r>
      <w:r>
        <w:rPr>
          <w:rFonts w:hint="eastAsia" w:ascii="宋体" w:hAnsi="宋体"/>
          <w:b/>
          <w:bCs/>
          <w:color w:val="000000"/>
          <w:sz w:val="28"/>
          <w:szCs w:val="28"/>
        </w:rPr>
        <w:t>人员配置表、技术方案、项目实施管理方案等</w:t>
      </w:r>
      <w:r>
        <w:rPr>
          <w:rFonts w:hint="eastAsia" w:ascii="宋体" w:hAnsi="宋体"/>
          <w:b/>
          <w:color w:val="000000"/>
          <w:sz w:val="28"/>
          <w:szCs w:val="28"/>
        </w:rPr>
        <w:t>）。</w:t>
      </w:r>
    </w:p>
    <w:p>
      <w:pPr>
        <w:spacing w:line="360" w:lineRule="auto"/>
        <w:ind w:firstLine="275" w:firstLineChars="98"/>
        <w:rPr>
          <w:rFonts w:hint="eastAsia" w:hAnsi="宋体"/>
          <w:b/>
          <w:color w:val="000000"/>
          <w:sz w:val="28"/>
          <w:szCs w:val="28"/>
        </w:rPr>
      </w:pPr>
    </w:p>
    <w:p>
      <w:pPr>
        <w:spacing w:line="360" w:lineRule="auto"/>
        <w:ind w:firstLine="275" w:firstLineChars="98"/>
        <w:rPr>
          <w:rFonts w:hint="eastAsia" w:hAnsi="宋体"/>
          <w:b/>
          <w:color w:val="000000"/>
          <w:sz w:val="28"/>
          <w:szCs w:val="28"/>
        </w:rPr>
      </w:pPr>
    </w:p>
    <w:p>
      <w:pPr>
        <w:spacing w:line="360" w:lineRule="auto"/>
        <w:ind w:firstLine="275" w:firstLineChars="98"/>
        <w:rPr>
          <w:rFonts w:hint="eastAsia" w:hAnsi="宋体"/>
          <w:b/>
          <w:color w:val="000000"/>
          <w:sz w:val="28"/>
          <w:szCs w:val="28"/>
        </w:rPr>
      </w:pPr>
    </w:p>
    <w:p>
      <w:pPr>
        <w:spacing w:line="360" w:lineRule="auto"/>
        <w:ind w:firstLine="275" w:firstLineChars="98"/>
        <w:rPr>
          <w:rFonts w:hint="eastAsia" w:hAnsi="宋体"/>
          <w:b/>
          <w:color w:val="000000"/>
          <w:sz w:val="28"/>
          <w:szCs w:val="28"/>
        </w:rPr>
      </w:pPr>
    </w:p>
    <w:p>
      <w:pPr>
        <w:spacing w:line="360" w:lineRule="auto"/>
        <w:ind w:firstLine="275" w:firstLineChars="98"/>
        <w:rPr>
          <w:rFonts w:hint="eastAsia" w:hAnsi="宋体"/>
          <w:b/>
          <w:color w:val="000000"/>
          <w:sz w:val="28"/>
          <w:szCs w:val="28"/>
        </w:rPr>
      </w:pPr>
    </w:p>
    <w:p>
      <w:pPr>
        <w:spacing w:line="360" w:lineRule="auto"/>
        <w:ind w:firstLine="275" w:firstLineChars="98"/>
        <w:rPr>
          <w:rFonts w:hint="eastAsia" w:hAnsi="宋体"/>
          <w:b/>
          <w:color w:val="000000"/>
          <w:sz w:val="28"/>
          <w:szCs w:val="28"/>
        </w:rPr>
      </w:pPr>
    </w:p>
    <w:p>
      <w:pPr>
        <w:spacing w:line="360" w:lineRule="auto"/>
        <w:ind w:firstLine="275" w:firstLineChars="98"/>
        <w:rPr>
          <w:rFonts w:hint="eastAsia" w:hAnsi="宋体"/>
          <w:b/>
          <w:color w:val="000000"/>
          <w:sz w:val="28"/>
          <w:szCs w:val="28"/>
        </w:rPr>
      </w:pPr>
    </w:p>
    <w:p>
      <w:pPr>
        <w:spacing w:line="360" w:lineRule="auto"/>
        <w:ind w:firstLine="205" w:firstLineChars="98"/>
        <w:rPr>
          <w:rFonts w:hint="eastAsia"/>
          <w:color w:val="000000"/>
        </w:rPr>
      </w:pPr>
    </w:p>
    <w:p>
      <w:pPr>
        <w:pStyle w:val="3"/>
        <w:rPr>
          <w:rFonts w:hint="eastAsia"/>
          <w:color w:val="000000"/>
        </w:rPr>
      </w:pPr>
      <w:bookmarkStart w:id="28" w:name="_Toc381103831"/>
      <w:r>
        <w:rPr>
          <w:rFonts w:hint="eastAsia"/>
          <w:color w:val="000000"/>
        </w:rPr>
        <w:t xml:space="preserve">       </w:t>
      </w:r>
    </w:p>
    <w:p>
      <w:pPr>
        <w:pStyle w:val="3"/>
        <w:rPr>
          <w:rFonts w:hint="eastAsia"/>
          <w:color w:val="000000"/>
        </w:rPr>
      </w:pPr>
      <w:r>
        <w:rPr>
          <w:color w:val="000000"/>
        </w:rPr>
        <w:br w:type="page"/>
      </w:r>
      <w:bookmarkStart w:id="29" w:name="_Toc9315"/>
      <w:r>
        <w:rPr>
          <w:rFonts w:hint="eastAsia"/>
          <w:color w:val="000000"/>
        </w:rPr>
        <w:t xml:space="preserve">第六章  </w:t>
      </w:r>
      <w:bookmarkEnd w:id="28"/>
      <w:r>
        <w:rPr>
          <w:rFonts w:hint="eastAsia"/>
          <w:color w:val="000000"/>
        </w:rPr>
        <w:t>合同书（格式）</w:t>
      </w:r>
      <w:bookmarkEnd w:id="29"/>
    </w:p>
    <w:p>
      <w:pPr>
        <w:spacing w:line="360" w:lineRule="auto"/>
        <w:rPr>
          <w:rFonts w:hint="eastAsia"/>
          <w:color w:val="000000"/>
          <w:sz w:val="24"/>
        </w:rPr>
      </w:pPr>
    </w:p>
    <w:p>
      <w:pPr>
        <w:spacing w:line="360" w:lineRule="auto"/>
        <w:rPr>
          <w:rFonts w:hint="eastAsia"/>
          <w:color w:val="000000"/>
          <w:sz w:val="24"/>
        </w:rPr>
      </w:pPr>
      <w:r>
        <w:rPr>
          <w:rFonts w:hint="eastAsia"/>
          <w:color w:val="000000"/>
          <w:sz w:val="24"/>
        </w:rPr>
        <w:t>说明：</w:t>
      </w:r>
    </w:p>
    <w:p>
      <w:pPr>
        <w:spacing w:line="360" w:lineRule="auto"/>
        <w:rPr>
          <w:rFonts w:hint="eastAsia"/>
          <w:color w:val="000000"/>
          <w:sz w:val="24"/>
        </w:rPr>
      </w:pPr>
      <w:r>
        <w:rPr>
          <w:rFonts w:hint="eastAsia"/>
          <w:color w:val="000000"/>
          <w:sz w:val="24"/>
        </w:rPr>
        <w:t>1、本合同书仅供签订正式合同时参考用，正式合同书应包括此参考格式之内容。</w:t>
      </w:r>
    </w:p>
    <w:p>
      <w:pPr>
        <w:spacing w:line="360" w:lineRule="auto"/>
        <w:rPr>
          <w:rFonts w:hint="eastAsia"/>
          <w:color w:val="000000"/>
          <w:sz w:val="24"/>
        </w:rPr>
      </w:pPr>
      <w:r>
        <w:rPr>
          <w:rFonts w:hint="eastAsia"/>
          <w:color w:val="000000"/>
          <w:sz w:val="24"/>
        </w:rPr>
        <w:t>2、合同签订双方可根据项目的具体要求进行修订，但合同条款不得与招标文件和成交人响应文件有实质性偏离。</w:t>
      </w:r>
    </w:p>
    <w:p>
      <w:pPr>
        <w:snapToGrid w:val="0"/>
        <w:spacing w:line="400" w:lineRule="exact"/>
        <w:jc w:val="center"/>
        <w:rPr>
          <w:rFonts w:hint="eastAsia" w:ascii="宋体" w:hAnsi="宋体"/>
          <w:b/>
          <w:bCs/>
          <w:color w:val="000000"/>
          <w:sz w:val="32"/>
          <w:szCs w:val="32"/>
        </w:rPr>
      </w:pPr>
      <w:r>
        <w:rPr>
          <w:rFonts w:ascii="黑体" w:eastAsia="黑体"/>
          <w:b/>
          <w:color w:val="000000"/>
          <w:sz w:val="32"/>
        </w:rPr>
        <w:br w:type="page"/>
      </w:r>
      <w:r>
        <w:rPr>
          <w:rFonts w:hint="eastAsia" w:ascii="宋体" w:hAnsi="宋体"/>
          <w:b/>
          <w:bCs/>
          <w:color w:val="000000"/>
          <w:sz w:val="32"/>
          <w:szCs w:val="32"/>
        </w:rPr>
        <w:t>《广西壮族自治区政府采购合同》</w:t>
      </w:r>
    </w:p>
    <w:p>
      <w:pPr>
        <w:snapToGrid w:val="0"/>
        <w:spacing w:line="400" w:lineRule="exact"/>
        <w:jc w:val="center"/>
        <w:rPr>
          <w:rFonts w:hint="eastAsia" w:ascii="宋体" w:hAnsi="宋体"/>
          <w:b/>
          <w:bCs/>
          <w:color w:val="000000"/>
          <w:sz w:val="32"/>
          <w:szCs w:val="32"/>
        </w:rPr>
      </w:pPr>
      <w:r>
        <w:rPr>
          <w:rFonts w:hint="eastAsia" w:ascii="宋体" w:hAnsi="宋体"/>
          <w:b/>
          <w:color w:val="000000"/>
          <w:sz w:val="32"/>
          <w:szCs w:val="32"/>
        </w:rPr>
        <w:t>（试行）文本</w:t>
      </w:r>
    </w:p>
    <w:p>
      <w:pPr>
        <w:snapToGrid w:val="0"/>
        <w:spacing w:line="400" w:lineRule="exact"/>
        <w:ind w:right="480" w:firstLine="5250" w:firstLineChars="2500"/>
        <w:rPr>
          <w:rFonts w:hint="eastAsia" w:ascii="宋体" w:hAnsi="宋体"/>
          <w:bCs/>
          <w:color w:val="000000"/>
          <w:szCs w:val="21"/>
          <w:u w:val="single"/>
        </w:rPr>
      </w:pPr>
      <w:r>
        <w:rPr>
          <w:rFonts w:hint="eastAsia" w:ascii="宋体" w:hAnsi="宋体"/>
          <w:bCs/>
          <w:color w:val="000000"/>
          <w:szCs w:val="21"/>
        </w:rPr>
        <w:t>合同编号：</w:t>
      </w:r>
    </w:p>
    <w:p>
      <w:pPr>
        <w:snapToGrid w:val="0"/>
        <w:spacing w:line="360" w:lineRule="exact"/>
        <w:rPr>
          <w:rFonts w:hint="eastAsia" w:ascii="宋体" w:hAnsi="宋体"/>
          <w:color w:val="000000"/>
          <w:szCs w:val="21"/>
        </w:rPr>
      </w:pPr>
    </w:p>
    <w:p>
      <w:pPr>
        <w:snapToGrid w:val="0"/>
        <w:spacing w:line="400" w:lineRule="exact"/>
        <w:ind w:firstLine="424" w:firstLineChars="193"/>
        <w:rPr>
          <w:rFonts w:hint="eastAsia" w:ascii="宋体" w:hAnsi="宋体"/>
          <w:color w:val="000000"/>
          <w:sz w:val="22"/>
          <w:u w:val="single"/>
        </w:rPr>
      </w:pPr>
      <w:r>
        <w:rPr>
          <w:rFonts w:hint="eastAsia" w:ascii="宋体" w:hAnsi="宋体"/>
          <w:color w:val="000000"/>
          <w:sz w:val="22"/>
        </w:rPr>
        <w:t>采购单位（甲方）</w:t>
      </w:r>
      <w:r>
        <w:rPr>
          <w:rFonts w:hint="eastAsia" w:ascii="宋体" w:hAnsi="宋体"/>
          <w:color w:val="000000"/>
          <w:sz w:val="22"/>
          <w:u w:val="single"/>
        </w:rPr>
        <w:t xml:space="preserve">                          </w:t>
      </w:r>
      <w:r>
        <w:rPr>
          <w:rFonts w:hint="eastAsia" w:ascii="宋体" w:hAnsi="宋体"/>
          <w:color w:val="000000"/>
          <w:sz w:val="22"/>
        </w:rPr>
        <w:t xml:space="preserve">  </w:t>
      </w:r>
      <w:r>
        <w:rPr>
          <w:rFonts w:hint="eastAsia" w:ascii="宋体" w:hAnsi="宋体"/>
          <w:color w:val="000000"/>
          <w:spacing w:val="-20"/>
          <w:sz w:val="22"/>
        </w:rPr>
        <w:t>采 购 计 划 号</w:t>
      </w:r>
      <w:r>
        <w:rPr>
          <w:rFonts w:hint="eastAsia" w:ascii="宋体" w:hAnsi="宋体"/>
          <w:color w:val="000000"/>
          <w:sz w:val="22"/>
          <w:u w:val="single"/>
        </w:rPr>
        <w:t xml:space="preserve">             </w:t>
      </w:r>
    </w:p>
    <w:p>
      <w:pPr>
        <w:snapToGrid w:val="0"/>
        <w:spacing w:line="400" w:lineRule="exact"/>
        <w:ind w:firstLine="424" w:firstLineChars="193"/>
        <w:rPr>
          <w:rFonts w:hint="eastAsia" w:ascii="宋体" w:hAnsi="宋体"/>
          <w:color w:val="000000"/>
          <w:sz w:val="22"/>
          <w:u w:val="single"/>
        </w:rPr>
      </w:pPr>
      <w:r>
        <w:rPr>
          <w:rFonts w:hint="eastAsia" w:ascii="宋体" w:hAnsi="宋体"/>
          <w:color w:val="000000"/>
          <w:sz w:val="22"/>
        </w:rPr>
        <w:t>供 应 商（乙方）</w:t>
      </w:r>
      <w:r>
        <w:rPr>
          <w:rFonts w:hint="eastAsia" w:ascii="宋体" w:hAnsi="宋体"/>
          <w:color w:val="000000"/>
          <w:sz w:val="22"/>
          <w:u w:val="single"/>
        </w:rPr>
        <w:t xml:space="preserve">                          </w:t>
      </w:r>
      <w:r>
        <w:rPr>
          <w:rFonts w:hint="eastAsia" w:ascii="宋体" w:hAnsi="宋体"/>
          <w:color w:val="000000"/>
          <w:sz w:val="22"/>
        </w:rPr>
        <w:t xml:space="preserve">  </w:t>
      </w:r>
      <w:r>
        <w:rPr>
          <w:rFonts w:hint="eastAsia" w:ascii="宋体" w:hAnsi="宋体"/>
          <w:color w:val="000000"/>
          <w:spacing w:val="-20"/>
          <w:sz w:val="22"/>
        </w:rPr>
        <w:t>招  标  编  号</w:t>
      </w:r>
      <w:r>
        <w:rPr>
          <w:rFonts w:hint="eastAsia" w:ascii="宋体" w:hAnsi="宋体"/>
          <w:color w:val="000000"/>
          <w:sz w:val="22"/>
          <w:u w:val="single"/>
        </w:rPr>
        <w:t xml:space="preserve">             </w:t>
      </w:r>
    </w:p>
    <w:p>
      <w:pPr>
        <w:snapToGrid w:val="0"/>
        <w:spacing w:line="400" w:lineRule="exact"/>
        <w:ind w:firstLine="424" w:firstLineChars="193"/>
        <w:rPr>
          <w:rFonts w:hint="eastAsia" w:ascii="宋体" w:hAnsi="宋体"/>
          <w:color w:val="000000"/>
          <w:sz w:val="22"/>
          <w:u w:val="single"/>
        </w:rPr>
      </w:pPr>
      <w:r>
        <w:rPr>
          <w:rFonts w:hint="eastAsia" w:ascii="宋体" w:hAnsi="宋体"/>
          <w:color w:val="000000"/>
          <w:sz w:val="22"/>
        </w:rPr>
        <w:t xml:space="preserve">签  订  地  点  </w:t>
      </w:r>
      <w:r>
        <w:rPr>
          <w:rFonts w:hint="eastAsia" w:ascii="宋体" w:hAnsi="宋体"/>
          <w:color w:val="000000"/>
          <w:sz w:val="22"/>
          <w:u w:val="single"/>
        </w:rPr>
        <w:t xml:space="preserve">                          </w:t>
      </w:r>
      <w:r>
        <w:rPr>
          <w:rFonts w:hint="eastAsia" w:ascii="宋体" w:hAnsi="宋体"/>
          <w:color w:val="000000"/>
          <w:sz w:val="22"/>
        </w:rPr>
        <w:t xml:space="preserve">  签 订 时 间</w:t>
      </w:r>
      <w:r>
        <w:rPr>
          <w:rFonts w:hint="eastAsia" w:ascii="宋体" w:hAnsi="宋体"/>
          <w:color w:val="000000"/>
          <w:sz w:val="22"/>
          <w:u w:val="single"/>
        </w:rPr>
        <w:t xml:space="preserve">             </w:t>
      </w:r>
    </w:p>
    <w:p>
      <w:pPr>
        <w:snapToGrid w:val="0"/>
        <w:spacing w:line="400" w:lineRule="exact"/>
        <w:ind w:firstLine="424" w:firstLineChars="193"/>
        <w:rPr>
          <w:rFonts w:hint="eastAsia" w:ascii="宋体" w:hAnsi="宋体"/>
          <w:color w:val="000000"/>
          <w:sz w:val="22"/>
        </w:rPr>
      </w:pP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根据《中华人民共和国政府采购法》、《中华人民共和国合同法》等法律、法规规定，按照招响应文件（采购文件）规定条款和成交（成交）供应商承诺，甲乙双方签订本合同。</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第一条　合同标的</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1、项目名称：</w:t>
      </w:r>
    </w:p>
    <w:p>
      <w:pPr>
        <w:snapToGrid w:val="0"/>
        <w:spacing w:line="400" w:lineRule="exact"/>
        <w:ind w:firstLine="424" w:firstLineChars="193"/>
        <w:rPr>
          <w:rFonts w:hint="eastAsia" w:ascii="宋体" w:hAnsi="宋体"/>
          <w:color w:val="000000"/>
          <w:sz w:val="22"/>
          <w:szCs w:val="22"/>
          <w:u w:val="single"/>
        </w:rPr>
      </w:pPr>
      <w:r>
        <w:rPr>
          <w:rFonts w:hint="eastAsia" w:ascii="宋体" w:hAnsi="宋体"/>
          <w:color w:val="000000"/>
          <w:sz w:val="22"/>
          <w:szCs w:val="22"/>
        </w:rPr>
        <w:t>工作内容：</w:t>
      </w:r>
      <w:r>
        <w:rPr>
          <w:rFonts w:hint="eastAsia" w:ascii="宋体" w:hAnsi="宋体"/>
          <w:color w:val="000000"/>
          <w:sz w:val="22"/>
          <w:szCs w:val="22"/>
          <w:u w:val="single"/>
        </w:rPr>
        <w:t xml:space="preserve">                                                              </w:t>
      </w:r>
    </w:p>
    <w:p>
      <w:pPr>
        <w:snapToGrid w:val="0"/>
        <w:spacing w:line="400" w:lineRule="exact"/>
        <w:ind w:firstLine="424" w:firstLineChars="193"/>
        <w:rPr>
          <w:rFonts w:hint="eastAsia" w:ascii="宋体" w:hAnsi="宋体"/>
          <w:color w:val="000000"/>
          <w:sz w:val="22"/>
          <w:szCs w:val="22"/>
          <w:u w:val="single"/>
        </w:rPr>
      </w:pPr>
      <w:r>
        <w:rPr>
          <w:rFonts w:hint="eastAsia" w:ascii="宋体" w:hAnsi="宋体"/>
          <w:color w:val="000000"/>
          <w:sz w:val="22"/>
          <w:szCs w:val="22"/>
        </w:rPr>
        <w:t>成交金额：人民币（大写）</w:t>
      </w:r>
      <w:r>
        <w:rPr>
          <w:rFonts w:hint="eastAsia" w:ascii="宋体" w:hAnsi="宋体"/>
          <w:color w:val="000000"/>
          <w:sz w:val="22"/>
          <w:szCs w:val="22"/>
          <w:u w:val="single"/>
        </w:rPr>
        <w:t xml:space="preserve">                            </w:t>
      </w:r>
      <w:r>
        <w:rPr>
          <w:rFonts w:hint="eastAsia" w:ascii="宋体" w:hAnsi="宋体"/>
          <w:color w:val="000000"/>
          <w:sz w:val="22"/>
          <w:szCs w:val="22"/>
        </w:rPr>
        <w:t>（小写）</w:t>
      </w:r>
      <w:r>
        <w:rPr>
          <w:rFonts w:hint="eastAsia" w:ascii="宋体" w:hAnsi="宋体"/>
          <w:color w:val="000000"/>
          <w:sz w:val="22"/>
          <w:szCs w:val="22"/>
          <w:u w:val="single"/>
        </w:rPr>
        <w:t xml:space="preserve">            </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乙方应完成工作内容：</w:t>
      </w:r>
      <w:r>
        <w:rPr>
          <w:rFonts w:hint="eastAsia" w:ascii="宋体" w:hAnsi="宋体"/>
          <w:color w:val="000000"/>
          <w:sz w:val="22"/>
          <w:szCs w:val="22"/>
          <w:u w:val="single"/>
        </w:rPr>
        <w:t xml:space="preserve">                                                    </w:t>
      </w:r>
    </w:p>
    <w:p>
      <w:pPr>
        <w:snapToGrid w:val="0"/>
        <w:spacing w:line="400" w:lineRule="exact"/>
        <w:ind w:firstLine="424" w:firstLineChars="193"/>
        <w:rPr>
          <w:rFonts w:hint="eastAsia" w:ascii="宋体" w:hAnsi="宋体"/>
          <w:color w:val="000000"/>
          <w:sz w:val="22"/>
          <w:szCs w:val="22"/>
          <w:u w:val="single"/>
        </w:rPr>
      </w:pPr>
      <w:r>
        <w:rPr>
          <w:rFonts w:hint="eastAsia" w:ascii="宋体" w:hAnsi="宋体"/>
          <w:color w:val="000000"/>
          <w:sz w:val="22"/>
          <w:szCs w:val="22"/>
        </w:rPr>
        <w:t>成果文件质量要求：</w:t>
      </w:r>
      <w:r>
        <w:rPr>
          <w:rFonts w:hint="eastAsia" w:ascii="宋体" w:hAnsi="宋体"/>
          <w:color w:val="000000"/>
          <w:sz w:val="22"/>
          <w:szCs w:val="22"/>
          <w:u w:val="single"/>
        </w:rPr>
        <w:t xml:space="preserve">符合国家、广西壮族自治区规定的质量标准和现行技术规范、规程要求。 </w:t>
      </w:r>
    </w:p>
    <w:p>
      <w:pPr>
        <w:snapToGrid w:val="0"/>
        <w:spacing w:line="400" w:lineRule="exact"/>
        <w:ind w:firstLine="426" w:firstLineChars="193"/>
        <w:rPr>
          <w:rFonts w:hint="eastAsia" w:ascii="宋体" w:hAnsi="宋体"/>
          <w:color w:val="000000"/>
          <w:sz w:val="22"/>
          <w:szCs w:val="22"/>
        </w:rPr>
      </w:pPr>
      <w:r>
        <w:rPr>
          <w:rFonts w:hint="eastAsia" w:ascii="宋体" w:hAnsi="宋体"/>
          <w:b/>
          <w:color w:val="000000"/>
          <w:sz w:val="22"/>
          <w:szCs w:val="22"/>
        </w:rPr>
        <w:t>第二条　工程进度</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本项目实施年限为：</w:t>
      </w:r>
      <w:r>
        <w:rPr>
          <w:rFonts w:hint="eastAsia" w:ascii="宋体" w:hAnsi="宋体"/>
          <w:color w:val="000000"/>
          <w:sz w:val="22"/>
          <w:szCs w:val="22"/>
          <w:u w:val="single"/>
        </w:rPr>
        <w:t xml:space="preserve">                 </w:t>
      </w:r>
      <w:r>
        <w:rPr>
          <w:rFonts w:hint="eastAsia" w:ascii="宋体" w:hAnsi="宋体"/>
          <w:color w:val="000000"/>
          <w:sz w:val="22"/>
          <w:szCs w:val="22"/>
        </w:rPr>
        <w:t>年，期间具体节点工作服务如下载述：</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1、项目合同签订后，乙方在7个工作日内按河池市机动车排放摇感监测系统二期项目方案并开展工作。</w:t>
      </w:r>
    </w:p>
    <w:p>
      <w:pPr>
        <w:widowControl/>
        <w:spacing w:line="280" w:lineRule="exact"/>
        <w:ind w:firstLine="440" w:firstLineChars="200"/>
        <w:rPr>
          <w:kern w:val="0"/>
          <w:sz w:val="24"/>
        </w:rPr>
      </w:pPr>
      <w:r>
        <w:rPr>
          <w:rFonts w:hint="eastAsia" w:ascii="宋体" w:hAnsi="宋体"/>
          <w:color w:val="000000"/>
          <w:sz w:val="22"/>
          <w:szCs w:val="22"/>
        </w:rPr>
        <w:t>2、</w:t>
      </w:r>
      <w:r>
        <w:rPr>
          <w:kern w:val="0"/>
          <w:sz w:val="24"/>
        </w:rPr>
        <w:t>3</w:t>
      </w:r>
      <w:r>
        <w:rPr>
          <w:rFonts w:hAnsi="宋体"/>
          <w:kern w:val="0"/>
          <w:sz w:val="24"/>
        </w:rPr>
        <w:t>年系统运维</w:t>
      </w:r>
      <w:r>
        <w:rPr>
          <w:rFonts w:hint="eastAsia" w:hAnsi="宋体"/>
          <w:kern w:val="0"/>
          <w:sz w:val="24"/>
        </w:rPr>
        <w:t>服务</w:t>
      </w:r>
      <w:r>
        <w:rPr>
          <w:rFonts w:hAnsi="宋体"/>
          <w:kern w:val="0"/>
          <w:sz w:val="24"/>
        </w:rPr>
        <w:t>，中标单位须安排</w:t>
      </w:r>
      <w:r>
        <w:rPr>
          <w:kern w:val="0"/>
          <w:sz w:val="24"/>
        </w:rPr>
        <w:t>1</w:t>
      </w:r>
      <w:r>
        <w:rPr>
          <w:rFonts w:hAnsi="宋体"/>
          <w:kern w:val="0"/>
          <w:sz w:val="24"/>
        </w:rPr>
        <w:t>名具有遥测项目实施经验的人员驻场运维。</w:t>
      </w:r>
    </w:p>
    <w:p>
      <w:pPr>
        <w:snapToGrid w:val="0"/>
        <w:spacing w:line="400" w:lineRule="exact"/>
        <w:ind w:firstLine="463" w:firstLineChars="193"/>
        <w:rPr>
          <w:rFonts w:hint="eastAsia" w:ascii="宋体" w:hAnsi="宋体"/>
          <w:color w:val="FF0000"/>
          <w:sz w:val="22"/>
          <w:szCs w:val="22"/>
        </w:rPr>
      </w:pPr>
      <w:r>
        <w:rPr>
          <w:rFonts w:hAnsi="宋体"/>
          <w:kern w:val="0"/>
          <w:sz w:val="24"/>
        </w:rPr>
        <w:t>总体目标：确保固定水平式机动车尾气遥感检测系统和</w:t>
      </w:r>
      <w:r>
        <w:rPr>
          <w:kern w:val="0"/>
          <w:sz w:val="24"/>
        </w:rPr>
        <w:t>1</w:t>
      </w:r>
      <w:r>
        <w:rPr>
          <w:rFonts w:hAnsi="宋体"/>
          <w:kern w:val="0"/>
          <w:sz w:val="24"/>
        </w:rPr>
        <w:t>套遥感监测平台的正常运行，监测数据准确，为采购人做好相关数据的维护、采集、统计分析、服务等工作。</w:t>
      </w:r>
    </w:p>
    <w:p>
      <w:pPr>
        <w:pStyle w:val="55"/>
        <w:spacing w:line="400" w:lineRule="exact"/>
        <w:ind w:firstLine="480" w:firstLineChars="200"/>
        <w:rPr>
          <w:sz w:val="22"/>
          <w:szCs w:val="22"/>
        </w:rPr>
      </w:pPr>
      <w:r>
        <w:rPr>
          <w:rFonts w:hint="eastAsia" w:ascii="宋体" w:hAnsi="宋体"/>
          <w:color w:val="000000"/>
          <w:sz w:val="22"/>
          <w:szCs w:val="22"/>
        </w:rPr>
        <w:t>3、乙方所提供的服务必须与采购文件和承诺相一致且符合相应的国家及地方技术规范及标准。</w:t>
      </w:r>
    </w:p>
    <w:p>
      <w:pPr>
        <w:snapToGrid w:val="0"/>
        <w:spacing w:line="400" w:lineRule="exact"/>
        <w:ind w:firstLine="426" w:firstLineChars="193"/>
        <w:rPr>
          <w:rFonts w:hint="eastAsia" w:ascii="宋体" w:hAnsi="宋体"/>
          <w:color w:val="000000"/>
          <w:sz w:val="22"/>
          <w:szCs w:val="22"/>
        </w:rPr>
      </w:pPr>
      <w:r>
        <w:rPr>
          <w:rFonts w:hint="eastAsia" w:ascii="宋体" w:hAnsi="宋体"/>
          <w:b/>
          <w:color w:val="000000"/>
          <w:sz w:val="22"/>
          <w:szCs w:val="22"/>
        </w:rPr>
        <w:t>第三条　工作人员</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1、乙方应为项目专题技术服务工作安排符合资格要求的工作人员，并保证其胜任本职工作。</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2、乙方项目负责人为：</w:t>
      </w:r>
      <w:r>
        <w:rPr>
          <w:rFonts w:hint="eastAsia" w:ascii="宋体" w:hAnsi="宋体"/>
          <w:color w:val="000000"/>
          <w:sz w:val="22"/>
          <w:szCs w:val="22"/>
          <w:u w:val="single"/>
        </w:rPr>
        <w:t xml:space="preserve">        </w:t>
      </w:r>
      <w:r>
        <w:rPr>
          <w:rFonts w:hint="eastAsia" w:ascii="宋体" w:hAnsi="宋体"/>
          <w:color w:val="000000"/>
          <w:sz w:val="22"/>
          <w:szCs w:val="22"/>
        </w:rPr>
        <w:t>。该负责人代表乙方具体执行合同，负责组织、实施本合同下的项目专题技术服务工作，签发合同履行过程中的相关文件。</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3、未经甲方同意，乙方不得擅自更换其工作人员。甲方认为乙方工作人员不能胜任本职工作或玩忽职守的，有权要求乙方立即更换。</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第四条　双方的义务</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1、甲方义务</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除本合同另有约定外，甲方应履行以下义务：</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1.1尊重乙方根据国家及行业有关标准、规程和规范的规定开展工程项目专题技术服务工作的权利，不向乙方提出与国家及行业有关标准、规程、规范相抵触的要求；</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1.2甲方应负责与本项目专题技术服务有关的第三方的协调，为乙方工作提供外部条件；</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1.3甲方应当在约定的时间内，免费并及时、准确的向乙方提供与本项目专题技术服务有关的资料；</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1.4甲方应当在约定的时间内就乙方书面提交并要求做出答复的事宜做出书面答复。乙方要求第三方提供有关资料时，甲方应负责资料转达；</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1.5甲方应当授权胜任本项目专题技术服务的代表，负责与乙方联系；</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1.6在约定的时间内向乙方支付合同价款项；</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1.7负责项目专题技术服务工作过程中乙方与有关单位的配合；</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1.8甲方必须按合同规定支付预付款，收到预付款作为乙方项目专题技术服务开工的标志。未收到预付款，乙方有权推迟项目专题技术服务工作的开工时间，且交付文件的时间顺延；</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1.9甲方要求乙方比合同规定时间提前交付项目专题技术服务《成果文件》时，需征得乙方同意，并支付赶工酬金，但该提前时间不得严重背离合理专题技术服务成果编制周期；</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1.10甲方需提供项目专题技术服务所需要的行政审批材料（相关行政部门规划（或批复）文件、选址等批复手续）；</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1.11甲方需提供与本项目各分项等有关材料（含电子文档）。</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2、乙方义务</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除本合同另有约定外，乙方应履行以下义务：</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2.1按照国家及行业有关标准、规程和规范开展工程项目专题技术服务工作；</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2.2及时向甲方交付工作文件并对其完整性和准确性负责；</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2.3按照合同约定组织和实施专题技术服务，保证工作质量；</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2.4按工作进度要求向甲方通报进展情况；</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2.5乙方在咨询过程中，对第三方提出与本专题技术服务有关的问题进行核对或查问；</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2.6乙方在编制过程中，如甲方提供的资料不明确时需及时向甲方提出书面清单报告；</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2.7协助甲方选择有资质的单位开展项目前期其他咨询工作；</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2.8接受和配合甲方聘请的监理方（如有）对其工作的监督管理；</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2.9按合同约定承担保密义务；</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2.10在规定时间内完成服务，且在24小时内无条件无偿修改方案；</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2.11乙方应选择专业能力强、技术咨询经验丰富、有责任心的人员来完成该项目专题技术服务任务，乙方对项目专题技术服务出现的遗漏或错误负责修改或补充；</w:t>
      </w:r>
    </w:p>
    <w:p>
      <w:pPr>
        <w:snapToGrid w:val="0"/>
        <w:spacing w:line="400" w:lineRule="exact"/>
        <w:ind w:firstLine="424" w:firstLineChars="193"/>
        <w:rPr>
          <w:rFonts w:hint="eastAsia" w:ascii="宋体" w:hAnsi="宋体"/>
          <w:color w:val="000000"/>
          <w:sz w:val="22"/>
          <w:szCs w:val="22"/>
          <w:u w:val="single"/>
        </w:rPr>
      </w:pPr>
      <w:r>
        <w:rPr>
          <w:rFonts w:hint="eastAsia" w:ascii="宋体" w:hAnsi="宋体"/>
          <w:color w:val="000000"/>
          <w:sz w:val="22"/>
          <w:szCs w:val="22"/>
        </w:rPr>
        <w:t>2.12合同生效后，乙方要求终止或解除合同，乙方应返还甲方已支付的款项并赔偿相应的经济损失。</w:t>
      </w:r>
    </w:p>
    <w:p>
      <w:pPr>
        <w:snapToGrid w:val="0"/>
        <w:spacing w:line="400" w:lineRule="exact"/>
        <w:ind w:firstLine="426" w:firstLineChars="193"/>
        <w:rPr>
          <w:rFonts w:hint="eastAsia" w:ascii="宋体" w:hAnsi="宋体"/>
          <w:color w:val="000000"/>
          <w:sz w:val="22"/>
          <w:szCs w:val="22"/>
        </w:rPr>
      </w:pPr>
      <w:r>
        <w:rPr>
          <w:rFonts w:hint="eastAsia" w:ascii="宋体" w:hAnsi="宋体"/>
          <w:b/>
          <w:color w:val="000000"/>
          <w:sz w:val="22"/>
          <w:szCs w:val="22"/>
        </w:rPr>
        <w:t>第五条　工作文件</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1、乙方应按合同约定及国家和行业关于项目专题技术服务《成果文件》的深度要求，编制项目专题技术服务《成果文件》（以下简称“工作文件”），并按照本合同约定的工作进度提交给甲方。</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2、《成果文件》装订要求：</w:t>
      </w:r>
      <w:r>
        <w:rPr>
          <w:rFonts w:hint="eastAsia" w:ascii="宋体" w:hAnsi="宋体"/>
          <w:color w:val="000000"/>
          <w:sz w:val="22"/>
          <w:szCs w:val="22"/>
          <w:u w:val="single"/>
        </w:rPr>
        <w:t xml:space="preserve">                    </w:t>
      </w:r>
      <w:r>
        <w:rPr>
          <w:rFonts w:hint="eastAsia" w:ascii="宋体" w:hAnsi="宋体"/>
          <w:color w:val="000000"/>
          <w:sz w:val="22"/>
          <w:szCs w:val="22"/>
        </w:rPr>
        <w:t>，分别包括文本级附件、附图一式</w:t>
      </w:r>
      <w:r>
        <w:rPr>
          <w:rFonts w:hint="eastAsia" w:ascii="宋体" w:hAnsi="宋体"/>
          <w:color w:val="000000"/>
          <w:sz w:val="22"/>
          <w:szCs w:val="22"/>
          <w:u w:val="single"/>
        </w:rPr>
        <w:t xml:space="preserve">   </w:t>
      </w:r>
      <w:r>
        <w:rPr>
          <w:rFonts w:hint="eastAsia" w:ascii="宋体" w:hAnsi="宋体"/>
          <w:color w:val="000000"/>
          <w:sz w:val="22"/>
          <w:szCs w:val="22"/>
        </w:rPr>
        <w:t>套、可编辑电子文档</w:t>
      </w:r>
      <w:r>
        <w:rPr>
          <w:rFonts w:hint="eastAsia" w:ascii="宋体" w:hAnsi="宋体"/>
          <w:color w:val="000000"/>
          <w:sz w:val="22"/>
          <w:szCs w:val="22"/>
          <w:u w:val="single"/>
        </w:rPr>
        <w:t xml:space="preserve">   </w:t>
      </w:r>
      <w:r>
        <w:rPr>
          <w:rFonts w:hint="eastAsia" w:ascii="宋体" w:hAnsi="宋体"/>
          <w:color w:val="000000"/>
          <w:sz w:val="22"/>
          <w:szCs w:val="22"/>
        </w:rPr>
        <w:t>份（U盘）。</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第六条　服务费用</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合同模式：本合同模式为总价包干合同，即合同酬金包括完成项目相应专题技术服务所必需的的货物、随配附件、备品备件、工具、运抵指定交货地点的费用、安装（调试）费、形成所有《成果文件》过程中所需的听证费以及满足审批部门审查材料所需的费用和后续服务（项目跟踪、培训等）及相关配套内容的全套文件（项目跟踪文件、项目设备使用解析文件和服务项目成果资料汇编文件等）编制以及保险、税金等其它所有成本的全部费用。</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专题技术服务费（暂定合同金额）为：人民币（大写）</w:t>
      </w:r>
      <w:r>
        <w:rPr>
          <w:rFonts w:hint="eastAsia" w:ascii="宋体" w:hAnsi="宋体"/>
          <w:color w:val="000000"/>
          <w:sz w:val="22"/>
          <w:szCs w:val="22"/>
          <w:u w:val="single"/>
        </w:rPr>
        <w:t xml:space="preserve">              （￥        ）</w:t>
      </w:r>
      <w:r>
        <w:rPr>
          <w:rFonts w:hint="eastAsia" w:ascii="宋体" w:hAnsi="宋体"/>
          <w:color w:val="000000"/>
          <w:sz w:val="22"/>
          <w:szCs w:val="22"/>
        </w:rPr>
        <w:t>。</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2、价格调整：不调整。该合同价款在合同实施期间不因任何因素变化而变化。</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3、付款方式及时间</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3.1服务费用内容</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合同协议书确定的服务费用，是从事该项目管理的唯一报酬。除此之外，不允许管理单位接受与合同有关的，或与其他承担义务有关的任何佣金、回扣、津贴，或任何非直接支付以及出于任何其他考虑的费用。特别是不能从承包人处获得任何加班费、奖金、实物。</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3.2服务费用的支付周期：</w:t>
      </w:r>
    </w:p>
    <w:p>
      <w:pPr>
        <w:snapToGrid w:val="0"/>
        <w:spacing w:line="400" w:lineRule="exact"/>
        <w:ind w:firstLine="463" w:firstLineChars="193"/>
        <w:rPr>
          <w:rFonts w:hint="eastAsia" w:ascii="宋体" w:hAnsi="宋体"/>
          <w:bCs/>
          <w:color w:val="000000"/>
          <w:sz w:val="24"/>
        </w:rPr>
      </w:pPr>
      <w:r>
        <w:rPr>
          <w:rFonts w:hint="eastAsia" w:ascii="宋体" w:hAnsi="宋体"/>
          <w:bCs/>
          <w:color w:val="000000"/>
          <w:sz w:val="24"/>
        </w:rPr>
        <w:t>本合同签订后十日内，支付</w:t>
      </w:r>
      <w:r>
        <w:rPr>
          <w:rFonts w:hint="eastAsia" w:ascii="宋体" w:hAnsi="宋体"/>
          <w:bCs/>
          <w:color w:val="000000"/>
          <w:sz w:val="24"/>
          <w:u w:val="single"/>
        </w:rPr>
        <w:t>30%</w:t>
      </w:r>
      <w:r>
        <w:rPr>
          <w:rFonts w:hint="eastAsia" w:ascii="宋体" w:hAnsi="宋体" w:cs="仿宋"/>
          <w:kern w:val="0"/>
          <w:sz w:val="24"/>
        </w:rPr>
        <w:t>合同款</w:t>
      </w:r>
      <w:r>
        <w:rPr>
          <w:rFonts w:hint="eastAsia" w:ascii="宋体" w:hAnsi="宋体"/>
          <w:bCs/>
          <w:color w:val="000000"/>
          <w:sz w:val="24"/>
        </w:rPr>
        <w:t>，</w:t>
      </w:r>
      <w:r>
        <w:rPr>
          <w:rFonts w:hint="eastAsia" w:ascii="宋体" w:hAnsi="宋体" w:cs="仿宋"/>
          <w:kern w:val="0"/>
          <w:sz w:val="24"/>
        </w:rPr>
        <w:t>项目验收完支付</w:t>
      </w:r>
      <w:r>
        <w:rPr>
          <w:rFonts w:hint="eastAsia" w:ascii="宋体" w:hAnsi="宋体" w:cs="仿宋"/>
          <w:kern w:val="0"/>
          <w:sz w:val="24"/>
          <w:u w:val="single"/>
        </w:rPr>
        <w:t>55%</w:t>
      </w:r>
      <w:r>
        <w:rPr>
          <w:rFonts w:hint="eastAsia" w:ascii="宋体" w:hAnsi="宋体" w:cs="仿宋"/>
          <w:kern w:val="0"/>
          <w:sz w:val="24"/>
        </w:rPr>
        <w:t>合同款，第一年运维结束后支付</w:t>
      </w:r>
      <w:r>
        <w:rPr>
          <w:rFonts w:hint="eastAsia" w:ascii="宋体" w:hAnsi="宋体" w:cs="仿宋"/>
          <w:kern w:val="0"/>
          <w:sz w:val="24"/>
          <w:u w:val="single"/>
        </w:rPr>
        <w:t>5%</w:t>
      </w:r>
      <w:r>
        <w:rPr>
          <w:rFonts w:hint="eastAsia" w:ascii="宋体" w:hAnsi="宋体" w:cs="仿宋"/>
          <w:kern w:val="0"/>
          <w:sz w:val="24"/>
        </w:rPr>
        <w:t>合同款，第二年运维结束后支付</w:t>
      </w:r>
      <w:r>
        <w:rPr>
          <w:rFonts w:hint="eastAsia" w:ascii="宋体" w:hAnsi="宋体" w:cs="仿宋"/>
          <w:kern w:val="0"/>
          <w:sz w:val="24"/>
          <w:u w:val="single"/>
        </w:rPr>
        <w:t>5%</w:t>
      </w:r>
      <w:r>
        <w:rPr>
          <w:rFonts w:hint="eastAsia" w:ascii="宋体" w:hAnsi="宋体" w:cs="仿宋"/>
          <w:kern w:val="0"/>
          <w:sz w:val="24"/>
        </w:rPr>
        <w:t>合同款，第三年运维结束后支付剩余</w:t>
      </w:r>
      <w:r>
        <w:rPr>
          <w:rFonts w:hint="eastAsia" w:ascii="宋体" w:hAnsi="宋体" w:cs="仿宋"/>
          <w:kern w:val="0"/>
          <w:sz w:val="24"/>
          <w:u w:val="single"/>
        </w:rPr>
        <w:t>5%</w:t>
      </w:r>
      <w:r>
        <w:rPr>
          <w:rFonts w:hint="eastAsia" w:ascii="宋体" w:hAnsi="宋体" w:cs="仿宋"/>
          <w:kern w:val="0"/>
          <w:sz w:val="24"/>
        </w:rPr>
        <w:t>合同款，</w:t>
      </w:r>
      <w:r>
        <w:rPr>
          <w:rFonts w:hint="eastAsia" w:ascii="宋体" w:hAnsi="宋体"/>
          <w:bCs/>
          <w:color w:val="000000"/>
          <w:sz w:val="24"/>
        </w:rPr>
        <w:t>服务方应事先开具等额发票。如果服务方延误开发票，发包方有权相应延误付款。</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3.3服务费用的调整：</w:t>
      </w:r>
      <w:r>
        <w:rPr>
          <w:rFonts w:hint="eastAsia" w:ascii="宋体" w:hAnsi="宋体"/>
          <w:color w:val="000000"/>
          <w:sz w:val="22"/>
          <w:szCs w:val="22"/>
        </w:rPr>
        <w:t>咨询服务服务费不随国家收费标准调整而调整。</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3.4在进行服务时，其工作时间必须满足本项目施工的特点和需要，管理办应有足够的服务人员。法定节、假日和法定工作时间以外的延时工作费用包含在管理单位的服务费用的报价中，不单独计量和支付。</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3.5支付担保：发包人不向服务提供支付担保。</w:t>
      </w:r>
    </w:p>
    <w:p>
      <w:pPr>
        <w:snapToGrid w:val="0"/>
        <w:spacing w:line="400" w:lineRule="exact"/>
        <w:ind w:firstLine="424" w:firstLineChars="193"/>
        <w:rPr>
          <w:rFonts w:hint="eastAsia" w:ascii="宋体" w:hAnsi="宋体"/>
          <w:color w:val="000000"/>
          <w:sz w:val="22"/>
          <w:szCs w:val="22"/>
          <w:u w:val="single"/>
        </w:rPr>
      </w:pPr>
      <w:r>
        <w:rPr>
          <w:rFonts w:hint="eastAsia" w:ascii="宋体" w:hAnsi="宋体"/>
          <w:color w:val="000000"/>
          <w:sz w:val="22"/>
          <w:szCs w:val="22"/>
        </w:rPr>
        <w:t>3.6支付方式与支付内容：发包人在接到服务方提交的阶段性成果、请款申请及按照拨款单位分别开具增值税专用发票后7个工作日内，以银行转账的方式支付服务费用。</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第七条  分包</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1、乙方不得将本合同项下的专题技术服务工作进行转包。</w:t>
      </w:r>
    </w:p>
    <w:p>
      <w:pPr>
        <w:snapToGrid w:val="0"/>
        <w:spacing w:line="400" w:lineRule="exact"/>
        <w:ind w:firstLine="424" w:firstLineChars="193"/>
        <w:rPr>
          <w:rFonts w:hint="eastAsia" w:ascii="宋体" w:hAnsi="宋体"/>
          <w:color w:val="000000"/>
          <w:sz w:val="22"/>
          <w:szCs w:val="22"/>
          <w:u w:val="single"/>
        </w:rPr>
      </w:pPr>
      <w:r>
        <w:rPr>
          <w:rFonts w:hint="eastAsia" w:ascii="宋体" w:hAnsi="宋体"/>
          <w:color w:val="000000"/>
          <w:sz w:val="22"/>
          <w:szCs w:val="22"/>
        </w:rPr>
        <w:t>2、乙方不得将本合同项下的部分专题技术服务工作进行分包。</w:t>
      </w:r>
    </w:p>
    <w:p>
      <w:pPr>
        <w:snapToGrid w:val="0"/>
        <w:spacing w:line="400" w:lineRule="exact"/>
        <w:ind w:firstLine="426" w:firstLineChars="193"/>
        <w:rPr>
          <w:rFonts w:hint="eastAsia" w:ascii="宋体" w:hAnsi="宋体"/>
          <w:color w:val="000000"/>
          <w:sz w:val="22"/>
          <w:szCs w:val="22"/>
        </w:rPr>
      </w:pPr>
      <w:r>
        <w:rPr>
          <w:rFonts w:hint="eastAsia" w:ascii="宋体" w:hAnsi="宋体"/>
          <w:b/>
          <w:color w:val="000000"/>
          <w:sz w:val="22"/>
          <w:szCs w:val="22"/>
        </w:rPr>
        <w:t>第八条　知识产权</w:t>
      </w:r>
    </w:p>
    <w:p>
      <w:pPr>
        <w:pStyle w:val="20"/>
        <w:snapToGrid w:val="0"/>
        <w:spacing w:line="400" w:lineRule="exact"/>
        <w:ind w:firstLine="424" w:firstLineChars="193"/>
        <w:rPr>
          <w:rFonts w:hint="eastAsia" w:hAnsi="宋体"/>
          <w:color w:val="000000"/>
          <w:sz w:val="22"/>
          <w:szCs w:val="22"/>
        </w:rPr>
      </w:pPr>
      <w:r>
        <w:rPr>
          <w:rFonts w:hint="eastAsia" w:hAnsi="宋体"/>
          <w:bCs/>
          <w:color w:val="000000"/>
          <w:sz w:val="22"/>
          <w:szCs w:val="22"/>
        </w:rPr>
        <w:t>1、乙方根据本合同取得的工作文件的著作权及其他相关知识产权属甲方所有。未经甲方书面同意，乙方不得公开发表、使用或向任何第三方提供上述工作文件。</w:t>
      </w:r>
    </w:p>
    <w:p>
      <w:pPr>
        <w:snapToGrid w:val="0"/>
        <w:spacing w:line="400" w:lineRule="exact"/>
        <w:ind w:firstLine="424" w:firstLineChars="193"/>
        <w:rPr>
          <w:rFonts w:hint="eastAsia" w:ascii="宋体" w:hAnsi="宋体"/>
          <w:color w:val="000000"/>
          <w:kern w:val="0"/>
          <w:sz w:val="22"/>
          <w:szCs w:val="22"/>
        </w:rPr>
      </w:pPr>
      <w:r>
        <w:rPr>
          <w:rFonts w:hint="eastAsia" w:ascii="宋体" w:hAnsi="宋体"/>
          <w:color w:val="000000"/>
          <w:sz w:val="22"/>
          <w:szCs w:val="22"/>
        </w:rPr>
        <w:t>2、乙方所提交的工作文件不应存在任何权利瑕疵，乙方应保证甲方免于遭受因第三方提起侵权索赔而产生的任何损失。如果任何第三方向甲方提起侵权索赔，乙方应负责与之进行交涉，并承担由此引起的一切责任。</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第九条　保密义务</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1、甲方</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1.1保密内容（包括技术信息和经营信息）：乙方提交的《成果文件》及本项目有关的技术信息和经营信息；</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1.2涉密人员范围：本项目参与人员；</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1.3保密期限：自本项目编制合同签订之日起至本项目服务合同履行完毕为止；</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1.4涉密责任：承担相应的法律责任。</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2、乙方：</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2.1保密内容（包括技术信息和经营信息）：甲方提供的有关图纸与资料文件及本项目的研究《成果文件》；</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2.2涉密人员范围：本项目参与人员；</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2.3保密期限：自甲方自行公开前述保密内容为止；</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2.4涉密责任：承担相应的法律责任。</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第十条  违约</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1、乙方不履行本合同义务或者履行义务不符合约定的，甲方有权要求乙方承担继续履行、赔偿损失或支付违约金等违约责任。</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2、甲方逾期支付本合同酬金的，每逾期一天，甲方应向乙方支付逾期未付金额的千分之五作为违约金，直至扣完本合同总酬金的20%。</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3、由于乙方原因，延误了《成果文件》交付时间，每延误一天，应减收本合同总酬金的千分之五作为违约金，直至扣完本合同总酬金的20%。</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4、乙方指定的负责本合同项下编制任务的工作人员及项目负责人不能胜任工作或玩忽职守，乙方未按甲方要求进行人员调换或未经甲方同意擅自调换人员，给甲方带来损失的，甲方有权解除合同，并要求乙方赔偿损失并承担违约责任。</w:t>
      </w:r>
    </w:p>
    <w:p>
      <w:pPr>
        <w:pStyle w:val="20"/>
        <w:snapToGrid w:val="0"/>
        <w:spacing w:line="400" w:lineRule="exact"/>
        <w:ind w:firstLine="424" w:firstLineChars="193"/>
        <w:rPr>
          <w:rFonts w:hint="eastAsia" w:hAnsi="宋体"/>
          <w:bCs/>
          <w:color w:val="000000"/>
          <w:sz w:val="22"/>
          <w:szCs w:val="22"/>
        </w:rPr>
      </w:pPr>
      <w:r>
        <w:rPr>
          <w:rFonts w:hint="eastAsia" w:hAnsi="宋体"/>
          <w:bCs/>
          <w:color w:val="000000"/>
          <w:sz w:val="22"/>
          <w:szCs w:val="22"/>
        </w:rPr>
        <w:t>5、合同履行期间任何乙方无正当理由擅自解除合同的，应向对方承担本合同总酬金的百分之百作为违约金并赔偿各方相应的经济损失。</w:t>
      </w:r>
    </w:p>
    <w:p>
      <w:pPr>
        <w:snapToGrid w:val="0"/>
        <w:spacing w:line="400" w:lineRule="exact"/>
        <w:ind w:left="-61" w:firstLine="426" w:firstLineChars="193"/>
        <w:rPr>
          <w:rFonts w:hint="eastAsia" w:ascii="宋体" w:hAnsi="宋体"/>
          <w:color w:val="000000"/>
          <w:sz w:val="22"/>
          <w:szCs w:val="22"/>
        </w:rPr>
      </w:pPr>
      <w:r>
        <w:rPr>
          <w:rFonts w:hint="eastAsia" w:ascii="宋体" w:hAnsi="宋体"/>
          <w:b/>
          <w:color w:val="000000"/>
          <w:sz w:val="22"/>
          <w:szCs w:val="22"/>
        </w:rPr>
        <w:t>第十一条  其他</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若因甲方提供的技术材料、相关的政府审批文件、各项经济指标、各项实施数据和对应的设计文件达不到行政主管部门控制性要求或不齐全造成乙方项目无法继续进行的，则甲方无权要求乙方退还已收取的编制咨询费，此外乙方根据方案成果的完成情况向甲方提出按比例结算编制咨询费。</w:t>
      </w:r>
    </w:p>
    <w:p>
      <w:pPr>
        <w:snapToGrid w:val="0"/>
        <w:spacing w:line="400" w:lineRule="exact"/>
        <w:ind w:left="-61" w:firstLine="426" w:firstLineChars="193"/>
        <w:rPr>
          <w:rFonts w:hint="eastAsia" w:ascii="宋体" w:hAnsi="宋体"/>
          <w:color w:val="000000"/>
          <w:sz w:val="22"/>
          <w:szCs w:val="22"/>
        </w:rPr>
      </w:pPr>
      <w:r>
        <w:rPr>
          <w:rFonts w:hint="eastAsia" w:ascii="宋体" w:hAnsi="宋体"/>
          <w:b/>
          <w:color w:val="000000"/>
          <w:sz w:val="22"/>
          <w:szCs w:val="22"/>
        </w:rPr>
        <w:t>第十二条  不可抗力</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1、在合同有效期内，任何一方因不可抗力时间导致不能履行合同，则合同履行期可延长，其延长期与不可抗力影响期相同。</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2、不可抗力事件发生后，应立即通知对方，并寄送有关权威机构出具的证明。</w:t>
      </w:r>
    </w:p>
    <w:p>
      <w:pPr>
        <w:snapToGrid w:val="0"/>
        <w:spacing w:line="400" w:lineRule="exact"/>
        <w:ind w:left="-61" w:firstLine="426" w:firstLineChars="193"/>
        <w:rPr>
          <w:rFonts w:hint="eastAsia" w:ascii="宋体" w:hAnsi="宋体"/>
          <w:b/>
          <w:color w:val="000000"/>
          <w:sz w:val="22"/>
          <w:szCs w:val="22"/>
        </w:rPr>
      </w:pPr>
      <w:r>
        <w:rPr>
          <w:rFonts w:hint="eastAsia" w:ascii="宋体" w:hAnsi="宋体"/>
          <w:b/>
          <w:color w:val="000000"/>
          <w:sz w:val="22"/>
          <w:szCs w:val="22"/>
        </w:rPr>
        <w:t>第十三条  适用法律</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本合同的订立、解释、履行及争议解决，均适用中华人民共和国法律。</w:t>
      </w:r>
    </w:p>
    <w:p>
      <w:pPr>
        <w:snapToGrid w:val="0"/>
        <w:spacing w:line="400" w:lineRule="exact"/>
        <w:ind w:left="-61" w:firstLine="426" w:firstLineChars="193"/>
        <w:rPr>
          <w:rFonts w:hint="eastAsia" w:ascii="宋体" w:hAnsi="宋体"/>
          <w:b/>
          <w:color w:val="000000"/>
          <w:sz w:val="22"/>
          <w:szCs w:val="22"/>
        </w:rPr>
      </w:pPr>
      <w:r>
        <w:rPr>
          <w:rFonts w:hint="eastAsia" w:ascii="宋体" w:hAnsi="宋体"/>
          <w:b/>
          <w:color w:val="000000"/>
          <w:sz w:val="22"/>
          <w:szCs w:val="22"/>
        </w:rPr>
        <w:t>第十四条　争议解决</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1、合同履行过程中发生争议时，双方应本着诚实信用原则，通过友好协商解决。</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2、若争议经协商仍无法解决的，按以下第（2）种方式处理：</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（1）仲裁：向河池市仲裁委员会申请仲裁，按照申请仲裁时该仲裁机构有效的仲裁规则进行仲裁。仲裁裁决是终局的，对双方均有约束力。</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（2）诉讼：向河池市有管辖权人民法院提起诉讼。</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3、在争议解决期间，合同中未涉及争议部分的条款仍须履行。</w:t>
      </w:r>
    </w:p>
    <w:p>
      <w:pPr>
        <w:snapToGrid w:val="0"/>
        <w:spacing w:line="400" w:lineRule="exact"/>
        <w:ind w:left="-61" w:firstLine="426" w:firstLineChars="193"/>
        <w:rPr>
          <w:rFonts w:hint="eastAsia" w:ascii="宋体" w:hAnsi="宋体"/>
          <w:b/>
          <w:color w:val="000000"/>
          <w:sz w:val="22"/>
          <w:szCs w:val="22"/>
        </w:rPr>
      </w:pPr>
      <w:r>
        <w:rPr>
          <w:rFonts w:hint="eastAsia" w:ascii="宋体" w:hAnsi="宋体"/>
          <w:b/>
          <w:color w:val="000000"/>
          <w:sz w:val="22"/>
          <w:szCs w:val="22"/>
        </w:rPr>
        <w:t>第十五条  合同生效、变更与终止</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1、甲方有权要求乙方派专人长期驻施工现场进行配合与解决有关问题。</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2、甲方委托乙方承担本合同内容以外的工作服务，另行签订协议并支付费用。</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3、由于不可抗力因素致使合同无法履行时，双方应及时协商解决。</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4、双方认可的来往传真、电报、会议纪要、邮件等，均为合同的组成部分，与本合同具有同等法律效力。</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5、本合同自双方法定代表人（负责人）或其授权代表签署并加盖双方公章或合同专用章之日起生效。本合同签订前，乙方按照甲方要求已为甲方完成的本合同范围内的工作包括在本合同内，具体内容以本合同约定为准。双方履行完合同规定的义务后，本合同即行终止。本合同未尽事宜，按《中华人民共和国合同法》有关条款执行，必要时经双方协商一致，签订补充协议，补充协议与本合同具有同等效力。</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6、变更或解除本合同的通知或协议应当采取书</w:t>
      </w:r>
      <w:r>
        <w:rPr>
          <w:rFonts w:ascii="宋体" w:hAnsi="宋体"/>
          <w:color w:val="000000"/>
          <w:sz w:val="22"/>
          <w:szCs w:val="22"/>
        </w:rPr>
        <w:t>3</w:t>
      </w:r>
      <w:r>
        <w:rPr>
          <w:rFonts w:hint="eastAsia" w:ascii="宋体" w:hAnsi="宋体"/>
          <w:color w:val="000000"/>
          <w:sz w:val="22"/>
          <w:szCs w:val="22"/>
        </w:rPr>
        <w:t>面形式，新的协议未达成之前，原合同仍然有效。</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7、由于甲方的原因使乙方工作受到阻碍或延误以致增加了工作量或持续时间，则乙方应当就此情况与可能产生的影响及时书面通知甲方。完成本项目专题技术服务</w:t>
      </w:r>
      <w:r>
        <w:rPr>
          <w:rFonts w:ascii="宋体" w:hAnsi="宋体"/>
          <w:color w:val="000000"/>
          <w:sz w:val="22"/>
          <w:szCs w:val="22"/>
        </w:rPr>
        <w:t>《</w:t>
      </w:r>
      <w:r>
        <w:rPr>
          <w:rFonts w:hint="eastAsia" w:ascii="宋体" w:hAnsi="宋体"/>
          <w:color w:val="000000"/>
          <w:sz w:val="22"/>
          <w:szCs w:val="22"/>
        </w:rPr>
        <w:t>成果文件</w:t>
      </w:r>
      <w:r>
        <w:rPr>
          <w:rFonts w:ascii="宋体" w:hAnsi="宋体"/>
          <w:color w:val="000000"/>
          <w:sz w:val="22"/>
          <w:szCs w:val="22"/>
        </w:rPr>
        <w:t>》</w:t>
      </w:r>
      <w:r>
        <w:rPr>
          <w:rFonts w:hint="eastAsia" w:ascii="宋体" w:hAnsi="宋体"/>
          <w:color w:val="000000"/>
          <w:sz w:val="22"/>
          <w:szCs w:val="22"/>
        </w:rPr>
        <w:t>的时间应当相应延长。</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8、甲乙一方要求变更合同时，则应当在10个工作日内通知对方；因变更使一方损失的，应由责任方负责赔偿。变更的通知或协议应当采取书面形式，新的协议未达成之前，原合同仍然有效。</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9、本合同的变更必须由双方协商一致，并以书面形式确定。一方可以向另一方提出变更合同权利与义务的请求，另一方应当在3个工作日内予以答复，逾期未予以答复的，视为同意。</w:t>
      </w:r>
    </w:p>
    <w:p>
      <w:pPr>
        <w:snapToGrid w:val="0"/>
        <w:spacing w:line="400" w:lineRule="exact"/>
        <w:ind w:firstLine="426" w:firstLineChars="193"/>
        <w:rPr>
          <w:rFonts w:hint="eastAsia" w:ascii="宋体" w:hAnsi="宋体"/>
          <w:b/>
          <w:color w:val="000000"/>
          <w:sz w:val="22"/>
          <w:szCs w:val="22"/>
        </w:rPr>
      </w:pPr>
      <w:r>
        <w:rPr>
          <w:rFonts w:hint="eastAsia" w:ascii="宋体" w:hAnsi="宋体"/>
          <w:b/>
          <w:color w:val="000000"/>
          <w:sz w:val="22"/>
          <w:szCs w:val="22"/>
        </w:rPr>
        <w:t>第十六条  签订本合同依据</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1、政府采购招标文件；</w:t>
      </w:r>
    </w:p>
    <w:p>
      <w:pPr>
        <w:snapToGrid w:val="0"/>
        <w:spacing w:line="400" w:lineRule="exact"/>
        <w:ind w:firstLine="424" w:firstLineChars="193"/>
        <w:rPr>
          <w:rFonts w:hint="eastAsia" w:ascii="宋体" w:hAnsi="宋体"/>
          <w:color w:val="000000"/>
          <w:sz w:val="22"/>
          <w:szCs w:val="22"/>
        </w:rPr>
      </w:pPr>
      <w:r>
        <w:rPr>
          <w:rFonts w:hint="eastAsia" w:ascii="宋体" w:hAnsi="宋体"/>
          <w:color w:val="000000"/>
          <w:sz w:val="22"/>
          <w:szCs w:val="22"/>
        </w:rPr>
        <w:t>2、乙方提供的采购竞标（或应答）文件；</w:t>
      </w:r>
    </w:p>
    <w:p>
      <w:pPr>
        <w:snapToGrid w:val="0"/>
        <w:spacing w:line="400" w:lineRule="exact"/>
        <w:ind w:firstLine="424" w:firstLineChars="193"/>
        <w:rPr>
          <w:rFonts w:hint="eastAsia" w:ascii="宋体" w:hAnsi="宋体"/>
          <w:b/>
          <w:color w:val="000000"/>
          <w:sz w:val="22"/>
          <w:szCs w:val="22"/>
        </w:rPr>
      </w:pPr>
      <w:r>
        <w:rPr>
          <w:rFonts w:hint="eastAsia" w:ascii="宋体" w:hAnsi="宋体"/>
          <w:color w:val="000000"/>
          <w:sz w:val="22"/>
          <w:szCs w:val="22"/>
        </w:rPr>
        <w:t>3、成交或成交通知书。</w:t>
      </w:r>
    </w:p>
    <w:p>
      <w:pPr>
        <w:snapToGrid w:val="0"/>
        <w:spacing w:line="400" w:lineRule="exact"/>
        <w:ind w:firstLine="426" w:firstLineChars="193"/>
        <w:rPr>
          <w:rFonts w:hint="eastAsia" w:ascii="宋体" w:hAnsi="宋体"/>
          <w:color w:val="000000"/>
          <w:sz w:val="22"/>
          <w:szCs w:val="22"/>
        </w:rPr>
      </w:pPr>
      <w:r>
        <w:rPr>
          <w:rFonts w:hint="eastAsia" w:ascii="宋体" w:hAnsi="宋体"/>
          <w:b/>
          <w:color w:val="000000"/>
          <w:sz w:val="22"/>
          <w:szCs w:val="22"/>
        </w:rPr>
        <w:t>第十七条　</w:t>
      </w:r>
      <w:r>
        <w:rPr>
          <w:rFonts w:hint="eastAsia" w:ascii="宋体" w:hAnsi="宋体"/>
          <w:color w:val="000000"/>
          <w:sz w:val="22"/>
          <w:szCs w:val="22"/>
        </w:rPr>
        <w:t>本合同一式四份，具有同等法律效力，财政部门（政府采购监管部门）、采购代理机构各一份，甲乙双方各一份（可根据需要另增加）。</w:t>
      </w:r>
    </w:p>
    <w:p>
      <w:pPr>
        <w:snapToGrid w:val="0"/>
        <w:spacing w:line="400" w:lineRule="exact"/>
        <w:ind w:left="-61" w:firstLine="424" w:firstLineChars="193"/>
        <w:rPr>
          <w:rFonts w:hint="eastAsia" w:ascii="宋体" w:hAnsi="宋体"/>
          <w:color w:val="000000"/>
          <w:sz w:val="22"/>
          <w:szCs w:val="22"/>
        </w:rPr>
      </w:pPr>
      <w:r>
        <w:rPr>
          <w:rFonts w:hint="eastAsia" w:ascii="宋体" w:hAnsi="宋体"/>
          <w:color w:val="000000"/>
          <w:sz w:val="22"/>
          <w:szCs w:val="22"/>
        </w:rPr>
        <w:t>本合同甲乙双方签字盖章后生效，自签订之日起七个工作日内，采购人或采购代理机构应当将合同副本报同级财政部门备案。</w:t>
      </w:r>
    </w:p>
    <w:p>
      <w:pPr>
        <w:snapToGrid w:val="0"/>
        <w:spacing w:line="300" w:lineRule="exact"/>
        <w:rPr>
          <w:rFonts w:hint="eastAsia" w:ascii="宋体" w:hAnsi="宋体"/>
          <w:color w:val="000000"/>
          <w:sz w:val="24"/>
        </w:rPr>
      </w:pPr>
    </w:p>
    <w:p>
      <w:pPr>
        <w:snapToGrid w:val="0"/>
        <w:spacing w:line="300" w:lineRule="exact"/>
        <w:rPr>
          <w:rFonts w:hint="eastAsia" w:ascii="宋体" w:hAnsi="宋体"/>
          <w:color w:val="000000"/>
          <w:szCs w:val="21"/>
        </w:rPr>
      </w:pP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gridCol w:w="4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8" w:hRule="atLeast"/>
          <w:jc w:val="center"/>
        </w:trPr>
        <w:tc>
          <w:tcPr>
            <w:tcW w:w="4516"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 xml:space="preserve">甲方（章）           </w:t>
            </w:r>
          </w:p>
          <w:p>
            <w:pPr>
              <w:snapToGrid w:val="0"/>
              <w:rPr>
                <w:rFonts w:hint="eastAsia" w:ascii="宋体" w:hAnsi="宋体" w:eastAsia="宋体" w:cs="Times New Roman"/>
                <w:color w:val="000000"/>
                <w:szCs w:val="21"/>
              </w:rPr>
            </w:pPr>
          </w:p>
          <w:p>
            <w:pPr>
              <w:snapToGrid w:val="0"/>
              <w:ind w:firstLine="945" w:firstLineChars="450"/>
              <w:jc w:val="right"/>
              <w:rPr>
                <w:rFonts w:hint="eastAsia" w:ascii="宋体" w:hAnsi="宋体" w:eastAsia="宋体" w:cs="Times New Roman"/>
                <w:color w:val="000000"/>
                <w:szCs w:val="21"/>
              </w:rPr>
            </w:pPr>
            <w:r>
              <w:rPr>
                <w:rFonts w:hint="eastAsia" w:ascii="宋体" w:hAnsi="宋体" w:eastAsia="宋体" w:cs="Times New Roman"/>
                <w:color w:val="000000"/>
                <w:szCs w:val="21"/>
              </w:rPr>
              <w:t>年   月   日</w:t>
            </w:r>
          </w:p>
        </w:tc>
        <w:tc>
          <w:tcPr>
            <w:tcW w:w="4517"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 xml:space="preserve">乙方（章）              </w:t>
            </w:r>
          </w:p>
          <w:p>
            <w:pPr>
              <w:snapToGrid w:val="0"/>
              <w:rPr>
                <w:rFonts w:hint="eastAsia" w:ascii="宋体" w:hAnsi="宋体" w:eastAsia="宋体" w:cs="Times New Roman"/>
                <w:color w:val="000000"/>
                <w:szCs w:val="21"/>
              </w:rPr>
            </w:pPr>
          </w:p>
          <w:p>
            <w:pPr>
              <w:snapToGrid w:val="0"/>
              <w:jc w:val="right"/>
              <w:rPr>
                <w:rFonts w:hint="eastAsia" w:ascii="宋体" w:hAnsi="宋体" w:eastAsia="宋体" w:cs="Times New Roman"/>
                <w:color w:val="000000"/>
                <w:szCs w:val="21"/>
              </w:rPr>
            </w:pPr>
            <w:r>
              <w:rPr>
                <w:rFonts w:hint="eastAsia" w:ascii="宋体" w:hAnsi="宋体" w:eastAsia="宋体" w:cs="Times New Roman"/>
                <w:color w:val="00000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jc w:val="center"/>
        </w:trPr>
        <w:tc>
          <w:tcPr>
            <w:tcW w:w="4516"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单位地址：</w:t>
            </w:r>
          </w:p>
        </w:tc>
        <w:tc>
          <w:tcPr>
            <w:tcW w:w="4517"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4516"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法定代表人：</w:t>
            </w:r>
          </w:p>
        </w:tc>
        <w:tc>
          <w:tcPr>
            <w:tcW w:w="4517"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4516"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委托代理人：</w:t>
            </w:r>
          </w:p>
        </w:tc>
        <w:tc>
          <w:tcPr>
            <w:tcW w:w="4517"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jc w:val="center"/>
        </w:trPr>
        <w:tc>
          <w:tcPr>
            <w:tcW w:w="4516"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电话：</w:t>
            </w:r>
          </w:p>
        </w:tc>
        <w:tc>
          <w:tcPr>
            <w:tcW w:w="4517"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4516"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电子邮箱：</w:t>
            </w:r>
          </w:p>
        </w:tc>
        <w:tc>
          <w:tcPr>
            <w:tcW w:w="4517"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4516"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开户银行：</w:t>
            </w:r>
          </w:p>
        </w:tc>
        <w:tc>
          <w:tcPr>
            <w:tcW w:w="4517"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4516"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账号：</w:t>
            </w:r>
          </w:p>
        </w:tc>
        <w:tc>
          <w:tcPr>
            <w:tcW w:w="4517"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4516"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邮政编码：</w:t>
            </w:r>
          </w:p>
        </w:tc>
        <w:tc>
          <w:tcPr>
            <w:tcW w:w="4517" w:type="dxa"/>
            <w:noWrap w:val="0"/>
            <w:vAlign w:val="center"/>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8" w:hRule="atLeast"/>
          <w:jc w:val="center"/>
        </w:trPr>
        <w:tc>
          <w:tcPr>
            <w:tcW w:w="9033" w:type="dxa"/>
            <w:gridSpan w:val="2"/>
            <w:noWrap w:val="0"/>
            <w:vAlign w:val="top"/>
          </w:tcPr>
          <w:p>
            <w:pPr>
              <w:snapToGrid w:val="0"/>
              <w:rPr>
                <w:rFonts w:hint="eastAsia" w:ascii="宋体" w:hAnsi="宋体" w:eastAsia="宋体" w:cs="Times New Roman"/>
                <w:color w:val="000000"/>
                <w:szCs w:val="21"/>
              </w:rPr>
            </w:pPr>
            <w:r>
              <w:rPr>
                <w:rFonts w:hint="eastAsia" w:ascii="宋体" w:hAnsi="宋体" w:eastAsia="宋体" w:cs="Times New Roman"/>
                <w:color w:val="000000"/>
                <w:szCs w:val="21"/>
              </w:rPr>
              <w:t>经办人：</w:t>
            </w:r>
          </w:p>
          <w:p>
            <w:pPr>
              <w:snapToGrid w:val="0"/>
              <w:rPr>
                <w:rFonts w:hint="eastAsia" w:ascii="宋体" w:hAnsi="宋体" w:eastAsia="宋体" w:cs="Times New Roman"/>
                <w:color w:val="000000"/>
                <w:szCs w:val="21"/>
              </w:rPr>
            </w:pPr>
          </w:p>
          <w:p>
            <w:pPr>
              <w:snapToGrid w:val="0"/>
              <w:ind w:firstLine="630" w:firstLineChars="300"/>
              <w:jc w:val="right"/>
              <w:rPr>
                <w:rFonts w:hint="eastAsia" w:ascii="宋体" w:hAnsi="宋体" w:eastAsia="宋体" w:cs="Times New Roman"/>
                <w:color w:val="000000"/>
                <w:szCs w:val="21"/>
              </w:rPr>
            </w:pPr>
            <w:r>
              <w:rPr>
                <w:rFonts w:hint="eastAsia" w:ascii="宋体" w:hAnsi="宋体" w:eastAsia="宋体" w:cs="Times New Roman"/>
                <w:color w:val="000000"/>
                <w:szCs w:val="21"/>
              </w:rPr>
              <w:t>年    月    日</w:t>
            </w:r>
          </w:p>
        </w:tc>
      </w:tr>
    </w:tbl>
    <w:p>
      <w:pPr>
        <w:snapToGrid w:val="0"/>
        <w:ind w:left="420" w:hanging="420" w:hangingChars="200"/>
        <w:rPr>
          <w:rFonts w:hint="eastAsia" w:ascii="宋体" w:hAnsi="宋体"/>
          <w:color w:val="000000"/>
          <w:szCs w:val="21"/>
        </w:rPr>
      </w:pPr>
    </w:p>
    <w:p>
      <w:pPr>
        <w:snapToGrid w:val="0"/>
        <w:spacing w:line="360" w:lineRule="auto"/>
        <w:jc w:val="center"/>
        <w:rPr>
          <w:rFonts w:hint="eastAsia" w:ascii="宋体" w:hAnsi="宋体"/>
          <w:bCs/>
          <w:color w:val="000000"/>
          <w:sz w:val="32"/>
          <w:szCs w:val="32"/>
        </w:rPr>
      </w:pPr>
    </w:p>
    <w:p>
      <w:pPr>
        <w:pStyle w:val="20"/>
        <w:spacing w:before="480" w:beforeLines="200" w:after="480" w:afterLines="200" w:line="320" w:lineRule="exact"/>
        <w:jc w:val="center"/>
        <w:rPr>
          <w:rFonts w:hint="eastAsia"/>
          <w:color w:val="000000"/>
        </w:rPr>
      </w:pPr>
    </w:p>
    <w:sectPr>
      <w:pgSz w:w="11906" w:h="16838"/>
      <w:pgMar w:top="1418" w:right="1418" w:bottom="1418" w:left="1588" w:header="720" w:footer="851" w:gutter="0"/>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Ђˎ̥">
    <w:altName w:val="Times New Roman"/>
    <w:panose1 w:val="00000000000000000000"/>
    <w:charset w:val="00"/>
    <w:family w:val="roman"/>
    <w:pitch w:val="default"/>
    <w:sig w:usb0="00000000" w:usb1="00000000" w:usb2="00000000" w:usb3="00000000" w:csb0="00040001" w:csb1="00000000"/>
  </w:font>
  <w:font w:name="方正书宋简体">
    <w:altName w:val="宋体"/>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金山简黑体">
    <w:altName w:val="宋体"/>
    <w:panose1 w:val="020106090000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roman"/>
    <w:pitch w:val="default"/>
    <w:sig w:usb0="00000000" w:usb1="00000000" w:usb2="0000003F" w:usb3="00000000" w:csb0="603F01FF" w:csb1="FFFF0000"/>
  </w:font>
  <w:font w:name="Cambria">
    <w:altName w:val="Palatino Linotype"/>
    <w:panose1 w:val="02040503050406030204"/>
    <w:charset w:val="00"/>
    <w:family w:val="roman"/>
    <w:pitch w:val="default"/>
    <w:sig w:usb0="00000000" w:usb1="00000000"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 w:name="Tahoma">
    <w:panose1 w:val="020B0604030504040204"/>
    <w:charset w:val="00"/>
    <w:family w:val="swiss"/>
    <w:pitch w:val="default"/>
    <w:sig w:usb0="61007A87" w:usb1="80000000" w:usb2="00000008" w:usb3="00000000" w:csb0="200101FF" w:csb1="20280000"/>
  </w:font>
  <w:font w:name="¿¬Ìå">
    <w:altName w:val="Times New Roman"/>
    <w:panose1 w:val="00000000000000000000"/>
    <w:charset w:val="00"/>
    <w:family w:val="auto"/>
    <w:pitch w:val="default"/>
    <w:sig w:usb0="00000000" w:usb1="00000000" w:usb2="00000000" w:usb3="00000000" w:csb0="00000001" w:csb1="00000000"/>
  </w:font>
  <w:font w:name="WenQuanYi Zen Hei Mono">
    <w:altName w:val="仿宋_GB2312"/>
    <w:panose1 w:val="00000000000000000000"/>
    <w:charset w:val="00"/>
    <w:family w:val="auto"/>
    <w:pitch w:val="default"/>
    <w:sig w:usb0="00000000" w:usb1="00000000" w:usb2="00000000" w:usb3="00000000" w:csb0="00040001" w:csb1="00000000"/>
  </w:font>
  <w:font w:name="华康简魏碑">
    <w:altName w:val="宋体"/>
    <w:panose1 w:val="02010609000001010101"/>
    <w:charset w:val="86"/>
    <w:family w:val="modern"/>
    <w:pitch w:val="default"/>
    <w:sig w:usb0="00000000" w:usb1="0000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Cambria Math">
    <w:altName w:val="Palatino Linotype"/>
    <w:panose1 w:val="02040503050406030204"/>
    <w:charset w:val="00"/>
    <w:family w:val="roman"/>
    <w:pitch w:val="default"/>
    <w:sig w:usb0="00000000" w:usb1="00000000" w:usb2="00000000" w:usb3="00000000" w:csb0="2000019F" w:csb1="00000000"/>
  </w:font>
  <w:font w:name="方正小标宋简体">
    <w:altName w:val="仿宋_GB2312"/>
    <w:panose1 w:val="02010601030101010101"/>
    <w:charset w:val="86"/>
    <w:family w:val="auto"/>
    <w:pitch w:val="default"/>
    <w:sig w:usb0="00000000" w:usb1="00000000" w:usb2="00000010" w:usb3="00000000" w:csb0="00040000"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rFonts w:hint="eastAsia"/>
      </w:rPr>
    </w:pPr>
    <w:r>
      <w:fldChar w:fldCharType="begin"/>
    </w:r>
    <w:r>
      <w:instrText xml:space="preserve">PAGE   \* MERGEFORMAT</w:instrText>
    </w:r>
    <w:r>
      <w:fldChar w:fldCharType="separate"/>
    </w:r>
    <w:r>
      <w:rPr>
        <w:lang w:val="zh-CN"/>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4"/>
      </w:rPr>
    </w:pPr>
    <w:r>
      <w:fldChar w:fldCharType="begin"/>
    </w:r>
    <w:r>
      <w:rPr>
        <w:rStyle w:val="44"/>
      </w:rPr>
      <w:instrText xml:space="preserve">PAGE  </w:instrText>
    </w:r>
    <w:r>
      <w:fldChar w:fldCharType="separate"/>
    </w:r>
    <w:r>
      <w:rPr>
        <w:rStyle w:val="44"/>
      </w:rPr>
      <w:t>1</w:t>
    </w:r>
    <w:r>
      <w:fldChar w:fldCharType="end"/>
    </w:r>
  </w:p>
  <w:p>
    <w:pPr>
      <w:pStyle w:val="2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line="360" w:lineRule="exact"/>
      <w:rPr>
        <w:rFonts w:hint="eastAsia"/>
        <w:color w:val="000000"/>
        <w:sz w:val="18"/>
        <w:szCs w:val="18"/>
        <w:u w:val="single"/>
      </w:rPr>
    </w:pPr>
    <w:r>
      <w:rPr>
        <w:rFonts w:hint="eastAsia"/>
        <w:color w:val="000000"/>
        <w:sz w:val="18"/>
        <w:szCs w:val="18"/>
        <w:u w:val="single"/>
      </w:rPr>
      <w:t xml:space="preserve">河池市机动车排放摇感监测系统二期项目-磋商文件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bullet"/>
      <w:pStyle w:val="77"/>
      <w:lvlText w:val=""/>
      <w:lvlJc w:val="left"/>
      <w:pPr>
        <w:tabs>
          <w:tab w:val="left" w:pos="360"/>
        </w:tabs>
        <w:ind w:left="360" w:hanging="360"/>
      </w:pPr>
      <w:rPr>
        <w:rFonts w:hint="default" w:ascii="Wingdings" w:hAnsi="Wingdings"/>
      </w:rPr>
    </w:lvl>
  </w:abstractNum>
  <w:abstractNum w:abstractNumId="1">
    <w:nsid w:val="00000002"/>
    <w:multiLevelType w:val="multilevel"/>
    <w:tmpl w:val="00000002"/>
    <w:lvl w:ilvl="0" w:tentative="0">
      <w:start w:val="1"/>
      <w:numFmt w:val="decimal"/>
      <w:pStyle w:val="59"/>
      <w:lvlText w:val="（%1）"/>
      <w:lvlJc w:val="left"/>
      <w:pPr>
        <w:tabs>
          <w:tab w:val="left" w:pos="1290"/>
        </w:tabs>
        <w:ind w:left="1290" w:hanging="720"/>
      </w:pPr>
      <w:rPr>
        <w:rFonts w:hint="eastAsia"/>
      </w:rPr>
    </w:lvl>
    <w:lvl w:ilvl="1" w:tentative="0">
      <w:start w:val="1"/>
      <w:numFmt w:val="decimal"/>
      <w:lvlText w:val="（%2）"/>
      <w:lvlJc w:val="left"/>
      <w:pPr>
        <w:tabs>
          <w:tab w:val="left" w:pos="1710"/>
        </w:tabs>
        <w:ind w:left="1710" w:hanging="720"/>
      </w:pPr>
      <w:rPr>
        <w:rFonts w:hint="eastAsia"/>
      </w:r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2">
    <w:nsid w:val="00000003"/>
    <w:multiLevelType w:val="singleLevel"/>
    <w:tmpl w:val="00000003"/>
    <w:lvl w:ilvl="0" w:tentative="0">
      <w:start w:val="1"/>
      <w:numFmt w:val="decimal"/>
      <w:suff w:val="nothing"/>
      <w:lvlText w:val="%1）"/>
      <w:lvlJc w:val="left"/>
    </w:lvl>
  </w:abstractNum>
  <w:abstractNum w:abstractNumId="3">
    <w:nsid w:val="001078E2"/>
    <w:multiLevelType w:val="singleLevel"/>
    <w:tmpl w:val="001078E2"/>
    <w:lvl w:ilvl="0" w:tentative="0">
      <w:start w:val="2"/>
      <w:numFmt w:val="chineseCounting"/>
      <w:suff w:val="nothing"/>
      <w:lvlText w:val="%1、"/>
      <w:lvlJc w:val="left"/>
      <w:rPr>
        <w:rFonts w:hint="eastAsia"/>
      </w:rPr>
    </w:lvl>
  </w:abstractNum>
  <w:abstractNum w:abstractNumId="4">
    <w:nsid w:val="1F7D2F97"/>
    <w:multiLevelType w:val="multilevel"/>
    <w:tmpl w:val="1F7D2F97"/>
    <w:lvl w:ilvl="0" w:tentative="0">
      <w:start w:val="1"/>
      <w:numFmt w:val="decimal"/>
      <w:lvlText w:val="%1)"/>
      <w:lvlJc w:val="left"/>
      <w:pPr>
        <w:ind w:left="420" w:hanging="420"/>
      </w:pPr>
      <w:rPr>
        <w:rFonts w:hint="eastAsia" w:ascii="宋体" w:hAnsi="宋体" w:eastAsia="宋体"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5">
    <w:nsid w:val="503670E7"/>
    <w:multiLevelType w:val="multilevel"/>
    <w:tmpl w:val="503670E7"/>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657C142A"/>
    <w:multiLevelType w:val="multilevel"/>
    <w:tmpl w:val="657C142A"/>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0"/>
  </w:num>
  <w:num w:numId="2">
    <w:abstractNumId w:val="1"/>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323"/>
    <w:rsid w:val="00000595"/>
    <w:rsid w:val="00000605"/>
    <w:rsid w:val="000007B0"/>
    <w:rsid w:val="0000094F"/>
    <w:rsid w:val="00000AC3"/>
    <w:rsid w:val="00000EED"/>
    <w:rsid w:val="00001278"/>
    <w:rsid w:val="00001384"/>
    <w:rsid w:val="00001D49"/>
    <w:rsid w:val="00002BB2"/>
    <w:rsid w:val="00003285"/>
    <w:rsid w:val="00003817"/>
    <w:rsid w:val="00003A6B"/>
    <w:rsid w:val="00005370"/>
    <w:rsid w:val="00005997"/>
    <w:rsid w:val="00006458"/>
    <w:rsid w:val="00006A7C"/>
    <w:rsid w:val="00007296"/>
    <w:rsid w:val="00010B0B"/>
    <w:rsid w:val="0001188E"/>
    <w:rsid w:val="00011CC3"/>
    <w:rsid w:val="000128EE"/>
    <w:rsid w:val="00013200"/>
    <w:rsid w:val="00013641"/>
    <w:rsid w:val="00013BB7"/>
    <w:rsid w:val="00013C2E"/>
    <w:rsid w:val="0001500B"/>
    <w:rsid w:val="00015959"/>
    <w:rsid w:val="00015A68"/>
    <w:rsid w:val="00015ABB"/>
    <w:rsid w:val="000169B5"/>
    <w:rsid w:val="000178BA"/>
    <w:rsid w:val="00017BCC"/>
    <w:rsid w:val="00021250"/>
    <w:rsid w:val="000212B3"/>
    <w:rsid w:val="000221E6"/>
    <w:rsid w:val="00022738"/>
    <w:rsid w:val="00022E49"/>
    <w:rsid w:val="000236BB"/>
    <w:rsid w:val="00024EBB"/>
    <w:rsid w:val="0002502D"/>
    <w:rsid w:val="00025C8C"/>
    <w:rsid w:val="00026086"/>
    <w:rsid w:val="0002747C"/>
    <w:rsid w:val="0003006D"/>
    <w:rsid w:val="00030BDA"/>
    <w:rsid w:val="00030CFC"/>
    <w:rsid w:val="0003200B"/>
    <w:rsid w:val="00032CEB"/>
    <w:rsid w:val="00033262"/>
    <w:rsid w:val="00034706"/>
    <w:rsid w:val="0003479F"/>
    <w:rsid w:val="00034B32"/>
    <w:rsid w:val="00034B8B"/>
    <w:rsid w:val="00035454"/>
    <w:rsid w:val="00035A0E"/>
    <w:rsid w:val="00035B45"/>
    <w:rsid w:val="00035F9D"/>
    <w:rsid w:val="00036036"/>
    <w:rsid w:val="0003670A"/>
    <w:rsid w:val="00036722"/>
    <w:rsid w:val="000379AF"/>
    <w:rsid w:val="00037FC2"/>
    <w:rsid w:val="000404E4"/>
    <w:rsid w:val="00042E57"/>
    <w:rsid w:val="00043461"/>
    <w:rsid w:val="000443E6"/>
    <w:rsid w:val="00044BBD"/>
    <w:rsid w:val="000451B4"/>
    <w:rsid w:val="00046A54"/>
    <w:rsid w:val="0004707B"/>
    <w:rsid w:val="00047149"/>
    <w:rsid w:val="000503CB"/>
    <w:rsid w:val="00051405"/>
    <w:rsid w:val="00051803"/>
    <w:rsid w:val="00052B3A"/>
    <w:rsid w:val="00052B66"/>
    <w:rsid w:val="00052F8F"/>
    <w:rsid w:val="00053340"/>
    <w:rsid w:val="000541A9"/>
    <w:rsid w:val="0005437C"/>
    <w:rsid w:val="000546A5"/>
    <w:rsid w:val="00054D26"/>
    <w:rsid w:val="000550E2"/>
    <w:rsid w:val="00055215"/>
    <w:rsid w:val="000554E8"/>
    <w:rsid w:val="000568F0"/>
    <w:rsid w:val="00056969"/>
    <w:rsid w:val="00056C04"/>
    <w:rsid w:val="00056EDA"/>
    <w:rsid w:val="000573E4"/>
    <w:rsid w:val="00062406"/>
    <w:rsid w:val="00062BDB"/>
    <w:rsid w:val="00062E5C"/>
    <w:rsid w:val="00063A9D"/>
    <w:rsid w:val="00063DD3"/>
    <w:rsid w:val="00064FA3"/>
    <w:rsid w:val="00065FD4"/>
    <w:rsid w:val="00067345"/>
    <w:rsid w:val="00067CDA"/>
    <w:rsid w:val="00070113"/>
    <w:rsid w:val="00070143"/>
    <w:rsid w:val="00070724"/>
    <w:rsid w:val="0007098C"/>
    <w:rsid w:val="00070FF0"/>
    <w:rsid w:val="000718F9"/>
    <w:rsid w:val="00072320"/>
    <w:rsid w:val="000723D3"/>
    <w:rsid w:val="00072C85"/>
    <w:rsid w:val="00073953"/>
    <w:rsid w:val="000748A4"/>
    <w:rsid w:val="0007567B"/>
    <w:rsid w:val="00075CF9"/>
    <w:rsid w:val="000762D1"/>
    <w:rsid w:val="000767F3"/>
    <w:rsid w:val="00076E33"/>
    <w:rsid w:val="000773C0"/>
    <w:rsid w:val="00077F11"/>
    <w:rsid w:val="000806D8"/>
    <w:rsid w:val="00081037"/>
    <w:rsid w:val="000817E4"/>
    <w:rsid w:val="0008327B"/>
    <w:rsid w:val="00083397"/>
    <w:rsid w:val="000855A0"/>
    <w:rsid w:val="000857B0"/>
    <w:rsid w:val="000862FE"/>
    <w:rsid w:val="000864F8"/>
    <w:rsid w:val="000868D6"/>
    <w:rsid w:val="00087774"/>
    <w:rsid w:val="00087823"/>
    <w:rsid w:val="00087C5E"/>
    <w:rsid w:val="00087F5E"/>
    <w:rsid w:val="00090D63"/>
    <w:rsid w:val="00090E12"/>
    <w:rsid w:val="00090FF6"/>
    <w:rsid w:val="00092617"/>
    <w:rsid w:val="00093E48"/>
    <w:rsid w:val="00093E6C"/>
    <w:rsid w:val="00094350"/>
    <w:rsid w:val="000943DB"/>
    <w:rsid w:val="0009506C"/>
    <w:rsid w:val="00095807"/>
    <w:rsid w:val="00095AF7"/>
    <w:rsid w:val="00095EB7"/>
    <w:rsid w:val="00096376"/>
    <w:rsid w:val="00096930"/>
    <w:rsid w:val="00096F05"/>
    <w:rsid w:val="00097096"/>
    <w:rsid w:val="00097E8D"/>
    <w:rsid w:val="000A0140"/>
    <w:rsid w:val="000A059B"/>
    <w:rsid w:val="000A06D3"/>
    <w:rsid w:val="000A083B"/>
    <w:rsid w:val="000A12A8"/>
    <w:rsid w:val="000A13EB"/>
    <w:rsid w:val="000A1864"/>
    <w:rsid w:val="000A2087"/>
    <w:rsid w:val="000A3A12"/>
    <w:rsid w:val="000A3C59"/>
    <w:rsid w:val="000A41CA"/>
    <w:rsid w:val="000A45ED"/>
    <w:rsid w:val="000A4860"/>
    <w:rsid w:val="000A4B5C"/>
    <w:rsid w:val="000A4CC1"/>
    <w:rsid w:val="000A5060"/>
    <w:rsid w:val="000A519C"/>
    <w:rsid w:val="000A579F"/>
    <w:rsid w:val="000A5938"/>
    <w:rsid w:val="000A7BFD"/>
    <w:rsid w:val="000A7EAB"/>
    <w:rsid w:val="000A7FED"/>
    <w:rsid w:val="000B18AD"/>
    <w:rsid w:val="000B1938"/>
    <w:rsid w:val="000B305B"/>
    <w:rsid w:val="000B3D24"/>
    <w:rsid w:val="000B44BE"/>
    <w:rsid w:val="000B473C"/>
    <w:rsid w:val="000B4EA6"/>
    <w:rsid w:val="000B4EF4"/>
    <w:rsid w:val="000B52E1"/>
    <w:rsid w:val="000B583C"/>
    <w:rsid w:val="000B5A8F"/>
    <w:rsid w:val="000B7AA6"/>
    <w:rsid w:val="000C11EB"/>
    <w:rsid w:val="000C3535"/>
    <w:rsid w:val="000C3689"/>
    <w:rsid w:val="000C3696"/>
    <w:rsid w:val="000C3A9E"/>
    <w:rsid w:val="000C3BE5"/>
    <w:rsid w:val="000C4446"/>
    <w:rsid w:val="000C4796"/>
    <w:rsid w:val="000C48CC"/>
    <w:rsid w:val="000C49DF"/>
    <w:rsid w:val="000C4A2D"/>
    <w:rsid w:val="000C6DFB"/>
    <w:rsid w:val="000D13E4"/>
    <w:rsid w:val="000D2A0E"/>
    <w:rsid w:val="000D2B39"/>
    <w:rsid w:val="000D32DC"/>
    <w:rsid w:val="000D3900"/>
    <w:rsid w:val="000D40E4"/>
    <w:rsid w:val="000D4167"/>
    <w:rsid w:val="000D456D"/>
    <w:rsid w:val="000D4F92"/>
    <w:rsid w:val="000D66A5"/>
    <w:rsid w:val="000D69CD"/>
    <w:rsid w:val="000D6EB8"/>
    <w:rsid w:val="000D7563"/>
    <w:rsid w:val="000E09CE"/>
    <w:rsid w:val="000E0A03"/>
    <w:rsid w:val="000E1533"/>
    <w:rsid w:val="000E24D7"/>
    <w:rsid w:val="000E3B6F"/>
    <w:rsid w:val="000E4728"/>
    <w:rsid w:val="000E4779"/>
    <w:rsid w:val="000E4CE7"/>
    <w:rsid w:val="000E4F46"/>
    <w:rsid w:val="000E701C"/>
    <w:rsid w:val="000F0992"/>
    <w:rsid w:val="000F0E75"/>
    <w:rsid w:val="000F0EC8"/>
    <w:rsid w:val="000F1E31"/>
    <w:rsid w:val="000F4591"/>
    <w:rsid w:val="000F474A"/>
    <w:rsid w:val="000F5DE1"/>
    <w:rsid w:val="000F6FEB"/>
    <w:rsid w:val="000F76D7"/>
    <w:rsid w:val="001000F7"/>
    <w:rsid w:val="00101646"/>
    <w:rsid w:val="00102859"/>
    <w:rsid w:val="001033CF"/>
    <w:rsid w:val="001039A9"/>
    <w:rsid w:val="00103FCF"/>
    <w:rsid w:val="0010677F"/>
    <w:rsid w:val="001068FA"/>
    <w:rsid w:val="00107952"/>
    <w:rsid w:val="00107C28"/>
    <w:rsid w:val="00107EDB"/>
    <w:rsid w:val="00110E2D"/>
    <w:rsid w:val="001117D7"/>
    <w:rsid w:val="00111CD5"/>
    <w:rsid w:val="00111F2B"/>
    <w:rsid w:val="0011243C"/>
    <w:rsid w:val="001127BE"/>
    <w:rsid w:val="0011368F"/>
    <w:rsid w:val="00114790"/>
    <w:rsid w:val="00115449"/>
    <w:rsid w:val="001155C1"/>
    <w:rsid w:val="0011642B"/>
    <w:rsid w:val="00116794"/>
    <w:rsid w:val="00117BF1"/>
    <w:rsid w:val="00117C66"/>
    <w:rsid w:val="00117F5D"/>
    <w:rsid w:val="001203B0"/>
    <w:rsid w:val="00120415"/>
    <w:rsid w:val="001206B0"/>
    <w:rsid w:val="0012094C"/>
    <w:rsid w:val="00120DA2"/>
    <w:rsid w:val="00121048"/>
    <w:rsid w:val="001232D5"/>
    <w:rsid w:val="0012381E"/>
    <w:rsid w:val="00123865"/>
    <w:rsid w:val="0012417F"/>
    <w:rsid w:val="001245CD"/>
    <w:rsid w:val="00124831"/>
    <w:rsid w:val="00124DD8"/>
    <w:rsid w:val="00124F0B"/>
    <w:rsid w:val="0012525D"/>
    <w:rsid w:val="00125875"/>
    <w:rsid w:val="00126FEC"/>
    <w:rsid w:val="001317C3"/>
    <w:rsid w:val="001325F0"/>
    <w:rsid w:val="00132BBD"/>
    <w:rsid w:val="0013301C"/>
    <w:rsid w:val="001347ED"/>
    <w:rsid w:val="001349AB"/>
    <w:rsid w:val="001354F8"/>
    <w:rsid w:val="00136379"/>
    <w:rsid w:val="001377A3"/>
    <w:rsid w:val="00140462"/>
    <w:rsid w:val="001407A6"/>
    <w:rsid w:val="00140FDE"/>
    <w:rsid w:val="00142A1E"/>
    <w:rsid w:val="00143005"/>
    <w:rsid w:val="0014348C"/>
    <w:rsid w:val="00144103"/>
    <w:rsid w:val="00144CD6"/>
    <w:rsid w:val="0014517A"/>
    <w:rsid w:val="0014561E"/>
    <w:rsid w:val="00145F0A"/>
    <w:rsid w:val="0014734B"/>
    <w:rsid w:val="00150D21"/>
    <w:rsid w:val="001512D9"/>
    <w:rsid w:val="00151341"/>
    <w:rsid w:val="00152037"/>
    <w:rsid w:val="00152077"/>
    <w:rsid w:val="00152C8C"/>
    <w:rsid w:val="00152D88"/>
    <w:rsid w:val="0015341E"/>
    <w:rsid w:val="0015362D"/>
    <w:rsid w:val="00154104"/>
    <w:rsid w:val="00154952"/>
    <w:rsid w:val="00157D67"/>
    <w:rsid w:val="00157F8F"/>
    <w:rsid w:val="00160CAA"/>
    <w:rsid w:val="001622E8"/>
    <w:rsid w:val="00162CFA"/>
    <w:rsid w:val="0016310A"/>
    <w:rsid w:val="00163191"/>
    <w:rsid w:val="0016402F"/>
    <w:rsid w:val="001645C3"/>
    <w:rsid w:val="001649F7"/>
    <w:rsid w:val="001653B6"/>
    <w:rsid w:val="00166D1F"/>
    <w:rsid w:val="001670B2"/>
    <w:rsid w:val="00167AD5"/>
    <w:rsid w:val="00170896"/>
    <w:rsid w:val="00170E8A"/>
    <w:rsid w:val="00170EF9"/>
    <w:rsid w:val="00171888"/>
    <w:rsid w:val="00171B74"/>
    <w:rsid w:val="00174480"/>
    <w:rsid w:val="00175314"/>
    <w:rsid w:val="00175800"/>
    <w:rsid w:val="00176356"/>
    <w:rsid w:val="00176F2B"/>
    <w:rsid w:val="001770AB"/>
    <w:rsid w:val="001771F9"/>
    <w:rsid w:val="0017741C"/>
    <w:rsid w:val="00177815"/>
    <w:rsid w:val="00177BA3"/>
    <w:rsid w:val="0018082E"/>
    <w:rsid w:val="00180BFA"/>
    <w:rsid w:val="001812CB"/>
    <w:rsid w:val="001814B3"/>
    <w:rsid w:val="00181711"/>
    <w:rsid w:val="00181C64"/>
    <w:rsid w:val="00182A32"/>
    <w:rsid w:val="00182D07"/>
    <w:rsid w:val="00183059"/>
    <w:rsid w:val="0018397F"/>
    <w:rsid w:val="00183CC4"/>
    <w:rsid w:val="00183D3B"/>
    <w:rsid w:val="00183D3F"/>
    <w:rsid w:val="00185F68"/>
    <w:rsid w:val="00186B53"/>
    <w:rsid w:val="00186E8D"/>
    <w:rsid w:val="001879B4"/>
    <w:rsid w:val="00191C1E"/>
    <w:rsid w:val="00193E9D"/>
    <w:rsid w:val="00193F72"/>
    <w:rsid w:val="001969CA"/>
    <w:rsid w:val="00196AEE"/>
    <w:rsid w:val="00197607"/>
    <w:rsid w:val="00197B7A"/>
    <w:rsid w:val="00197BEB"/>
    <w:rsid w:val="001A194C"/>
    <w:rsid w:val="001A1A45"/>
    <w:rsid w:val="001A22EB"/>
    <w:rsid w:val="001A246A"/>
    <w:rsid w:val="001A289F"/>
    <w:rsid w:val="001A2BD9"/>
    <w:rsid w:val="001A38C4"/>
    <w:rsid w:val="001A43F6"/>
    <w:rsid w:val="001A4919"/>
    <w:rsid w:val="001A65E0"/>
    <w:rsid w:val="001A6E29"/>
    <w:rsid w:val="001A7AD3"/>
    <w:rsid w:val="001A7C51"/>
    <w:rsid w:val="001A7E5E"/>
    <w:rsid w:val="001B016B"/>
    <w:rsid w:val="001B13CF"/>
    <w:rsid w:val="001B144C"/>
    <w:rsid w:val="001B2760"/>
    <w:rsid w:val="001B4E16"/>
    <w:rsid w:val="001B4FB9"/>
    <w:rsid w:val="001B566F"/>
    <w:rsid w:val="001B5693"/>
    <w:rsid w:val="001B581E"/>
    <w:rsid w:val="001B58F7"/>
    <w:rsid w:val="001B5E17"/>
    <w:rsid w:val="001B6807"/>
    <w:rsid w:val="001B6DA0"/>
    <w:rsid w:val="001B6E8F"/>
    <w:rsid w:val="001B713E"/>
    <w:rsid w:val="001C12C7"/>
    <w:rsid w:val="001C1BC8"/>
    <w:rsid w:val="001C5034"/>
    <w:rsid w:val="001C53CB"/>
    <w:rsid w:val="001C598E"/>
    <w:rsid w:val="001C5C48"/>
    <w:rsid w:val="001C7166"/>
    <w:rsid w:val="001D06EF"/>
    <w:rsid w:val="001D4494"/>
    <w:rsid w:val="001D47A9"/>
    <w:rsid w:val="001D4C16"/>
    <w:rsid w:val="001D6232"/>
    <w:rsid w:val="001D62D3"/>
    <w:rsid w:val="001D7017"/>
    <w:rsid w:val="001E03D4"/>
    <w:rsid w:val="001E1089"/>
    <w:rsid w:val="001E19F0"/>
    <w:rsid w:val="001E1BEF"/>
    <w:rsid w:val="001E1C6A"/>
    <w:rsid w:val="001E258D"/>
    <w:rsid w:val="001E2E2C"/>
    <w:rsid w:val="001E3347"/>
    <w:rsid w:val="001E41AE"/>
    <w:rsid w:val="001E41CF"/>
    <w:rsid w:val="001E462F"/>
    <w:rsid w:val="001E55D1"/>
    <w:rsid w:val="001E57CA"/>
    <w:rsid w:val="001E588A"/>
    <w:rsid w:val="001E6027"/>
    <w:rsid w:val="001E733B"/>
    <w:rsid w:val="001E73A7"/>
    <w:rsid w:val="001E7CC9"/>
    <w:rsid w:val="001F0CFE"/>
    <w:rsid w:val="001F0D3F"/>
    <w:rsid w:val="001F1051"/>
    <w:rsid w:val="001F2C64"/>
    <w:rsid w:val="001F3669"/>
    <w:rsid w:val="001F466A"/>
    <w:rsid w:val="001F4C1D"/>
    <w:rsid w:val="001F4C40"/>
    <w:rsid w:val="001F524E"/>
    <w:rsid w:val="001F5453"/>
    <w:rsid w:val="001F5971"/>
    <w:rsid w:val="001F62B4"/>
    <w:rsid w:val="001F6D45"/>
    <w:rsid w:val="001F7E8E"/>
    <w:rsid w:val="001F7E90"/>
    <w:rsid w:val="002010D6"/>
    <w:rsid w:val="002018A9"/>
    <w:rsid w:val="00202A8F"/>
    <w:rsid w:val="00202E9D"/>
    <w:rsid w:val="00203319"/>
    <w:rsid w:val="00204F56"/>
    <w:rsid w:val="00205115"/>
    <w:rsid w:val="002051DE"/>
    <w:rsid w:val="00205673"/>
    <w:rsid w:val="00205948"/>
    <w:rsid w:val="002064DB"/>
    <w:rsid w:val="00206942"/>
    <w:rsid w:val="0020759D"/>
    <w:rsid w:val="00213BAB"/>
    <w:rsid w:val="00214703"/>
    <w:rsid w:val="002201A2"/>
    <w:rsid w:val="00220943"/>
    <w:rsid w:val="002215A3"/>
    <w:rsid w:val="002217A7"/>
    <w:rsid w:val="00222ACC"/>
    <w:rsid w:val="00222C75"/>
    <w:rsid w:val="00223438"/>
    <w:rsid w:val="00223465"/>
    <w:rsid w:val="0022638C"/>
    <w:rsid w:val="00226DA6"/>
    <w:rsid w:val="00227920"/>
    <w:rsid w:val="0023035D"/>
    <w:rsid w:val="002304CA"/>
    <w:rsid w:val="00230EE0"/>
    <w:rsid w:val="00231097"/>
    <w:rsid w:val="002310A3"/>
    <w:rsid w:val="00231153"/>
    <w:rsid w:val="002312F1"/>
    <w:rsid w:val="00231C9D"/>
    <w:rsid w:val="002333DB"/>
    <w:rsid w:val="002339D5"/>
    <w:rsid w:val="00233C19"/>
    <w:rsid w:val="0023464A"/>
    <w:rsid w:val="002357CE"/>
    <w:rsid w:val="00236B91"/>
    <w:rsid w:val="00236F05"/>
    <w:rsid w:val="00237146"/>
    <w:rsid w:val="002402B4"/>
    <w:rsid w:val="0024053D"/>
    <w:rsid w:val="00240B08"/>
    <w:rsid w:val="00244023"/>
    <w:rsid w:val="00245C8A"/>
    <w:rsid w:val="002460BF"/>
    <w:rsid w:val="002467D4"/>
    <w:rsid w:val="0024685E"/>
    <w:rsid w:val="00246DF5"/>
    <w:rsid w:val="00251326"/>
    <w:rsid w:val="002514E4"/>
    <w:rsid w:val="00251BE5"/>
    <w:rsid w:val="00251E0A"/>
    <w:rsid w:val="00251E7D"/>
    <w:rsid w:val="0025373B"/>
    <w:rsid w:val="00253FF8"/>
    <w:rsid w:val="00255501"/>
    <w:rsid w:val="00257728"/>
    <w:rsid w:val="0026135D"/>
    <w:rsid w:val="00261540"/>
    <w:rsid w:val="00261F4B"/>
    <w:rsid w:val="0026295C"/>
    <w:rsid w:val="00262F13"/>
    <w:rsid w:val="002630C2"/>
    <w:rsid w:val="0026310B"/>
    <w:rsid w:val="002644F3"/>
    <w:rsid w:val="0026605D"/>
    <w:rsid w:val="00266718"/>
    <w:rsid w:val="00266BBB"/>
    <w:rsid w:val="00266BE4"/>
    <w:rsid w:val="00270CC1"/>
    <w:rsid w:val="00271A3A"/>
    <w:rsid w:val="00271DF5"/>
    <w:rsid w:val="002722E5"/>
    <w:rsid w:val="00276696"/>
    <w:rsid w:val="002774B7"/>
    <w:rsid w:val="00280017"/>
    <w:rsid w:val="00281559"/>
    <w:rsid w:val="00281775"/>
    <w:rsid w:val="002818C2"/>
    <w:rsid w:val="00283CCA"/>
    <w:rsid w:val="002845D0"/>
    <w:rsid w:val="00284D90"/>
    <w:rsid w:val="00284E61"/>
    <w:rsid w:val="002860C1"/>
    <w:rsid w:val="002862E8"/>
    <w:rsid w:val="00287064"/>
    <w:rsid w:val="00290863"/>
    <w:rsid w:val="00290907"/>
    <w:rsid w:val="00290F84"/>
    <w:rsid w:val="0029143C"/>
    <w:rsid w:val="00291E24"/>
    <w:rsid w:val="00292060"/>
    <w:rsid w:val="00292A7A"/>
    <w:rsid w:val="002934C5"/>
    <w:rsid w:val="0029354F"/>
    <w:rsid w:val="002935E6"/>
    <w:rsid w:val="00293BF6"/>
    <w:rsid w:val="0029425E"/>
    <w:rsid w:val="00295758"/>
    <w:rsid w:val="00295EFA"/>
    <w:rsid w:val="00296542"/>
    <w:rsid w:val="00296B7C"/>
    <w:rsid w:val="00296C17"/>
    <w:rsid w:val="00297678"/>
    <w:rsid w:val="002979E6"/>
    <w:rsid w:val="002A06A1"/>
    <w:rsid w:val="002A0B1F"/>
    <w:rsid w:val="002A0C6A"/>
    <w:rsid w:val="002A1867"/>
    <w:rsid w:val="002A29E2"/>
    <w:rsid w:val="002A3EDF"/>
    <w:rsid w:val="002A3FC6"/>
    <w:rsid w:val="002A403A"/>
    <w:rsid w:val="002A5679"/>
    <w:rsid w:val="002A6D54"/>
    <w:rsid w:val="002A6F2E"/>
    <w:rsid w:val="002A7815"/>
    <w:rsid w:val="002A7887"/>
    <w:rsid w:val="002A7D7B"/>
    <w:rsid w:val="002B09AF"/>
    <w:rsid w:val="002B0E75"/>
    <w:rsid w:val="002B225B"/>
    <w:rsid w:val="002B31E4"/>
    <w:rsid w:val="002B3471"/>
    <w:rsid w:val="002B3BC2"/>
    <w:rsid w:val="002B3C08"/>
    <w:rsid w:val="002B5CCB"/>
    <w:rsid w:val="002B62D8"/>
    <w:rsid w:val="002B7829"/>
    <w:rsid w:val="002C0F88"/>
    <w:rsid w:val="002C1210"/>
    <w:rsid w:val="002C286E"/>
    <w:rsid w:val="002C342C"/>
    <w:rsid w:val="002C43D3"/>
    <w:rsid w:val="002C4C96"/>
    <w:rsid w:val="002C5035"/>
    <w:rsid w:val="002C5B71"/>
    <w:rsid w:val="002C5DBC"/>
    <w:rsid w:val="002C6244"/>
    <w:rsid w:val="002C69D8"/>
    <w:rsid w:val="002C6BF8"/>
    <w:rsid w:val="002C737A"/>
    <w:rsid w:val="002C73DF"/>
    <w:rsid w:val="002C75E1"/>
    <w:rsid w:val="002D008E"/>
    <w:rsid w:val="002D0C22"/>
    <w:rsid w:val="002D0C9B"/>
    <w:rsid w:val="002D288D"/>
    <w:rsid w:val="002D2DA7"/>
    <w:rsid w:val="002D33A5"/>
    <w:rsid w:val="002D3431"/>
    <w:rsid w:val="002D56AB"/>
    <w:rsid w:val="002D6662"/>
    <w:rsid w:val="002D6691"/>
    <w:rsid w:val="002D73D6"/>
    <w:rsid w:val="002D7A67"/>
    <w:rsid w:val="002D7C90"/>
    <w:rsid w:val="002E053B"/>
    <w:rsid w:val="002E322D"/>
    <w:rsid w:val="002E3271"/>
    <w:rsid w:val="002E3C37"/>
    <w:rsid w:val="002E5CB6"/>
    <w:rsid w:val="002E5CCA"/>
    <w:rsid w:val="002E6E57"/>
    <w:rsid w:val="002E7C27"/>
    <w:rsid w:val="002F0497"/>
    <w:rsid w:val="002F17DE"/>
    <w:rsid w:val="002F2E80"/>
    <w:rsid w:val="002F2F99"/>
    <w:rsid w:val="002F3283"/>
    <w:rsid w:val="002F4CFE"/>
    <w:rsid w:val="002F5243"/>
    <w:rsid w:val="002F5994"/>
    <w:rsid w:val="002F5A0C"/>
    <w:rsid w:val="002F64D2"/>
    <w:rsid w:val="002F66E6"/>
    <w:rsid w:val="002F7252"/>
    <w:rsid w:val="00300060"/>
    <w:rsid w:val="00301846"/>
    <w:rsid w:val="00302A4A"/>
    <w:rsid w:val="00303A88"/>
    <w:rsid w:val="003040D2"/>
    <w:rsid w:val="00304E21"/>
    <w:rsid w:val="003061DE"/>
    <w:rsid w:val="00307B7E"/>
    <w:rsid w:val="0031142D"/>
    <w:rsid w:val="0031185B"/>
    <w:rsid w:val="00313300"/>
    <w:rsid w:val="00313DFA"/>
    <w:rsid w:val="00314D2F"/>
    <w:rsid w:val="00316BA6"/>
    <w:rsid w:val="00316DE4"/>
    <w:rsid w:val="003171BE"/>
    <w:rsid w:val="003204C1"/>
    <w:rsid w:val="003223E8"/>
    <w:rsid w:val="003226B5"/>
    <w:rsid w:val="003228C0"/>
    <w:rsid w:val="00323439"/>
    <w:rsid w:val="003248DE"/>
    <w:rsid w:val="00324D9C"/>
    <w:rsid w:val="00327CCF"/>
    <w:rsid w:val="00330815"/>
    <w:rsid w:val="00330D3E"/>
    <w:rsid w:val="00331665"/>
    <w:rsid w:val="00331696"/>
    <w:rsid w:val="0033353F"/>
    <w:rsid w:val="003336DE"/>
    <w:rsid w:val="003340FB"/>
    <w:rsid w:val="00335D6C"/>
    <w:rsid w:val="00336357"/>
    <w:rsid w:val="003367C2"/>
    <w:rsid w:val="003367D2"/>
    <w:rsid w:val="00336AA0"/>
    <w:rsid w:val="0033770E"/>
    <w:rsid w:val="00337F04"/>
    <w:rsid w:val="00341BE5"/>
    <w:rsid w:val="00342149"/>
    <w:rsid w:val="00342D96"/>
    <w:rsid w:val="00342E33"/>
    <w:rsid w:val="003436FF"/>
    <w:rsid w:val="00343A05"/>
    <w:rsid w:val="00343A6E"/>
    <w:rsid w:val="00343CEA"/>
    <w:rsid w:val="003442FE"/>
    <w:rsid w:val="00344A94"/>
    <w:rsid w:val="00344A9A"/>
    <w:rsid w:val="00345C03"/>
    <w:rsid w:val="00346040"/>
    <w:rsid w:val="00346938"/>
    <w:rsid w:val="00346959"/>
    <w:rsid w:val="00347F8A"/>
    <w:rsid w:val="003502EE"/>
    <w:rsid w:val="003508A0"/>
    <w:rsid w:val="00350CF7"/>
    <w:rsid w:val="003515CE"/>
    <w:rsid w:val="00352B0A"/>
    <w:rsid w:val="00352B24"/>
    <w:rsid w:val="00354243"/>
    <w:rsid w:val="003557C3"/>
    <w:rsid w:val="003557FA"/>
    <w:rsid w:val="00355DC8"/>
    <w:rsid w:val="0035620D"/>
    <w:rsid w:val="003567E6"/>
    <w:rsid w:val="003572AC"/>
    <w:rsid w:val="00357C2C"/>
    <w:rsid w:val="00360193"/>
    <w:rsid w:val="00360681"/>
    <w:rsid w:val="00360FD1"/>
    <w:rsid w:val="0036185A"/>
    <w:rsid w:val="00361F73"/>
    <w:rsid w:val="00362951"/>
    <w:rsid w:val="00363837"/>
    <w:rsid w:val="00363C04"/>
    <w:rsid w:val="00364849"/>
    <w:rsid w:val="00364BCF"/>
    <w:rsid w:val="003656F2"/>
    <w:rsid w:val="00365C6D"/>
    <w:rsid w:val="00366337"/>
    <w:rsid w:val="00366373"/>
    <w:rsid w:val="003672E6"/>
    <w:rsid w:val="00370C7A"/>
    <w:rsid w:val="0037100A"/>
    <w:rsid w:val="00371259"/>
    <w:rsid w:val="003723A2"/>
    <w:rsid w:val="00372596"/>
    <w:rsid w:val="00372D13"/>
    <w:rsid w:val="0037315F"/>
    <w:rsid w:val="00374A90"/>
    <w:rsid w:val="00374E27"/>
    <w:rsid w:val="00375EB7"/>
    <w:rsid w:val="0037623F"/>
    <w:rsid w:val="00377ADF"/>
    <w:rsid w:val="00377AF9"/>
    <w:rsid w:val="00377CD3"/>
    <w:rsid w:val="0038020C"/>
    <w:rsid w:val="0038151F"/>
    <w:rsid w:val="0038176D"/>
    <w:rsid w:val="00381CA1"/>
    <w:rsid w:val="00383647"/>
    <w:rsid w:val="003838D2"/>
    <w:rsid w:val="00383D4C"/>
    <w:rsid w:val="00383DD0"/>
    <w:rsid w:val="00384B87"/>
    <w:rsid w:val="0038503A"/>
    <w:rsid w:val="003874F5"/>
    <w:rsid w:val="00387733"/>
    <w:rsid w:val="00390762"/>
    <w:rsid w:val="003909DB"/>
    <w:rsid w:val="00390E75"/>
    <w:rsid w:val="00392982"/>
    <w:rsid w:val="00392B0B"/>
    <w:rsid w:val="00392DB3"/>
    <w:rsid w:val="00394600"/>
    <w:rsid w:val="00394E17"/>
    <w:rsid w:val="0039506A"/>
    <w:rsid w:val="00395501"/>
    <w:rsid w:val="00397956"/>
    <w:rsid w:val="003A01C1"/>
    <w:rsid w:val="003A0A7E"/>
    <w:rsid w:val="003A0E20"/>
    <w:rsid w:val="003A0FFC"/>
    <w:rsid w:val="003A2AF7"/>
    <w:rsid w:val="003A3A1E"/>
    <w:rsid w:val="003A3B8D"/>
    <w:rsid w:val="003A5E23"/>
    <w:rsid w:val="003A6645"/>
    <w:rsid w:val="003B0A9F"/>
    <w:rsid w:val="003B21B4"/>
    <w:rsid w:val="003B2730"/>
    <w:rsid w:val="003B59C2"/>
    <w:rsid w:val="003B68F1"/>
    <w:rsid w:val="003B7C50"/>
    <w:rsid w:val="003C03FE"/>
    <w:rsid w:val="003C0B67"/>
    <w:rsid w:val="003C192D"/>
    <w:rsid w:val="003C22DF"/>
    <w:rsid w:val="003C2939"/>
    <w:rsid w:val="003C3F0E"/>
    <w:rsid w:val="003C4AC4"/>
    <w:rsid w:val="003C6EBE"/>
    <w:rsid w:val="003D058D"/>
    <w:rsid w:val="003D08E6"/>
    <w:rsid w:val="003D0C95"/>
    <w:rsid w:val="003D0DC3"/>
    <w:rsid w:val="003D11B8"/>
    <w:rsid w:val="003D18B1"/>
    <w:rsid w:val="003D1FCC"/>
    <w:rsid w:val="003D2510"/>
    <w:rsid w:val="003D255B"/>
    <w:rsid w:val="003D2762"/>
    <w:rsid w:val="003D2D77"/>
    <w:rsid w:val="003D41D2"/>
    <w:rsid w:val="003D6411"/>
    <w:rsid w:val="003D6963"/>
    <w:rsid w:val="003D75F4"/>
    <w:rsid w:val="003D7BEC"/>
    <w:rsid w:val="003D7E60"/>
    <w:rsid w:val="003E0604"/>
    <w:rsid w:val="003E0794"/>
    <w:rsid w:val="003E0911"/>
    <w:rsid w:val="003E0B58"/>
    <w:rsid w:val="003E0E68"/>
    <w:rsid w:val="003E16F8"/>
    <w:rsid w:val="003E1E0B"/>
    <w:rsid w:val="003E2314"/>
    <w:rsid w:val="003E398E"/>
    <w:rsid w:val="003E39D8"/>
    <w:rsid w:val="003E3E1F"/>
    <w:rsid w:val="003E49DA"/>
    <w:rsid w:val="003E4B80"/>
    <w:rsid w:val="003E5702"/>
    <w:rsid w:val="003E5EDB"/>
    <w:rsid w:val="003E648F"/>
    <w:rsid w:val="003E685B"/>
    <w:rsid w:val="003E7177"/>
    <w:rsid w:val="003E79C1"/>
    <w:rsid w:val="003E7E7F"/>
    <w:rsid w:val="003E7EE7"/>
    <w:rsid w:val="003E7F7A"/>
    <w:rsid w:val="003F0265"/>
    <w:rsid w:val="003F05A0"/>
    <w:rsid w:val="003F0962"/>
    <w:rsid w:val="003F2A84"/>
    <w:rsid w:val="003F3204"/>
    <w:rsid w:val="003F4176"/>
    <w:rsid w:val="003F5C37"/>
    <w:rsid w:val="003F63F6"/>
    <w:rsid w:val="003F6C53"/>
    <w:rsid w:val="003F6EF2"/>
    <w:rsid w:val="003F7878"/>
    <w:rsid w:val="003F7C04"/>
    <w:rsid w:val="003F7C3C"/>
    <w:rsid w:val="004004D6"/>
    <w:rsid w:val="0040054F"/>
    <w:rsid w:val="00400852"/>
    <w:rsid w:val="00400FBF"/>
    <w:rsid w:val="004013C1"/>
    <w:rsid w:val="00403706"/>
    <w:rsid w:val="00403845"/>
    <w:rsid w:val="00403D67"/>
    <w:rsid w:val="004040B2"/>
    <w:rsid w:val="00404612"/>
    <w:rsid w:val="00405B79"/>
    <w:rsid w:val="00405EAA"/>
    <w:rsid w:val="0040605B"/>
    <w:rsid w:val="00406ED2"/>
    <w:rsid w:val="00407059"/>
    <w:rsid w:val="0040732F"/>
    <w:rsid w:val="00410302"/>
    <w:rsid w:val="004103CE"/>
    <w:rsid w:val="004105F1"/>
    <w:rsid w:val="004117F5"/>
    <w:rsid w:val="00411A6C"/>
    <w:rsid w:val="00412D41"/>
    <w:rsid w:val="00413B88"/>
    <w:rsid w:val="00414C44"/>
    <w:rsid w:val="00414EBB"/>
    <w:rsid w:val="00414ECD"/>
    <w:rsid w:val="00415396"/>
    <w:rsid w:val="00415BD3"/>
    <w:rsid w:val="00415C56"/>
    <w:rsid w:val="00416F51"/>
    <w:rsid w:val="00417790"/>
    <w:rsid w:val="00417B93"/>
    <w:rsid w:val="004213F7"/>
    <w:rsid w:val="0042397F"/>
    <w:rsid w:val="00423F5D"/>
    <w:rsid w:val="004253DD"/>
    <w:rsid w:val="004261B6"/>
    <w:rsid w:val="00426A09"/>
    <w:rsid w:val="00427033"/>
    <w:rsid w:val="0042725A"/>
    <w:rsid w:val="00430CFA"/>
    <w:rsid w:val="00431BA8"/>
    <w:rsid w:val="004334D5"/>
    <w:rsid w:val="00433DDB"/>
    <w:rsid w:val="00434214"/>
    <w:rsid w:val="00434FBD"/>
    <w:rsid w:val="0043623D"/>
    <w:rsid w:val="00436479"/>
    <w:rsid w:val="00436E46"/>
    <w:rsid w:val="00437770"/>
    <w:rsid w:val="00437847"/>
    <w:rsid w:val="00437C6C"/>
    <w:rsid w:val="00437D55"/>
    <w:rsid w:val="0044017F"/>
    <w:rsid w:val="00441534"/>
    <w:rsid w:val="0044255A"/>
    <w:rsid w:val="004427B2"/>
    <w:rsid w:val="0044311C"/>
    <w:rsid w:val="00443C06"/>
    <w:rsid w:val="00443D10"/>
    <w:rsid w:val="0044408F"/>
    <w:rsid w:val="0044519A"/>
    <w:rsid w:val="004461AD"/>
    <w:rsid w:val="00446BE1"/>
    <w:rsid w:val="00450837"/>
    <w:rsid w:val="004508EE"/>
    <w:rsid w:val="00450C09"/>
    <w:rsid w:val="004511AE"/>
    <w:rsid w:val="00451577"/>
    <w:rsid w:val="00452A1C"/>
    <w:rsid w:val="0045356F"/>
    <w:rsid w:val="00454704"/>
    <w:rsid w:val="004547C9"/>
    <w:rsid w:val="0045541A"/>
    <w:rsid w:val="00456061"/>
    <w:rsid w:val="00457372"/>
    <w:rsid w:val="00457DFB"/>
    <w:rsid w:val="0046176F"/>
    <w:rsid w:val="0046195B"/>
    <w:rsid w:val="00461B00"/>
    <w:rsid w:val="00461D09"/>
    <w:rsid w:val="0046280D"/>
    <w:rsid w:val="00463E9E"/>
    <w:rsid w:val="00464072"/>
    <w:rsid w:val="00464774"/>
    <w:rsid w:val="00466344"/>
    <w:rsid w:val="0046690A"/>
    <w:rsid w:val="00467A40"/>
    <w:rsid w:val="0047112D"/>
    <w:rsid w:val="00475DE1"/>
    <w:rsid w:val="004770D5"/>
    <w:rsid w:val="004770F1"/>
    <w:rsid w:val="00477F01"/>
    <w:rsid w:val="00477F55"/>
    <w:rsid w:val="004814E3"/>
    <w:rsid w:val="00482A6E"/>
    <w:rsid w:val="00483A9B"/>
    <w:rsid w:val="00483D06"/>
    <w:rsid w:val="00484356"/>
    <w:rsid w:val="0048558E"/>
    <w:rsid w:val="00486652"/>
    <w:rsid w:val="00486A83"/>
    <w:rsid w:val="00491F93"/>
    <w:rsid w:val="00492C4C"/>
    <w:rsid w:val="00492D79"/>
    <w:rsid w:val="004939C6"/>
    <w:rsid w:val="00494029"/>
    <w:rsid w:val="0049519F"/>
    <w:rsid w:val="004958F8"/>
    <w:rsid w:val="00496096"/>
    <w:rsid w:val="0049716C"/>
    <w:rsid w:val="004A1494"/>
    <w:rsid w:val="004A2A83"/>
    <w:rsid w:val="004A48B4"/>
    <w:rsid w:val="004A4991"/>
    <w:rsid w:val="004A58C0"/>
    <w:rsid w:val="004A707F"/>
    <w:rsid w:val="004B05D9"/>
    <w:rsid w:val="004B1658"/>
    <w:rsid w:val="004B1E30"/>
    <w:rsid w:val="004B1F8E"/>
    <w:rsid w:val="004B3110"/>
    <w:rsid w:val="004B3400"/>
    <w:rsid w:val="004B342D"/>
    <w:rsid w:val="004B45A9"/>
    <w:rsid w:val="004B52C6"/>
    <w:rsid w:val="004B5C7F"/>
    <w:rsid w:val="004B6561"/>
    <w:rsid w:val="004B67AF"/>
    <w:rsid w:val="004B70B1"/>
    <w:rsid w:val="004B71F9"/>
    <w:rsid w:val="004B74EC"/>
    <w:rsid w:val="004B7FF8"/>
    <w:rsid w:val="004C0490"/>
    <w:rsid w:val="004C09A5"/>
    <w:rsid w:val="004C219E"/>
    <w:rsid w:val="004C2BD0"/>
    <w:rsid w:val="004C30B2"/>
    <w:rsid w:val="004C3B53"/>
    <w:rsid w:val="004C4D63"/>
    <w:rsid w:val="004C6610"/>
    <w:rsid w:val="004C661F"/>
    <w:rsid w:val="004C7906"/>
    <w:rsid w:val="004D01CC"/>
    <w:rsid w:val="004D03FB"/>
    <w:rsid w:val="004D0863"/>
    <w:rsid w:val="004D1C47"/>
    <w:rsid w:val="004D1FA2"/>
    <w:rsid w:val="004D2857"/>
    <w:rsid w:val="004D483D"/>
    <w:rsid w:val="004D4A4C"/>
    <w:rsid w:val="004D764E"/>
    <w:rsid w:val="004E0679"/>
    <w:rsid w:val="004E0803"/>
    <w:rsid w:val="004E142C"/>
    <w:rsid w:val="004E15CA"/>
    <w:rsid w:val="004E198A"/>
    <w:rsid w:val="004E2891"/>
    <w:rsid w:val="004E28AD"/>
    <w:rsid w:val="004E33C4"/>
    <w:rsid w:val="004E4EED"/>
    <w:rsid w:val="004E4F8E"/>
    <w:rsid w:val="004E5373"/>
    <w:rsid w:val="004E545D"/>
    <w:rsid w:val="004E55ED"/>
    <w:rsid w:val="004E5834"/>
    <w:rsid w:val="004E5B64"/>
    <w:rsid w:val="004E7374"/>
    <w:rsid w:val="004E7A41"/>
    <w:rsid w:val="004E7C5A"/>
    <w:rsid w:val="004E7D6A"/>
    <w:rsid w:val="004E7FCB"/>
    <w:rsid w:val="004F1008"/>
    <w:rsid w:val="004F117E"/>
    <w:rsid w:val="004F1600"/>
    <w:rsid w:val="004F171B"/>
    <w:rsid w:val="004F2006"/>
    <w:rsid w:val="004F2323"/>
    <w:rsid w:val="004F3029"/>
    <w:rsid w:val="004F3256"/>
    <w:rsid w:val="004F3353"/>
    <w:rsid w:val="004F3860"/>
    <w:rsid w:val="004F3D25"/>
    <w:rsid w:val="004F418D"/>
    <w:rsid w:val="004F41AD"/>
    <w:rsid w:val="004F4390"/>
    <w:rsid w:val="004F4EA6"/>
    <w:rsid w:val="004F54F9"/>
    <w:rsid w:val="004F5C89"/>
    <w:rsid w:val="004F5F09"/>
    <w:rsid w:val="004F61D1"/>
    <w:rsid w:val="004F7347"/>
    <w:rsid w:val="00501A7D"/>
    <w:rsid w:val="00502B1F"/>
    <w:rsid w:val="00502B51"/>
    <w:rsid w:val="00502F91"/>
    <w:rsid w:val="00502FE6"/>
    <w:rsid w:val="005033D4"/>
    <w:rsid w:val="00503800"/>
    <w:rsid w:val="005058F2"/>
    <w:rsid w:val="00505E19"/>
    <w:rsid w:val="00505E67"/>
    <w:rsid w:val="00505FC8"/>
    <w:rsid w:val="00506093"/>
    <w:rsid w:val="0050664E"/>
    <w:rsid w:val="00506901"/>
    <w:rsid w:val="00507E78"/>
    <w:rsid w:val="005105AE"/>
    <w:rsid w:val="00510B33"/>
    <w:rsid w:val="00511A83"/>
    <w:rsid w:val="005122C1"/>
    <w:rsid w:val="00512464"/>
    <w:rsid w:val="00512572"/>
    <w:rsid w:val="0051361A"/>
    <w:rsid w:val="00515582"/>
    <w:rsid w:val="00515A5B"/>
    <w:rsid w:val="00516802"/>
    <w:rsid w:val="00516B4C"/>
    <w:rsid w:val="00516F4F"/>
    <w:rsid w:val="00516FF1"/>
    <w:rsid w:val="005172A9"/>
    <w:rsid w:val="0052042E"/>
    <w:rsid w:val="00520ABC"/>
    <w:rsid w:val="00521BF0"/>
    <w:rsid w:val="005228BA"/>
    <w:rsid w:val="00522DDC"/>
    <w:rsid w:val="005233D7"/>
    <w:rsid w:val="00523AF1"/>
    <w:rsid w:val="005243FF"/>
    <w:rsid w:val="005245CE"/>
    <w:rsid w:val="00526262"/>
    <w:rsid w:val="005262A3"/>
    <w:rsid w:val="00526637"/>
    <w:rsid w:val="00526E61"/>
    <w:rsid w:val="00527873"/>
    <w:rsid w:val="005279F8"/>
    <w:rsid w:val="005300D4"/>
    <w:rsid w:val="0053050E"/>
    <w:rsid w:val="00530AD3"/>
    <w:rsid w:val="00531376"/>
    <w:rsid w:val="00531D62"/>
    <w:rsid w:val="00531DB4"/>
    <w:rsid w:val="00532105"/>
    <w:rsid w:val="005321C7"/>
    <w:rsid w:val="0053361B"/>
    <w:rsid w:val="00534544"/>
    <w:rsid w:val="0053574B"/>
    <w:rsid w:val="005357A7"/>
    <w:rsid w:val="005357FA"/>
    <w:rsid w:val="00535D10"/>
    <w:rsid w:val="00535F7D"/>
    <w:rsid w:val="0053633B"/>
    <w:rsid w:val="00536614"/>
    <w:rsid w:val="0053708F"/>
    <w:rsid w:val="0053719E"/>
    <w:rsid w:val="00540765"/>
    <w:rsid w:val="00541483"/>
    <w:rsid w:val="00541B82"/>
    <w:rsid w:val="00545CBD"/>
    <w:rsid w:val="00546485"/>
    <w:rsid w:val="00547F88"/>
    <w:rsid w:val="00550154"/>
    <w:rsid w:val="005504AC"/>
    <w:rsid w:val="00550C4C"/>
    <w:rsid w:val="00551D81"/>
    <w:rsid w:val="00553A0E"/>
    <w:rsid w:val="00554DAC"/>
    <w:rsid w:val="005552D3"/>
    <w:rsid w:val="005554EE"/>
    <w:rsid w:val="00556418"/>
    <w:rsid w:val="005566C4"/>
    <w:rsid w:val="00560630"/>
    <w:rsid w:val="00560C8A"/>
    <w:rsid w:val="00562A2D"/>
    <w:rsid w:val="00562EA2"/>
    <w:rsid w:val="00563C32"/>
    <w:rsid w:val="005640F9"/>
    <w:rsid w:val="00565385"/>
    <w:rsid w:val="00565AC6"/>
    <w:rsid w:val="00565F0B"/>
    <w:rsid w:val="00566B1B"/>
    <w:rsid w:val="005701C9"/>
    <w:rsid w:val="005705DE"/>
    <w:rsid w:val="00570B6E"/>
    <w:rsid w:val="00570BCD"/>
    <w:rsid w:val="00573662"/>
    <w:rsid w:val="0057377E"/>
    <w:rsid w:val="00574146"/>
    <w:rsid w:val="005748A6"/>
    <w:rsid w:val="00575F88"/>
    <w:rsid w:val="00576392"/>
    <w:rsid w:val="00576A9B"/>
    <w:rsid w:val="005772A7"/>
    <w:rsid w:val="00580336"/>
    <w:rsid w:val="00580C6B"/>
    <w:rsid w:val="0058141A"/>
    <w:rsid w:val="00582368"/>
    <w:rsid w:val="00582C67"/>
    <w:rsid w:val="00582C76"/>
    <w:rsid w:val="005833BB"/>
    <w:rsid w:val="0058483F"/>
    <w:rsid w:val="00584E9E"/>
    <w:rsid w:val="00585A61"/>
    <w:rsid w:val="0058674D"/>
    <w:rsid w:val="00586A14"/>
    <w:rsid w:val="00586CEA"/>
    <w:rsid w:val="00586D35"/>
    <w:rsid w:val="0058730E"/>
    <w:rsid w:val="005879F2"/>
    <w:rsid w:val="00590187"/>
    <w:rsid w:val="00590424"/>
    <w:rsid w:val="005920B5"/>
    <w:rsid w:val="00593D65"/>
    <w:rsid w:val="005946E8"/>
    <w:rsid w:val="00595618"/>
    <w:rsid w:val="00596D8C"/>
    <w:rsid w:val="005A0C1E"/>
    <w:rsid w:val="005A2200"/>
    <w:rsid w:val="005A2BCD"/>
    <w:rsid w:val="005A3499"/>
    <w:rsid w:val="005A34A3"/>
    <w:rsid w:val="005A5762"/>
    <w:rsid w:val="005A6485"/>
    <w:rsid w:val="005A6977"/>
    <w:rsid w:val="005A7892"/>
    <w:rsid w:val="005A7FD1"/>
    <w:rsid w:val="005B06D8"/>
    <w:rsid w:val="005B0F9E"/>
    <w:rsid w:val="005B1D92"/>
    <w:rsid w:val="005B2010"/>
    <w:rsid w:val="005B2815"/>
    <w:rsid w:val="005B305E"/>
    <w:rsid w:val="005B39E0"/>
    <w:rsid w:val="005B3A69"/>
    <w:rsid w:val="005B4587"/>
    <w:rsid w:val="005B5413"/>
    <w:rsid w:val="005B54AD"/>
    <w:rsid w:val="005B5E7D"/>
    <w:rsid w:val="005B6A62"/>
    <w:rsid w:val="005C17E7"/>
    <w:rsid w:val="005C1B6B"/>
    <w:rsid w:val="005C27B7"/>
    <w:rsid w:val="005C2C18"/>
    <w:rsid w:val="005C2CF8"/>
    <w:rsid w:val="005C32FF"/>
    <w:rsid w:val="005C3929"/>
    <w:rsid w:val="005C4370"/>
    <w:rsid w:val="005C47BC"/>
    <w:rsid w:val="005C4C39"/>
    <w:rsid w:val="005C4E79"/>
    <w:rsid w:val="005C6CB1"/>
    <w:rsid w:val="005C71F2"/>
    <w:rsid w:val="005C76F9"/>
    <w:rsid w:val="005D0712"/>
    <w:rsid w:val="005D0FE9"/>
    <w:rsid w:val="005D1AA2"/>
    <w:rsid w:val="005D1DF9"/>
    <w:rsid w:val="005D26AB"/>
    <w:rsid w:val="005D26DE"/>
    <w:rsid w:val="005D37A9"/>
    <w:rsid w:val="005D3DC9"/>
    <w:rsid w:val="005D61D8"/>
    <w:rsid w:val="005D62A2"/>
    <w:rsid w:val="005D742E"/>
    <w:rsid w:val="005D7627"/>
    <w:rsid w:val="005E14EE"/>
    <w:rsid w:val="005E1CFF"/>
    <w:rsid w:val="005E47B4"/>
    <w:rsid w:val="005E52F4"/>
    <w:rsid w:val="005E5869"/>
    <w:rsid w:val="005E5CB4"/>
    <w:rsid w:val="005E6AEA"/>
    <w:rsid w:val="005E6CC6"/>
    <w:rsid w:val="005E6D5A"/>
    <w:rsid w:val="005E6E97"/>
    <w:rsid w:val="005E6FA2"/>
    <w:rsid w:val="005E72E8"/>
    <w:rsid w:val="005E7F74"/>
    <w:rsid w:val="005F041F"/>
    <w:rsid w:val="005F0ED0"/>
    <w:rsid w:val="005F1255"/>
    <w:rsid w:val="005F1342"/>
    <w:rsid w:val="005F5135"/>
    <w:rsid w:val="005F5311"/>
    <w:rsid w:val="005F5878"/>
    <w:rsid w:val="005F6272"/>
    <w:rsid w:val="005F6415"/>
    <w:rsid w:val="00602FB2"/>
    <w:rsid w:val="006031B9"/>
    <w:rsid w:val="00604406"/>
    <w:rsid w:val="00604658"/>
    <w:rsid w:val="00605248"/>
    <w:rsid w:val="006056AF"/>
    <w:rsid w:val="0060570E"/>
    <w:rsid w:val="00605CB6"/>
    <w:rsid w:val="00605CEA"/>
    <w:rsid w:val="00606AE7"/>
    <w:rsid w:val="00607112"/>
    <w:rsid w:val="0060727D"/>
    <w:rsid w:val="006112E0"/>
    <w:rsid w:val="00612581"/>
    <w:rsid w:val="00612827"/>
    <w:rsid w:val="006130D0"/>
    <w:rsid w:val="006133A8"/>
    <w:rsid w:val="00613B31"/>
    <w:rsid w:val="00613C56"/>
    <w:rsid w:val="00615099"/>
    <w:rsid w:val="0061557B"/>
    <w:rsid w:val="00615A56"/>
    <w:rsid w:val="00616A3A"/>
    <w:rsid w:val="006175EB"/>
    <w:rsid w:val="00617997"/>
    <w:rsid w:val="00617AA7"/>
    <w:rsid w:val="00617DEF"/>
    <w:rsid w:val="0062020C"/>
    <w:rsid w:val="0062039E"/>
    <w:rsid w:val="0062265E"/>
    <w:rsid w:val="00622813"/>
    <w:rsid w:val="00622B11"/>
    <w:rsid w:val="00622FFD"/>
    <w:rsid w:val="00623866"/>
    <w:rsid w:val="006239D5"/>
    <w:rsid w:val="00623B2D"/>
    <w:rsid w:val="0062417D"/>
    <w:rsid w:val="00624890"/>
    <w:rsid w:val="00625414"/>
    <w:rsid w:val="006260C1"/>
    <w:rsid w:val="00626E17"/>
    <w:rsid w:val="00631285"/>
    <w:rsid w:val="00632589"/>
    <w:rsid w:val="006326B2"/>
    <w:rsid w:val="00632F5E"/>
    <w:rsid w:val="00634032"/>
    <w:rsid w:val="00634BF5"/>
    <w:rsid w:val="00636D5E"/>
    <w:rsid w:val="006370FE"/>
    <w:rsid w:val="00637D4F"/>
    <w:rsid w:val="00640278"/>
    <w:rsid w:val="006402FE"/>
    <w:rsid w:val="00641082"/>
    <w:rsid w:val="00641E4F"/>
    <w:rsid w:val="0064349E"/>
    <w:rsid w:val="00643B79"/>
    <w:rsid w:val="0064425E"/>
    <w:rsid w:val="006442D5"/>
    <w:rsid w:val="0064515E"/>
    <w:rsid w:val="006452C7"/>
    <w:rsid w:val="0064774E"/>
    <w:rsid w:val="00647D9D"/>
    <w:rsid w:val="00647E34"/>
    <w:rsid w:val="00650610"/>
    <w:rsid w:val="006512A0"/>
    <w:rsid w:val="00651C58"/>
    <w:rsid w:val="00651E76"/>
    <w:rsid w:val="0065248A"/>
    <w:rsid w:val="00652DF9"/>
    <w:rsid w:val="00653DC5"/>
    <w:rsid w:val="00654D6C"/>
    <w:rsid w:val="00655354"/>
    <w:rsid w:val="00655691"/>
    <w:rsid w:val="006556A0"/>
    <w:rsid w:val="006556D8"/>
    <w:rsid w:val="006556EB"/>
    <w:rsid w:val="00655823"/>
    <w:rsid w:val="00656BF2"/>
    <w:rsid w:val="00657256"/>
    <w:rsid w:val="006572AA"/>
    <w:rsid w:val="00657878"/>
    <w:rsid w:val="0065787C"/>
    <w:rsid w:val="006578FD"/>
    <w:rsid w:val="00657AC7"/>
    <w:rsid w:val="00660411"/>
    <w:rsid w:val="006605BB"/>
    <w:rsid w:val="00662276"/>
    <w:rsid w:val="006638F2"/>
    <w:rsid w:val="00663A50"/>
    <w:rsid w:val="006640BC"/>
    <w:rsid w:val="006654AC"/>
    <w:rsid w:val="00665B63"/>
    <w:rsid w:val="00665B9A"/>
    <w:rsid w:val="00665BC9"/>
    <w:rsid w:val="00665CC5"/>
    <w:rsid w:val="00666745"/>
    <w:rsid w:val="00666787"/>
    <w:rsid w:val="00666C23"/>
    <w:rsid w:val="006679D3"/>
    <w:rsid w:val="00670410"/>
    <w:rsid w:val="006707EB"/>
    <w:rsid w:val="00670A1C"/>
    <w:rsid w:val="00671187"/>
    <w:rsid w:val="0067128F"/>
    <w:rsid w:val="00671CA6"/>
    <w:rsid w:val="00672A1A"/>
    <w:rsid w:val="00672B52"/>
    <w:rsid w:val="0067338F"/>
    <w:rsid w:val="00673E20"/>
    <w:rsid w:val="006741E9"/>
    <w:rsid w:val="006756C0"/>
    <w:rsid w:val="00675B68"/>
    <w:rsid w:val="00676829"/>
    <w:rsid w:val="006777D8"/>
    <w:rsid w:val="00680F6A"/>
    <w:rsid w:val="006811F5"/>
    <w:rsid w:val="0068176F"/>
    <w:rsid w:val="0068318B"/>
    <w:rsid w:val="006832C9"/>
    <w:rsid w:val="006837F5"/>
    <w:rsid w:val="006847D9"/>
    <w:rsid w:val="00684C5E"/>
    <w:rsid w:val="0068568A"/>
    <w:rsid w:val="00685D53"/>
    <w:rsid w:val="00687176"/>
    <w:rsid w:val="00687287"/>
    <w:rsid w:val="00687800"/>
    <w:rsid w:val="00687DC8"/>
    <w:rsid w:val="00690434"/>
    <w:rsid w:val="006908BB"/>
    <w:rsid w:val="0069219D"/>
    <w:rsid w:val="0069365C"/>
    <w:rsid w:val="00694364"/>
    <w:rsid w:val="00694453"/>
    <w:rsid w:val="00695A99"/>
    <w:rsid w:val="0069794C"/>
    <w:rsid w:val="00697A63"/>
    <w:rsid w:val="00697CA9"/>
    <w:rsid w:val="006A1636"/>
    <w:rsid w:val="006A174C"/>
    <w:rsid w:val="006A2F45"/>
    <w:rsid w:val="006A371E"/>
    <w:rsid w:val="006A3C77"/>
    <w:rsid w:val="006A3E33"/>
    <w:rsid w:val="006A423E"/>
    <w:rsid w:val="006A4A3C"/>
    <w:rsid w:val="006A4D4F"/>
    <w:rsid w:val="006A7DB6"/>
    <w:rsid w:val="006B13D4"/>
    <w:rsid w:val="006B2AEF"/>
    <w:rsid w:val="006B3A17"/>
    <w:rsid w:val="006B45F4"/>
    <w:rsid w:val="006B4D74"/>
    <w:rsid w:val="006B526D"/>
    <w:rsid w:val="006B5380"/>
    <w:rsid w:val="006B543C"/>
    <w:rsid w:val="006B5ED8"/>
    <w:rsid w:val="006C21CE"/>
    <w:rsid w:val="006C282D"/>
    <w:rsid w:val="006C3321"/>
    <w:rsid w:val="006C47B1"/>
    <w:rsid w:val="006C5177"/>
    <w:rsid w:val="006C5FCD"/>
    <w:rsid w:val="006C61E7"/>
    <w:rsid w:val="006C7173"/>
    <w:rsid w:val="006C73EF"/>
    <w:rsid w:val="006C7452"/>
    <w:rsid w:val="006C7FF5"/>
    <w:rsid w:val="006D015C"/>
    <w:rsid w:val="006D0825"/>
    <w:rsid w:val="006D322B"/>
    <w:rsid w:val="006D40A7"/>
    <w:rsid w:val="006D530C"/>
    <w:rsid w:val="006D554C"/>
    <w:rsid w:val="006D59F8"/>
    <w:rsid w:val="006D5F4F"/>
    <w:rsid w:val="006D6866"/>
    <w:rsid w:val="006D6CFA"/>
    <w:rsid w:val="006D78B2"/>
    <w:rsid w:val="006E0A76"/>
    <w:rsid w:val="006E1417"/>
    <w:rsid w:val="006E24B6"/>
    <w:rsid w:val="006E2916"/>
    <w:rsid w:val="006E291F"/>
    <w:rsid w:val="006E2B46"/>
    <w:rsid w:val="006E30F9"/>
    <w:rsid w:val="006E3645"/>
    <w:rsid w:val="006E3786"/>
    <w:rsid w:val="006E3B52"/>
    <w:rsid w:val="006E3D21"/>
    <w:rsid w:val="006E4305"/>
    <w:rsid w:val="006E4766"/>
    <w:rsid w:val="006E486C"/>
    <w:rsid w:val="006E4DBD"/>
    <w:rsid w:val="006E53E5"/>
    <w:rsid w:val="006E5A16"/>
    <w:rsid w:val="006E7C43"/>
    <w:rsid w:val="006E7D2E"/>
    <w:rsid w:val="006F05E4"/>
    <w:rsid w:val="006F05EE"/>
    <w:rsid w:val="006F09AA"/>
    <w:rsid w:val="006F1D77"/>
    <w:rsid w:val="006F2B24"/>
    <w:rsid w:val="006F2EA8"/>
    <w:rsid w:val="006F438D"/>
    <w:rsid w:val="006F52A7"/>
    <w:rsid w:val="006F55E0"/>
    <w:rsid w:val="006F5E82"/>
    <w:rsid w:val="006F62C9"/>
    <w:rsid w:val="006F6C6C"/>
    <w:rsid w:val="006F7871"/>
    <w:rsid w:val="006F7CEE"/>
    <w:rsid w:val="00701F5E"/>
    <w:rsid w:val="00702A4F"/>
    <w:rsid w:val="00702ED0"/>
    <w:rsid w:val="0070354D"/>
    <w:rsid w:val="00704C95"/>
    <w:rsid w:val="0070532F"/>
    <w:rsid w:val="00705480"/>
    <w:rsid w:val="0070553E"/>
    <w:rsid w:val="00706E56"/>
    <w:rsid w:val="00706F77"/>
    <w:rsid w:val="007100FD"/>
    <w:rsid w:val="00710B5A"/>
    <w:rsid w:val="007115C4"/>
    <w:rsid w:val="00711FAE"/>
    <w:rsid w:val="007122C3"/>
    <w:rsid w:val="0071273B"/>
    <w:rsid w:val="00712CF8"/>
    <w:rsid w:val="00714D40"/>
    <w:rsid w:val="00714EFF"/>
    <w:rsid w:val="0071580F"/>
    <w:rsid w:val="00715843"/>
    <w:rsid w:val="00715A98"/>
    <w:rsid w:val="0071633F"/>
    <w:rsid w:val="007173B9"/>
    <w:rsid w:val="0072007F"/>
    <w:rsid w:val="007217A6"/>
    <w:rsid w:val="00721C0F"/>
    <w:rsid w:val="00722EC0"/>
    <w:rsid w:val="007235C6"/>
    <w:rsid w:val="007251A1"/>
    <w:rsid w:val="0072535B"/>
    <w:rsid w:val="0072575A"/>
    <w:rsid w:val="007257BB"/>
    <w:rsid w:val="007257BC"/>
    <w:rsid w:val="007261B3"/>
    <w:rsid w:val="00726B02"/>
    <w:rsid w:val="00726B50"/>
    <w:rsid w:val="00726ED6"/>
    <w:rsid w:val="00727795"/>
    <w:rsid w:val="00730835"/>
    <w:rsid w:val="00732362"/>
    <w:rsid w:val="00732C89"/>
    <w:rsid w:val="00732D28"/>
    <w:rsid w:val="00733534"/>
    <w:rsid w:val="00733601"/>
    <w:rsid w:val="0073432B"/>
    <w:rsid w:val="00734B1A"/>
    <w:rsid w:val="0073617F"/>
    <w:rsid w:val="00736286"/>
    <w:rsid w:val="00736509"/>
    <w:rsid w:val="00736685"/>
    <w:rsid w:val="00736900"/>
    <w:rsid w:val="00736BAC"/>
    <w:rsid w:val="00736C69"/>
    <w:rsid w:val="00742324"/>
    <w:rsid w:val="00743976"/>
    <w:rsid w:val="00744A2E"/>
    <w:rsid w:val="0074500F"/>
    <w:rsid w:val="00745B7F"/>
    <w:rsid w:val="00745B96"/>
    <w:rsid w:val="007464CC"/>
    <w:rsid w:val="00746F5E"/>
    <w:rsid w:val="00747533"/>
    <w:rsid w:val="00750992"/>
    <w:rsid w:val="00751501"/>
    <w:rsid w:val="00751E23"/>
    <w:rsid w:val="007527A3"/>
    <w:rsid w:val="00753AC7"/>
    <w:rsid w:val="007543AC"/>
    <w:rsid w:val="00754664"/>
    <w:rsid w:val="00754AA8"/>
    <w:rsid w:val="0075616C"/>
    <w:rsid w:val="0075658D"/>
    <w:rsid w:val="00756639"/>
    <w:rsid w:val="00756BF9"/>
    <w:rsid w:val="0075782B"/>
    <w:rsid w:val="007578FA"/>
    <w:rsid w:val="00760110"/>
    <w:rsid w:val="00760762"/>
    <w:rsid w:val="007607A2"/>
    <w:rsid w:val="0076165B"/>
    <w:rsid w:val="00762105"/>
    <w:rsid w:val="007628C4"/>
    <w:rsid w:val="007639EB"/>
    <w:rsid w:val="00764115"/>
    <w:rsid w:val="00764127"/>
    <w:rsid w:val="00764B2B"/>
    <w:rsid w:val="00764EC3"/>
    <w:rsid w:val="00765694"/>
    <w:rsid w:val="00765737"/>
    <w:rsid w:val="0076630F"/>
    <w:rsid w:val="00766CC0"/>
    <w:rsid w:val="0076758E"/>
    <w:rsid w:val="007676D4"/>
    <w:rsid w:val="00767886"/>
    <w:rsid w:val="0077012E"/>
    <w:rsid w:val="00770483"/>
    <w:rsid w:val="0077233A"/>
    <w:rsid w:val="007723BC"/>
    <w:rsid w:val="00772B80"/>
    <w:rsid w:val="0077317F"/>
    <w:rsid w:val="007734AB"/>
    <w:rsid w:val="00774481"/>
    <w:rsid w:val="007745BD"/>
    <w:rsid w:val="00774A8A"/>
    <w:rsid w:val="00774E2B"/>
    <w:rsid w:val="00774F9D"/>
    <w:rsid w:val="00775559"/>
    <w:rsid w:val="00776353"/>
    <w:rsid w:val="007769E1"/>
    <w:rsid w:val="00776C1C"/>
    <w:rsid w:val="007777E4"/>
    <w:rsid w:val="00777BEA"/>
    <w:rsid w:val="00777F48"/>
    <w:rsid w:val="00780D86"/>
    <w:rsid w:val="00780E68"/>
    <w:rsid w:val="00781292"/>
    <w:rsid w:val="00781654"/>
    <w:rsid w:val="007833CF"/>
    <w:rsid w:val="00783C69"/>
    <w:rsid w:val="00784FE2"/>
    <w:rsid w:val="0079087E"/>
    <w:rsid w:val="00791A31"/>
    <w:rsid w:val="007930E7"/>
    <w:rsid w:val="00793AC8"/>
    <w:rsid w:val="00793E27"/>
    <w:rsid w:val="00794B68"/>
    <w:rsid w:val="007974B1"/>
    <w:rsid w:val="00797C44"/>
    <w:rsid w:val="00797C5C"/>
    <w:rsid w:val="00797E95"/>
    <w:rsid w:val="007A0368"/>
    <w:rsid w:val="007A136D"/>
    <w:rsid w:val="007A15AE"/>
    <w:rsid w:val="007A17FF"/>
    <w:rsid w:val="007A1882"/>
    <w:rsid w:val="007A2436"/>
    <w:rsid w:val="007A247E"/>
    <w:rsid w:val="007A269E"/>
    <w:rsid w:val="007A2BD5"/>
    <w:rsid w:val="007A3796"/>
    <w:rsid w:val="007A4F8B"/>
    <w:rsid w:val="007A521E"/>
    <w:rsid w:val="007A610A"/>
    <w:rsid w:val="007A6329"/>
    <w:rsid w:val="007A6BE5"/>
    <w:rsid w:val="007B0A5E"/>
    <w:rsid w:val="007B0E9D"/>
    <w:rsid w:val="007B0F2E"/>
    <w:rsid w:val="007B1C37"/>
    <w:rsid w:val="007B2346"/>
    <w:rsid w:val="007B259E"/>
    <w:rsid w:val="007B2F22"/>
    <w:rsid w:val="007B3399"/>
    <w:rsid w:val="007B5269"/>
    <w:rsid w:val="007B5B86"/>
    <w:rsid w:val="007B6E49"/>
    <w:rsid w:val="007B701E"/>
    <w:rsid w:val="007B7196"/>
    <w:rsid w:val="007B7C7A"/>
    <w:rsid w:val="007C0384"/>
    <w:rsid w:val="007C0831"/>
    <w:rsid w:val="007C1A7A"/>
    <w:rsid w:val="007C40B1"/>
    <w:rsid w:val="007C421A"/>
    <w:rsid w:val="007C4533"/>
    <w:rsid w:val="007C4865"/>
    <w:rsid w:val="007C4EB3"/>
    <w:rsid w:val="007C6BB2"/>
    <w:rsid w:val="007C6F20"/>
    <w:rsid w:val="007D070A"/>
    <w:rsid w:val="007D0B5A"/>
    <w:rsid w:val="007D0EE7"/>
    <w:rsid w:val="007D199C"/>
    <w:rsid w:val="007D1D31"/>
    <w:rsid w:val="007D3F23"/>
    <w:rsid w:val="007D5ABA"/>
    <w:rsid w:val="007D6418"/>
    <w:rsid w:val="007D6ABB"/>
    <w:rsid w:val="007D6BE5"/>
    <w:rsid w:val="007D7F95"/>
    <w:rsid w:val="007E18C6"/>
    <w:rsid w:val="007E3333"/>
    <w:rsid w:val="007E3F2D"/>
    <w:rsid w:val="007E4191"/>
    <w:rsid w:val="007E5117"/>
    <w:rsid w:val="007E5A37"/>
    <w:rsid w:val="007E6195"/>
    <w:rsid w:val="007E7916"/>
    <w:rsid w:val="007F06D7"/>
    <w:rsid w:val="007F1131"/>
    <w:rsid w:val="007F2F8B"/>
    <w:rsid w:val="007F3433"/>
    <w:rsid w:val="007F381D"/>
    <w:rsid w:val="007F400E"/>
    <w:rsid w:val="007F5218"/>
    <w:rsid w:val="007F52F2"/>
    <w:rsid w:val="007F53F2"/>
    <w:rsid w:val="007F57E9"/>
    <w:rsid w:val="007F5C0C"/>
    <w:rsid w:val="007F5C89"/>
    <w:rsid w:val="007F5F9B"/>
    <w:rsid w:val="007F6B33"/>
    <w:rsid w:val="007F6D7A"/>
    <w:rsid w:val="007F7DDA"/>
    <w:rsid w:val="0080036C"/>
    <w:rsid w:val="00800B8C"/>
    <w:rsid w:val="00801881"/>
    <w:rsid w:val="00801F76"/>
    <w:rsid w:val="00802814"/>
    <w:rsid w:val="0080374B"/>
    <w:rsid w:val="00803A39"/>
    <w:rsid w:val="008055BB"/>
    <w:rsid w:val="0080560A"/>
    <w:rsid w:val="00805EC9"/>
    <w:rsid w:val="0080691F"/>
    <w:rsid w:val="0080739F"/>
    <w:rsid w:val="008079A0"/>
    <w:rsid w:val="00807D4A"/>
    <w:rsid w:val="00810460"/>
    <w:rsid w:val="00811753"/>
    <w:rsid w:val="00811A70"/>
    <w:rsid w:val="008121D2"/>
    <w:rsid w:val="00814545"/>
    <w:rsid w:val="0081517E"/>
    <w:rsid w:val="0081550B"/>
    <w:rsid w:val="008159C8"/>
    <w:rsid w:val="00816136"/>
    <w:rsid w:val="008179CC"/>
    <w:rsid w:val="00817B07"/>
    <w:rsid w:val="00817E4A"/>
    <w:rsid w:val="008208FE"/>
    <w:rsid w:val="00821C74"/>
    <w:rsid w:val="00821D6B"/>
    <w:rsid w:val="00821EFE"/>
    <w:rsid w:val="0082214B"/>
    <w:rsid w:val="0082261E"/>
    <w:rsid w:val="008233FE"/>
    <w:rsid w:val="00823862"/>
    <w:rsid w:val="0082454A"/>
    <w:rsid w:val="00824B81"/>
    <w:rsid w:val="00825098"/>
    <w:rsid w:val="00825B19"/>
    <w:rsid w:val="00826303"/>
    <w:rsid w:val="008263DC"/>
    <w:rsid w:val="008265FF"/>
    <w:rsid w:val="00827183"/>
    <w:rsid w:val="00827845"/>
    <w:rsid w:val="0083047D"/>
    <w:rsid w:val="008312A3"/>
    <w:rsid w:val="00831E02"/>
    <w:rsid w:val="00832009"/>
    <w:rsid w:val="00832093"/>
    <w:rsid w:val="00833055"/>
    <w:rsid w:val="00834667"/>
    <w:rsid w:val="00834D8E"/>
    <w:rsid w:val="00834F6C"/>
    <w:rsid w:val="00835516"/>
    <w:rsid w:val="00837077"/>
    <w:rsid w:val="00840A1E"/>
    <w:rsid w:val="00840D05"/>
    <w:rsid w:val="00840ED5"/>
    <w:rsid w:val="00841A62"/>
    <w:rsid w:val="00841E7A"/>
    <w:rsid w:val="008424B6"/>
    <w:rsid w:val="00842A0A"/>
    <w:rsid w:val="00842AC0"/>
    <w:rsid w:val="008444DC"/>
    <w:rsid w:val="00844DA0"/>
    <w:rsid w:val="00845E5C"/>
    <w:rsid w:val="008467F4"/>
    <w:rsid w:val="00847479"/>
    <w:rsid w:val="008507E9"/>
    <w:rsid w:val="0085120C"/>
    <w:rsid w:val="008513FD"/>
    <w:rsid w:val="008519F9"/>
    <w:rsid w:val="00851E4D"/>
    <w:rsid w:val="00852058"/>
    <w:rsid w:val="00852812"/>
    <w:rsid w:val="008530C2"/>
    <w:rsid w:val="008539FF"/>
    <w:rsid w:val="00854333"/>
    <w:rsid w:val="00854783"/>
    <w:rsid w:val="00854E35"/>
    <w:rsid w:val="00855144"/>
    <w:rsid w:val="00856B3F"/>
    <w:rsid w:val="00857C5C"/>
    <w:rsid w:val="00857F03"/>
    <w:rsid w:val="008604E3"/>
    <w:rsid w:val="00860C2F"/>
    <w:rsid w:val="008615D3"/>
    <w:rsid w:val="00862752"/>
    <w:rsid w:val="008646C9"/>
    <w:rsid w:val="00865A90"/>
    <w:rsid w:val="00865D06"/>
    <w:rsid w:val="008660B8"/>
    <w:rsid w:val="00866798"/>
    <w:rsid w:val="008667B0"/>
    <w:rsid w:val="008707B0"/>
    <w:rsid w:val="00870B0F"/>
    <w:rsid w:val="00870E4E"/>
    <w:rsid w:val="008717FD"/>
    <w:rsid w:val="008720AF"/>
    <w:rsid w:val="00872615"/>
    <w:rsid w:val="00872E7E"/>
    <w:rsid w:val="00873114"/>
    <w:rsid w:val="0087322A"/>
    <w:rsid w:val="008740FA"/>
    <w:rsid w:val="0087465C"/>
    <w:rsid w:val="0087486C"/>
    <w:rsid w:val="0087552F"/>
    <w:rsid w:val="008758F6"/>
    <w:rsid w:val="00877018"/>
    <w:rsid w:val="008774CC"/>
    <w:rsid w:val="008800AA"/>
    <w:rsid w:val="008800E0"/>
    <w:rsid w:val="008802EE"/>
    <w:rsid w:val="00881785"/>
    <w:rsid w:val="0088236D"/>
    <w:rsid w:val="008830EF"/>
    <w:rsid w:val="008830FC"/>
    <w:rsid w:val="00885382"/>
    <w:rsid w:val="008860F1"/>
    <w:rsid w:val="00886A10"/>
    <w:rsid w:val="00886B04"/>
    <w:rsid w:val="008907D7"/>
    <w:rsid w:val="00891EFB"/>
    <w:rsid w:val="008931D9"/>
    <w:rsid w:val="008934CA"/>
    <w:rsid w:val="00893CC4"/>
    <w:rsid w:val="00895C76"/>
    <w:rsid w:val="00895CA1"/>
    <w:rsid w:val="008960AF"/>
    <w:rsid w:val="00896518"/>
    <w:rsid w:val="00896C1D"/>
    <w:rsid w:val="0089751E"/>
    <w:rsid w:val="00897961"/>
    <w:rsid w:val="008A07CE"/>
    <w:rsid w:val="008A0BD5"/>
    <w:rsid w:val="008A1453"/>
    <w:rsid w:val="008A2D27"/>
    <w:rsid w:val="008A502F"/>
    <w:rsid w:val="008A5D4C"/>
    <w:rsid w:val="008A5FFD"/>
    <w:rsid w:val="008A64BE"/>
    <w:rsid w:val="008A6CEB"/>
    <w:rsid w:val="008A7BAE"/>
    <w:rsid w:val="008A7EAE"/>
    <w:rsid w:val="008B208A"/>
    <w:rsid w:val="008B20BC"/>
    <w:rsid w:val="008B2D7F"/>
    <w:rsid w:val="008B3466"/>
    <w:rsid w:val="008B3922"/>
    <w:rsid w:val="008B41FA"/>
    <w:rsid w:val="008B4CBE"/>
    <w:rsid w:val="008B5EED"/>
    <w:rsid w:val="008B65CA"/>
    <w:rsid w:val="008B6946"/>
    <w:rsid w:val="008C18C2"/>
    <w:rsid w:val="008C388E"/>
    <w:rsid w:val="008C390C"/>
    <w:rsid w:val="008C3A80"/>
    <w:rsid w:val="008C3D62"/>
    <w:rsid w:val="008C422C"/>
    <w:rsid w:val="008C5B58"/>
    <w:rsid w:val="008C5F40"/>
    <w:rsid w:val="008C6293"/>
    <w:rsid w:val="008C77CD"/>
    <w:rsid w:val="008C77D8"/>
    <w:rsid w:val="008C7A69"/>
    <w:rsid w:val="008C7A76"/>
    <w:rsid w:val="008C7C7E"/>
    <w:rsid w:val="008D03A3"/>
    <w:rsid w:val="008D0D5D"/>
    <w:rsid w:val="008D1A76"/>
    <w:rsid w:val="008D3373"/>
    <w:rsid w:val="008D3A4B"/>
    <w:rsid w:val="008D590F"/>
    <w:rsid w:val="008D6558"/>
    <w:rsid w:val="008D67E2"/>
    <w:rsid w:val="008D7BA1"/>
    <w:rsid w:val="008D7F30"/>
    <w:rsid w:val="008E26D6"/>
    <w:rsid w:val="008E2962"/>
    <w:rsid w:val="008E39F5"/>
    <w:rsid w:val="008E3FF8"/>
    <w:rsid w:val="008E4760"/>
    <w:rsid w:val="008E4B0E"/>
    <w:rsid w:val="008E4D5F"/>
    <w:rsid w:val="008E5053"/>
    <w:rsid w:val="008E5268"/>
    <w:rsid w:val="008E5B92"/>
    <w:rsid w:val="008E5D19"/>
    <w:rsid w:val="008E5E3D"/>
    <w:rsid w:val="008E6EA9"/>
    <w:rsid w:val="008E6F61"/>
    <w:rsid w:val="008F17E7"/>
    <w:rsid w:val="008F1945"/>
    <w:rsid w:val="008F1FAA"/>
    <w:rsid w:val="008F202A"/>
    <w:rsid w:val="008F30D4"/>
    <w:rsid w:val="008F3469"/>
    <w:rsid w:val="008F442D"/>
    <w:rsid w:val="008F53B8"/>
    <w:rsid w:val="008F5AE4"/>
    <w:rsid w:val="008F5D5A"/>
    <w:rsid w:val="008F7D0F"/>
    <w:rsid w:val="0090052D"/>
    <w:rsid w:val="0090083B"/>
    <w:rsid w:val="00901CF9"/>
    <w:rsid w:val="009021CA"/>
    <w:rsid w:val="009025B9"/>
    <w:rsid w:val="00902708"/>
    <w:rsid w:val="009042BA"/>
    <w:rsid w:val="009055E2"/>
    <w:rsid w:val="00905947"/>
    <w:rsid w:val="009060DC"/>
    <w:rsid w:val="00906D09"/>
    <w:rsid w:val="00906FA8"/>
    <w:rsid w:val="00907521"/>
    <w:rsid w:val="0090753D"/>
    <w:rsid w:val="009076DA"/>
    <w:rsid w:val="00910313"/>
    <w:rsid w:val="00910417"/>
    <w:rsid w:val="0091198A"/>
    <w:rsid w:val="00914141"/>
    <w:rsid w:val="00914A17"/>
    <w:rsid w:val="0091554E"/>
    <w:rsid w:val="00915AE3"/>
    <w:rsid w:val="00916386"/>
    <w:rsid w:val="009170BA"/>
    <w:rsid w:val="00917C73"/>
    <w:rsid w:val="009208C5"/>
    <w:rsid w:val="009216D9"/>
    <w:rsid w:val="00921852"/>
    <w:rsid w:val="009218A7"/>
    <w:rsid w:val="009219F2"/>
    <w:rsid w:val="0092289D"/>
    <w:rsid w:val="009236C2"/>
    <w:rsid w:val="00924BE1"/>
    <w:rsid w:val="00924E6C"/>
    <w:rsid w:val="009251B4"/>
    <w:rsid w:val="0092524B"/>
    <w:rsid w:val="00925472"/>
    <w:rsid w:val="0092564B"/>
    <w:rsid w:val="00925742"/>
    <w:rsid w:val="00925DD9"/>
    <w:rsid w:val="00926BC2"/>
    <w:rsid w:val="00926F8A"/>
    <w:rsid w:val="0092745E"/>
    <w:rsid w:val="00927C0B"/>
    <w:rsid w:val="00927F3D"/>
    <w:rsid w:val="00931840"/>
    <w:rsid w:val="0093322F"/>
    <w:rsid w:val="00933666"/>
    <w:rsid w:val="00933D5C"/>
    <w:rsid w:val="009341B7"/>
    <w:rsid w:val="00934897"/>
    <w:rsid w:val="00934D3B"/>
    <w:rsid w:val="00935CA8"/>
    <w:rsid w:val="009361CF"/>
    <w:rsid w:val="00940059"/>
    <w:rsid w:val="009402D1"/>
    <w:rsid w:val="009413FB"/>
    <w:rsid w:val="00942173"/>
    <w:rsid w:val="00945958"/>
    <w:rsid w:val="009460E9"/>
    <w:rsid w:val="009467D0"/>
    <w:rsid w:val="00947253"/>
    <w:rsid w:val="00947404"/>
    <w:rsid w:val="0095040E"/>
    <w:rsid w:val="00950502"/>
    <w:rsid w:val="00950F65"/>
    <w:rsid w:val="00951DED"/>
    <w:rsid w:val="00952396"/>
    <w:rsid w:val="00952808"/>
    <w:rsid w:val="00952B69"/>
    <w:rsid w:val="0095310F"/>
    <w:rsid w:val="00953D89"/>
    <w:rsid w:val="00954A1C"/>
    <w:rsid w:val="00954EFE"/>
    <w:rsid w:val="00956064"/>
    <w:rsid w:val="009574DF"/>
    <w:rsid w:val="00957F36"/>
    <w:rsid w:val="0096180A"/>
    <w:rsid w:val="0096212F"/>
    <w:rsid w:val="00963257"/>
    <w:rsid w:val="0096343A"/>
    <w:rsid w:val="00963E5C"/>
    <w:rsid w:val="00964355"/>
    <w:rsid w:val="009649B6"/>
    <w:rsid w:val="0096510B"/>
    <w:rsid w:val="00965A49"/>
    <w:rsid w:val="00966258"/>
    <w:rsid w:val="00967E42"/>
    <w:rsid w:val="00970974"/>
    <w:rsid w:val="00971815"/>
    <w:rsid w:val="0097199A"/>
    <w:rsid w:val="00973678"/>
    <w:rsid w:val="00973B60"/>
    <w:rsid w:val="00973E75"/>
    <w:rsid w:val="0097467A"/>
    <w:rsid w:val="00974AE1"/>
    <w:rsid w:val="00975143"/>
    <w:rsid w:val="00975564"/>
    <w:rsid w:val="009756B7"/>
    <w:rsid w:val="00976139"/>
    <w:rsid w:val="0097656C"/>
    <w:rsid w:val="0097716A"/>
    <w:rsid w:val="00977D55"/>
    <w:rsid w:val="00980023"/>
    <w:rsid w:val="00980D39"/>
    <w:rsid w:val="00980E80"/>
    <w:rsid w:val="009810C9"/>
    <w:rsid w:val="009815A2"/>
    <w:rsid w:val="00981ADF"/>
    <w:rsid w:val="00981C45"/>
    <w:rsid w:val="009823F5"/>
    <w:rsid w:val="00982644"/>
    <w:rsid w:val="00982703"/>
    <w:rsid w:val="009828EC"/>
    <w:rsid w:val="009833C3"/>
    <w:rsid w:val="009838F6"/>
    <w:rsid w:val="0098469A"/>
    <w:rsid w:val="00985896"/>
    <w:rsid w:val="00985ABA"/>
    <w:rsid w:val="00985E87"/>
    <w:rsid w:val="00986085"/>
    <w:rsid w:val="009865D2"/>
    <w:rsid w:val="00986DB0"/>
    <w:rsid w:val="00986E03"/>
    <w:rsid w:val="0098743E"/>
    <w:rsid w:val="009879F5"/>
    <w:rsid w:val="0099069C"/>
    <w:rsid w:val="009907D7"/>
    <w:rsid w:val="0099101F"/>
    <w:rsid w:val="00991208"/>
    <w:rsid w:val="009915FA"/>
    <w:rsid w:val="0099288C"/>
    <w:rsid w:val="00992D0E"/>
    <w:rsid w:val="00992D68"/>
    <w:rsid w:val="00992E32"/>
    <w:rsid w:val="009938D4"/>
    <w:rsid w:val="00993BC3"/>
    <w:rsid w:val="00993FFB"/>
    <w:rsid w:val="00994F8F"/>
    <w:rsid w:val="0099522C"/>
    <w:rsid w:val="00995BC8"/>
    <w:rsid w:val="00995D78"/>
    <w:rsid w:val="00997CDA"/>
    <w:rsid w:val="009A0E2F"/>
    <w:rsid w:val="009A12B9"/>
    <w:rsid w:val="009A26DF"/>
    <w:rsid w:val="009A28EB"/>
    <w:rsid w:val="009A37EF"/>
    <w:rsid w:val="009A439F"/>
    <w:rsid w:val="009A4C40"/>
    <w:rsid w:val="009A52AE"/>
    <w:rsid w:val="009A5B16"/>
    <w:rsid w:val="009A5D25"/>
    <w:rsid w:val="009A7670"/>
    <w:rsid w:val="009A789B"/>
    <w:rsid w:val="009A7FA2"/>
    <w:rsid w:val="009B010E"/>
    <w:rsid w:val="009B0174"/>
    <w:rsid w:val="009B0A8C"/>
    <w:rsid w:val="009B0B4E"/>
    <w:rsid w:val="009B1329"/>
    <w:rsid w:val="009B2D83"/>
    <w:rsid w:val="009B3120"/>
    <w:rsid w:val="009B463C"/>
    <w:rsid w:val="009B6181"/>
    <w:rsid w:val="009B64E8"/>
    <w:rsid w:val="009B65F6"/>
    <w:rsid w:val="009B6F86"/>
    <w:rsid w:val="009B71ED"/>
    <w:rsid w:val="009B7587"/>
    <w:rsid w:val="009C04CD"/>
    <w:rsid w:val="009C15D5"/>
    <w:rsid w:val="009C1C0D"/>
    <w:rsid w:val="009C1E6C"/>
    <w:rsid w:val="009C2242"/>
    <w:rsid w:val="009C2350"/>
    <w:rsid w:val="009C24BA"/>
    <w:rsid w:val="009C2E49"/>
    <w:rsid w:val="009C3640"/>
    <w:rsid w:val="009C37B1"/>
    <w:rsid w:val="009C37CC"/>
    <w:rsid w:val="009C4A3E"/>
    <w:rsid w:val="009C4A46"/>
    <w:rsid w:val="009C4E6D"/>
    <w:rsid w:val="009C5B7C"/>
    <w:rsid w:val="009C5D72"/>
    <w:rsid w:val="009C6336"/>
    <w:rsid w:val="009C6383"/>
    <w:rsid w:val="009C6582"/>
    <w:rsid w:val="009C6696"/>
    <w:rsid w:val="009C69E2"/>
    <w:rsid w:val="009C6CD9"/>
    <w:rsid w:val="009C73DD"/>
    <w:rsid w:val="009D0E76"/>
    <w:rsid w:val="009D1A35"/>
    <w:rsid w:val="009D211C"/>
    <w:rsid w:val="009D264F"/>
    <w:rsid w:val="009D2A58"/>
    <w:rsid w:val="009D3589"/>
    <w:rsid w:val="009D3963"/>
    <w:rsid w:val="009D43BC"/>
    <w:rsid w:val="009D4F5F"/>
    <w:rsid w:val="009D51B5"/>
    <w:rsid w:val="009D557F"/>
    <w:rsid w:val="009D5CE1"/>
    <w:rsid w:val="009D64A1"/>
    <w:rsid w:val="009D6C48"/>
    <w:rsid w:val="009D6D44"/>
    <w:rsid w:val="009E0DE7"/>
    <w:rsid w:val="009E118D"/>
    <w:rsid w:val="009E11FB"/>
    <w:rsid w:val="009E163C"/>
    <w:rsid w:val="009E1C78"/>
    <w:rsid w:val="009E2CF0"/>
    <w:rsid w:val="009E3163"/>
    <w:rsid w:val="009E32C8"/>
    <w:rsid w:val="009E42A3"/>
    <w:rsid w:val="009E47EC"/>
    <w:rsid w:val="009E4AAE"/>
    <w:rsid w:val="009E4CC6"/>
    <w:rsid w:val="009E4D9F"/>
    <w:rsid w:val="009E4EE6"/>
    <w:rsid w:val="009E60E6"/>
    <w:rsid w:val="009E67D3"/>
    <w:rsid w:val="009E6888"/>
    <w:rsid w:val="009E70A9"/>
    <w:rsid w:val="009E761B"/>
    <w:rsid w:val="009E775E"/>
    <w:rsid w:val="009E7826"/>
    <w:rsid w:val="009E783C"/>
    <w:rsid w:val="009E7F04"/>
    <w:rsid w:val="009F1371"/>
    <w:rsid w:val="009F18A2"/>
    <w:rsid w:val="009F2A01"/>
    <w:rsid w:val="009F2B93"/>
    <w:rsid w:val="009F2D37"/>
    <w:rsid w:val="009F3AD4"/>
    <w:rsid w:val="009F4D4A"/>
    <w:rsid w:val="009F4DF4"/>
    <w:rsid w:val="009F5EFA"/>
    <w:rsid w:val="009F758B"/>
    <w:rsid w:val="00A00BBC"/>
    <w:rsid w:val="00A01E50"/>
    <w:rsid w:val="00A02871"/>
    <w:rsid w:val="00A0391C"/>
    <w:rsid w:val="00A041E3"/>
    <w:rsid w:val="00A0573B"/>
    <w:rsid w:val="00A05A70"/>
    <w:rsid w:val="00A0603A"/>
    <w:rsid w:val="00A060AB"/>
    <w:rsid w:val="00A06419"/>
    <w:rsid w:val="00A103AC"/>
    <w:rsid w:val="00A10D62"/>
    <w:rsid w:val="00A1117F"/>
    <w:rsid w:val="00A1144B"/>
    <w:rsid w:val="00A11A04"/>
    <w:rsid w:val="00A129F0"/>
    <w:rsid w:val="00A14EC1"/>
    <w:rsid w:val="00A15697"/>
    <w:rsid w:val="00A15FB1"/>
    <w:rsid w:val="00A16997"/>
    <w:rsid w:val="00A16E18"/>
    <w:rsid w:val="00A1778C"/>
    <w:rsid w:val="00A22A7E"/>
    <w:rsid w:val="00A23501"/>
    <w:rsid w:val="00A23ABB"/>
    <w:rsid w:val="00A243DA"/>
    <w:rsid w:val="00A246BD"/>
    <w:rsid w:val="00A255C5"/>
    <w:rsid w:val="00A267DB"/>
    <w:rsid w:val="00A26BF9"/>
    <w:rsid w:val="00A27CFD"/>
    <w:rsid w:val="00A30031"/>
    <w:rsid w:val="00A307A8"/>
    <w:rsid w:val="00A30DBC"/>
    <w:rsid w:val="00A31FF3"/>
    <w:rsid w:val="00A32326"/>
    <w:rsid w:val="00A32530"/>
    <w:rsid w:val="00A333CF"/>
    <w:rsid w:val="00A339C5"/>
    <w:rsid w:val="00A35015"/>
    <w:rsid w:val="00A35119"/>
    <w:rsid w:val="00A3560B"/>
    <w:rsid w:val="00A35A6A"/>
    <w:rsid w:val="00A36895"/>
    <w:rsid w:val="00A42DF7"/>
    <w:rsid w:val="00A42F58"/>
    <w:rsid w:val="00A437CC"/>
    <w:rsid w:val="00A43E3D"/>
    <w:rsid w:val="00A4440F"/>
    <w:rsid w:val="00A4446F"/>
    <w:rsid w:val="00A44483"/>
    <w:rsid w:val="00A45253"/>
    <w:rsid w:val="00A46C4B"/>
    <w:rsid w:val="00A47034"/>
    <w:rsid w:val="00A477BB"/>
    <w:rsid w:val="00A505F5"/>
    <w:rsid w:val="00A509E6"/>
    <w:rsid w:val="00A51184"/>
    <w:rsid w:val="00A51705"/>
    <w:rsid w:val="00A521FD"/>
    <w:rsid w:val="00A53FCE"/>
    <w:rsid w:val="00A54A88"/>
    <w:rsid w:val="00A556E4"/>
    <w:rsid w:val="00A56D30"/>
    <w:rsid w:val="00A603B0"/>
    <w:rsid w:val="00A60657"/>
    <w:rsid w:val="00A62D12"/>
    <w:rsid w:val="00A63689"/>
    <w:rsid w:val="00A639E0"/>
    <w:rsid w:val="00A63A20"/>
    <w:rsid w:val="00A64140"/>
    <w:rsid w:val="00A65B95"/>
    <w:rsid w:val="00A65DA9"/>
    <w:rsid w:val="00A6722B"/>
    <w:rsid w:val="00A672B3"/>
    <w:rsid w:val="00A67BE0"/>
    <w:rsid w:val="00A7072F"/>
    <w:rsid w:val="00A719CF"/>
    <w:rsid w:val="00A71F60"/>
    <w:rsid w:val="00A72F2B"/>
    <w:rsid w:val="00A76028"/>
    <w:rsid w:val="00A76308"/>
    <w:rsid w:val="00A76416"/>
    <w:rsid w:val="00A7759C"/>
    <w:rsid w:val="00A77987"/>
    <w:rsid w:val="00A801B6"/>
    <w:rsid w:val="00A80487"/>
    <w:rsid w:val="00A80B18"/>
    <w:rsid w:val="00A81610"/>
    <w:rsid w:val="00A82E45"/>
    <w:rsid w:val="00A83913"/>
    <w:rsid w:val="00A84862"/>
    <w:rsid w:val="00A85C23"/>
    <w:rsid w:val="00A86D90"/>
    <w:rsid w:val="00A87074"/>
    <w:rsid w:val="00A87844"/>
    <w:rsid w:val="00A87928"/>
    <w:rsid w:val="00A87B0B"/>
    <w:rsid w:val="00A87E46"/>
    <w:rsid w:val="00A900BC"/>
    <w:rsid w:val="00A90325"/>
    <w:rsid w:val="00A908DB"/>
    <w:rsid w:val="00A90DE8"/>
    <w:rsid w:val="00A91350"/>
    <w:rsid w:val="00A92842"/>
    <w:rsid w:val="00A9367B"/>
    <w:rsid w:val="00A936C6"/>
    <w:rsid w:val="00A93B04"/>
    <w:rsid w:val="00A93B8C"/>
    <w:rsid w:val="00A93F86"/>
    <w:rsid w:val="00A940A1"/>
    <w:rsid w:val="00A94EE4"/>
    <w:rsid w:val="00A95B7F"/>
    <w:rsid w:val="00A969F3"/>
    <w:rsid w:val="00A96AFB"/>
    <w:rsid w:val="00A97384"/>
    <w:rsid w:val="00A9770E"/>
    <w:rsid w:val="00A978AF"/>
    <w:rsid w:val="00A97D79"/>
    <w:rsid w:val="00AA02A5"/>
    <w:rsid w:val="00AA05B1"/>
    <w:rsid w:val="00AA0967"/>
    <w:rsid w:val="00AA0B2E"/>
    <w:rsid w:val="00AA0D9D"/>
    <w:rsid w:val="00AA0DB9"/>
    <w:rsid w:val="00AA1D3B"/>
    <w:rsid w:val="00AA1E4A"/>
    <w:rsid w:val="00AA2A97"/>
    <w:rsid w:val="00AA2F73"/>
    <w:rsid w:val="00AA3256"/>
    <w:rsid w:val="00AA32A0"/>
    <w:rsid w:val="00AA3A2F"/>
    <w:rsid w:val="00AA4AF4"/>
    <w:rsid w:val="00AA57D1"/>
    <w:rsid w:val="00AA6FB3"/>
    <w:rsid w:val="00AA738B"/>
    <w:rsid w:val="00AA7800"/>
    <w:rsid w:val="00AA7838"/>
    <w:rsid w:val="00AB1437"/>
    <w:rsid w:val="00AB1D13"/>
    <w:rsid w:val="00AB2503"/>
    <w:rsid w:val="00AB302A"/>
    <w:rsid w:val="00AB4650"/>
    <w:rsid w:val="00AB6658"/>
    <w:rsid w:val="00AC01CD"/>
    <w:rsid w:val="00AC0948"/>
    <w:rsid w:val="00AC0961"/>
    <w:rsid w:val="00AC0A32"/>
    <w:rsid w:val="00AC1318"/>
    <w:rsid w:val="00AC16FE"/>
    <w:rsid w:val="00AC174C"/>
    <w:rsid w:val="00AC2E2E"/>
    <w:rsid w:val="00AC30C9"/>
    <w:rsid w:val="00AC3134"/>
    <w:rsid w:val="00AC3495"/>
    <w:rsid w:val="00AC56B6"/>
    <w:rsid w:val="00AC5868"/>
    <w:rsid w:val="00AC5C36"/>
    <w:rsid w:val="00AC5D17"/>
    <w:rsid w:val="00AC5ECD"/>
    <w:rsid w:val="00AC70E7"/>
    <w:rsid w:val="00AC768F"/>
    <w:rsid w:val="00AC7F54"/>
    <w:rsid w:val="00AD005C"/>
    <w:rsid w:val="00AD04D1"/>
    <w:rsid w:val="00AD0D7E"/>
    <w:rsid w:val="00AD0E1E"/>
    <w:rsid w:val="00AD14F6"/>
    <w:rsid w:val="00AD2058"/>
    <w:rsid w:val="00AD2681"/>
    <w:rsid w:val="00AD35AD"/>
    <w:rsid w:val="00AD3710"/>
    <w:rsid w:val="00AD3863"/>
    <w:rsid w:val="00AD3F74"/>
    <w:rsid w:val="00AD43D2"/>
    <w:rsid w:val="00AD45A1"/>
    <w:rsid w:val="00AD46A7"/>
    <w:rsid w:val="00AD4B62"/>
    <w:rsid w:val="00AD52B3"/>
    <w:rsid w:val="00AD5CB4"/>
    <w:rsid w:val="00AD6820"/>
    <w:rsid w:val="00AD6938"/>
    <w:rsid w:val="00AD70DE"/>
    <w:rsid w:val="00AD7A74"/>
    <w:rsid w:val="00AE0C46"/>
    <w:rsid w:val="00AE1009"/>
    <w:rsid w:val="00AE1460"/>
    <w:rsid w:val="00AE14C3"/>
    <w:rsid w:val="00AE1EFD"/>
    <w:rsid w:val="00AE299B"/>
    <w:rsid w:val="00AE3A53"/>
    <w:rsid w:val="00AE3DE8"/>
    <w:rsid w:val="00AE481A"/>
    <w:rsid w:val="00AE4A16"/>
    <w:rsid w:val="00AE56FB"/>
    <w:rsid w:val="00AE5830"/>
    <w:rsid w:val="00AE64FB"/>
    <w:rsid w:val="00AE766C"/>
    <w:rsid w:val="00AF0126"/>
    <w:rsid w:val="00AF0CD6"/>
    <w:rsid w:val="00AF104A"/>
    <w:rsid w:val="00AF189D"/>
    <w:rsid w:val="00AF283B"/>
    <w:rsid w:val="00AF389C"/>
    <w:rsid w:val="00AF3E7B"/>
    <w:rsid w:val="00AF5531"/>
    <w:rsid w:val="00AF56A8"/>
    <w:rsid w:val="00AF6196"/>
    <w:rsid w:val="00AF6712"/>
    <w:rsid w:val="00AF6D89"/>
    <w:rsid w:val="00AF7354"/>
    <w:rsid w:val="00AF76A4"/>
    <w:rsid w:val="00B0174F"/>
    <w:rsid w:val="00B017B1"/>
    <w:rsid w:val="00B01F55"/>
    <w:rsid w:val="00B03B05"/>
    <w:rsid w:val="00B042F9"/>
    <w:rsid w:val="00B04750"/>
    <w:rsid w:val="00B047A7"/>
    <w:rsid w:val="00B04805"/>
    <w:rsid w:val="00B04D91"/>
    <w:rsid w:val="00B04ED3"/>
    <w:rsid w:val="00B05442"/>
    <w:rsid w:val="00B05A1D"/>
    <w:rsid w:val="00B05ABA"/>
    <w:rsid w:val="00B074EC"/>
    <w:rsid w:val="00B078B4"/>
    <w:rsid w:val="00B0799B"/>
    <w:rsid w:val="00B106C7"/>
    <w:rsid w:val="00B117DF"/>
    <w:rsid w:val="00B11979"/>
    <w:rsid w:val="00B11D5C"/>
    <w:rsid w:val="00B11DF2"/>
    <w:rsid w:val="00B11FC7"/>
    <w:rsid w:val="00B12B9B"/>
    <w:rsid w:val="00B133BA"/>
    <w:rsid w:val="00B13629"/>
    <w:rsid w:val="00B13A81"/>
    <w:rsid w:val="00B13D8D"/>
    <w:rsid w:val="00B14983"/>
    <w:rsid w:val="00B158E0"/>
    <w:rsid w:val="00B161BA"/>
    <w:rsid w:val="00B16522"/>
    <w:rsid w:val="00B1673A"/>
    <w:rsid w:val="00B17062"/>
    <w:rsid w:val="00B17788"/>
    <w:rsid w:val="00B21278"/>
    <w:rsid w:val="00B213CF"/>
    <w:rsid w:val="00B216DA"/>
    <w:rsid w:val="00B217C8"/>
    <w:rsid w:val="00B22290"/>
    <w:rsid w:val="00B23D34"/>
    <w:rsid w:val="00B24445"/>
    <w:rsid w:val="00B24565"/>
    <w:rsid w:val="00B24DB9"/>
    <w:rsid w:val="00B250BC"/>
    <w:rsid w:val="00B260AE"/>
    <w:rsid w:val="00B268E2"/>
    <w:rsid w:val="00B27296"/>
    <w:rsid w:val="00B27861"/>
    <w:rsid w:val="00B31603"/>
    <w:rsid w:val="00B31C7D"/>
    <w:rsid w:val="00B323A3"/>
    <w:rsid w:val="00B33316"/>
    <w:rsid w:val="00B35F7B"/>
    <w:rsid w:val="00B37A6F"/>
    <w:rsid w:val="00B412BB"/>
    <w:rsid w:val="00B417CF"/>
    <w:rsid w:val="00B4187F"/>
    <w:rsid w:val="00B42AEC"/>
    <w:rsid w:val="00B42DE0"/>
    <w:rsid w:val="00B4400A"/>
    <w:rsid w:val="00B44E1C"/>
    <w:rsid w:val="00B45515"/>
    <w:rsid w:val="00B4555F"/>
    <w:rsid w:val="00B46738"/>
    <w:rsid w:val="00B47A44"/>
    <w:rsid w:val="00B500A1"/>
    <w:rsid w:val="00B501BA"/>
    <w:rsid w:val="00B51226"/>
    <w:rsid w:val="00B5322F"/>
    <w:rsid w:val="00B534C9"/>
    <w:rsid w:val="00B539B7"/>
    <w:rsid w:val="00B54B22"/>
    <w:rsid w:val="00B54E8E"/>
    <w:rsid w:val="00B563DD"/>
    <w:rsid w:val="00B56C74"/>
    <w:rsid w:val="00B57DD2"/>
    <w:rsid w:val="00B601C7"/>
    <w:rsid w:val="00B602BD"/>
    <w:rsid w:val="00B60545"/>
    <w:rsid w:val="00B6069E"/>
    <w:rsid w:val="00B60F21"/>
    <w:rsid w:val="00B620E1"/>
    <w:rsid w:val="00B6225F"/>
    <w:rsid w:val="00B62292"/>
    <w:rsid w:val="00B63124"/>
    <w:rsid w:val="00B63BD1"/>
    <w:rsid w:val="00B64A9D"/>
    <w:rsid w:val="00B64C07"/>
    <w:rsid w:val="00B6517F"/>
    <w:rsid w:val="00B65C8A"/>
    <w:rsid w:val="00B65C90"/>
    <w:rsid w:val="00B6669D"/>
    <w:rsid w:val="00B67402"/>
    <w:rsid w:val="00B67AED"/>
    <w:rsid w:val="00B712F6"/>
    <w:rsid w:val="00B714D5"/>
    <w:rsid w:val="00B71A28"/>
    <w:rsid w:val="00B72951"/>
    <w:rsid w:val="00B72A8E"/>
    <w:rsid w:val="00B72E51"/>
    <w:rsid w:val="00B74031"/>
    <w:rsid w:val="00B74C6E"/>
    <w:rsid w:val="00B755FD"/>
    <w:rsid w:val="00B75B70"/>
    <w:rsid w:val="00B76E30"/>
    <w:rsid w:val="00B7742E"/>
    <w:rsid w:val="00B7798C"/>
    <w:rsid w:val="00B80F3D"/>
    <w:rsid w:val="00B81CD0"/>
    <w:rsid w:val="00B82679"/>
    <w:rsid w:val="00B84700"/>
    <w:rsid w:val="00B850DA"/>
    <w:rsid w:val="00B857B4"/>
    <w:rsid w:val="00B85C56"/>
    <w:rsid w:val="00B85E01"/>
    <w:rsid w:val="00B8618F"/>
    <w:rsid w:val="00B8667A"/>
    <w:rsid w:val="00B87BCA"/>
    <w:rsid w:val="00B90177"/>
    <w:rsid w:val="00B90990"/>
    <w:rsid w:val="00B90CAA"/>
    <w:rsid w:val="00B910E2"/>
    <w:rsid w:val="00B91E42"/>
    <w:rsid w:val="00B923BC"/>
    <w:rsid w:val="00B92AFF"/>
    <w:rsid w:val="00B93573"/>
    <w:rsid w:val="00B937B0"/>
    <w:rsid w:val="00B938D8"/>
    <w:rsid w:val="00B93B3C"/>
    <w:rsid w:val="00B9697D"/>
    <w:rsid w:val="00B97AB4"/>
    <w:rsid w:val="00B97DA4"/>
    <w:rsid w:val="00BA185A"/>
    <w:rsid w:val="00BA199C"/>
    <w:rsid w:val="00BA2A9F"/>
    <w:rsid w:val="00BA2C87"/>
    <w:rsid w:val="00BA3FA8"/>
    <w:rsid w:val="00BA631E"/>
    <w:rsid w:val="00BA635E"/>
    <w:rsid w:val="00BA6ABC"/>
    <w:rsid w:val="00BA6E43"/>
    <w:rsid w:val="00BA6EEB"/>
    <w:rsid w:val="00BB0A07"/>
    <w:rsid w:val="00BB0EFB"/>
    <w:rsid w:val="00BB17F8"/>
    <w:rsid w:val="00BB1B44"/>
    <w:rsid w:val="00BB291D"/>
    <w:rsid w:val="00BB32CE"/>
    <w:rsid w:val="00BB3520"/>
    <w:rsid w:val="00BB62F5"/>
    <w:rsid w:val="00BB7DDC"/>
    <w:rsid w:val="00BC0AF8"/>
    <w:rsid w:val="00BC16F4"/>
    <w:rsid w:val="00BC2391"/>
    <w:rsid w:val="00BC3837"/>
    <w:rsid w:val="00BC4AE5"/>
    <w:rsid w:val="00BC4F4F"/>
    <w:rsid w:val="00BC6AAA"/>
    <w:rsid w:val="00BC6BFE"/>
    <w:rsid w:val="00BC6DDB"/>
    <w:rsid w:val="00BD0D31"/>
    <w:rsid w:val="00BD0F6C"/>
    <w:rsid w:val="00BD2300"/>
    <w:rsid w:val="00BD246B"/>
    <w:rsid w:val="00BD2DE2"/>
    <w:rsid w:val="00BD2EB9"/>
    <w:rsid w:val="00BD371B"/>
    <w:rsid w:val="00BD4414"/>
    <w:rsid w:val="00BD496E"/>
    <w:rsid w:val="00BD597E"/>
    <w:rsid w:val="00BD6A46"/>
    <w:rsid w:val="00BE0A1C"/>
    <w:rsid w:val="00BE0F3B"/>
    <w:rsid w:val="00BE14E7"/>
    <w:rsid w:val="00BE21DA"/>
    <w:rsid w:val="00BE3A64"/>
    <w:rsid w:val="00BE3F52"/>
    <w:rsid w:val="00BE5DEA"/>
    <w:rsid w:val="00BE6422"/>
    <w:rsid w:val="00BE6705"/>
    <w:rsid w:val="00BE753A"/>
    <w:rsid w:val="00BE7818"/>
    <w:rsid w:val="00BE7F9F"/>
    <w:rsid w:val="00BF018F"/>
    <w:rsid w:val="00BF0ED4"/>
    <w:rsid w:val="00BF1C34"/>
    <w:rsid w:val="00BF1C5B"/>
    <w:rsid w:val="00BF1C9D"/>
    <w:rsid w:val="00BF43DB"/>
    <w:rsid w:val="00BF52B5"/>
    <w:rsid w:val="00BF61D5"/>
    <w:rsid w:val="00BF6D3C"/>
    <w:rsid w:val="00BF6EA1"/>
    <w:rsid w:val="00BF78D0"/>
    <w:rsid w:val="00C002F5"/>
    <w:rsid w:val="00C028A0"/>
    <w:rsid w:val="00C032A3"/>
    <w:rsid w:val="00C041DB"/>
    <w:rsid w:val="00C04BBC"/>
    <w:rsid w:val="00C04E5F"/>
    <w:rsid w:val="00C04FA7"/>
    <w:rsid w:val="00C05E3B"/>
    <w:rsid w:val="00C06588"/>
    <w:rsid w:val="00C066D2"/>
    <w:rsid w:val="00C06FA9"/>
    <w:rsid w:val="00C10432"/>
    <w:rsid w:val="00C109B1"/>
    <w:rsid w:val="00C13158"/>
    <w:rsid w:val="00C135FF"/>
    <w:rsid w:val="00C14400"/>
    <w:rsid w:val="00C148CC"/>
    <w:rsid w:val="00C14BF6"/>
    <w:rsid w:val="00C16BD3"/>
    <w:rsid w:val="00C20C39"/>
    <w:rsid w:val="00C20F4C"/>
    <w:rsid w:val="00C2123D"/>
    <w:rsid w:val="00C2149B"/>
    <w:rsid w:val="00C2188B"/>
    <w:rsid w:val="00C224E1"/>
    <w:rsid w:val="00C22757"/>
    <w:rsid w:val="00C232E9"/>
    <w:rsid w:val="00C233D6"/>
    <w:rsid w:val="00C23E8F"/>
    <w:rsid w:val="00C243C6"/>
    <w:rsid w:val="00C2502E"/>
    <w:rsid w:val="00C2526E"/>
    <w:rsid w:val="00C260B0"/>
    <w:rsid w:val="00C264DA"/>
    <w:rsid w:val="00C26C12"/>
    <w:rsid w:val="00C2792C"/>
    <w:rsid w:val="00C31385"/>
    <w:rsid w:val="00C326C4"/>
    <w:rsid w:val="00C32948"/>
    <w:rsid w:val="00C32958"/>
    <w:rsid w:val="00C32BE6"/>
    <w:rsid w:val="00C330D0"/>
    <w:rsid w:val="00C33903"/>
    <w:rsid w:val="00C34DDA"/>
    <w:rsid w:val="00C34FE1"/>
    <w:rsid w:val="00C35805"/>
    <w:rsid w:val="00C35FC9"/>
    <w:rsid w:val="00C36178"/>
    <w:rsid w:val="00C36C8A"/>
    <w:rsid w:val="00C41CC9"/>
    <w:rsid w:val="00C42074"/>
    <w:rsid w:val="00C422B3"/>
    <w:rsid w:val="00C43ECF"/>
    <w:rsid w:val="00C44AE1"/>
    <w:rsid w:val="00C44F54"/>
    <w:rsid w:val="00C461EE"/>
    <w:rsid w:val="00C507FC"/>
    <w:rsid w:val="00C5106B"/>
    <w:rsid w:val="00C51864"/>
    <w:rsid w:val="00C51B53"/>
    <w:rsid w:val="00C5226F"/>
    <w:rsid w:val="00C52757"/>
    <w:rsid w:val="00C52F3F"/>
    <w:rsid w:val="00C5347F"/>
    <w:rsid w:val="00C5379C"/>
    <w:rsid w:val="00C53F0D"/>
    <w:rsid w:val="00C54950"/>
    <w:rsid w:val="00C55823"/>
    <w:rsid w:val="00C56C28"/>
    <w:rsid w:val="00C6158A"/>
    <w:rsid w:val="00C6209F"/>
    <w:rsid w:val="00C632AC"/>
    <w:rsid w:val="00C640C6"/>
    <w:rsid w:val="00C6414C"/>
    <w:rsid w:val="00C64240"/>
    <w:rsid w:val="00C66051"/>
    <w:rsid w:val="00C66704"/>
    <w:rsid w:val="00C6697B"/>
    <w:rsid w:val="00C66D51"/>
    <w:rsid w:val="00C67344"/>
    <w:rsid w:val="00C6756B"/>
    <w:rsid w:val="00C700F0"/>
    <w:rsid w:val="00C72787"/>
    <w:rsid w:val="00C73C98"/>
    <w:rsid w:val="00C74127"/>
    <w:rsid w:val="00C74811"/>
    <w:rsid w:val="00C75523"/>
    <w:rsid w:val="00C756FE"/>
    <w:rsid w:val="00C7575D"/>
    <w:rsid w:val="00C7578B"/>
    <w:rsid w:val="00C75883"/>
    <w:rsid w:val="00C76535"/>
    <w:rsid w:val="00C76724"/>
    <w:rsid w:val="00C76781"/>
    <w:rsid w:val="00C7688B"/>
    <w:rsid w:val="00C76A50"/>
    <w:rsid w:val="00C76CBF"/>
    <w:rsid w:val="00C8071E"/>
    <w:rsid w:val="00C80B7A"/>
    <w:rsid w:val="00C81538"/>
    <w:rsid w:val="00C83292"/>
    <w:rsid w:val="00C84298"/>
    <w:rsid w:val="00C8564A"/>
    <w:rsid w:val="00C9091A"/>
    <w:rsid w:val="00C90D5D"/>
    <w:rsid w:val="00C911CA"/>
    <w:rsid w:val="00C9266A"/>
    <w:rsid w:val="00C927F1"/>
    <w:rsid w:val="00C92EBE"/>
    <w:rsid w:val="00C95536"/>
    <w:rsid w:val="00C95B72"/>
    <w:rsid w:val="00C95B77"/>
    <w:rsid w:val="00C95EDD"/>
    <w:rsid w:val="00C964BD"/>
    <w:rsid w:val="00C966AE"/>
    <w:rsid w:val="00C96B05"/>
    <w:rsid w:val="00C96EC5"/>
    <w:rsid w:val="00C9769C"/>
    <w:rsid w:val="00C976ED"/>
    <w:rsid w:val="00C97D8E"/>
    <w:rsid w:val="00CA01D8"/>
    <w:rsid w:val="00CA0512"/>
    <w:rsid w:val="00CA101F"/>
    <w:rsid w:val="00CA2553"/>
    <w:rsid w:val="00CA3154"/>
    <w:rsid w:val="00CA3AA7"/>
    <w:rsid w:val="00CA3C5E"/>
    <w:rsid w:val="00CA527F"/>
    <w:rsid w:val="00CA5820"/>
    <w:rsid w:val="00CA71F7"/>
    <w:rsid w:val="00CB1606"/>
    <w:rsid w:val="00CB21F2"/>
    <w:rsid w:val="00CB27DE"/>
    <w:rsid w:val="00CB3467"/>
    <w:rsid w:val="00CB390F"/>
    <w:rsid w:val="00CB419C"/>
    <w:rsid w:val="00CB419E"/>
    <w:rsid w:val="00CB4887"/>
    <w:rsid w:val="00CB64DB"/>
    <w:rsid w:val="00CB65A3"/>
    <w:rsid w:val="00CB7134"/>
    <w:rsid w:val="00CC03F9"/>
    <w:rsid w:val="00CC0466"/>
    <w:rsid w:val="00CC04CB"/>
    <w:rsid w:val="00CC12F4"/>
    <w:rsid w:val="00CC1A87"/>
    <w:rsid w:val="00CC1E7B"/>
    <w:rsid w:val="00CC2954"/>
    <w:rsid w:val="00CC2A3F"/>
    <w:rsid w:val="00CC2BEC"/>
    <w:rsid w:val="00CC2E79"/>
    <w:rsid w:val="00CC4B14"/>
    <w:rsid w:val="00CC5E5F"/>
    <w:rsid w:val="00CC6A5D"/>
    <w:rsid w:val="00CC6B0F"/>
    <w:rsid w:val="00CD020C"/>
    <w:rsid w:val="00CD120B"/>
    <w:rsid w:val="00CD1BF5"/>
    <w:rsid w:val="00CD2679"/>
    <w:rsid w:val="00CD3F81"/>
    <w:rsid w:val="00CD5796"/>
    <w:rsid w:val="00CD5806"/>
    <w:rsid w:val="00CD5C5B"/>
    <w:rsid w:val="00CD5DAD"/>
    <w:rsid w:val="00CD5E65"/>
    <w:rsid w:val="00CD620B"/>
    <w:rsid w:val="00CD6878"/>
    <w:rsid w:val="00CD6BF6"/>
    <w:rsid w:val="00CD6DE6"/>
    <w:rsid w:val="00CD7CE2"/>
    <w:rsid w:val="00CE1B1F"/>
    <w:rsid w:val="00CE3965"/>
    <w:rsid w:val="00CE3D3F"/>
    <w:rsid w:val="00CE5159"/>
    <w:rsid w:val="00CE7078"/>
    <w:rsid w:val="00CE73AE"/>
    <w:rsid w:val="00CE7E1E"/>
    <w:rsid w:val="00CE7F5B"/>
    <w:rsid w:val="00CF0247"/>
    <w:rsid w:val="00CF035E"/>
    <w:rsid w:val="00CF0E2F"/>
    <w:rsid w:val="00CF156A"/>
    <w:rsid w:val="00CF1D71"/>
    <w:rsid w:val="00CF44F3"/>
    <w:rsid w:val="00CF513E"/>
    <w:rsid w:val="00CF52FA"/>
    <w:rsid w:val="00CF5368"/>
    <w:rsid w:val="00CF5F66"/>
    <w:rsid w:val="00CF5FFB"/>
    <w:rsid w:val="00CF7D7B"/>
    <w:rsid w:val="00D00076"/>
    <w:rsid w:val="00D008F3"/>
    <w:rsid w:val="00D013EB"/>
    <w:rsid w:val="00D0167A"/>
    <w:rsid w:val="00D01B02"/>
    <w:rsid w:val="00D01D21"/>
    <w:rsid w:val="00D020BC"/>
    <w:rsid w:val="00D02391"/>
    <w:rsid w:val="00D02C31"/>
    <w:rsid w:val="00D0380C"/>
    <w:rsid w:val="00D04727"/>
    <w:rsid w:val="00D05933"/>
    <w:rsid w:val="00D05A40"/>
    <w:rsid w:val="00D05A8B"/>
    <w:rsid w:val="00D06165"/>
    <w:rsid w:val="00D071C4"/>
    <w:rsid w:val="00D07E67"/>
    <w:rsid w:val="00D108BA"/>
    <w:rsid w:val="00D10B84"/>
    <w:rsid w:val="00D11626"/>
    <w:rsid w:val="00D124ED"/>
    <w:rsid w:val="00D13142"/>
    <w:rsid w:val="00D13388"/>
    <w:rsid w:val="00D137F0"/>
    <w:rsid w:val="00D144C1"/>
    <w:rsid w:val="00D14EDB"/>
    <w:rsid w:val="00D1527C"/>
    <w:rsid w:val="00D1539A"/>
    <w:rsid w:val="00D16CF5"/>
    <w:rsid w:val="00D20764"/>
    <w:rsid w:val="00D20D2F"/>
    <w:rsid w:val="00D21EBC"/>
    <w:rsid w:val="00D22A48"/>
    <w:rsid w:val="00D22A97"/>
    <w:rsid w:val="00D239F1"/>
    <w:rsid w:val="00D23DAD"/>
    <w:rsid w:val="00D24167"/>
    <w:rsid w:val="00D2476C"/>
    <w:rsid w:val="00D301EF"/>
    <w:rsid w:val="00D308B1"/>
    <w:rsid w:val="00D30C4E"/>
    <w:rsid w:val="00D31050"/>
    <w:rsid w:val="00D320B3"/>
    <w:rsid w:val="00D324B4"/>
    <w:rsid w:val="00D334D5"/>
    <w:rsid w:val="00D33D95"/>
    <w:rsid w:val="00D34902"/>
    <w:rsid w:val="00D355D4"/>
    <w:rsid w:val="00D35F65"/>
    <w:rsid w:val="00D3721E"/>
    <w:rsid w:val="00D373EC"/>
    <w:rsid w:val="00D4033D"/>
    <w:rsid w:val="00D40E8E"/>
    <w:rsid w:val="00D41169"/>
    <w:rsid w:val="00D43063"/>
    <w:rsid w:val="00D43EA4"/>
    <w:rsid w:val="00D4452D"/>
    <w:rsid w:val="00D44CD4"/>
    <w:rsid w:val="00D45191"/>
    <w:rsid w:val="00D45417"/>
    <w:rsid w:val="00D4579B"/>
    <w:rsid w:val="00D45D1B"/>
    <w:rsid w:val="00D469BA"/>
    <w:rsid w:val="00D47F6F"/>
    <w:rsid w:val="00D5033D"/>
    <w:rsid w:val="00D513E4"/>
    <w:rsid w:val="00D5142C"/>
    <w:rsid w:val="00D517A2"/>
    <w:rsid w:val="00D525F0"/>
    <w:rsid w:val="00D53012"/>
    <w:rsid w:val="00D53B96"/>
    <w:rsid w:val="00D55C5F"/>
    <w:rsid w:val="00D56021"/>
    <w:rsid w:val="00D568D5"/>
    <w:rsid w:val="00D5796F"/>
    <w:rsid w:val="00D57E8A"/>
    <w:rsid w:val="00D6051C"/>
    <w:rsid w:val="00D620F5"/>
    <w:rsid w:val="00D62471"/>
    <w:rsid w:val="00D64B22"/>
    <w:rsid w:val="00D6629E"/>
    <w:rsid w:val="00D67455"/>
    <w:rsid w:val="00D70780"/>
    <w:rsid w:val="00D709CF"/>
    <w:rsid w:val="00D70EA7"/>
    <w:rsid w:val="00D715CE"/>
    <w:rsid w:val="00D71E49"/>
    <w:rsid w:val="00D724DE"/>
    <w:rsid w:val="00D72BCE"/>
    <w:rsid w:val="00D73172"/>
    <w:rsid w:val="00D73791"/>
    <w:rsid w:val="00D7442C"/>
    <w:rsid w:val="00D74851"/>
    <w:rsid w:val="00D74FE2"/>
    <w:rsid w:val="00D75D8E"/>
    <w:rsid w:val="00D76164"/>
    <w:rsid w:val="00D76DD3"/>
    <w:rsid w:val="00D770AB"/>
    <w:rsid w:val="00D77430"/>
    <w:rsid w:val="00D77F5B"/>
    <w:rsid w:val="00D80408"/>
    <w:rsid w:val="00D80D81"/>
    <w:rsid w:val="00D80E24"/>
    <w:rsid w:val="00D821CC"/>
    <w:rsid w:val="00D83AB2"/>
    <w:rsid w:val="00D83F9A"/>
    <w:rsid w:val="00D8503E"/>
    <w:rsid w:val="00D85884"/>
    <w:rsid w:val="00D86548"/>
    <w:rsid w:val="00D87343"/>
    <w:rsid w:val="00D9194B"/>
    <w:rsid w:val="00D92D05"/>
    <w:rsid w:val="00D9300C"/>
    <w:rsid w:val="00D93DB6"/>
    <w:rsid w:val="00D943F9"/>
    <w:rsid w:val="00D947CE"/>
    <w:rsid w:val="00D95725"/>
    <w:rsid w:val="00D97AB1"/>
    <w:rsid w:val="00DA051E"/>
    <w:rsid w:val="00DA0D3F"/>
    <w:rsid w:val="00DA1331"/>
    <w:rsid w:val="00DA1D04"/>
    <w:rsid w:val="00DA20A8"/>
    <w:rsid w:val="00DA2ABB"/>
    <w:rsid w:val="00DA4EC2"/>
    <w:rsid w:val="00DA5818"/>
    <w:rsid w:val="00DA616B"/>
    <w:rsid w:val="00DA7A35"/>
    <w:rsid w:val="00DB0C60"/>
    <w:rsid w:val="00DB0E69"/>
    <w:rsid w:val="00DB134B"/>
    <w:rsid w:val="00DB15A3"/>
    <w:rsid w:val="00DB31AC"/>
    <w:rsid w:val="00DB39D6"/>
    <w:rsid w:val="00DB68B5"/>
    <w:rsid w:val="00DB6EEC"/>
    <w:rsid w:val="00DB7C14"/>
    <w:rsid w:val="00DC11D9"/>
    <w:rsid w:val="00DC13FF"/>
    <w:rsid w:val="00DC1595"/>
    <w:rsid w:val="00DC2DDD"/>
    <w:rsid w:val="00DC3CD3"/>
    <w:rsid w:val="00DC56B7"/>
    <w:rsid w:val="00DC5C88"/>
    <w:rsid w:val="00DC652E"/>
    <w:rsid w:val="00DC6706"/>
    <w:rsid w:val="00DC6BF6"/>
    <w:rsid w:val="00DC6D2C"/>
    <w:rsid w:val="00DC70B0"/>
    <w:rsid w:val="00DC71F1"/>
    <w:rsid w:val="00DC7615"/>
    <w:rsid w:val="00DC77E3"/>
    <w:rsid w:val="00DD0E47"/>
    <w:rsid w:val="00DD253F"/>
    <w:rsid w:val="00DD264B"/>
    <w:rsid w:val="00DD28F7"/>
    <w:rsid w:val="00DD3A03"/>
    <w:rsid w:val="00DD3C06"/>
    <w:rsid w:val="00DD4D8F"/>
    <w:rsid w:val="00DD4E92"/>
    <w:rsid w:val="00DD556C"/>
    <w:rsid w:val="00DD5A1C"/>
    <w:rsid w:val="00DE0199"/>
    <w:rsid w:val="00DE1217"/>
    <w:rsid w:val="00DE1540"/>
    <w:rsid w:val="00DE2B33"/>
    <w:rsid w:val="00DE2C85"/>
    <w:rsid w:val="00DE2DAB"/>
    <w:rsid w:val="00DE31D5"/>
    <w:rsid w:val="00DE351A"/>
    <w:rsid w:val="00DE400C"/>
    <w:rsid w:val="00DE44CA"/>
    <w:rsid w:val="00DE48D8"/>
    <w:rsid w:val="00DE4B97"/>
    <w:rsid w:val="00DE4E5C"/>
    <w:rsid w:val="00DE6A3A"/>
    <w:rsid w:val="00DE6D52"/>
    <w:rsid w:val="00DE6D93"/>
    <w:rsid w:val="00DE794C"/>
    <w:rsid w:val="00DE7B78"/>
    <w:rsid w:val="00DF03EE"/>
    <w:rsid w:val="00DF1DEF"/>
    <w:rsid w:val="00DF2145"/>
    <w:rsid w:val="00DF2DBB"/>
    <w:rsid w:val="00DF3980"/>
    <w:rsid w:val="00DF4CAD"/>
    <w:rsid w:val="00DF5147"/>
    <w:rsid w:val="00DF526F"/>
    <w:rsid w:val="00DF573B"/>
    <w:rsid w:val="00DF5E44"/>
    <w:rsid w:val="00DF5EA6"/>
    <w:rsid w:val="00DF5F6A"/>
    <w:rsid w:val="00DF607B"/>
    <w:rsid w:val="00DF63BD"/>
    <w:rsid w:val="00DF63D7"/>
    <w:rsid w:val="00DF65B7"/>
    <w:rsid w:val="00DF7DD1"/>
    <w:rsid w:val="00E008E4"/>
    <w:rsid w:val="00E011F1"/>
    <w:rsid w:val="00E014C7"/>
    <w:rsid w:val="00E026C9"/>
    <w:rsid w:val="00E02B0A"/>
    <w:rsid w:val="00E04816"/>
    <w:rsid w:val="00E051B6"/>
    <w:rsid w:val="00E059FF"/>
    <w:rsid w:val="00E0653F"/>
    <w:rsid w:val="00E06815"/>
    <w:rsid w:val="00E06EC8"/>
    <w:rsid w:val="00E07EAD"/>
    <w:rsid w:val="00E10686"/>
    <w:rsid w:val="00E12053"/>
    <w:rsid w:val="00E125BD"/>
    <w:rsid w:val="00E13127"/>
    <w:rsid w:val="00E13904"/>
    <w:rsid w:val="00E13D8E"/>
    <w:rsid w:val="00E1461D"/>
    <w:rsid w:val="00E1618E"/>
    <w:rsid w:val="00E16208"/>
    <w:rsid w:val="00E17079"/>
    <w:rsid w:val="00E1771F"/>
    <w:rsid w:val="00E17F41"/>
    <w:rsid w:val="00E20818"/>
    <w:rsid w:val="00E2131E"/>
    <w:rsid w:val="00E215B2"/>
    <w:rsid w:val="00E21CD2"/>
    <w:rsid w:val="00E21DBF"/>
    <w:rsid w:val="00E21EF8"/>
    <w:rsid w:val="00E21F18"/>
    <w:rsid w:val="00E228EE"/>
    <w:rsid w:val="00E23E5D"/>
    <w:rsid w:val="00E24ECC"/>
    <w:rsid w:val="00E257DC"/>
    <w:rsid w:val="00E2604F"/>
    <w:rsid w:val="00E266A4"/>
    <w:rsid w:val="00E270CA"/>
    <w:rsid w:val="00E3014B"/>
    <w:rsid w:val="00E310A8"/>
    <w:rsid w:val="00E317C7"/>
    <w:rsid w:val="00E3310C"/>
    <w:rsid w:val="00E334B6"/>
    <w:rsid w:val="00E334F8"/>
    <w:rsid w:val="00E3418E"/>
    <w:rsid w:val="00E34564"/>
    <w:rsid w:val="00E360D0"/>
    <w:rsid w:val="00E369C6"/>
    <w:rsid w:val="00E36B16"/>
    <w:rsid w:val="00E371E8"/>
    <w:rsid w:val="00E373DC"/>
    <w:rsid w:val="00E37422"/>
    <w:rsid w:val="00E41472"/>
    <w:rsid w:val="00E4179B"/>
    <w:rsid w:val="00E433AA"/>
    <w:rsid w:val="00E4498E"/>
    <w:rsid w:val="00E453A8"/>
    <w:rsid w:val="00E46089"/>
    <w:rsid w:val="00E4616E"/>
    <w:rsid w:val="00E47269"/>
    <w:rsid w:val="00E47B07"/>
    <w:rsid w:val="00E5123E"/>
    <w:rsid w:val="00E51DC1"/>
    <w:rsid w:val="00E51F87"/>
    <w:rsid w:val="00E52C98"/>
    <w:rsid w:val="00E533AC"/>
    <w:rsid w:val="00E54334"/>
    <w:rsid w:val="00E5597F"/>
    <w:rsid w:val="00E57ED3"/>
    <w:rsid w:val="00E62083"/>
    <w:rsid w:val="00E62BAE"/>
    <w:rsid w:val="00E62CD3"/>
    <w:rsid w:val="00E63387"/>
    <w:rsid w:val="00E64605"/>
    <w:rsid w:val="00E667AC"/>
    <w:rsid w:val="00E66A5F"/>
    <w:rsid w:val="00E671A8"/>
    <w:rsid w:val="00E673C8"/>
    <w:rsid w:val="00E6741D"/>
    <w:rsid w:val="00E67B25"/>
    <w:rsid w:val="00E716E9"/>
    <w:rsid w:val="00E72776"/>
    <w:rsid w:val="00E72936"/>
    <w:rsid w:val="00E72D4B"/>
    <w:rsid w:val="00E72DF1"/>
    <w:rsid w:val="00E736D3"/>
    <w:rsid w:val="00E741E8"/>
    <w:rsid w:val="00E74B32"/>
    <w:rsid w:val="00E752FB"/>
    <w:rsid w:val="00E759BC"/>
    <w:rsid w:val="00E767EB"/>
    <w:rsid w:val="00E76CF1"/>
    <w:rsid w:val="00E77772"/>
    <w:rsid w:val="00E8072D"/>
    <w:rsid w:val="00E8086E"/>
    <w:rsid w:val="00E82E15"/>
    <w:rsid w:val="00E834BA"/>
    <w:rsid w:val="00E83857"/>
    <w:rsid w:val="00E84CAD"/>
    <w:rsid w:val="00E85990"/>
    <w:rsid w:val="00E8614E"/>
    <w:rsid w:val="00E8742B"/>
    <w:rsid w:val="00E877EC"/>
    <w:rsid w:val="00E87CA9"/>
    <w:rsid w:val="00E9126B"/>
    <w:rsid w:val="00E9181A"/>
    <w:rsid w:val="00E91E7B"/>
    <w:rsid w:val="00E935CC"/>
    <w:rsid w:val="00E93CF0"/>
    <w:rsid w:val="00E94616"/>
    <w:rsid w:val="00E9599A"/>
    <w:rsid w:val="00E96023"/>
    <w:rsid w:val="00E96A1D"/>
    <w:rsid w:val="00E971C4"/>
    <w:rsid w:val="00EA071A"/>
    <w:rsid w:val="00EA1199"/>
    <w:rsid w:val="00EA1274"/>
    <w:rsid w:val="00EA16AA"/>
    <w:rsid w:val="00EA2327"/>
    <w:rsid w:val="00EA2507"/>
    <w:rsid w:val="00EA2782"/>
    <w:rsid w:val="00EA2BF1"/>
    <w:rsid w:val="00EA33E8"/>
    <w:rsid w:val="00EA34D2"/>
    <w:rsid w:val="00EA4967"/>
    <w:rsid w:val="00EA4DBB"/>
    <w:rsid w:val="00EA56DD"/>
    <w:rsid w:val="00EA599E"/>
    <w:rsid w:val="00EA61A7"/>
    <w:rsid w:val="00EA665C"/>
    <w:rsid w:val="00EA680B"/>
    <w:rsid w:val="00EA69E3"/>
    <w:rsid w:val="00EA6B2E"/>
    <w:rsid w:val="00EA6C37"/>
    <w:rsid w:val="00EA6FAC"/>
    <w:rsid w:val="00EA7F08"/>
    <w:rsid w:val="00EB26A9"/>
    <w:rsid w:val="00EB299F"/>
    <w:rsid w:val="00EB3C29"/>
    <w:rsid w:val="00EB3E24"/>
    <w:rsid w:val="00EB420E"/>
    <w:rsid w:val="00EB4624"/>
    <w:rsid w:val="00EB5B63"/>
    <w:rsid w:val="00EB6321"/>
    <w:rsid w:val="00EB673C"/>
    <w:rsid w:val="00EB6B08"/>
    <w:rsid w:val="00EB6F49"/>
    <w:rsid w:val="00EB7B69"/>
    <w:rsid w:val="00EC027D"/>
    <w:rsid w:val="00EC033E"/>
    <w:rsid w:val="00EC0AD5"/>
    <w:rsid w:val="00EC0D2F"/>
    <w:rsid w:val="00EC0F4E"/>
    <w:rsid w:val="00EC0FAF"/>
    <w:rsid w:val="00EC311D"/>
    <w:rsid w:val="00EC38D6"/>
    <w:rsid w:val="00EC3AEF"/>
    <w:rsid w:val="00EC4772"/>
    <w:rsid w:val="00EC4C96"/>
    <w:rsid w:val="00EC51AF"/>
    <w:rsid w:val="00EC5B20"/>
    <w:rsid w:val="00EC6555"/>
    <w:rsid w:val="00EC6A98"/>
    <w:rsid w:val="00EC70E2"/>
    <w:rsid w:val="00EC74E0"/>
    <w:rsid w:val="00EC7B26"/>
    <w:rsid w:val="00ED062F"/>
    <w:rsid w:val="00ED0BBE"/>
    <w:rsid w:val="00ED15BB"/>
    <w:rsid w:val="00ED1A39"/>
    <w:rsid w:val="00ED1CA4"/>
    <w:rsid w:val="00ED1E5F"/>
    <w:rsid w:val="00ED31FA"/>
    <w:rsid w:val="00ED39B3"/>
    <w:rsid w:val="00ED3C4C"/>
    <w:rsid w:val="00ED421C"/>
    <w:rsid w:val="00ED563D"/>
    <w:rsid w:val="00ED5728"/>
    <w:rsid w:val="00ED7427"/>
    <w:rsid w:val="00EE10B5"/>
    <w:rsid w:val="00EE1E52"/>
    <w:rsid w:val="00EE1F13"/>
    <w:rsid w:val="00EE30FA"/>
    <w:rsid w:val="00EE33DD"/>
    <w:rsid w:val="00EE42BB"/>
    <w:rsid w:val="00EE42D2"/>
    <w:rsid w:val="00EE44CE"/>
    <w:rsid w:val="00EE48C7"/>
    <w:rsid w:val="00EE4F08"/>
    <w:rsid w:val="00EE5021"/>
    <w:rsid w:val="00EE520F"/>
    <w:rsid w:val="00EE6300"/>
    <w:rsid w:val="00EE653A"/>
    <w:rsid w:val="00EE6A91"/>
    <w:rsid w:val="00EE7495"/>
    <w:rsid w:val="00EE77F7"/>
    <w:rsid w:val="00EF0676"/>
    <w:rsid w:val="00EF0709"/>
    <w:rsid w:val="00EF0DFB"/>
    <w:rsid w:val="00EF1692"/>
    <w:rsid w:val="00EF1AFF"/>
    <w:rsid w:val="00EF2046"/>
    <w:rsid w:val="00EF254F"/>
    <w:rsid w:val="00EF41E2"/>
    <w:rsid w:val="00EF4BC1"/>
    <w:rsid w:val="00F00275"/>
    <w:rsid w:val="00F026A7"/>
    <w:rsid w:val="00F048AC"/>
    <w:rsid w:val="00F04C87"/>
    <w:rsid w:val="00F05086"/>
    <w:rsid w:val="00F0508D"/>
    <w:rsid w:val="00F06E0D"/>
    <w:rsid w:val="00F07251"/>
    <w:rsid w:val="00F1021F"/>
    <w:rsid w:val="00F1066A"/>
    <w:rsid w:val="00F12070"/>
    <w:rsid w:val="00F12416"/>
    <w:rsid w:val="00F132CC"/>
    <w:rsid w:val="00F13E67"/>
    <w:rsid w:val="00F15086"/>
    <w:rsid w:val="00F15216"/>
    <w:rsid w:val="00F152C9"/>
    <w:rsid w:val="00F15656"/>
    <w:rsid w:val="00F163A8"/>
    <w:rsid w:val="00F16769"/>
    <w:rsid w:val="00F17973"/>
    <w:rsid w:val="00F17B81"/>
    <w:rsid w:val="00F201ED"/>
    <w:rsid w:val="00F208C3"/>
    <w:rsid w:val="00F20B7A"/>
    <w:rsid w:val="00F20ECB"/>
    <w:rsid w:val="00F20F58"/>
    <w:rsid w:val="00F21064"/>
    <w:rsid w:val="00F215E9"/>
    <w:rsid w:val="00F232E2"/>
    <w:rsid w:val="00F23CAA"/>
    <w:rsid w:val="00F23FBA"/>
    <w:rsid w:val="00F24EEF"/>
    <w:rsid w:val="00F253CE"/>
    <w:rsid w:val="00F256CB"/>
    <w:rsid w:val="00F262E0"/>
    <w:rsid w:val="00F268D5"/>
    <w:rsid w:val="00F26DD5"/>
    <w:rsid w:val="00F27013"/>
    <w:rsid w:val="00F30A58"/>
    <w:rsid w:val="00F32864"/>
    <w:rsid w:val="00F32A1B"/>
    <w:rsid w:val="00F33BF6"/>
    <w:rsid w:val="00F34802"/>
    <w:rsid w:val="00F34994"/>
    <w:rsid w:val="00F35907"/>
    <w:rsid w:val="00F361C6"/>
    <w:rsid w:val="00F370E2"/>
    <w:rsid w:val="00F40C6B"/>
    <w:rsid w:val="00F4197F"/>
    <w:rsid w:val="00F41D19"/>
    <w:rsid w:val="00F42B6F"/>
    <w:rsid w:val="00F42C90"/>
    <w:rsid w:val="00F432CB"/>
    <w:rsid w:val="00F43C7F"/>
    <w:rsid w:val="00F43E58"/>
    <w:rsid w:val="00F44C56"/>
    <w:rsid w:val="00F450E3"/>
    <w:rsid w:val="00F4741E"/>
    <w:rsid w:val="00F47479"/>
    <w:rsid w:val="00F47952"/>
    <w:rsid w:val="00F50AD2"/>
    <w:rsid w:val="00F51242"/>
    <w:rsid w:val="00F5176B"/>
    <w:rsid w:val="00F51DC0"/>
    <w:rsid w:val="00F52F2E"/>
    <w:rsid w:val="00F53385"/>
    <w:rsid w:val="00F54D90"/>
    <w:rsid w:val="00F55684"/>
    <w:rsid w:val="00F5587A"/>
    <w:rsid w:val="00F5620C"/>
    <w:rsid w:val="00F60C36"/>
    <w:rsid w:val="00F60E2A"/>
    <w:rsid w:val="00F60EB5"/>
    <w:rsid w:val="00F618AA"/>
    <w:rsid w:val="00F61C3E"/>
    <w:rsid w:val="00F62E4D"/>
    <w:rsid w:val="00F63041"/>
    <w:rsid w:val="00F6369C"/>
    <w:rsid w:val="00F64B9F"/>
    <w:rsid w:val="00F65150"/>
    <w:rsid w:val="00F652DE"/>
    <w:rsid w:val="00F65EB1"/>
    <w:rsid w:val="00F65F28"/>
    <w:rsid w:val="00F67B7F"/>
    <w:rsid w:val="00F67BB4"/>
    <w:rsid w:val="00F70249"/>
    <w:rsid w:val="00F713FC"/>
    <w:rsid w:val="00F71576"/>
    <w:rsid w:val="00F72395"/>
    <w:rsid w:val="00F73A03"/>
    <w:rsid w:val="00F73C92"/>
    <w:rsid w:val="00F744B0"/>
    <w:rsid w:val="00F74EAE"/>
    <w:rsid w:val="00F76546"/>
    <w:rsid w:val="00F76D13"/>
    <w:rsid w:val="00F770DC"/>
    <w:rsid w:val="00F7742D"/>
    <w:rsid w:val="00F80EE2"/>
    <w:rsid w:val="00F813F6"/>
    <w:rsid w:val="00F8148F"/>
    <w:rsid w:val="00F81D34"/>
    <w:rsid w:val="00F833AF"/>
    <w:rsid w:val="00F84FB2"/>
    <w:rsid w:val="00F85C88"/>
    <w:rsid w:val="00F85E76"/>
    <w:rsid w:val="00F8664C"/>
    <w:rsid w:val="00F86660"/>
    <w:rsid w:val="00F874C4"/>
    <w:rsid w:val="00F875C9"/>
    <w:rsid w:val="00F90790"/>
    <w:rsid w:val="00F90CAC"/>
    <w:rsid w:val="00F9157E"/>
    <w:rsid w:val="00F91BF3"/>
    <w:rsid w:val="00F91EDA"/>
    <w:rsid w:val="00F92B4A"/>
    <w:rsid w:val="00F92C9E"/>
    <w:rsid w:val="00F94E8E"/>
    <w:rsid w:val="00F96148"/>
    <w:rsid w:val="00F96A06"/>
    <w:rsid w:val="00F96E20"/>
    <w:rsid w:val="00F972C0"/>
    <w:rsid w:val="00F97DF8"/>
    <w:rsid w:val="00FA03D2"/>
    <w:rsid w:val="00FA0B0B"/>
    <w:rsid w:val="00FA0D8B"/>
    <w:rsid w:val="00FA1A05"/>
    <w:rsid w:val="00FA2C80"/>
    <w:rsid w:val="00FA3B5D"/>
    <w:rsid w:val="00FA437B"/>
    <w:rsid w:val="00FA4E24"/>
    <w:rsid w:val="00FA7006"/>
    <w:rsid w:val="00FA725F"/>
    <w:rsid w:val="00FA7F35"/>
    <w:rsid w:val="00FB0533"/>
    <w:rsid w:val="00FB09C0"/>
    <w:rsid w:val="00FB1F18"/>
    <w:rsid w:val="00FB21B4"/>
    <w:rsid w:val="00FB27B8"/>
    <w:rsid w:val="00FB2E99"/>
    <w:rsid w:val="00FB3254"/>
    <w:rsid w:val="00FB3A23"/>
    <w:rsid w:val="00FB5224"/>
    <w:rsid w:val="00FB5D9B"/>
    <w:rsid w:val="00FB7CDE"/>
    <w:rsid w:val="00FC0238"/>
    <w:rsid w:val="00FC0BED"/>
    <w:rsid w:val="00FC17EC"/>
    <w:rsid w:val="00FC18CF"/>
    <w:rsid w:val="00FC24C3"/>
    <w:rsid w:val="00FC2FC9"/>
    <w:rsid w:val="00FC320B"/>
    <w:rsid w:val="00FC3820"/>
    <w:rsid w:val="00FC3CF3"/>
    <w:rsid w:val="00FC553D"/>
    <w:rsid w:val="00FC5A1B"/>
    <w:rsid w:val="00FC6F84"/>
    <w:rsid w:val="00FD092A"/>
    <w:rsid w:val="00FD23E6"/>
    <w:rsid w:val="00FD3976"/>
    <w:rsid w:val="00FD4511"/>
    <w:rsid w:val="00FD4583"/>
    <w:rsid w:val="00FD4B5A"/>
    <w:rsid w:val="00FD4DE8"/>
    <w:rsid w:val="00FD56A8"/>
    <w:rsid w:val="00FD5AFE"/>
    <w:rsid w:val="00FD647C"/>
    <w:rsid w:val="00FD74D5"/>
    <w:rsid w:val="00FD76AE"/>
    <w:rsid w:val="00FE0000"/>
    <w:rsid w:val="00FE0BBF"/>
    <w:rsid w:val="00FE19C3"/>
    <w:rsid w:val="00FE1A46"/>
    <w:rsid w:val="00FE23AB"/>
    <w:rsid w:val="00FE2EC6"/>
    <w:rsid w:val="00FE38EC"/>
    <w:rsid w:val="00FE4073"/>
    <w:rsid w:val="00FE5F3D"/>
    <w:rsid w:val="00FE6598"/>
    <w:rsid w:val="00FF113A"/>
    <w:rsid w:val="00FF118C"/>
    <w:rsid w:val="00FF1A6D"/>
    <w:rsid w:val="00FF1FC6"/>
    <w:rsid w:val="00FF24C7"/>
    <w:rsid w:val="00FF33B1"/>
    <w:rsid w:val="00FF33D5"/>
    <w:rsid w:val="00FF40BD"/>
    <w:rsid w:val="00FF4C85"/>
    <w:rsid w:val="00FF4EE7"/>
    <w:rsid w:val="00FF5B60"/>
    <w:rsid w:val="00FF5BB2"/>
    <w:rsid w:val="00FF6791"/>
    <w:rsid w:val="00FF69F0"/>
    <w:rsid w:val="00FF6A28"/>
    <w:rsid w:val="00FF6D23"/>
    <w:rsid w:val="01544AF6"/>
    <w:rsid w:val="024E2C41"/>
    <w:rsid w:val="027E16C6"/>
    <w:rsid w:val="029E4AB7"/>
    <w:rsid w:val="02AA33FE"/>
    <w:rsid w:val="03E90B85"/>
    <w:rsid w:val="046833BC"/>
    <w:rsid w:val="05BB120A"/>
    <w:rsid w:val="06DE4493"/>
    <w:rsid w:val="07355F4C"/>
    <w:rsid w:val="0762356D"/>
    <w:rsid w:val="077941D5"/>
    <w:rsid w:val="081163BF"/>
    <w:rsid w:val="088213FB"/>
    <w:rsid w:val="08900DB6"/>
    <w:rsid w:val="090B46CB"/>
    <w:rsid w:val="095405A9"/>
    <w:rsid w:val="09DC7FCE"/>
    <w:rsid w:val="0A1814D9"/>
    <w:rsid w:val="0A7954D6"/>
    <w:rsid w:val="0B205243"/>
    <w:rsid w:val="0B2B0501"/>
    <w:rsid w:val="0B687B57"/>
    <w:rsid w:val="0BE667EE"/>
    <w:rsid w:val="0CEC0497"/>
    <w:rsid w:val="0D0B2B37"/>
    <w:rsid w:val="0D2170B6"/>
    <w:rsid w:val="0D8A0982"/>
    <w:rsid w:val="0DF91B1A"/>
    <w:rsid w:val="0DFF6D26"/>
    <w:rsid w:val="0F3F6114"/>
    <w:rsid w:val="0F53533B"/>
    <w:rsid w:val="0F7A67B0"/>
    <w:rsid w:val="0F7B731C"/>
    <w:rsid w:val="0FBF6287"/>
    <w:rsid w:val="0FF4118B"/>
    <w:rsid w:val="10FB1ABF"/>
    <w:rsid w:val="11C704C2"/>
    <w:rsid w:val="12061C8A"/>
    <w:rsid w:val="12131456"/>
    <w:rsid w:val="12AF2A56"/>
    <w:rsid w:val="13EB2F38"/>
    <w:rsid w:val="13FC6E63"/>
    <w:rsid w:val="141D613B"/>
    <w:rsid w:val="144356D9"/>
    <w:rsid w:val="14AE3A96"/>
    <w:rsid w:val="14C33995"/>
    <w:rsid w:val="1508281F"/>
    <w:rsid w:val="15420170"/>
    <w:rsid w:val="158C5066"/>
    <w:rsid w:val="163506EF"/>
    <w:rsid w:val="16FC01A7"/>
    <w:rsid w:val="16FD2D21"/>
    <w:rsid w:val="171036D0"/>
    <w:rsid w:val="174251F6"/>
    <w:rsid w:val="17757F48"/>
    <w:rsid w:val="17A304DA"/>
    <w:rsid w:val="18005E51"/>
    <w:rsid w:val="18264C98"/>
    <w:rsid w:val="185008F8"/>
    <w:rsid w:val="1890351E"/>
    <w:rsid w:val="18BA0A27"/>
    <w:rsid w:val="18EE0B24"/>
    <w:rsid w:val="19102622"/>
    <w:rsid w:val="19261059"/>
    <w:rsid w:val="19D06FB7"/>
    <w:rsid w:val="1A6246AC"/>
    <w:rsid w:val="1A68458F"/>
    <w:rsid w:val="1AD81302"/>
    <w:rsid w:val="1B427EDA"/>
    <w:rsid w:val="1B4D1C7D"/>
    <w:rsid w:val="1B7E0F9F"/>
    <w:rsid w:val="1C9208D9"/>
    <w:rsid w:val="1CFF5CC9"/>
    <w:rsid w:val="1D424A23"/>
    <w:rsid w:val="1D77142A"/>
    <w:rsid w:val="1EB26F7D"/>
    <w:rsid w:val="1ED71DE6"/>
    <w:rsid w:val="20042ACE"/>
    <w:rsid w:val="200E750B"/>
    <w:rsid w:val="203E697B"/>
    <w:rsid w:val="20D204C5"/>
    <w:rsid w:val="213E125D"/>
    <w:rsid w:val="216C5011"/>
    <w:rsid w:val="21C77620"/>
    <w:rsid w:val="21D81577"/>
    <w:rsid w:val="22084940"/>
    <w:rsid w:val="22696170"/>
    <w:rsid w:val="23961833"/>
    <w:rsid w:val="23AC7753"/>
    <w:rsid w:val="24CB4EA2"/>
    <w:rsid w:val="254C4B6B"/>
    <w:rsid w:val="25C20625"/>
    <w:rsid w:val="2664492D"/>
    <w:rsid w:val="275D01A5"/>
    <w:rsid w:val="2777593D"/>
    <w:rsid w:val="279C279D"/>
    <w:rsid w:val="28AF7BB7"/>
    <w:rsid w:val="29131754"/>
    <w:rsid w:val="29465548"/>
    <w:rsid w:val="297C2722"/>
    <w:rsid w:val="297E6700"/>
    <w:rsid w:val="2A345A63"/>
    <w:rsid w:val="2A441BAA"/>
    <w:rsid w:val="2A5D7623"/>
    <w:rsid w:val="2A7B4C15"/>
    <w:rsid w:val="2AA12297"/>
    <w:rsid w:val="2B596CDA"/>
    <w:rsid w:val="2B792CD8"/>
    <w:rsid w:val="2B7B22F9"/>
    <w:rsid w:val="2BA01056"/>
    <w:rsid w:val="2C5F40B4"/>
    <w:rsid w:val="2D211870"/>
    <w:rsid w:val="2D7C1114"/>
    <w:rsid w:val="2DAE442A"/>
    <w:rsid w:val="2DB8679E"/>
    <w:rsid w:val="2E194248"/>
    <w:rsid w:val="2E851362"/>
    <w:rsid w:val="2ECC4F8B"/>
    <w:rsid w:val="2EE24CCE"/>
    <w:rsid w:val="2EF16E49"/>
    <w:rsid w:val="300F506E"/>
    <w:rsid w:val="31D936B8"/>
    <w:rsid w:val="33C22C36"/>
    <w:rsid w:val="33C43F04"/>
    <w:rsid w:val="33FE4FFC"/>
    <w:rsid w:val="34522D4C"/>
    <w:rsid w:val="3468629B"/>
    <w:rsid w:val="35274287"/>
    <w:rsid w:val="35AC4529"/>
    <w:rsid w:val="3602578F"/>
    <w:rsid w:val="3695793B"/>
    <w:rsid w:val="37F82435"/>
    <w:rsid w:val="39A71BBE"/>
    <w:rsid w:val="3AB842C0"/>
    <w:rsid w:val="3BE72C1C"/>
    <w:rsid w:val="3CA82078"/>
    <w:rsid w:val="3D350D7F"/>
    <w:rsid w:val="3D623722"/>
    <w:rsid w:val="3D962E29"/>
    <w:rsid w:val="3DB37E9D"/>
    <w:rsid w:val="3E4F21B0"/>
    <w:rsid w:val="3EA40D03"/>
    <w:rsid w:val="3EBA6A10"/>
    <w:rsid w:val="3F0455FB"/>
    <w:rsid w:val="3F5852DE"/>
    <w:rsid w:val="40554429"/>
    <w:rsid w:val="40AC0E29"/>
    <w:rsid w:val="42BC7704"/>
    <w:rsid w:val="431C7462"/>
    <w:rsid w:val="44501147"/>
    <w:rsid w:val="44881518"/>
    <w:rsid w:val="449057AA"/>
    <w:rsid w:val="44AF1905"/>
    <w:rsid w:val="44B04D53"/>
    <w:rsid w:val="45225F5A"/>
    <w:rsid w:val="45346FD7"/>
    <w:rsid w:val="45371C11"/>
    <w:rsid w:val="45CA4C25"/>
    <w:rsid w:val="4651381F"/>
    <w:rsid w:val="46D918F0"/>
    <w:rsid w:val="490641A3"/>
    <w:rsid w:val="4AAA06DC"/>
    <w:rsid w:val="4B0405A8"/>
    <w:rsid w:val="4B8C0ABB"/>
    <w:rsid w:val="4C3608A3"/>
    <w:rsid w:val="4D3A46B8"/>
    <w:rsid w:val="4D6048D8"/>
    <w:rsid w:val="4DD75B92"/>
    <w:rsid w:val="4DE73553"/>
    <w:rsid w:val="4E5574B1"/>
    <w:rsid w:val="4E63506E"/>
    <w:rsid w:val="4E724FA3"/>
    <w:rsid w:val="4E793558"/>
    <w:rsid w:val="4EBB1A04"/>
    <w:rsid w:val="4EBF1D1E"/>
    <w:rsid w:val="4F301451"/>
    <w:rsid w:val="4FDD1812"/>
    <w:rsid w:val="50430996"/>
    <w:rsid w:val="509A58D7"/>
    <w:rsid w:val="50B32C3D"/>
    <w:rsid w:val="516513BF"/>
    <w:rsid w:val="519B13BF"/>
    <w:rsid w:val="543F686D"/>
    <w:rsid w:val="54437F3C"/>
    <w:rsid w:val="560F5142"/>
    <w:rsid w:val="567C5BF1"/>
    <w:rsid w:val="569A46B1"/>
    <w:rsid w:val="569D0F52"/>
    <w:rsid w:val="57797DA6"/>
    <w:rsid w:val="57D93D8A"/>
    <w:rsid w:val="57F263FC"/>
    <w:rsid w:val="58BD289A"/>
    <w:rsid w:val="590C5FDA"/>
    <w:rsid w:val="59AE2E7F"/>
    <w:rsid w:val="59B97621"/>
    <w:rsid w:val="59F15515"/>
    <w:rsid w:val="5A145E8A"/>
    <w:rsid w:val="5A3C1572"/>
    <w:rsid w:val="5A9949A0"/>
    <w:rsid w:val="5B2D4F8C"/>
    <w:rsid w:val="5B4645D5"/>
    <w:rsid w:val="5C002BEF"/>
    <w:rsid w:val="5C200299"/>
    <w:rsid w:val="5C3B2FF2"/>
    <w:rsid w:val="5C770711"/>
    <w:rsid w:val="5CEC1EF4"/>
    <w:rsid w:val="5D7738A4"/>
    <w:rsid w:val="5DCB1073"/>
    <w:rsid w:val="5E734E22"/>
    <w:rsid w:val="5ECC1671"/>
    <w:rsid w:val="5EDC5419"/>
    <w:rsid w:val="5EE873B3"/>
    <w:rsid w:val="5F4557A1"/>
    <w:rsid w:val="604F33D4"/>
    <w:rsid w:val="60F7040A"/>
    <w:rsid w:val="62013B0A"/>
    <w:rsid w:val="62FF29A1"/>
    <w:rsid w:val="632D1295"/>
    <w:rsid w:val="63F969D2"/>
    <w:rsid w:val="64B0064F"/>
    <w:rsid w:val="64C047BD"/>
    <w:rsid w:val="652167E7"/>
    <w:rsid w:val="65C06288"/>
    <w:rsid w:val="6643018A"/>
    <w:rsid w:val="669C5A47"/>
    <w:rsid w:val="66B7021C"/>
    <w:rsid w:val="671822DE"/>
    <w:rsid w:val="674A56FC"/>
    <w:rsid w:val="69542B06"/>
    <w:rsid w:val="6A4D2C32"/>
    <w:rsid w:val="6A505C94"/>
    <w:rsid w:val="6B1570FD"/>
    <w:rsid w:val="6BDF72D7"/>
    <w:rsid w:val="6BE6527F"/>
    <w:rsid w:val="6C031229"/>
    <w:rsid w:val="6CA52D14"/>
    <w:rsid w:val="6CD4571C"/>
    <w:rsid w:val="6DD04EAE"/>
    <w:rsid w:val="6E8D74FE"/>
    <w:rsid w:val="709A7F7F"/>
    <w:rsid w:val="70EC22E8"/>
    <w:rsid w:val="712742EB"/>
    <w:rsid w:val="71D142E9"/>
    <w:rsid w:val="723F59D4"/>
    <w:rsid w:val="729D2C20"/>
    <w:rsid w:val="738C7404"/>
    <w:rsid w:val="73A3098F"/>
    <w:rsid w:val="73B426CD"/>
    <w:rsid w:val="741C440E"/>
    <w:rsid w:val="745A5C7E"/>
    <w:rsid w:val="74662E78"/>
    <w:rsid w:val="74810C95"/>
    <w:rsid w:val="74C3655D"/>
    <w:rsid w:val="74DF112F"/>
    <w:rsid w:val="753F4F49"/>
    <w:rsid w:val="756E736C"/>
    <w:rsid w:val="75953397"/>
    <w:rsid w:val="75DA27AC"/>
    <w:rsid w:val="775939D2"/>
    <w:rsid w:val="77683F5F"/>
    <w:rsid w:val="77FF47F2"/>
    <w:rsid w:val="784C792A"/>
    <w:rsid w:val="78927CD9"/>
    <w:rsid w:val="78DC2697"/>
    <w:rsid w:val="78EE298D"/>
    <w:rsid w:val="798D302F"/>
    <w:rsid w:val="7A876A7D"/>
    <w:rsid w:val="7C5A357B"/>
    <w:rsid w:val="7C791320"/>
    <w:rsid w:val="7CD959BF"/>
    <w:rsid w:val="7CEF1D89"/>
    <w:rsid w:val="7D2B6F59"/>
    <w:rsid w:val="7D697C07"/>
    <w:rsid w:val="7D6A041B"/>
    <w:rsid w:val="7E871BBB"/>
    <w:rsid w:val="7EAF0302"/>
    <w:rsid w:val="7EBE12B1"/>
    <w:rsid w:val="7ED925D1"/>
    <w:rsid w:val="7EE53F5B"/>
    <w:rsid w:val="7F2576FD"/>
    <w:rsid w:val="7FA25E3E"/>
    <w:rsid w:val="7FA5699F"/>
    <w:rsid w:val="7FE458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qFormat="1" w:unhideWhenUsed="0" w:uiPriority="0" w:semiHidden="0" w:name="toc 6"/>
    <w:lsdException w:qFormat="1"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qFormat="1"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jc w:val="center"/>
      <w:outlineLvl w:val="0"/>
    </w:pPr>
    <w:rPr>
      <w:rFonts w:ascii="Times New Roman" w:hAnsi="Times New Roman" w:eastAsia="宋体" w:cs="Times New Roman"/>
      <w:b/>
      <w:bCs/>
      <w:kern w:val="44"/>
      <w:sz w:val="44"/>
      <w:szCs w:val="44"/>
    </w:rPr>
  </w:style>
  <w:style w:type="paragraph" w:styleId="4">
    <w:name w:val="heading 2"/>
    <w:basedOn w:val="1"/>
    <w:next w:val="1"/>
    <w:qFormat/>
    <w:uiPriority w:val="0"/>
    <w:pPr>
      <w:keepNext/>
      <w:keepLines/>
      <w:autoSpaceDE w:val="0"/>
      <w:autoSpaceDN w:val="0"/>
      <w:adjustRightInd w:val="0"/>
      <w:spacing w:before="360" w:after="260" w:line="360" w:lineRule="auto"/>
      <w:jc w:val="center"/>
      <w:textAlignment w:val="baseline"/>
      <w:outlineLvl w:val="1"/>
    </w:pPr>
    <w:rPr>
      <w:rFonts w:ascii="Arial" w:hAnsi="Arial" w:eastAsia="黑体" w:cs="Times New Roman"/>
      <w:b/>
      <w:spacing w:val="24"/>
      <w:kern w:val="0"/>
      <w:sz w:val="24"/>
      <w:szCs w:val="20"/>
    </w:rPr>
  </w:style>
  <w:style w:type="paragraph" w:styleId="5">
    <w:name w:val="heading 3"/>
    <w:basedOn w:val="1"/>
    <w:next w:val="1"/>
    <w:qFormat/>
    <w:uiPriority w:val="0"/>
    <w:pPr>
      <w:keepNext/>
      <w:keepLines/>
      <w:spacing w:before="260" w:after="260" w:line="416" w:lineRule="auto"/>
      <w:outlineLvl w:val="2"/>
    </w:pPr>
    <w:rPr>
      <w:rFonts w:ascii="Times New Roman" w:hAnsi="Times New Roman" w:eastAsia="宋体" w:cs="Times New Roman"/>
      <w:b/>
      <w:bCs/>
      <w:sz w:val="32"/>
      <w:szCs w:val="32"/>
    </w:rPr>
  </w:style>
  <w:style w:type="paragraph" w:styleId="6">
    <w:name w:val="heading 4"/>
    <w:basedOn w:val="1"/>
    <w:next w:val="1"/>
    <w:qFormat/>
    <w:uiPriority w:val="0"/>
    <w:pPr>
      <w:keepNext/>
      <w:keepLines/>
      <w:spacing w:before="120" w:after="120" w:line="360" w:lineRule="auto"/>
      <w:outlineLvl w:val="3"/>
    </w:pPr>
    <w:rPr>
      <w:rFonts w:ascii="Times New Roman" w:hAnsi="Times New Roman" w:eastAsia="宋体" w:cs="Times New Roman"/>
      <w:b/>
      <w:bCs/>
      <w:sz w:val="24"/>
    </w:rPr>
  </w:style>
  <w:style w:type="character" w:default="1" w:styleId="43">
    <w:name w:val="Default Paragraph Font"/>
    <w:qFormat/>
    <w:uiPriority w:val="0"/>
    <w:rPr>
      <w:rFonts w:ascii="Times New Roman" w:hAnsi="Times New Roman" w:eastAsia="宋体" w:cs="Times New Roman"/>
    </w:rPr>
  </w:style>
  <w:style w:type="table" w:default="1" w:styleId="41">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Courier New" w:hAnsi="Ђˎ̥" w:eastAsia="宋体" w:cs="Courier New"/>
      <w:color w:val="000000"/>
      <w:sz w:val="24"/>
      <w:szCs w:val="24"/>
      <w:lang w:val="en-US" w:eastAsia="zh-CN" w:bidi="ar-SA"/>
    </w:rPr>
  </w:style>
  <w:style w:type="paragraph" w:styleId="7">
    <w:name w:val="toc 7"/>
    <w:basedOn w:val="1"/>
    <w:next w:val="1"/>
    <w:qFormat/>
    <w:uiPriority w:val="0"/>
    <w:pPr>
      <w:ind w:left="2520" w:leftChars="1200"/>
    </w:pPr>
    <w:rPr>
      <w:rFonts w:ascii="Times New Roman" w:hAnsi="Times New Roman" w:eastAsia="宋体" w:cs="Times New Roman"/>
    </w:rPr>
  </w:style>
  <w:style w:type="paragraph" w:styleId="8">
    <w:name w:val="table of authorities"/>
    <w:basedOn w:val="1"/>
    <w:next w:val="1"/>
    <w:qFormat/>
    <w:uiPriority w:val="0"/>
    <w:pPr>
      <w:spacing w:before="100" w:beforeAutospacing="1" w:after="100" w:afterAutospacing="1"/>
      <w:ind w:leftChars="200"/>
    </w:pPr>
    <w:rPr>
      <w:rFonts w:ascii="Calibri" w:hAnsi="Calibri"/>
      <w:szCs w:val="21"/>
    </w:rPr>
  </w:style>
  <w:style w:type="paragraph" w:styleId="9">
    <w:name w:val="Normal Indent"/>
    <w:basedOn w:val="1"/>
    <w:qFormat/>
    <w:uiPriority w:val="0"/>
    <w:pPr>
      <w:ind w:firstLine="420"/>
    </w:pPr>
    <w:rPr>
      <w:rFonts w:ascii="方正书宋简体" w:hAnsi="Times New Roman" w:eastAsia="方正书宋简体" w:cs="Times New Roman"/>
      <w:sz w:val="30"/>
      <w:szCs w:val="30"/>
    </w:rPr>
  </w:style>
  <w:style w:type="paragraph" w:styleId="10">
    <w:name w:val="List Bullet"/>
    <w:basedOn w:val="1"/>
    <w:qFormat/>
    <w:uiPriority w:val="0"/>
    <w:pPr>
      <w:numPr>
        <w:ilvl w:val="0"/>
        <w:numId w:val="1"/>
      </w:numPr>
    </w:pPr>
    <w:rPr>
      <w:rFonts w:ascii="Times New Roman" w:hAnsi="Times New Roman" w:eastAsia="宋体" w:cs="Times New Roman"/>
    </w:rPr>
  </w:style>
  <w:style w:type="paragraph" w:styleId="11">
    <w:name w:val="Document Map"/>
    <w:basedOn w:val="1"/>
    <w:qFormat/>
    <w:uiPriority w:val="0"/>
    <w:pPr>
      <w:shd w:val="clear" w:color="auto" w:fill="000080"/>
    </w:pPr>
    <w:rPr>
      <w:rFonts w:ascii="Times New Roman" w:hAnsi="Times New Roman" w:eastAsia="宋体" w:cs="Times New Roman"/>
    </w:rPr>
  </w:style>
  <w:style w:type="paragraph" w:styleId="12">
    <w:name w:val="annotation text"/>
    <w:basedOn w:val="1"/>
    <w:link w:val="124"/>
    <w:qFormat/>
    <w:uiPriority w:val="0"/>
    <w:pPr>
      <w:jc w:val="left"/>
    </w:pPr>
    <w:rPr>
      <w:rFonts w:ascii="Times New Roman" w:hAnsi="Times New Roman"/>
    </w:rPr>
  </w:style>
  <w:style w:type="paragraph" w:styleId="13">
    <w:name w:val="Body Text 3"/>
    <w:basedOn w:val="1"/>
    <w:qFormat/>
    <w:uiPriority w:val="0"/>
    <w:pPr>
      <w:spacing w:line="500" w:lineRule="exact"/>
    </w:pPr>
    <w:rPr>
      <w:rFonts w:ascii="Times New Roman" w:hAnsi="Times New Roman" w:eastAsia="仿宋_GB2312" w:cs="Times New Roman"/>
      <w:sz w:val="28"/>
      <w:szCs w:val="20"/>
    </w:rPr>
  </w:style>
  <w:style w:type="paragraph" w:styleId="14">
    <w:name w:val="Body Text"/>
    <w:basedOn w:val="1"/>
    <w:next w:val="1"/>
    <w:qFormat/>
    <w:uiPriority w:val="0"/>
    <w:rPr>
      <w:rFonts w:ascii="金山简黑体" w:hAnsi="Courier New" w:eastAsia="金山简黑体" w:cs="Times New Roman"/>
      <w:b/>
      <w:spacing w:val="-8"/>
      <w:sz w:val="44"/>
      <w:szCs w:val="20"/>
    </w:rPr>
  </w:style>
  <w:style w:type="paragraph" w:styleId="15">
    <w:name w:val="Body Text Indent"/>
    <w:basedOn w:val="1"/>
    <w:link w:val="114"/>
    <w:qFormat/>
    <w:uiPriority w:val="0"/>
    <w:pPr>
      <w:spacing w:line="200" w:lineRule="exact"/>
      <w:ind w:firstLine="301"/>
    </w:pPr>
    <w:rPr>
      <w:rFonts w:ascii="宋体" w:hAnsi="Courier New"/>
      <w:spacing w:val="-4"/>
      <w:sz w:val="18"/>
      <w:szCs w:val="20"/>
    </w:rPr>
  </w:style>
  <w:style w:type="paragraph" w:styleId="16">
    <w:name w:val="List 2"/>
    <w:basedOn w:val="1"/>
    <w:qFormat/>
    <w:uiPriority w:val="0"/>
    <w:pPr>
      <w:ind w:left="100" w:leftChars="200" w:hanging="200" w:hangingChars="200"/>
      <w:contextualSpacing/>
    </w:pPr>
    <w:rPr>
      <w:rFonts w:ascii="Times New Roman" w:hAnsi="Times New Roman" w:eastAsia="宋体" w:cs="Times New Roman"/>
    </w:rPr>
  </w:style>
  <w:style w:type="paragraph" w:styleId="17">
    <w:name w:val="Block Text"/>
    <w:basedOn w:val="1"/>
    <w:qFormat/>
    <w:uiPriority w:val="0"/>
    <w:pPr>
      <w:spacing w:line="440" w:lineRule="exact"/>
      <w:ind w:left="-171" w:right="-334" w:rightChars="-159"/>
    </w:pPr>
    <w:rPr>
      <w:rFonts w:ascii="华文中宋" w:hAnsi="华文中宋" w:eastAsia="华文中宋" w:cs="Times New Roman"/>
      <w:sz w:val="28"/>
    </w:rPr>
  </w:style>
  <w:style w:type="paragraph" w:styleId="18">
    <w:name w:val="toc 5"/>
    <w:basedOn w:val="1"/>
    <w:next w:val="1"/>
    <w:uiPriority w:val="0"/>
    <w:pPr>
      <w:ind w:left="1680" w:leftChars="800"/>
    </w:pPr>
    <w:rPr>
      <w:rFonts w:ascii="Times New Roman" w:hAnsi="Times New Roman" w:eastAsia="宋体" w:cs="Times New Roman"/>
    </w:rPr>
  </w:style>
  <w:style w:type="paragraph" w:styleId="19">
    <w:name w:val="toc 3"/>
    <w:basedOn w:val="1"/>
    <w:next w:val="1"/>
    <w:uiPriority w:val="0"/>
    <w:pPr>
      <w:tabs>
        <w:tab w:val="right" w:leader="dot" w:pos="9060"/>
      </w:tabs>
      <w:spacing w:line="360" w:lineRule="auto"/>
    </w:pPr>
    <w:rPr>
      <w:rFonts w:ascii="Times New Roman" w:hAnsi="Times New Roman" w:eastAsia="仿宋_GB2312" w:cs="Times New Roman"/>
    </w:rPr>
  </w:style>
  <w:style w:type="paragraph" w:styleId="20">
    <w:name w:val="Plain Text"/>
    <w:basedOn w:val="1"/>
    <w:link w:val="123"/>
    <w:uiPriority w:val="0"/>
    <w:rPr>
      <w:rFonts w:ascii="宋体" w:hAnsi="Courier New"/>
      <w:szCs w:val="20"/>
    </w:rPr>
  </w:style>
  <w:style w:type="paragraph" w:styleId="21">
    <w:name w:val="toc 8"/>
    <w:basedOn w:val="1"/>
    <w:next w:val="1"/>
    <w:uiPriority w:val="0"/>
    <w:pPr>
      <w:ind w:left="2940" w:leftChars="1400"/>
    </w:pPr>
    <w:rPr>
      <w:rFonts w:ascii="Times New Roman" w:hAnsi="Times New Roman" w:eastAsia="宋体" w:cs="Times New Roman"/>
    </w:rPr>
  </w:style>
  <w:style w:type="paragraph" w:styleId="22">
    <w:name w:val="Date"/>
    <w:basedOn w:val="1"/>
    <w:next w:val="1"/>
    <w:uiPriority w:val="0"/>
    <w:pPr>
      <w:ind w:left="100" w:leftChars="2500"/>
    </w:pPr>
    <w:rPr>
      <w:rFonts w:ascii="华文中宋" w:hAnsi="华文中宋" w:eastAsia="华文中宋" w:cs="Times New Roman"/>
      <w:b/>
      <w:sz w:val="36"/>
    </w:rPr>
  </w:style>
  <w:style w:type="paragraph" w:styleId="23">
    <w:name w:val="Body Text Indent 2"/>
    <w:basedOn w:val="1"/>
    <w:uiPriority w:val="0"/>
    <w:pPr>
      <w:adjustRightInd w:val="0"/>
      <w:spacing w:line="300" w:lineRule="auto"/>
      <w:ind w:left="6" w:firstLine="431"/>
    </w:pPr>
    <w:rPr>
      <w:rFonts w:ascii="宋体" w:hAnsi="Courier New" w:eastAsia="宋体" w:cs="Times New Roman"/>
      <w:bCs/>
      <w:szCs w:val="20"/>
    </w:rPr>
  </w:style>
  <w:style w:type="paragraph" w:styleId="24">
    <w:name w:val="Balloon Text"/>
    <w:basedOn w:val="1"/>
    <w:uiPriority w:val="0"/>
    <w:rPr>
      <w:rFonts w:ascii="Times New Roman" w:hAnsi="Times New Roman" w:eastAsia="宋体" w:cs="Times New Roman"/>
      <w:sz w:val="18"/>
      <w:szCs w:val="18"/>
    </w:rPr>
  </w:style>
  <w:style w:type="paragraph" w:styleId="25">
    <w:name w:val="footer"/>
    <w:basedOn w:val="1"/>
    <w:link w:val="113"/>
    <w:qFormat/>
    <w:uiPriority w:val="0"/>
    <w:pPr>
      <w:tabs>
        <w:tab w:val="center" w:pos="4153"/>
        <w:tab w:val="right" w:pos="8306"/>
      </w:tabs>
      <w:snapToGrid w:val="0"/>
      <w:jc w:val="left"/>
    </w:pPr>
    <w:rPr>
      <w:rFonts w:ascii="宋体" w:hAnsi="Courier New"/>
      <w:sz w:val="18"/>
      <w:szCs w:val="20"/>
    </w:rPr>
  </w:style>
  <w:style w:type="paragraph" w:styleId="26">
    <w:name w:val="header"/>
    <w:basedOn w:val="1"/>
    <w:link w:val="115"/>
    <w:qFormat/>
    <w:uiPriority w:val="0"/>
    <w:pPr>
      <w:pBdr>
        <w:bottom w:val="single" w:color="auto" w:sz="6" w:space="1"/>
      </w:pBdr>
      <w:tabs>
        <w:tab w:val="center" w:pos="4153"/>
        <w:tab w:val="right" w:pos="8306"/>
      </w:tabs>
      <w:snapToGrid w:val="0"/>
      <w:jc w:val="center"/>
    </w:pPr>
    <w:rPr>
      <w:rFonts w:ascii="宋体" w:hAnsi="Courier New"/>
      <w:sz w:val="18"/>
      <w:szCs w:val="20"/>
    </w:rPr>
  </w:style>
  <w:style w:type="paragraph" w:styleId="27">
    <w:name w:val="toc 1"/>
    <w:basedOn w:val="1"/>
    <w:next w:val="1"/>
    <w:qFormat/>
    <w:uiPriority w:val="0"/>
    <w:pPr>
      <w:tabs>
        <w:tab w:val="right" w:leader="dot" w:pos="9628"/>
      </w:tabs>
      <w:spacing w:line="360" w:lineRule="auto"/>
    </w:pPr>
    <w:rPr>
      <w:rFonts w:ascii="Times New Roman" w:hAnsi="Times New Roman" w:eastAsia="宋体" w:cs="Times New Roman"/>
    </w:rPr>
  </w:style>
  <w:style w:type="paragraph" w:styleId="28">
    <w:name w:val="toc 4"/>
    <w:basedOn w:val="1"/>
    <w:next w:val="1"/>
    <w:qFormat/>
    <w:uiPriority w:val="0"/>
    <w:pPr>
      <w:ind w:left="1260" w:leftChars="600"/>
    </w:pPr>
    <w:rPr>
      <w:rFonts w:ascii="Times New Roman" w:hAnsi="Times New Roman" w:eastAsia="宋体" w:cs="Times New Roman"/>
    </w:rPr>
  </w:style>
  <w:style w:type="paragraph" w:styleId="29">
    <w:name w:val="toc 6"/>
    <w:basedOn w:val="1"/>
    <w:next w:val="1"/>
    <w:qFormat/>
    <w:uiPriority w:val="0"/>
    <w:pPr>
      <w:ind w:left="2100" w:leftChars="1000"/>
    </w:pPr>
    <w:rPr>
      <w:rFonts w:ascii="Times New Roman" w:hAnsi="Times New Roman" w:eastAsia="宋体" w:cs="Times New Roman"/>
    </w:rPr>
  </w:style>
  <w:style w:type="paragraph" w:styleId="30">
    <w:name w:val="Body Text Indent 3"/>
    <w:basedOn w:val="1"/>
    <w:qFormat/>
    <w:uiPriority w:val="0"/>
    <w:pPr>
      <w:ind w:firstLine="420" w:firstLineChars="200"/>
    </w:pPr>
    <w:rPr>
      <w:rFonts w:ascii="Times New Roman" w:hAnsi="Times New Roman" w:eastAsia="宋体" w:cs="Times New Roman"/>
      <w:color w:val="FF0000"/>
    </w:rPr>
  </w:style>
  <w:style w:type="paragraph" w:styleId="31">
    <w:name w:val="toc 2"/>
    <w:basedOn w:val="1"/>
    <w:next w:val="1"/>
    <w:qFormat/>
    <w:uiPriority w:val="0"/>
    <w:pPr>
      <w:tabs>
        <w:tab w:val="right" w:leader="dot" w:pos="9060"/>
      </w:tabs>
      <w:adjustRightInd w:val="0"/>
      <w:spacing w:line="500" w:lineRule="exact"/>
    </w:pPr>
    <w:rPr>
      <w:rFonts w:ascii="仿宋_GB2312" w:hAnsi="Times New Roman" w:eastAsia="仿宋_GB2312" w:cs="Times New Roman"/>
      <w:color w:val="000000"/>
      <w:sz w:val="28"/>
    </w:rPr>
  </w:style>
  <w:style w:type="paragraph" w:styleId="32">
    <w:name w:val="toc 9"/>
    <w:basedOn w:val="1"/>
    <w:next w:val="1"/>
    <w:qFormat/>
    <w:uiPriority w:val="0"/>
    <w:pPr>
      <w:ind w:left="3360" w:leftChars="1600"/>
    </w:pPr>
    <w:rPr>
      <w:rFonts w:ascii="Times New Roman" w:hAnsi="Times New Roman" w:eastAsia="宋体" w:cs="Times New Roman"/>
    </w:rPr>
  </w:style>
  <w:style w:type="paragraph" w:styleId="33">
    <w:name w:val="Body Text 2"/>
    <w:basedOn w:val="1"/>
    <w:qFormat/>
    <w:uiPriority w:val="0"/>
    <w:pPr>
      <w:jc w:val="center"/>
    </w:pPr>
    <w:rPr>
      <w:rFonts w:ascii="Times New Roman" w:hAnsi="宋体" w:eastAsia="宋体" w:cs="Arial Unicode MS"/>
    </w:rPr>
  </w:style>
  <w:style w:type="paragraph" w:styleId="34">
    <w:name w:val="HTML Preformatted"/>
    <w:basedOn w:val="1"/>
    <w:link w:val="12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35">
    <w:name w:val="Normal (Web)"/>
    <w:basedOn w:val="1"/>
    <w:qFormat/>
    <w:uiPriority w:val="0"/>
    <w:pPr>
      <w:widowControl/>
      <w:spacing w:before="100" w:beforeAutospacing="1" w:after="100" w:afterAutospacing="1"/>
      <w:jc w:val="left"/>
    </w:pPr>
    <w:rPr>
      <w:rFonts w:ascii="宋体" w:hAnsi="宋体" w:eastAsia="宋体" w:cs="Times New Roman"/>
      <w:kern w:val="0"/>
      <w:sz w:val="24"/>
    </w:rPr>
  </w:style>
  <w:style w:type="paragraph" w:styleId="36">
    <w:name w:val="index 1"/>
    <w:basedOn w:val="1"/>
    <w:next w:val="1"/>
    <w:qFormat/>
    <w:uiPriority w:val="0"/>
    <w:rPr>
      <w:rFonts w:ascii="宋体" w:hAnsi="宋体" w:eastAsia="宋体" w:cs="Times New Roman"/>
      <w:bCs/>
      <w:szCs w:val="28"/>
    </w:rPr>
  </w:style>
  <w:style w:type="paragraph" w:styleId="37">
    <w:name w:val="Title"/>
    <w:basedOn w:val="1"/>
    <w:next w:val="1"/>
    <w:link w:val="121"/>
    <w:qFormat/>
    <w:uiPriority w:val="0"/>
    <w:pPr>
      <w:spacing w:before="240" w:after="60"/>
      <w:jc w:val="center"/>
      <w:outlineLvl w:val="0"/>
    </w:pPr>
    <w:rPr>
      <w:rFonts w:ascii="Cambria" w:hAnsi="Cambria"/>
      <w:b/>
      <w:bCs/>
      <w:sz w:val="32"/>
      <w:szCs w:val="32"/>
    </w:rPr>
  </w:style>
  <w:style w:type="paragraph" w:styleId="38">
    <w:name w:val="annotation subject"/>
    <w:basedOn w:val="12"/>
    <w:next w:val="12"/>
    <w:qFormat/>
    <w:uiPriority w:val="0"/>
    <w:rPr>
      <w:rFonts w:ascii="Times New Roman" w:hAnsi="Times New Roman" w:eastAsia="宋体" w:cs="Times New Roman"/>
      <w:b/>
      <w:bCs/>
    </w:rPr>
  </w:style>
  <w:style w:type="paragraph" w:styleId="39">
    <w:name w:val="Body Text First Indent"/>
    <w:basedOn w:val="14"/>
    <w:uiPriority w:val="0"/>
    <w:pPr>
      <w:spacing w:after="120"/>
      <w:ind w:firstLine="420" w:firstLineChars="100"/>
    </w:pPr>
    <w:rPr>
      <w:rFonts w:ascii="Times New Roman" w:hAnsi="Times New Roman" w:eastAsia="宋体" w:cs="Times New Roman"/>
      <w:b w:val="0"/>
      <w:spacing w:val="0"/>
      <w:sz w:val="21"/>
      <w:szCs w:val="24"/>
    </w:rPr>
  </w:style>
  <w:style w:type="paragraph" w:styleId="40">
    <w:name w:val="Body Text First Indent 2"/>
    <w:basedOn w:val="15"/>
    <w:uiPriority w:val="0"/>
    <w:pPr>
      <w:spacing w:before="100" w:beforeAutospacing="1"/>
      <w:ind w:left="0" w:firstLine="420" w:firstLineChars="200"/>
    </w:pPr>
    <w:rPr>
      <w:rFonts w:ascii="楷体_GB2312" w:eastAsia="楷体_GB2312"/>
      <w:sz w:val="32"/>
      <w:szCs w:val="32"/>
    </w:rPr>
  </w:style>
  <w:style w:type="table" w:styleId="42">
    <w:name w:val="Table Grid"/>
    <w:basedOn w:val="41"/>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page number"/>
    <w:basedOn w:val="43"/>
    <w:uiPriority w:val="0"/>
    <w:rPr>
      <w:rFonts w:ascii="Times New Roman" w:hAnsi="Times New Roman" w:eastAsia="宋体" w:cs="Times New Roman"/>
    </w:rPr>
  </w:style>
  <w:style w:type="character" w:styleId="45">
    <w:name w:val="FollowedHyperlink"/>
    <w:uiPriority w:val="0"/>
    <w:rPr>
      <w:rFonts w:ascii="Times New Roman" w:hAnsi="Times New Roman" w:eastAsia="宋体" w:cs="Times New Roman"/>
      <w:color w:val="800080"/>
      <w:u w:val="single"/>
    </w:rPr>
  </w:style>
  <w:style w:type="character" w:styleId="46">
    <w:name w:val="Hyperlink"/>
    <w:uiPriority w:val="0"/>
    <w:rPr>
      <w:rFonts w:ascii="Times New Roman" w:hAnsi="Times New Roman" w:eastAsia="宋体" w:cs="Times New Roman"/>
      <w:color w:val="0000FF"/>
      <w:u w:val="single"/>
    </w:rPr>
  </w:style>
  <w:style w:type="character" w:styleId="47">
    <w:name w:val="annotation reference"/>
    <w:uiPriority w:val="0"/>
    <w:rPr>
      <w:rFonts w:ascii="Times New Roman" w:hAnsi="Times New Roman" w:eastAsia="宋体" w:cs="Times New Roman"/>
      <w:sz w:val="21"/>
      <w:szCs w:val="21"/>
    </w:rPr>
  </w:style>
  <w:style w:type="paragraph" w:customStyle="1" w:styleId="48">
    <w:name w:val="font8"/>
    <w:basedOn w:val="1"/>
    <w:uiPriority w:val="0"/>
    <w:pPr>
      <w:widowControl/>
      <w:spacing w:before="100" w:beforeAutospacing="1" w:after="100" w:afterAutospacing="1"/>
      <w:jc w:val="left"/>
    </w:pPr>
    <w:rPr>
      <w:rFonts w:ascii="Times New Roman" w:hAnsi="Times New Roman" w:eastAsia="宋体" w:cs="Times New Roman"/>
      <w:b/>
      <w:bCs/>
      <w:kern w:val="0"/>
      <w:sz w:val="32"/>
      <w:szCs w:val="32"/>
    </w:rPr>
  </w:style>
  <w:style w:type="paragraph" w:customStyle="1" w:styleId="49">
    <w:name w:val="xl47"/>
    <w:basedOn w:val="1"/>
    <w:uiPriority w:val="0"/>
    <w:pPr>
      <w:widowControl/>
      <w:pBdr>
        <w:top w:val="single" w:color="auto" w:sz="8" w:space="0"/>
      </w:pBdr>
      <w:spacing w:before="100" w:beforeAutospacing="1" w:after="100" w:afterAutospacing="1"/>
      <w:jc w:val="center"/>
    </w:pPr>
    <w:rPr>
      <w:rFonts w:ascii="Arial Unicode MS" w:hAnsi="Arial Unicode MS" w:eastAsia="宋体" w:cs="Times New Roman"/>
      <w:kern w:val="0"/>
      <w:sz w:val="20"/>
      <w:szCs w:val="20"/>
    </w:rPr>
  </w:style>
  <w:style w:type="paragraph" w:customStyle="1" w:styleId="50">
    <w:name w:val="xl3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 w:cs="Times New Roman"/>
      <w:kern w:val="0"/>
      <w:sz w:val="24"/>
    </w:rPr>
  </w:style>
  <w:style w:type="paragraph" w:customStyle="1" w:styleId="51">
    <w:name w:val="font6"/>
    <w:basedOn w:val="1"/>
    <w:uiPriority w:val="0"/>
    <w:pPr>
      <w:widowControl/>
      <w:spacing w:before="100" w:beforeAutospacing="1" w:after="100" w:afterAutospacing="1"/>
      <w:jc w:val="left"/>
    </w:pPr>
    <w:rPr>
      <w:rFonts w:hint="eastAsia" w:ascii="宋体" w:hAnsi="宋体" w:eastAsia="宋体" w:cs="Arial Unicode MS"/>
      <w:kern w:val="0"/>
      <w:sz w:val="18"/>
      <w:szCs w:val="18"/>
    </w:rPr>
  </w:style>
  <w:style w:type="paragraph" w:customStyle="1" w:styleId="52">
    <w:name w:val="xl38"/>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 w:cs="Times New Roman"/>
      <w:kern w:val="0"/>
      <w:sz w:val="24"/>
    </w:rPr>
  </w:style>
  <w:style w:type="paragraph" w:customStyle="1" w:styleId="53">
    <w:name w:val="text"/>
    <w:basedOn w:val="1"/>
    <w:uiPriority w:val="0"/>
    <w:pPr>
      <w:overflowPunct w:val="0"/>
      <w:autoSpaceDE w:val="0"/>
      <w:autoSpaceDN w:val="0"/>
      <w:adjustRightInd w:val="0"/>
      <w:spacing w:before="120" w:after="120"/>
      <w:ind w:left="864"/>
      <w:textAlignment w:val="baseline"/>
    </w:pPr>
    <w:rPr>
      <w:rFonts w:ascii="宋体" w:hAnsi="Times New Roman" w:eastAsia="宋体" w:cs="Times New Roman"/>
      <w:spacing w:val="-14"/>
      <w:kern w:val="0"/>
      <w:sz w:val="24"/>
    </w:rPr>
  </w:style>
  <w:style w:type="paragraph" w:customStyle="1" w:styleId="54">
    <w:name w:val="xl30"/>
    <w:basedOn w:val="1"/>
    <w:uiPriority w:val="0"/>
    <w:pPr>
      <w:widowControl/>
      <w:spacing w:before="100" w:beforeAutospacing="1" w:after="100" w:afterAutospacing="1"/>
      <w:jc w:val="left"/>
      <w:textAlignment w:val="center"/>
    </w:pPr>
    <w:rPr>
      <w:rFonts w:ascii="Arial Unicode MS" w:hAnsi="Arial Unicode MS" w:eastAsia="宋体" w:cs="Times New Roman"/>
      <w:kern w:val="0"/>
      <w:sz w:val="24"/>
    </w:rPr>
  </w:style>
  <w:style w:type="paragraph" w:customStyle="1" w:styleId="55">
    <w:name w:val="表格文字"/>
    <w:basedOn w:val="1"/>
    <w:qFormat/>
    <w:uiPriority w:val="0"/>
    <w:pPr>
      <w:spacing w:before="25" w:after="25"/>
      <w:jc w:val="left"/>
    </w:pPr>
    <w:rPr>
      <w:rFonts w:ascii="Times New Roman" w:hAnsi="Times New Roman" w:eastAsia="宋体" w:cs="Times New Roman"/>
      <w:bCs/>
      <w:spacing w:val="10"/>
      <w:kern w:val="0"/>
      <w:sz w:val="24"/>
    </w:rPr>
  </w:style>
  <w:style w:type="paragraph" w:customStyle="1" w:styleId="56">
    <w:name w:val="xl40"/>
    <w:basedOn w:val="1"/>
    <w:uiPriority w:val="0"/>
    <w:pPr>
      <w:widowControl/>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57">
    <w:name w:val="xl3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 w:cs="Times New Roman"/>
      <w:kern w:val="0"/>
      <w:sz w:val="24"/>
    </w:rPr>
  </w:style>
  <w:style w:type="paragraph" w:customStyle="1" w:styleId="58">
    <w:name w:val="Default Paragraph Font Para Char Char Char Char Char Char"/>
    <w:basedOn w:val="1"/>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59">
    <w:name w:val="样式2"/>
    <w:basedOn w:val="1"/>
    <w:uiPriority w:val="0"/>
    <w:pPr>
      <w:numPr>
        <w:ilvl w:val="0"/>
        <w:numId w:val="2"/>
      </w:numPr>
    </w:pPr>
    <w:rPr>
      <w:rFonts w:ascii="Times New Roman" w:hAnsi="Times New Roman" w:eastAsia="宋体" w:cs="Times New Roman"/>
      <w:sz w:val="28"/>
      <w:szCs w:val="20"/>
    </w:rPr>
  </w:style>
  <w:style w:type="paragraph" w:customStyle="1" w:styleId="60">
    <w:name w:val="默认段落字体 Para Char Char Char Char Char Char Char Char Char1 Char Char Char Char"/>
    <w:basedOn w:val="1"/>
    <w:qFormat/>
    <w:uiPriority w:val="0"/>
    <w:rPr>
      <w:rFonts w:ascii="Tahoma" w:hAnsi="Tahoma" w:eastAsia="宋体" w:cs="Times New Roman"/>
      <w:sz w:val="24"/>
      <w:szCs w:val="20"/>
    </w:rPr>
  </w:style>
  <w:style w:type="paragraph" w:customStyle="1" w:styleId="61">
    <w:name w:val="xl25"/>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Times New Roman"/>
      <w:kern w:val="0"/>
      <w:sz w:val="24"/>
    </w:rPr>
  </w:style>
  <w:style w:type="paragraph" w:customStyle="1" w:styleId="62">
    <w:name w:val="List Paragraph1"/>
    <w:basedOn w:val="1"/>
    <w:qFormat/>
    <w:uiPriority w:val="0"/>
    <w:pPr>
      <w:ind w:firstLine="420" w:firstLineChars="200"/>
    </w:pPr>
    <w:rPr>
      <w:rFonts w:ascii="Calibri" w:hAnsi="Calibri"/>
      <w:szCs w:val="22"/>
    </w:rPr>
  </w:style>
  <w:style w:type="paragraph" w:customStyle="1" w:styleId="63">
    <w:name w:val="xl5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 w:cs="Times New Roman"/>
      <w:kern w:val="0"/>
      <w:sz w:val="24"/>
    </w:rPr>
  </w:style>
  <w:style w:type="paragraph" w:customStyle="1" w:styleId="64">
    <w:name w:val="head1"/>
    <w:basedOn w:val="1"/>
    <w:uiPriority w:val="0"/>
    <w:pPr>
      <w:widowControl/>
      <w:numPr>
        <w:ilvl w:val="3"/>
        <w:numId w:val="1"/>
      </w:numPr>
      <w:tabs>
        <w:tab w:val="left" w:pos="360"/>
      </w:tabs>
      <w:overflowPunct w:val="0"/>
      <w:autoSpaceDE w:val="0"/>
      <w:autoSpaceDN w:val="0"/>
      <w:adjustRightInd w:val="0"/>
      <w:spacing w:before="60" w:after="60"/>
      <w:jc w:val="left"/>
      <w:textAlignment w:val="baseline"/>
      <w:outlineLvl w:val="0"/>
    </w:pPr>
    <w:rPr>
      <w:rFonts w:ascii="黑体" w:hAnsi="¿¬Ìå" w:eastAsia="黑体" w:cs="Times New Roman"/>
      <w:kern w:val="0"/>
      <w:sz w:val="30"/>
      <w:szCs w:val="30"/>
    </w:rPr>
  </w:style>
  <w:style w:type="paragraph" w:customStyle="1" w:styleId="65">
    <w:name w:val="内蒙项目表格"/>
    <w:basedOn w:val="1"/>
    <w:uiPriority w:val="0"/>
    <w:pPr>
      <w:wordWrap w:val="0"/>
      <w:spacing w:line="288" w:lineRule="auto"/>
    </w:pPr>
    <w:rPr>
      <w:sz w:val="24"/>
    </w:rPr>
  </w:style>
  <w:style w:type="paragraph" w:customStyle="1" w:styleId="66">
    <w:name w:val="font9"/>
    <w:basedOn w:val="1"/>
    <w:uiPriority w:val="0"/>
    <w:pPr>
      <w:widowControl/>
      <w:spacing w:before="100" w:beforeAutospacing="1" w:after="100" w:afterAutospacing="1"/>
      <w:jc w:val="left"/>
    </w:pPr>
    <w:rPr>
      <w:rFonts w:hint="eastAsia" w:ascii="宋体" w:hAnsi="宋体" w:eastAsia="宋体" w:cs="Times New Roman"/>
      <w:kern w:val="0"/>
      <w:sz w:val="24"/>
      <w:u w:val="single"/>
    </w:rPr>
  </w:style>
  <w:style w:type="paragraph" w:customStyle="1" w:styleId="67">
    <w:name w:val="文件标题"/>
    <w:basedOn w:val="1"/>
    <w:uiPriority w:val="0"/>
    <w:pPr>
      <w:jc w:val="center"/>
    </w:pPr>
    <w:rPr>
      <w:rFonts w:ascii="Times New Roman" w:hAnsi="Times New Roman" w:eastAsia="宋体" w:cs="Times New Roman"/>
      <w:b/>
      <w:sz w:val="36"/>
      <w:szCs w:val="20"/>
    </w:rPr>
  </w:style>
  <w:style w:type="paragraph" w:customStyle="1" w:styleId="68">
    <w:name w:val="xl27"/>
    <w:basedOn w:val="1"/>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Arial Unicode MS" w:hAnsi="Arial Unicode MS" w:eastAsia="宋体" w:cs="Times New Roman"/>
      <w:kern w:val="0"/>
      <w:sz w:val="24"/>
    </w:rPr>
  </w:style>
  <w:style w:type="paragraph" w:customStyle="1" w:styleId="69">
    <w:name w:val="样式1"/>
    <w:basedOn w:val="1"/>
    <w:uiPriority w:val="0"/>
    <w:pPr>
      <w:spacing w:before="120" w:after="120" w:line="300" w:lineRule="auto"/>
    </w:pPr>
    <w:rPr>
      <w:rFonts w:ascii="宋体" w:hAnsi="宋体" w:eastAsia="宋体" w:cs="Times New Roman"/>
      <w:b/>
      <w:sz w:val="24"/>
    </w:rPr>
  </w:style>
  <w:style w:type="paragraph" w:customStyle="1" w:styleId="70">
    <w:name w:val="列出段落"/>
    <w:basedOn w:val="1"/>
    <w:qFormat/>
    <w:uiPriority w:val="0"/>
    <w:pPr>
      <w:ind w:firstLine="420" w:firstLineChars="200"/>
    </w:pPr>
    <w:rPr>
      <w:rFonts w:ascii="Times New Roman" w:hAnsi="Times New Roman" w:eastAsia="宋体" w:cs="Times New Roman"/>
      <w:szCs w:val="20"/>
    </w:rPr>
  </w:style>
  <w:style w:type="paragraph" w:customStyle="1" w:styleId="71">
    <w:name w:val="font10"/>
    <w:basedOn w:val="1"/>
    <w:uiPriority w:val="0"/>
    <w:pPr>
      <w:widowControl/>
      <w:spacing w:before="100" w:beforeAutospacing="1" w:after="100" w:afterAutospacing="1"/>
      <w:jc w:val="left"/>
    </w:pPr>
    <w:rPr>
      <w:rFonts w:hint="eastAsia" w:ascii="宋体" w:hAnsi="宋体" w:eastAsia="宋体" w:cs="Times New Roman"/>
      <w:kern w:val="0"/>
      <w:sz w:val="23"/>
      <w:szCs w:val="23"/>
    </w:rPr>
  </w:style>
  <w:style w:type="paragraph" w:customStyle="1" w:styleId="72">
    <w:name w:val="xl44"/>
    <w:basedOn w:val="1"/>
    <w:uiPriority w:val="0"/>
    <w:pPr>
      <w:widowControl/>
      <w:pBdr>
        <w:top w:val="single" w:color="auto" w:sz="4" w:space="0"/>
        <w:bottom w:val="single" w:color="auto" w:sz="8" w:space="0"/>
      </w:pBdr>
      <w:spacing w:before="100" w:beforeAutospacing="1" w:after="100" w:afterAutospacing="1"/>
      <w:jc w:val="left"/>
    </w:pPr>
    <w:rPr>
      <w:rFonts w:ascii="Arial Unicode MS" w:hAnsi="Arial Unicode MS" w:eastAsia="宋体" w:cs="Times New Roman"/>
      <w:kern w:val="0"/>
      <w:sz w:val="24"/>
    </w:rPr>
  </w:style>
  <w:style w:type="paragraph" w:customStyle="1" w:styleId="73">
    <w:name w:val="xl22"/>
    <w:basedOn w:val="1"/>
    <w:uiPriority w:val="0"/>
    <w:pPr>
      <w:widowControl/>
      <w:spacing w:before="100" w:beforeAutospacing="1" w:after="100" w:afterAutospacing="1"/>
      <w:jc w:val="left"/>
    </w:pPr>
    <w:rPr>
      <w:rFonts w:ascii="Arial Unicode MS" w:hAnsi="Arial Unicode MS" w:eastAsia="Arial Unicode MS" w:cs="Arial Unicode MS"/>
      <w:kern w:val="0"/>
      <w:sz w:val="20"/>
      <w:szCs w:val="20"/>
    </w:rPr>
  </w:style>
  <w:style w:type="paragraph" w:customStyle="1" w:styleId="74">
    <w:name w:val="xl36"/>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Times New Roman" w:hAnsi="Times New Roman" w:eastAsia="宋体" w:cs="Times New Roman"/>
      <w:kern w:val="0"/>
      <w:sz w:val="24"/>
    </w:rPr>
  </w:style>
  <w:style w:type="paragraph" w:customStyle="1" w:styleId="75">
    <w:name w:val="xl32"/>
    <w:basedOn w:val="1"/>
    <w:uiPriority w:val="0"/>
    <w:pPr>
      <w:widowControl/>
      <w:spacing w:before="100" w:beforeAutospacing="1" w:after="100" w:afterAutospacing="1"/>
      <w:jc w:val="left"/>
    </w:pPr>
    <w:rPr>
      <w:rFonts w:ascii="Times New Roman" w:hAnsi="Times New Roman" w:eastAsia="宋体" w:cs="Times New Roman"/>
      <w:kern w:val="0"/>
      <w:sz w:val="24"/>
    </w:rPr>
  </w:style>
  <w:style w:type="paragraph" w:customStyle="1" w:styleId="76">
    <w:name w:val="xl46"/>
    <w:basedOn w:val="1"/>
    <w:uiPriority w:val="0"/>
    <w:pPr>
      <w:widowControl/>
      <w:spacing w:before="100" w:beforeAutospacing="1" w:after="100" w:afterAutospacing="1"/>
      <w:jc w:val="left"/>
    </w:pPr>
    <w:rPr>
      <w:rFonts w:ascii="Times New Roman" w:hAnsi="Times New Roman" w:eastAsia="宋体" w:cs="Times New Roman"/>
      <w:kern w:val="0"/>
      <w:sz w:val="20"/>
      <w:szCs w:val="20"/>
    </w:rPr>
  </w:style>
  <w:style w:type="paragraph" w:customStyle="1" w:styleId="77">
    <w:name w:val=" Char1 Char Char Char1"/>
    <w:basedOn w:val="1"/>
    <w:uiPriority w:val="0"/>
    <w:pPr>
      <w:numPr>
        <w:ilvl w:val="0"/>
        <w:numId w:val="1"/>
      </w:numPr>
    </w:pPr>
    <w:rPr>
      <w:rFonts w:ascii="Times New Roman" w:hAnsi="Times New Roman" w:eastAsia="宋体" w:cs="Times New Roman"/>
      <w:sz w:val="24"/>
    </w:rPr>
  </w:style>
  <w:style w:type="paragraph" w:customStyle="1" w:styleId="78">
    <w:name w:val="xl28"/>
    <w:basedOn w:val="1"/>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Arial Unicode MS" w:hAnsi="Arial Unicode MS" w:eastAsia="宋体" w:cs="Times New Roman"/>
      <w:kern w:val="0"/>
      <w:sz w:val="24"/>
    </w:rPr>
  </w:style>
  <w:style w:type="paragraph" w:customStyle="1" w:styleId="79">
    <w:name w:val="xl34"/>
    <w:basedOn w:val="1"/>
    <w:uiPriority w:val="0"/>
    <w:pPr>
      <w:widowControl/>
      <w:pBdr>
        <w:top w:val="single" w:color="auto" w:sz="8" w:space="0"/>
      </w:pBdr>
      <w:spacing w:before="100" w:beforeAutospacing="1" w:after="100" w:afterAutospacing="1"/>
      <w:jc w:val="center"/>
    </w:pPr>
    <w:rPr>
      <w:rFonts w:ascii="Arial Unicode MS" w:hAnsi="Arial Unicode MS" w:eastAsia="宋体" w:cs="Times New Roman"/>
      <w:kern w:val="0"/>
      <w:sz w:val="23"/>
      <w:szCs w:val="23"/>
    </w:rPr>
  </w:style>
  <w:style w:type="paragraph" w:customStyle="1" w:styleId="80">
    <w:name w:val="xl48"/>
    <w:basedOn w:val="1"/>
    <w:uiPriority w:val="0"/>
    <w:pPr>
      <w:widowControl/>
      <w:spacing w:before="100" w:beforeAutospacing="1" w:after="100" w:afterAutospacing="1"/>
      <w:jc w:val="left"/>
    </w:pPr>
    <w:rPr>
      <w:rFonts w:ascii="Times New Roman" w:hAnsi="Times New Roman" w:eastAsia="宋体" w:cs="Times New Roman"/>
      <w:kern w:val="0"/>
      <w:sz w:val="20"/>
      <w:szCs w:val="20"/>
    </w:rPr>
  </w:style>
  <w:style w:type="paragraph" w:customStyle="1" w:styleId="81">
    <w:name w:val="bb"/>
    <w:basedOn w:val="1"/>
    <w:uiPriority w:val="0"/>
    <w:pPr>
      <w:widowControl/>
      <w:spacing w:before="100" w:beforeAutospacing="1" w:after="100" w:afterAutospacing="1"/>
      <w:jc w:val="left"/>
    </w:pPr>
    <w:rPr>
      <w:rFonts w:ascii="宋体" w:hAnsi="宋体" w:eastAsia="宋体" w:cs="Times New Roman"/>
      <w:kern w:val="0"/>
      <w:sz w:val="24"/>
    </w:rPr>
  </w:style>
  <w:style w:type="paragraph" w:customStyle="1" w:styleId="82">
    <w:name w:val="Char Char Char"/>
    <w:basedOn w:val="1"/>
    <w:uiPriority w:val="0"/>
    <w:rPr>
      <w:rFonts w:ascii="Tahoma" w:hAnsi="Tahoma" w:eastAsia="宋体" w:cs="Times New Roman"/>
      <w:sz w:val="24"/>
      <w:szCs w:val="20"/>
    </w:rPr>
  </w:style>
  <w:style w:type="paragraph" w:customStyle="1" w:styleId="83">
    <w:name w:val=" Char"/>
    <w:basedOn w:val="1"/>
    <w:uiPriority w:val="0"/>
    <w:rPr>
      <w:rFonts w:ascii="Times New Roman" w:hAnsi="Times New Roman" w:eastAsia="宋体" w:cs="Times New Roman"/>
    </w:rPr>
  </w:style>
  <w:style w:type="paragraph" w:customStyle="1" w:styleId="84">
    <w:name w:val=" Char Char Char Char Char Char Char Char Char Char Char Char"/>
    <w:basedOn w:val="1"/>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85">
    <w:name w:val="Char"/>
    <w:basedOn w:val="1"/>
    <w:uiPriority w:val="0"/>
    <w:rPr>
      <w:rFonts w:ascii="Times New Roman" w:hAnsi="Times New Roman" w:eastAsia="宋体" w:cs="Times New Roman"/>
    </w:rPr>
  </w:style>
  <w:style w:type="paragraph" w:customStyle="1" w:styleId="86">
    <w:name w:val="xl29"/>
    <w:basedOn w:val="1"/>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宋体" w:cs="Times New Roman"/>
      <w:kern w:val="0"/>
      <w:sz w:val="24"/>
    </w:rPr>
  </w:style>
  <w:style w:type="paragraph" w:customStyle="1" w:styleId="87">
    <w:name w:val="xl33"/>
    <w:basedOn w:val="1"/>
    <w:uiPriority w:val="0"/>
    <w:pPr>
      <w:widowControl/>
      <w:spacing w:before="100" w:beforeAutospacing="1" w:after="100" w:afterAutospacing="1"/>
      <w:jc w:val="center"/>
    </w:pPr>
    <w:rPr>
      <w:rFonts w:ascii="Arial Unicode MS" w:hAnsi="Arial Unicode MS" w:eastAsia="宋体" w:cs="Times New Roman"/>
      <w:b/>
      <w:bCs/>
      <w:kern w:val="0"/>
      <w:sz w:val="32"/>
      <w:szCs w:val="32"/>
    </w:rPr>
  </w:style>
  <w:style w:type="paragraph" w:customStyle="1" w:styleId="88">
    <w:name w:val="xl42"/>
    <w:basedOn w:val="1"/>
    <w:uiPriority w:val="0"/>
    <w:pPr>
      <w:widowControl/>
      <w:spacing w:before="100" w:beforeAutospacing="1" w:after="100" w:afterAutospacing="1"/>
      <w:jc w:val="center"/>
    </w:pPr>
    <w:rPr>
      <w:rFonts w:ascii="Arial Unicode MS" w:hAnsi="Arial Unicode MS" w:eastAsia="宋体" w:cs="Times New Roman"/>
      <w:kern w:val="0"/>
      <w:sz w:val="24"/>
    </w:rPr>
  </w:style>
  <w:style w:type="paragraph" w:customStyle="1" w:styleId="89">
    <w:name w:val="xl31"/>
    <w:basedOn w:val="1"/>
    <w:uiPriority w:val="0"/>
    <w:pPr>
      <w:widowControl/>
      <w:spacing w:before="100" w:beforeAutospacing="1" w:after="100" w:afterAutospacing="1"/>
      <w:jc w:val="center"/>
      <w:textAlignment w:val="center"/>
    </w:pPr>
    <w:rPr>
      <w:rFonts w:ascii="Arial Unicode MS" w:hAnsi="Arial Unicode MS" w:eastAsia="宋体" w:cs="Times New Roman"/>
      <w:kern w:val="0"/>
      <w:sz w:val="24"/>
    </w:rPr>
  </w:style>
  <w:style w:type="paragraph" w:customStyle="1" w:styleId="90">
    <w:name w:val="font7"/>
    <w:basedOn w:val="1"/>
    <w:uiPriority w:val="0"/>
    <w:pPr>
      <w:widowControl/>
      <w:spacing w:before="100" w:beforeAutospacing="1" w:after="100" w:afterAutospacing="1"/>
      <w:jc w:val="left"/>
    </w:pPr>
    <w:rPr>
      <w:rFonts w:hint="eastAsia" w:ascii="宋体" w:hAnsi="宋体" w:eastAsia="宋体" w:cs="Arial Unicode MS"/>
      <w:kern w:val="0"/>
      <w:szCs w:val="21"/>
    </w:rPr>
  </w:style>
  <w:style w:type="paragraph" w:customStyle="1" w:styleId="91">
    <w:name w:val="font5"/>
    <w:basedOn w:val="1"/>
    <w:uiPriority w:val="0"/>
    <w:pPr>
      <w:widowControl/>
      <w:spacing w:before="100" w:beforeAutospacing="1" w:after="100" w:afterAutospacing="1"/>
      <w:jc w:val="left"/>
    </w:pPr>
    <w:rPr>
      <w:rFonts w:hint="eastAsia" w:ascii="宋体" w:hAnsi="宋体" w:eastAsia="宋体" w:cs="Arial Unicode MS"/>
      <w:kern w:val="0"/>
      <w:sz w:val="20"/>
      <w:szCs w:val="20"/>
    </w:rPr>
  </w:style>
  <w:style w:type="paragraph" w:customStyle="1" w:styleId="92">
    <w:name w:val="xl24"/>
    <w:basedOn w:val="1"/>
    <w:uiPriority w:val="0"/>
    <w:pPr>
      <w:widowControl/>
      <w:spacing w:before="100" w:beforeAutospacing="1" w:after="100" w:afterAutospacing="1"/>
      <w:jc w:val="left"/>
    </w:pPr>
    <w:rPr>
      <w:rFonts w:hint="eastAsia" w:ascii="宋体" w:hAnsi="宋体" w:eastAsia="宋体" w:cs="Arial Unicode MS"/>
      <w:kern w:val="0"/>
      <w:sz w:val="24"/>
    </w:rPr>
  </w:style>
  <w:style w:type="paragraph" w:customStyle="1" w:styleId="93">
    <w:name w:val="合同正文"/>
    <w:basedOn w:val="1"/>
    <w:uiPriority w:val="0"/>
    <w:pPr>
      <w:adjustRightInd w:val="0"/>
      <w:spacing w:line="580" w:lineRule="exact"/>
    </w:pPr>
    <w:rPr>
      <w:rFonts w:ascii="Times New Roman" w:hAnsi="Times New Roman" w:eastAsia="宋体" w:cs="Times New Roman"/>
      <w:b/>
      <w:sz w:val="24"/>
      <w:szCs w:val="20"/>
    </w:rPr>
  </w:style>
  <w:style w:type="paragraph" w:customStyle="1" w:styleId="94">
    <w:name w:val="Plain Text"/>
    <w:basedOn w:val="1"/>
    <w:link w:val="117"/>
    <w:uiPriority w:val="0"/>
    <w:pPr>
      <w:adjustRightInd w:val="0"/>
      <w:jc w:val="left"/>
      <w:textAlignment w:val="baseline"/>
    </w:pPr>
    <w:rPr>
      <w:rFonts w:ascii="宋体" w:hAnsi="Courier New"/>
      <w:szCs w:val="20"/>
    </w:rPr>
  </w:style>
  <w:style w:type="paragraph" w:customStyle="1" w:styleId="95">
    <w:name w:val="xl41"/>
    <w:basedOn w:val="1"/>
    <w:uiPriority w:val="0"/>
    <w:pPr>
      <w:widowControl/>
      <w:spacing w:before="100" w:beforeAutospacing="1" w:after="100" w:afterAutospacing="1"/>
      <w:jc w:val="left"/>
      <w:textAlignment w:val="center"/>
    </w:pPr>
    <w:rPr>
      <w:rFonts w:ascii="Times New Roman" w:hAnsi="Times New Roman" w:eastAsia="宋体" w:cs="Times New Roman"/>
      <w:kern w:val="0"/>
      <w:sz w:val="24"/>
    </w:rPr>
  </w:style>
  <w:style w:type="paragraph" w:customStyle="1" w:styleId="96">
    <w:name w:val="xl45"/>
    <w:basedOn w:val="1"/>
    <w:uiPriority w:val="0"/>
    <w:pPr>
      <w:widowControl/>
      <w:pBdr>
        <w:top w:val="single" w:color="auto" w:sz="4" w:space="0"/>
        <w:bottom w:val="single" w:color="auto" w:sz="8" w:space="0"/>
        <w:right w:val="single" w:color="auto" w:sz="8" w:space="0"/>
      </w:pBdr>
      <w:spacing w:before="100" w:beforeAutospacing="1" w:after="100" w:afterAutospacing="1"/>
      <w:jc w:val="left"/>
    </w:pPr>
    <w:rPr>
      <w:rFonts w:ascii="Arial Unicode MS" w:hAnsi="Arial Unicode MS" w:eastAsia="宋体" w:cs="Times New Roman"/>
      <w:kern w:val="0"/>
      <w:sz w:val="24"/>
    </w:rPr>
  </w:style>
  <w:style w:type="paragraph" w:customStyle="1" w:styleId="97">
    <w:name w:val="简单回函地址"/>
    <w:basedOn w:val="1"/>
    <w:uiPriority w:val="0"/>
    <w:rPr>
      <w:rFonts w:ascii="仿宋_GB2312" w:hAnsi="宋体" w:eastAsia="仿宋_GB2312" w:cs="Times New Roman"/>
      <w:bCs/>
      <w:sz w:val="30"/>
      <w:szCs w:val="20"/>
    </w:rPr>
  </w:style>
  <w:style w:type="paragraph" w:customStyle="1" w:styleId="98">
    <w:name w:val="xl43"/>
    <w:basedOn w:val="1"/>
    <w:uiPriority w:val="0"/>
    <w:pPr>
      <w:widowControl/>
      <w:pBdr>
        <w:top w:val="single" w:color="auto" w:sz="4" w:space="0"/>
        <w:left w:val="single" w:color="auto" w:sz="8" w:space="0"/>
        <w:bottom w:val="single" w:color="auto" w:sz="8" w:space="0"/>
      </w:pBdr>
      <w:spacing w:before="100" w:beforeAutospacing="1" w:after="100" w:afterAutospacing="1"/>
      <w:jc w:val="left"/>
    </w:pPr>
    <w:rPr>
      <w:rFonts w:ascii="Arial Unicode MS" w:hAnsi="Arial Unicode MS" w:eastAsia="宋体" w:cs="Times New Roman"/>
      <w:kern w:val="0"/>
      <w:sz w:val="24"/>
    </w:rPr>
  </w:style>
  <w:style w:type="paragraph" w:customStyle="1" w:styleId="99">
    <w:name w:val=" Char Char Char"/>
    <w:basedOn w:val="1"/>
    <w:uiPriority w:val="0"/>
    <w:rPr>
      <w:rFonts w:ascii="Tahoma" w:hAnsi="Tahoma" w:eastAsia="宋体" w:cs="Times New Roman"/>
      <w:sz w:val="24"/>
      <w:szCs w:val="20"/>
    </w:rPr>
  </w:style>
  <w:style w:type="paragraph" w:customStyle="1" w:styleId="100">
    <w:name w:val="head4"/>
    <w:basedOn w:val="1"/>
    <w:uiPriority w:val="0"/>
    <w:pPr>
      <w:widowControl/>
      <w:overflowPunct w:val="0"/>
      <w:autoSpaceDE w:val="0"/>
      <w:autoSpaceDN w:val="0"/>
      <w:adjustRightInd w:val="0"/>
      <w:spacing w:before="120" w:line="360" w:lineRule="auto"/>
      <w:textAlignment w:val="baseline"/>
    </w:pPr>
    <w:rPr>
      <w:rFonts w:ascii="¿¬Ìå" w:hAnsi="¿¬Ìå" w:eastAsia="宋体" w:cs="Times New Roman"/>
      <w:kern w:val="0"/>
      <w:sz w:val="24"/>
    </w:rPr>
  </w:style>
  <w:style w:type="paragraph" w:customStyle="1" w:styleId="101">
    <w:name w:val="xl39"/>
    <w:basedOn w:val="1"/>
    <w:uiPriority w:val="0"/>
    <w:pPr>
      <w:widowControl/>
      <w:spacing w:before="100" w:beforeAutospacing="1" w:after="100" w:afterAutospacing="1"/>
      <w:jc w:val="center"/>
    </w:pPr>
    <w:rPr>
      <w:rFonts w:ascii="Times New Roman" w:hAnsi="Times New Roman" w:eastAsia="宋体" w:cs="Times New Roman"/>
      <w:b/>
      <w:bCs/>
      <w:kern w:val="0"/>
      <w:sz w:val="22"/>
      <w:szCs w:val="22"/>
    </w:rPr>
  </w:style>
  <w:style w:type="paragraph" w:customStyle="1" w:styleId="102">
    <w:name w:val="font0"/>
    <w:basedOn w:val="1"/>
    <w:uiPriority w:val="0"/>
    <w:pPr>
      <w:widowControl/>
      <w:spacing w:before="100" w:beforeAutospacing="1" w:after="100" w:afterAutospacing="1"/>
      <w:jc w:val="left"/>
    </w:pPr>
    <w:rPr>
      <w:rFonts w:ascii="Arial" w:hAnsi="Arial" w:eastAsia="Arial Unicode MS" w:cs="Arial"/>
      <w:kern w:val="0"/>
      <w:sz w:val="20"/>
      <w:szCs w:val="20"/>
    </w:rPr>
  </w:style>
  <w:style w:type="paragraph" w:customStyle="1" w:styleId="103">
    <w:name w:val="文件目录"/>
    <w:basedOn w:val="1"/>
    <w:uiPriority w:val="0"/>
    <w:pPr>
      <w:spacing w:line="600" w:lineRule="exact"/>
      <w:jc w:val="left"/>
    </w:pPr>
    <w:rPr>
      <w:rFonts w:ascii="Times New Roman" w:hAnsi="Times New Roman" w:eastAsia="宋体" w:cs="Times New Roman"/>
      <w:b/>
      <w:sz w:val="30"/>
      <w:szCs w:val="20"/>
    </w:rPr>
  </w:style>
  <w:style w:type="paragraph" w:customStyle="1" w:styleId="104">
    <w:name w:val="Body Text 2"/>
    <w:basedOn w:val="1"/>
    <w:uiPriority w:val="0"/>
    <w:pPr>
      <w:adjustRightInd w:val="0"/>
      <w:spacing w:line="460" w:lineRule="exact"/>
      <w:ind w:firstLine="635"/>
      <w:jc w:val="left"/>
      <w:textAlignment w:val="baseline"/>
    </w:pPr>
    <w:rPr>
      <w:rFonts w:ascii="Times New Roman" w:hAnsi="Times New Roman" w:eastAsia="宋体" w:cs="Times New Roman"/>
      <w:sz w:val="28"/>
      <w:szCs w:val="20"/>
    </w:rPr>
  </w:style>
  <w:style w:type="paragraph" w:customStyle="1" w:styleId="105">
    <w:name w:val=" Char Char Char Char"/>
    <w:basedOn w:val="11"/>
    <w:uiPriority w:val="0"/>
    <w:rPr>
      <w:rFonts w:ascii="Tahoma" w:hAnsi="Tahoma" w:eastAsia="宋体" w:cs="Times New Roman"/>
      <w:sz w:val="24"/>
    </w:rPr>
  </w:style>
  <w:style w:type="paragraph" w:customStyle="1" w:styleId="106">
    <w:name w:val="xl26"/>
    <w:basedOn w:val="1"/>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eastAsia="宋体" w:cs="Times New Roman"/>
      <w:kern w:val="0"/>
      <w:sz w:val="24"/>
    </w:rPr>
  </w:style>
  <w:style w:type="paragraph" w:customStyle="1" w:styleId="107">
    <w:name w:val="xl4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宋体" w:cs="Times New Roman"/>
      <w:b/>
      <w:bCs/>
      <w:kern w:val="0"/>
      <w:sz w:val="24"/>
    </w:rPr>
  </w:style>
  <w:style w:type="paragraph" w:customStyle="1" w:styleId="108">
    <w:name w:val="TOC 标题"/>
    <w:basedOn w:val="3"/>
    <w:next w:val="1"/>
    <w:qFormat/>
    <w:uiPriority w:val="0"/>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09">
    <w:name w:val="List Paragraph"/>
    <w:basedOn w:val="1"/>
    <w:uiPriority w:val="0"/>
    <w:pPr>
      <w:spacing w:before="100" w:beforeAutospacing="1" w:after="100" w:afterAutospacing="1" w:line="462" w:lineRule="exact"/>
      <w:ind w:left="978" w:hanging="721"/>
    </w:pPr>
    <w:rPr>
      <w:rFonts w:ascii="WenQuanYi Zen Hei Mono" w:hAnsi="WenQuanYi Zen Hei Mono" w:cs="宋体"/>
      <w:szCs w:val="21"/>
    </w:rPr>
  </w:style>
  <w:style w:type="character" w:customStyle="1" w:styleId="110">
    <w:name w:val="15"/>
    <w:basedOn w:val="43"/>
    <w:uiPriority w:val="0"/>
    <w:rPr>
      <w:rFonts w:hint="default" w:ascii="Times New Roman" w:hAnsi="Times New Roman" w:eastAsia="宋体" w:cs="Times New Roman"/>
    </w:rPr>
  </w:style>
  <w:style w:type="character" w:customStyle="1" w:styleId="111">
    <w:name w:val="font71"/>
    <w:basedOn w:val="43"/>
    <w:uiPriority w:val="0"/>
    <w:rPr>
      <w:rFonts w:hint="eastAsia" w:ascii="宋体" w:hAnsi="宋体" w:eastAsia="宋体" w:cs="宋体"/>
      <w:color w:val="000000"/>
      <w:sz w:val="28"/>
      <w:szCs w:val="28"/>
      <w:u w:val="none"/>
    </w:rPr>
  </w:style>
  <w:style w:type="character" w:customStyle="1" w:styleId="112">
    <w:name w:val="f16b1"/>
    <w:uiPriority w:val="0"/>
    <w:rPr>
      <w:rFonts w:ascii="Times New Roman" w:hAnsi="Times New Roman" w:eastAsia="宋体" w:cs="Times New Roman"/>
      <w:b/>
      <w:bCs/>
      <w:color w:val="333333"/>
      <w:sz w:val="24"/>
      <w:szCs w:val="24"/>
    </w:rPr>
  </w:style>
  <w:style w:type="character" w:customStyle="1" w:styleId="113">
    <w:name w:val=" Char Char5"/>
    <w:link w:val="25"/>
    <w:uiPriority w:val="0"/>
    <w:rPr>
      <w:rFonts w:ascii="宋体" w:hAnsi="Courier New" w:eastAsia="宋体" w:cs="Times New Roman"/>
      <w:kern w:val="2"/>
      <w:sz w:val="18"/>
    </w:rPr>
  </w:style>
  <w:style w:type="character" w:customStyle="1" w:styleId="114">
    <w:name w:val=" Char Char6"/>
    <w:link w:val="15"/>
    <w:uiPriority w:val="0"/>
    <w:rPr>
      <w:rFonts w:ascii="宋体" w:hAnsi="Courier New" w:eastAsia="宋体" w:cs="Times New Roman"/>
      <w:spacing w:val="-4"/>
      <w:kern w:val="2"/>
      <w:sz w:val="18"/>
      <w:lang w:val="en-US" w:eastAsia="zh-CN" w:bidi="ar-SA"/>
    </w:rPr>
  </w:style>
  <w:style w:type="character" w:customStyle="1" w:styleId="115">
    <w:name w:val=" Char Char7"/>
    <w:link w:val="26"/>
    <w:uiPriority w:val="0"/>
    <w:rPr>
      <w:rFonts w:ascii="宋体" w:hAnsi="Courier New" w:eastAsia="宋体" w:cs="Times New Roman"/>
      <w:kern w:val="2"/>
      <w:sz w:val="18"/>
    </w:rPr>
  </w:style>
  <w:style w:type="character" w:customStyle="1" w:styleId="116">
    <w:name w:val="ho122"/>
    <w:uiPriority w:val="0"/>
    <w:rPr>
      <w:rFonts w:ascii="Times New Roman" w:hAnsi="Times New Roman" w:eastAsia="宋体" w:cs="Times New Roman"/>
      <w:color w:val="CC0000"/>
    </w:rPr>
  </w:style>
  <w:style w:type="character" w:customStyle="1" w:styleId="117">
    <w:name w:val="Plain Text Char1"/>
    <w:link w:val="94"/>
    <w:uiPriority w:val="0"/>
    <w:rPr>
      <w:rFonts w:ascii="宋体" w:hAnsi="Courier New" w:eastAsia="宋体" w:cs="Times New Roman"/>
      <w:kern w:val="2"/>
      <w:sz w:val="21"/>
      <w:lang w:val="en-US" w:eastAsia="zh-CN" w:bidi="ar-SA"/>
    </w:rPr>
  </w:style>
  <w:style w:type="character" w:customStyle="1" w:styleId="118">
    <w:name w:val=" Char Char2"/>
    <w:uiPriority w:val="0"/>
    <w:rPr>
      <w:rFonts w:ascii="宋体" w:hAnsi="Courier New" w:eastAsia="宋体" w:cs="Times New Roman"/>
      <w:kern w:val="2"/>
      <w:sz w:val="21"/>
      <w:lang w:val="en-US" w:eastAsia="zh-CN" w:bidi="ar-SA"/>
    </w:rPr>
  </w:style>
  <w:style w:type="character" w:customStyle="1" w:styleId="119">
    <w:name w:val="普通文字 Char Char2"/>
    <w:uiPriority w:val="0"/>
    <w:rPr>
      <w:rFonts w:ascii="宋体" w:hAnsi="Courier New" w:eastAsia="宋体" w:cs="Times New Roman"/>
      <w:kern w:val="2"/>
      <w:sz w:val="21"/>
      <w:lang w:val="en-US" w:eastAsia="zh-CN" w:bidi="ar-SA"/>
    </w:rPr>
  </w:style>
  <w:style w:type="character" w:customStyle="1" w:styleId="120">
    <w:name w:val="font31"/>
    <w:basedOn w:val="43"/>
    <w:uiPriority w:val="0"/>
    <w:rPr>
      <w:rFonts w:hint="eastAsia" w:ascii="黑体" w:hAnsi="宋体" w:eastAsia="黑体" w:cs="黑体"/>
      <w:color w:val="000000"/>
      <w:sz w:val="28"/>
      <w:szCs w:val="28"/>
      <w:u w:val="none"/>
    </w:rPr>
  </w:style>
  <w:style w:type="character" w:customStyle="1" w:styleId="121">
    <w:name w:val=" Char Char"/>
    <w:link w:val="37"/>
    <w:uiPriority w:val="0"/>
    <w:rPr>
      <w:rFonts w:ascii="Cambria" w:hAnsi="Cambria" w:eastAsia="宋体" w:cs="Times New Roman"/>
      <w:b/>
      <w:bCs/>
      <w:kern w:val="2"/>
      <w:sz w:val="32"/>
      <w:szCs w:val="32"/>
    </w:rPr>
  </w:style>
  <w:style w:type="character" w:customStyle="1" w:styleId="122">
    <w:name w:val="纯文本 Char1"/>
    <w:uiPriority w:val="0"/>
    <w:rPr>
      <w:rFonts w:ascii="宋体" w:hAnsi="Courier New" w:eastAsia="宋体" w:cs="Times New Roman"/>
      <w:kern w:val="2"/>
      <w:sz w:val="21"/>
    </w:rPr>
  </w:style>
  <w:style w:type="character" w:customStyle="1" w:styleId="123">
    <w:name w:val=" Char Char4"/>
    <w:link w:val="20"/>
    <w:uiPriority w:val="0"/>
    <w:rPr>
      <w:rFonts w:ascii="宋体" w:hAnsi="Courier New" w:eastAsia="宋体" w:cs="Times New Roman"/>
      <w:kern w:val="2"/>
      <w:sz w:val="21"/>
      <w:lang w:val="en-US" w:eastAsia="zh-CN" w:bidi="ar-SA"/>
    </w:rPr>
  </w:style>
  <w:style w:type="character" w:customStyle="1" w:styleId="124">
    <w:name w:val=" Char Char3"/>
    <w:link w:val="12"/>
    <w:uiPriority w:val="0"/>
    <w:rPr>
      <w:rFonts w:ascii="Times New Roman" w:hAnsi="Times New Roman" w:eastAsia="宋体" w:cs="Times New Roman"/>
      <w:kern w:val="2"/>
      <w:sz w:val="21"/>
      <w:szCs w:val="24"/>
      <w:lang w:val="en-US" w:eastAsia="zh-CN" w:bidi="ar-SA"/>
    </w:rPr>
  </w:style>
  <w:style w:type="character" w:customStyle="1" w:styleId="125">
    <w:name w:val="font51"/>
    <w:basedOn w:val="43"/>
    <w:uiPriority w:val="0"/>
    <w:rPr>
      <w:rFonts w:hint="default" w:ascii="Times New Roman" w:hAnsi="Times New Roman" w:cs="Times New Roman"/>
      <w:color w:val="000000"/>
      <w:sz w:val="28"/>
      <w:szCs w:val="28"/>
      <w:u w:val="none"/>
    </w:rPr>
  </w:style>
  <w:style w:type="character" w:customStyle="1" w:styleId="126">
    <w:name w:val=" Char Char1"/>
    <w:link w:val="34"/>
    <w:uiPriority w:val="0"/>
    <w:rPr>
      <w:rFonts w:ascii="黑体" w:hAnsi="Courier New" w:eastAsia="黑体" w:cs="Courier New"/>
    </w:rPr>
  </w:style>
  <w:style w:type="character" w:customStyle="1" w:styleId="127">
    <w:name w:val="font41"/>
    <w:basedOn w:val="43"/>
    <w:uiPriority w:val="0"/>
    <w:rPr>
      <w:rFonts w:hint="eastAsia" w:ascii="黑体" w:hAnsi="宋体" w:eastAsia="黑体" w:cs="黑体"/>
      <w:color w:val="FF0000"/>
      <w:sz w:val="28"/>
      <w:szCs w:val="28"/>
      <w:u w:val="none"/>
    </w:rPr>
  </w:style>
  <w:style w:type="character" w:customStyle="1" w:styleId="128">
    <w:name w:val="正文文本缩进 Char1"/>
    <w:uiPriority w:val="0"/>
    <w:rPr>
      <w:rFonts w:ascii="宋体" w:hAnsi="Courier New" w:eastAsia="宋体" w:cs="Times New Roman"/>
      <w:spacing w:val="-4"/>
      <w:kern w:val="2"/>
      <w:sz w:val="18"/>
    </w:rPr>
  </w:style>
  <w:style w:type="character" w:customStyle="1" w:styleId="129">
    <w:name w:val="field15"/>
    <w:uiPriority w:val="0"/>
    <w:rPr>
      <w:rFonts w:ascii="Times New Roman" w:hAnsi="Times New Roman" w:eastAsia="宋体" w:cs="Times New Roman"/>
    </w:rPr>
  </w:style>
  <w:style w:type="character" w:customStyle="1" w:styleId="130">
    <w:name w:val="NormalCharacter"/>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ylgs</Company>
  <Pages>1</Pages>
  <Words>5461</Words>
  <Characters>31129</Characters>
  <Lines>259</Lines>
  <Paragraphs>73</Paragraphs>
  <TotalTime>5</TotalTime>
  <ScaleCrop>false</ScaleCrop>
  <LinksUpToDate>false</LinksUpToDate>
  <CharactersWithSpaces>36517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2020-11-20T00:51:00Z</dcterms:created>
  <dc:creator>ylgs5</dc:creator>
  <cp:lastModifiedBy>Administrator</cp:lastModifiedBy>
  <cp:lastPrinted>2020-11-12T02:42:00Z</cp:lastPrinted>
  <dcterms:modified xsi:type="dcterms:W3CDTF">2020-11-25T03:21:46Z</dcterms:modified>
  <dc:title>圣弘建设股份有限公司</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