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before="0" w:after="0"/>
        <w:rPr>
          <w:rFonts w:hint="eastAsia" w:ascii="宋体" w:hAnsi="宋体" w:cs="宋体"/>
        </w:rPr>
      </w:pPr>
      <w:bookmarkStart w:id="0" w:name="_Toc11439"/>
      <w:r>
        <w:rPr>
          <w:rFonts w:hint="eastAsia" w:ascii="宋体" w:hAnsi="宋体" w:cs="宋体"/>
        </w:rPr>
        <w:t xml:space="preserve">  采购项目需求</w:t>
      </w:r>
      <w:bookmarkEnd w:id="0"/>
    </w:p>
    <w:p>
      <w:pPr>
        <w:pStyle w:val="6"/>
        <w:adjustRightInd w:val="0"/>
        <w:snapToGrid w:val="0"/>
        <w:spacing w:line="360" w:lineRule="exact"/>
        <w:ind w:firstLine="422" w:firstLineChars="200"/>
        <w:rPr>
          <w:rFonts w:hint="eastAsia" w:hAnsi="宋体" w:cs="宋体"/>
          <w:b/>
          <w:bCs/>
          <w:sz w:val="21"/>
          <w:szCs w:val="21"/>
        </w:rPr>
      </w:pPr>
      <w:r>
        <w:rPr>
          <w:rFonts w:hint="eastAsia" w:hAnsi="宋体" w:cs="宋体"/>
          <w:b/>
          <w:bCs/>
          <w:sz w:val="21"/>
          <w:szCs w:val="21"/>
        </w:rPr>
        <w:t xml:space="preserve">（一）项目背景及效益 </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目前北海市拥有电动车数量超过</w:t>
      </w:r>
      <w:r>
        <w:rPr>
          <w:rFonts w:hint="eastAsia" w:hAnsi="宋体" w:cs="宋体"/>
          <w:color w:val="000000"/>
          <w:sz w:val="21"/>
          <w:szCs w:val="21"/>
          <w:lang w:val="en-US" w:eastAsia="zh-CN"/>
        </w:rPr>
        <w:t>50</w:t>
      </w:r>
      <w:r>
        <w:rPr>
          <w:rFonts w:hint="eastAsia" w:hAnsi="宋体" w:cs="宋体"/>
          <w:color w:val="000000"/>
          <w:sz w:val="21"/>
          <w:szCs w:val="21"/>
        </w:rPr>
        <w:t>万辆，而市区内存在电动车停车位数量严重不足、施划不规范等问题，导致电动车乱停乱放，影响市容市貌。为解决上述问题，营造文明、和谐、安全、有序的城市交通环境，北海市综合行政执法局特提出了电动车停车位重新进行设计、施划，规范电动车停放秩序管理，充分利用城市道路资源，优化市区交通环境，创造干净整洁的市容市貌，推进文明旅游卫生城市创建。</w:t>
      </w:r>
    </w:p>
    <w:p>
      <w:pPr>
        <w:pStyle w:val="6"/>
        <w:adjustRightInd w:val="0"/>
        <w:snapToGrid w:val="0"/>
        <w:spacing w:line="360" w:lineRule="exact"/>
        <w:ind w:left="105" w:firstLine="315"/>
        <w:rPr>
          <w:rFonts w:hint="eastAsia" w:hAnsi="宋体" w:cs="宋体"/>
          <w:b/>
          <w:bCs/>
          <w:sz w:val="21"/>
          <w:szCs w:val="21"/>
        </w:rPr>
      </w:pPr>
      <w:r>
        <w:rPr>
          <w:rFonts w:hint="eastAsia" w:hAnsi="宋体" w:cs="宋体"/>
          <w:b/>
          <w:bCs/>
          <w:sz w:val="21"/>
          <w:szCs w:val="21"/>
        </w:rPr>
        <w:t>▲（二）有关技术、规格要求</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 xml:space="preserve">1.车位标线材料的选择：根据《道路交通标线质量要求和检测方法》 （GB/T16311-2009）的要求， 标线采用反光型热熔型涂料，并具备与路面粘结力强，干燥迅速，以及良好的耐磨性、持久性、抗滑性等特点。路面标线所用材料应符合《道路预成形标线带》（GB/T 24717-2009）、《路面标线涂料》 （JT/T280-2004）、《路面防滑涂料》（JT/T712-2008）相关要求。 </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 xml:space="preserve">2.车位标线外观质量要求：标线应具有良好的观认性，颜色均匀、边缘整齐、线型规则、线条流畅，标线图层厚度应均匀，无明显起泡、皱纹、斑点、开裂、发粘、脱落、泛花等缺陷。反光标线的面撒玻璃珠应均匀，其性能和粒径分布应符合《路面标线用玻璃珠》（GB/T24722-2020）的要求。 </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 xml:space="preserve">3.车位标线外形尺寸要求：标线实际位置与设计位置的横向允许误差为±30mm。标线的宽度允许误差为(0～5)mm；标线的长度及间断线纵向间距误差的允许误差符合《道路交通标线质量要求和检测方法》（GB/T16311-2009）表1的规定；其他标线尺寸的允许误差不超过±5%。标线的设置角度的允许误差为±3°。 </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4.标线材料要求：采用反光型热熔型涂料（白色）。标线涂料应符合国家技术标准要求的各项技术指标（具体详见附件一），签订合同时提供具有检测资质的第三方检验机构出具的检测报告。</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5.规格要求：</w:t>
      </w:r>
    </w:p>
    <w:p>
      <w:pPr>
        <w:pStyle w:val="6"/>
        <w:adjustRightInd w:val="0"/>
        <w:snapToGrid w:val="0"/>
        <w:spacing w:afterAutospacing="0" w:line="360" w:lineRule="exact"/>
        <w:ind w:firstLine="420" w:firstLineChars="200"/>
        <w:rPr>
          <w:rFonts w:hint="eastAsia" w:hAnsi="宋体" w:cs="宋体"/>
          <w:color w:val="000000"/>
          <w:sz w:val="21"/>
          <w:szCs w:val="21"/>
        </w:rPr>
      </w:pPr>
      <w:r>
        <w:rPr>
          <w:rFonts w:hint="eastAsia" w:hAnsi="宋体" w:cs="宋体"/>
          <w:color w:val="000000"/>
          <w:sz w:val="21"/>
          <w:szCs w:val="21"/>
        </w:rPr>
        <w:t>①车位长度为2m，指示箭头有树池按6m间距施划，无树池按10m间距施划；</w:t>
      </w:r>
    </w:p>
    <w:p>
      <w:pPr>
        <w:pStyle w:val="5"/>
        <w:numPr>
          <w:numId w:val="0"/>
        </w:numPr>
        <w:spacing w:before="0" w:beforeAutospacing="0" w:after="0" w:afterAutospacing="0" w:line="360" w:lineRule="exact"/>
        <w:ind w:leftChars="200"/>
        <w:rPr>
          <w:rFonts w:ascii="宋体" w:hAnsi="宋体" w:cs="宋体"/>
          <w:b w:val="0"/>
          <w:bCs w:val="0"/>
          <w:color w:val="000000"/>
          <w:kern w:val="0"/>
          <w:szCs w:val="21"/>
        </w:rPr>
      </w:pPr>
      <w:r>
        <w:rPr>
          <w:rFonts w:hint="eastAsia" w:ascii="宋体" w:hAnsi="宋体" w:cs="宋体"/>
          <w:b w:val="0"/>
          <w:bCs w:val="0"/>
          <w:color w:val="000000"/>
          <w:szCs w:val="21"/>
        </w:rPr>
        <w:t>②</w:t>
      </w:r>
      <w:r>
        <w:rPr>
          <w:rFonts w:ascii="宋体" w:hAnsi="宋体" w:cs="宋体"/>
          <w:b w:val="0"/>
          <w:bCs w:val="0"/>
          <w:color w:val="000000"/>
          <w:kern w:val="0"/>
          <w:szCs w:val="21"/>
        </w:rPr>
        <w:t>绿化带沿道路方向之间断开部位按照0.8m长度比例施划停车位，停车位与一端绿化带之间至少预留1. 5m，以便行人过街</w:t>
      </w:r>
      <w:r>
        <w:rPr>
          <w:rFonts w:hint="eastAsia" w:ascii="宋体" w:hAnsi="宋体" w:cs="宋体"/>
          <w:b w:val="0"/>
          <w:bCs w:val="0"/>
          <w:color w:val="000000"/>
          <w:kern w:val="0"/>
          <w:szCs w:val="21"/>
        </w:rPr>
        <w:t>；</w:t>
      </w:r>
    </w:p>
    <w:p>
      <w:pPr>
        <w:pStyle w:val="6"/>
        <w:adjustRightInd w:val="0"/>
        <w:snapToGrid w:val="0"/>
        <w:spacing w:beforeAutospacing="0" w:line="360" w:lineRule="exact"/>
        <w:ind w:firstLine="420" w:firstLineChars="200"/>
        <w:rPr>
          <w:rFonts w:hint="eastAsia" w:hAnsi="宋体" w:cs="宋体"/>
          <w:color w:val="000000"/>
          <w:sz w:val="21"/>
          <w:szCs w:val="21"/>
        </w:rPr>
      </w:pPr>
      <w:r>
        <w:rPr>
          <w:rFonts w:hint="eastAsia" w:hAnsi="宋体" w:cs="宋体"/>
          <w:color w:val="000000"/>
          <w:sz w:val="21"/>
          <w:szCs w:val="21"/>
        </w:rPr>
        <w:t>③停车位边线：宽度10cm，厚度 2.0mm；</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④指向箭头长80cm，厚度 2.0mm，单个指示箭头面积为0.072m</w:t>
      </w:r>
      <w:r>
        <w:rPr>
          <w:rFonts w:hint="eastAsia" w:hAnsi="宋体" w:cs="宋体"/>
          <w:color w:val="000000"/>
          <w:sz w:val="21"/>
          <w:szCs w:val="21"/>
          <w:vertAlign w:val="superscript"/>
        </w:rPr>
        <w:t>2</w:t>
      </w:r>
      <w:r>
        <w:rPr>
          <w:rFonts w:hint="eastAsia" w:hAnsi="宋体" w:cs="宋体"/>
          <w:color w:val="000000"/>
          <w:sz w:val="21"/>
          <w:szCs w:val="21"/>
        </w:rPr>
        <w:t>（详见停车位指向箭头样式图）。</w:t>
      </w:r>
    </w:p>
    <w:p>
      <w:pPr>
        <w:pStyle w:val="5"/>
        <w:numPr>
          <w:numId w:val="0"/>
        </w:numPr>
        <w:ind w:leftChars="0"/>
        <w:jc w:val="center"/>
        <w:rPr>
          <w:rFonts w:hint="eastAsia"/>
        </w:rPr>
      </w:pPr>
      <w:bookmarkStart w:id="1" w:name="_GoBack"/>
      <w:r>
        <w:drawing>
          <wp:inline distT="0" distB="0" distL="114300" distR="114300">
            <wp:extent cx="2376805" cy="2327910"/>
            <wp:effectExtent l="0" t="0" r="444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9419" r="8728"/>
                    <a:stretch>
                      <a:fillRect/>
                    </a:stretch>
                  </pic:blipFill>
                  <pic:spPr>
                    <a:xfrm>
                      <a:off x="0" y="0"/>
                      <a:ext cx="2376805" cy="2327910"/>
                    </a:xfrm>
                    <a:prstGeom prst="rect">
                      <a:avLst/>
                    </a:prstGeom>
                    <a:noFill/>
                    <a:ln>
                      <a:noFill/>
                    </a:ln>
                  </pic:spPr>
                </pic:pic>
              </a:graphicData>
            </a:graphic>
          </wp:inline>
        </w:drawing>
      </w:r>
      <w:bookmarkEnd w:id="1"/>
    </w:p>
    <w:p>
      <w:pPr>
        <w:pStyle w:val="6"/>
        <w:adjustRightInd w:val="0"/>
        <w:snapToGrid w:val="0"/>
        <w:spacing w:line="360" w:lineRule="exact"/>
        <w:ind w:firstLine="420" w:firstLineChars="200"/>
        <w:rPr>
          <w:rFonts w:hint="eastAsia" w:hAnsi="宋体" w:cs="宋体"/>
          <w:sz w:val="21"/>
          <w:szCs w:val="21"/>
        </w:rPr>
      </w:pPr>
      <w:r>
        <w:rPr>
          <w:rFonts w:hint="eastAsia" w:hAnsi="宋体" w:cs="宋体"/>
          <w:sz w:val="21"/>
          <w:szCs w:val="21"/>
        </w:rPr>
        <w:t>6.成交供应商根据采购人提供的设计图纸进行标线施划，施划时可根据现场实际情况进行适当调整（调整前应经过采购人审核同意），根据现场的实际情况选取垂直式、倾斜式和平行式停车位；停车位施划时，要预留好人行通道，避开检查井、雨水口和盲道，同时停车位及出入口不能占用规划设计有植被的绿化带，避开古树名树和现有的其他植被。</w:t>
      </w:r>
    </w:p>
    <w:p>
      <w:pPr>
        <w:pStyle w:val="6"/>
        <w:adjustRightInd w:val="0"/>
        <w:snapToGrid w:val="0"/>
        <w:spacing w:line="360" w:lineRule="exact"/>
        <w:ind w:firstLine="420" w:firstLineChars="200"/>
        <w:rPr>
          <w:rFonts w:hint="eastAsia" w:hAnsi="宋体" w:cs="宋体"/>
          <w:sz w:val="21"/>
          <w:szCs w:val="21"/>
        </w:rPr>
      </w:pPr>
      <w:r>
        <w:rPr>
          <w:rFonts w:hint="eastAsia" w:hAnsi="宋体" w:cs="宋体"/>
          <w:sz w:val="21"/>
          <w:szCs w:val="21"/>
        </w:rPr>
        <w:t>7.施划车位时应尽量合理利用施划空间，足够施划两排车位尽可能多施划一排停车位。</w:t>
      </w:r>
    </w:p>
    <w:p>
      <w:pPr>
        <w:pStyle w:val="6"/>
        <w:adjustRightInd w:val="0"/>
        <w:snapToGrid w:val="0"/>
        <w:spacing w:line="360" w:lineRule="exact"/>
        <w:ind w:left="420"/>
        <w:rPr>
          <w:rFonts w:hint="eastAsia" w:hAnsi="宋体" w:cs="宋体"/>
          <w:b/>
          <w:bCs/>
          <w:sz w:val="21"/>
          <w:szCs w:val="21"/>
        </w:rPr>
      </w:pPr>
      <w:r>
        <w:rPr>
          <w:rFonts w:hint="eastAsia" w:hAnsi="宋体" w:cs="宋体"/>
          <w:b/>
          <w:bCs/>
          <w:sz w:val="21"/>
          <w:szCs w:val="21"/>
        </w:rPr>
        <w:t>▲（三）施工要求</w:t>
      </w:r>
    </w:p>
    <w:p>
      <w:pPr>
        <w:pStyle w:val="6"/>
        <w:adjustRightInd w:val="0"/>
        <w:snapToGrid w:val="0"/>
        <w:spacing w:line="360" w:lineRule="exact"/>
        <w:ind w:firstLine="420" w:firstLineChars="200"/>
        <w:rPr>
          <w:rFonts w:hint="eastAsia" w:hAnsi="宋体" w:cs="宋体"/>
          <w:sz w:val="21"/>
          <w:szCs w:val="21"/>
        </w:rPr>
      </w:pPr>
      <w:r>
        <w:rPr>
          <w:rFonts w:hint="eastAsia" w:hAnsi="宋体" w:cs="宋体"/>
          <w:sz w:val="21"/>
          <w:szCs w:val="21"/>
        </w:rPr>
        <w:t>1.成交供应商在施划标线前应铲除旧标线，彻底清扫路面（使用吹风机除去路面尘土、砂泥、附着物等），以提高路面与涂膜之间的粘接力；</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2.喷涂后的标线应平直，在指定曲线处平顺，所有标线的边缘应整齐；</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 xml:space="preserve">4.项目实施过程中注意安全防护、文明施工。成交供应商在施工期间，必须严格按照有关规定，进行施工现场的管理，做到安全文明施工；不得扰乱居民的正常休息时间；对建筑面造成的破坏，成交供应商必须负责无偿修复；  </w:t>
      </w:r>
    </w:p>
    <w:p>
      <w:pPr>
        <w:pStyle w:val="6"/>
        <w:adjustRightInd w:val="0"/>
        <w:snapToGrid w:val="0"/>
        <w:spacing w:line="360" w:lineRule="exact"/>
        <w:ind w:firstLine="420" w:firstLineChars="200"/>
        <w:rPr>
          <w:rFonts w:hint="eastAsia" w:hAnsi="宋体" w:cs="宋体"/>
          <w:color w:val="000000"/>
          <w:sz w:val="21"/>
          <w:szCs w:val="21"/>
        </w:rPr>
      </w:pPr>
      <w:r>
        <w:rPr>
          <w:rFonts w:hint="eastAsia" w:hAnsi="宋体" w:cs="宋体"/>
          <w:color w:val="000000"/>
          <w:sz w:val="21"/>
          <w:szCs w:val="21"/>
        </w:rPr>
        <w:t xml:space="preserve">5.项目实施过程中的余土及垃圾要求及时外运，不得在施工现场存放。项目竣工后，将垃圾全部清理完毕，做到工完、料净、地清； </w:t>
      </w:r>
    </w:p>
    <w:p>
      <w:pPr>
        <w:pStyle w:val="6"/>
        <w:adjustRightInd w:val="0"/>
        <w:snapToGrid w:val="0"/>
        <w:spacing w:line="360" w:lineRule="exact"/>
        <w:ind w:firstLine="420" w:firstLineChars="200"/>
        <w:rPr>
          <w:rFonts w:hint="eastAsia" w:hAnsi="宋体" w:eastAsia="宋体" w:cs="宋体"/>
          <w:color w:val="000000"/>
          <w:sz w:val="21"/>
          <w:szCs w:val="21"/>
          <w:lang w:eastAsia="zh-CN"/>
        </w:rPr>
      </w:pPr>
      <w:r>
        <w:rPr>
          <w:rFonts w:hint="eastAsia" w:hAnsi="宋体" w:cs="宋体"/>
          <w:color w:val="000000"/>
          <w:sz w:val="21"/>
          <w:szCs w:val="21"/>
        </w:rPr>
        <w:t>7.成交供应商应严格按设计图纸及设计施工说明认真施工,并严格执行国家有关部门颁布的现行国家标准、行业标准和地方标准</w:t>
      </w:r>
      <w:r>
        <w:rPr>
          <w:rFonts w:hint="eastAsia" w:hAnsi="宋体" w:cs="宋体"/>
          <w:color w:val="000000"/>
          <w:sz w:val="21"/>
          <w:szCs w:val="21"/>
          <w:lang w:eastAsia="zh-CN"/>
        </w:rPr>
        <w:t>；</w:t>
      </w:r>
    </w:p>
    <w:p>
      <w:pPr>
        <w:pStyle w:val="6"/>
        <w:adjustRightInd w:val="0"/>
        <w:snapToGrid w:val="0"/>
        <w:spacing w:line="360" w:lineRule="exact"/>
        <w:ind w:firstLine="420" w:firstLineChars="200"/>
        <w:rPr>
          <w:rFonts w:hint="eastAsia"/>
          <w:color w:val="FF0000"/>
        </w:rPr>
      </w:pPr>
      <w:r>
        <w:rPr>
          <w:rFonts w:hint="eastAsia" w:hAnsi="宋体" w:cs="宋体"/>
          <w:color w:val="000000"/>
          <w:sz w:val="21"/>
          <w:szCs w:val="21"/>
        </w:rPr>
        <w:t>8.成交供应商应制定突发事件应急预案。在项目实施期间发生的任何工程质量事故和人身伤亡事故所造成的损失，由成交供应商自行负责；给采购人造成经济损失的，成交供应商要承担赔偿责任；</w:t>
      </w:r>
    </w:p>
    <w:p>
      <w:pPr>
        <w:pStyle w:val="6"/>
        <w:adjustRightInd w:val="0"/>
        <w:snapToGrid w:val="0"/>
        <w:spacing w:line="360" w:lineRule="exact"/>
        <w:ind w:firstLine="420" w:firstLineChars="200"/>
        <w:rPr>
          <w:rFonts w:hint="eastAsia" w:hAnsi="宋体" w:cs="宋体"/>
          <w:b/>
          <w:bCs/>
          <w:sz w:val="21"/>
          <w:szCs w:val="21"/>
        </w:rPr>
      </w:pPr>
      <w:r>
        <w:rPr>
          <w:rFonts w:hint="eastAsia" w:hAnsi="宋体" w:cs="宋体"/>
          <w:color w:val="000000"/>
          <w:sz w:val="21"/>
          <w:szCs w:val="21"/>
        </w:rPr>
        <w:t>10.成交供应商严禁将工程转包或违法分包，一旦发现，采购人有权终止施工或令其返工。由此造成的一切损失及影响由成交供应商承担。</w:t>
      </w:r>
    </w:p>
    <w:p>
      <w:pPr>
        <w:pStyle w:val="6"/>
        <w:adjustRightInd w:val="0"/>
        <w:snapToGrid w:val="0"/>
        <w:spacing w:before="160" w:beforeLines="50" w:after="78" w:afterLines="24" w:afterAutospacing="0" w:line="360" w:lineRule="exact"/>
        <w:ind w:left="105" w:firstLine="315"/>
        <w:rPr>
          <w:rFonts w:hint="eastAsia"/>
          <w:color w:val="auto"/>
        </w:rPr>
      </w:pPr>
      <w:r>
        <w:rPr>
          <w:rFonts w:hint="eastAsia" w:hAnsi="宋体" w:cs="宋体"/>
          <w:b/>
          <w:bCs/>
          <w:sz w:val="21"/>
          <w:szCs w:val="21"/>
        </w:rPr>
        <w:t>▲（四）</w:t>
      </w:r>
      <w:r>
        <w:rPr>
          <w:rFonts w:hint="eastAsia" w:hAnsi="宋体" w:cs="宋体"/>
          <w:b/>
          <w:bCs/>
          <w:color w:val="auto"/>
          <w:sz w:val="21"/>
          <w:szCs w:val="21"/>
        </w:rPr>
        <w:t>服务范围及工程量（具体以实际工程量为准）</w:t>
      </w:r>
    </w:p>
    <w:tbl>
      <w:tblPr>
        <w:tblStyle w:val="8"/>
        <w:tblW w:w="52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486"/>
        <w:gridCol w:w="2374"/>
        <w:gridCol w:w="1108"/>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tcBorders>
              <w:top w:val="single" w:color="auto" w:sz="4" w:space="0"/>
              <w:left w:val="single" w:color="auto" w:sz="4" w:space="0"/>
              <w:bottom w:val="single" w:color="auto" w:sz="4" w:space="0"/>
              <w:right w:val="single" w:color="auto" w:sz="4" w:space="0"/>
            </w:tcBorders>
            <w:noWrap w:val="0"/>
            <w:vAlign w:val="top"/>
          </w:tcPr>
          <w:p>
            <w:pPr>
              <w:pStyle w:val="7"/>
              <w:autoSpaceDE w:val="0"/>
              <w:spacing w:before="0" w:beforeAutospacing="0" w:line="360" w:lineRule="exact"/>
              <w:jc w:val="center"/>
              <w:rPr>
                <w:rFonts w:hint="eastAsia" w:cs="宋体"/>
                <w:kern w:val="2"/>
                <w:sz w:val="21"/>
                <w:szCs w:val="21"/>
              </w:rPr>
            </w:pPr>
            <w:r>
              <w:rPr>
                <w:rFonts w:hint="eastAsia" w:cs="宋体"/>
                <w:kern w:val="2"/>
                <w:sz w:val="21"/>
                <w:szCs w:val="21"/>
              </w:rPr>
              <w:t>序号</w:t>
            </w:r>
          </w:p>
        </w:tc>
        <w:tc>
          <w:tcPr>
            <w:tcW w:w="2241"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r>
              <w:rPr>
                <w:rFonts w:hint="eastAsia" w:cs="宋体"/>
                <w:kern w:val="2"/>
                <w:sz w:val="21"/>
                <w:szCs w:val="21"/>
                <w:lang w:val="en-US" w:eastAsia="zh-CN"/>
              </w:rPr>
              <w:t>服务片区</w:t>
            </w:r>
          </w:p>
        </w:tc>
        <w:tc>
          <w:tcPr>
            <w:tcW w:w="1186"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lang w:val="en-US" w:eastAsia="zh-CN"/>
              </w:rPr>
              <w:t>分项工程</w:t>
            </w:r>
          </w:p>
        </w:tc>
        <w:tc>
          <w:tcPr>
            <w:tcW w:w="553"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rPr>
              <w:t>工程量</w:t>
            </w:r>
          </w:p>
        </w:tc>
        <w:tc>
          <w:tcPr>
            <w:tcW w:w="655"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eastAsia="宋体" w:cs="宋体"/>
                <w:kern w:val="2"/>
                <w:sz w:val="21"/>
                <w:szCs w:val="21"/>
                <w:lang w:eastAsia="zh-CN"/>
              </w:rPr>
            </w:pPr>
            <w:r>
              <w:rPr>
                <w:rFonts w:hint="eastAsia" w:cs="宋体"/>
                <w:kern w:val="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tcBorders>
              <w:top w:val="single" w:color="auto" w:sz="4" w:space="0"/>
              <w:left w:val="single" w:color="auto" w:sz="4" w:space="0"/>
              <w:bottom w:val="single" w:color="auto" w:sz="4" w:space="0"/>
              <w:right w:val="single" w:color="auto" w:sz="4" w:space="0"/>
            </w:tcBorders>
            <w:noWrap w:val="0"/>
            <w:vAlign w:val="top"/>
          </w:tcPr>
          <w:p>
            <w:pPr>
              <w:pStyle w:val="7"/>
              <w:autoSpaceDE w:val="0"/>
              <w:spacing w:line="360" w:lineRule="exact"/>
              <w:jc w:val="center"/>
              <w:rPr>
                <w:rFonts w:hint="eastAsia" w:eastAsia="宋体" w:cs="宋体"/>
                <w:kern w:val="2"/>
                <w:sz w:val="21"/>
                <w:szCs w:val="21"/>
                <w:lang w:val="en-US" w:eastAsia="zh-CN"/>
              </w:rPr>
            </w:pPr>
            <w:r>
              <w:rPr>
                <w:rFonts w:hint="eastAsia" w:cs="宋体"/>
                <w:kern w:val="2"/>
                <w:sz w:val="21"/>
                <w:szCs w:val="21"/>
                <w:lang w:val="en-US" w:eastAsia="zh-CN"/>
              </w:rPr>
              <w:t>1</w:t>
            </w:r>
          </w:p>
        </w:tc>
        <w:tc>
          <w:tcPr>
            <w:tcW w:w="2241" w:type="pct"/>
            <w:vMerge w:val="restart"/>
            <w:tcBorders>
              <w:top w:val="single" w:color="auto" w:sz="4" w:space="0"/>
              <w:left w:val="nil"/>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r>
              <w:rPr>
                <w:rFonts w:hint="eastAsia" w:cs="宋体"/>
                <w:kern w:val="2"/>
                <w:sz w:val="21"/>
                <w:szCs w:val="21"/>
                <w:lang w:val="en-US" w:eastAsia="zh-CN"/>
              </w:rPr>
              <w:t>驿马片区、东街片区、中街片区、西街片区、海角片区、地角片区、高德片区、工业园片区、银滩片区、银滩度假区、侨港片区、福成片区</w:t>
            </w:r>
          </w:p>
        </w:tc>
        <w:tc>
          <w:tcPr>
            <w:tcW w:w="1186"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lang w:val="en-US" w:eastAsia="zh-CN"/>
              </w:rPr>
              <w:t>停车位边线（新路面）</w:t>
            </w:r>
          </w:p>
        </w:tc>
        <w:tc>
          <w:tcPr>
            <w:tcW w:w="553"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lang w:val="en-US" w:eastAsia="zh-CN"/>
              </w:rPr>
              <w:t xml:space="preserve">93603.72 </w:t>
            </w:r>
          </w:p>
        </w:tc>
        <w:tc>
          <w:tcPr>
            <w:tcW w:w="655"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r>
              <w:rPr>
                <w:rFonts w:hint="eastAsia" w:cs="宋体"/>
                <w:kern w:val="2"/>
                <w:sz w:val="21"/>
                <w:szCs w:val="21"/>
                <w:lang w:val="en-US" w:eastAsia="zh-CN"/>
              </w:rPr>
              <w:t>含指示箭头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tcBorders>
              <w:top w:val="single" w:color="auto" w:sz="4" w:space="0"/>
              <w:left w:val="single" w:color="auto" w:sz="4" w:space="0"/>
              <w:bottom w:val="single" w:color="auto" w:sz="4" w:space="0"/>
              <w:right w:val="single" w:color="auto" w:sz="4" w:space="0"/>
            </w:tcBorders>
            <w:noWrap w:val="0"/>
            <w:vAlign w:val="top"/>
          </w:tcPr>
          <w:p>
            <w:pPr>
              <w:pStyle w:val="7"/>
              <w:autoSpaceDE w:val="0"/>
              <w:spacing w:line="360" w:lineRule="exact"/>
              <w:jc w:val="center"/>
              <w:rPr>
                <w:rFonts w:hint="default" w:cs="宋体"/>
                <w:kern w:val="2"/>
                <w:sz w:val="21"/>
                <w:szCs w:val="21"/>
                <w:lang w:val="en-US" w:eastAsia="zh-CN"/>
              </w:rPr>
            </w:pPr>
            <w:r>
              <w:rPr>
                <w:rFonts w:hint="eastAsia" w:cs="宋体"/>
                <w:kern w:val="2"/>
                <w:sz w:val="21"/>
                <w:szCs w:val="21"/>
                <w:lang w:val="en-US" w:eastAsia="zh-CN"/>
              </w:rPr>
              <w:t>2</w:t>
            </w:r>
          </w:p>
        </w:tc>
        <w:tc>
          <w:tcPr>
            <w:tcW w:w="2241" w:type="pct"/>
            <w:vMerge w:val="continue"/>
            <w:tcBorders>
              <w:left w:val="nil"/>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p>
        </w:tc>
        <w:tc>
          <w:tcPr>
            <w:tcW w:w="1186"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eastAsia="宋体" w:cs="宋体"/>
                <w:kern w:val="2"/>
                <w:sz w:val="21"/>
                <w:szCs w:val="21"/>
                <w:lang w:val="en-US" w:eastAsia="zh-CN"/>
              </w:rPr>
            </w:pPr>
            <w:r>
              <w:rPr>
                <w:rFonts w:hint="eastAsia" w:cs="宋体"/>
                <w:kern w:val="2"/>
                <w:sz w:val="21"/>
                <w:szCs w:val="21"/>
                <w:lang w:val="en-US" w:eastAsia="zh-CN"/>
              </w:rPr>
              <w:t>停车位边线（旧改路面）</w:t>
            </w:r>
          </w:p>
        </w:tc>
        <w:tc>
          <w:tcPr>
            <w:tcW w:w="553"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lang w:val="en-US" w:eastAsia="zh-CN"/>
              </w:rPr>
              <w:t>12361.64</w:t>
            </w:r>
          </w:p>
        </w:tc>
        <w:tc>
          <w:tcPr>
            <w:tcW w:w="655"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r>
              <w:rPr>
                <w:rFonts w:hint="eastAsia" w:cs="宋体"/>
                <w:kern w:val="2"/>
                <w:sz w:val="21"/>
                <w:szCs w:val="21"/>
                <w:lang w:val="en-US" w:eastAsia="zh-CN"/>
              </w:rPr>
              <w:t>含指示箭头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4" w:type="pct"/>
            <w:tcBorders>
              <w:top w:val="single" w:color="auto" w:sz="4" w:space="0"/>
              <w:left w:val="single" w:color="auto" w:sz="4" w:space="0"/>
              <w:bottom w:val="single" w:color="auto" w:sz="4" w:space="0"/>
              <w:right w:val="single" w:color="auto" w:sz="4" w:space="0"/>
            </w:tcBorders>
            <w:noWrap w:val="0"/>
            <w:vAlign w:val="top"/>
          </w:tcPr>
          <w:p>
            <w:pPr>
              <w:pStyle w:val="7"/>
              <w:autoSpaceDE w:val="0"/>
              <w:spacing w:line="360" w:lineRule="exact"/>
              <w:jc w:val="center"/>
              <w:rPr>
                <w:rFonts w:hint="default" w:cs="宋体"/>
                <w:kern w:val="2"/>
                <w:sz w:val="21"/>
                <w:szCs w:val="21"/>
                <w:lang w:val="en-US" w:eastAsia="zh-CN"/>
              </w:rPr>
            </w:pPr>
            <w:r>
              <w:rPr>
                <w:rFonts w:hint="eastAsia" w:cs="宋体"/>
                <w:kern w:val="2"/>
                <w:sz w:val="21"/>
                <w:szCs w:val="21"/>
                <w:lang w:val="en-US" w:eastAsia="zh-CN"/>
              </w:rPr>
              <w:t>3</w:t>
            </w:r>
          </w:p>
        </w:tc>
        <w:tc>
          <w:tcPr>
            <w:tcW w:w="2241" w:type="pct"/>
            <w:vMerge w:val="continue"/>
            <w:tcBorders>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p>
        </w:tc>
        <w:tc>
          <w:tcPr>
            <w:tcW w:w="1186"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rPr>
            </w:pPr>
            <w:r>
              <w:rPr>
                <w:rFonts w:hint="eastAsia" w:cs="宋体"/>
                <w:kern w:val="2"/>
                <w:sz w:val="21"/>
                <w:szCs w:val="21"/>
              </w:rPr>
              <w:t>铲除</w:t>
            </w:r>
            <w:r>
              <w:rPr>
                <w:rFonts w:hint="eastAsia" w:cs="宋体"/>
                <w:kern w:val="2"/>
                <w:sz w:val="21"/>
                <w:szCs w:val="21"/>
                <w:lang w:eastAsia="zh-CN"/>
              </w:rPr>
              <w:t>旧</w:t>
            </w:r>
            <w:r>
              <w:rPr>
                <w:rFonts w:hint="eastAsia" w:cs="宋体"/>
                <w:kern w:val="2"/>
                <w:sz w:val="21"/>
                <w:szCs w:val="21"/>
              </w:rPr>
              <w:t>标线</w:t>
            </w:r>
          </w:p>
        </w:tc>
        <w:tc>
          <w:tcPr>
            <w:tcW w:w="553"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default" w:eastAsia="宋体" w:cs="宋体"/>
                <w:kern w:val="2"/>
                <w:sz w:val="21"/>
                <w:szCs w:val="21"/>
                <w:lang w:val="en-US" w:eastAsia="zh-CN"/>
              </w:rPr>
            </w:pPr>
            <w:r>
              <w:rPr>
                <w:rFonts w:hint="eastAsia" w:cs="宋体"/>
                <w:kern w:val="2"/>
                <w:sz w:val="21"/>
                <w:szCs w:val="21"/>
                <w:lang w:val="en-US" w:eastAsia="zh-CN"/>
              </w:rPr>
              <w:t>5000.00</w:t>
            </w:r>
          </w:p>
        </w:tc>
        <w:tc>
          <w:tcPr>
            <w:tcW w:w="655" w:type="pct"/>
            <w:tcBorders>
              <w:top w:val="single" w:color="auto" w:sz="4" w:space="0"/>
              <w:left w:val="nil"/>
              <w:bottom w:val="single" w:color="auto" w:sz="4" w:space="0"/>
              <w:right w:val="single" w:color="auto" w:sz="4" w:space="0"/>
            </w:tcBorders>
            <w:noWrap w:val="0"/>
            <w:vAlign w:val="top"/>
          </w:tcPr>
          <w:p>
            <w:pPr>
              <w:pStyle w:val="7"/>
              <w:autoSpaceDE w:val="0"/>
              <w:spacing w:line="360" w:lineRule="exact"/>
              <w:jc w:val="center"/>
              <w:rPr>
                <w:rFonts w:hint="eastAsia" w:cs="宋体"/>
                <w:kern w:val="2"/>
                <w:sz w:val="21"/>
                <w:szCs w:val="21"/>
                <w:lang w:val="en-US" w:eastAsia="zh-CN"/>
              </w:rPr>
            </w:pPr>
          </w:p>
        </w:tc>
      </w:tr>
    </w:tbl>
    <w:p>
      <w:pPr>
        <w:pStyle w:val="6"/>
        <w:adjustRightInd w:val="0"/>
        <w:snapToGrid w:val="0"/>
        <w:spacing w:line="360" w:lineRule="exact"/>
      </w:pPr>
      <w:r>
        <w:rPr>
          <w:rFonts w:hint="eastAsia" w:hAnsi="宋体" w:cs="宋体"/>
          <w:b/>
          <w:bCs/>
          <w:sz w:val="21"/>
          <w:szCs w:val="21"/>
        </w:rPr>
        <w:t>▲（五）质量保修期：</w:t>
      </w:r>
      <w:r>
        <w:rPr>
          <w:rFonts w:hint="eastAsia" w:hAnsi="宋体" w:cs="宋体"/>
          <w:color w:val="000000"/>
          <w:sz w:val="21"/>
          <w:szCs w:val="21"/>
          <w:lang w:bidi="ar"/>
        </w:rPr>
        <w:t>自工程竣工验收合格之日起</w:t>
      </w:r>
      <w:r>
        <w:rPr>
          <w:rFonts w:hint="eastAsia" w:hAnsi="宋体" w:cs="宋体"/>
          <w:sz w:val="21"/>
          <w:szCs w:val="21"/>
          <w:lang w:bidi="ar"/>
        </w:rPr>
        <w:t>不少于三年。</w:t>
      </w:r>
    </w:p>
    <w:p>
      <w:pPr>
        <w:pStyle w:val="6"/>
        <w:adjustRightInd w:val="0"/>
        <w:snapToGrid w:val="0"/>
        <w:spacing w:line="360" w:lineRule="exact"/>
        <w:rPr>
          <w:rFonts w:hint="eastAsia" w:hAnsi="宋体" w:cs="宋体"/>
          <w:sz w:val="21"/>
          <w:szCs w:val="21"/>
        </w:rPr>
      </w:pPr>
      <w:r>
        <w:rPr>
          <w:rFonts w:hint="eastAsia" w:hAnsi="宋体" w:cs="宋体"/>
          <w:b/>
          <w:bCs/>
          <w:sz w:val="21"/>
          <w:szCs w:val="21"/>
        </w:rPr>
        <w:t>▲（六）交付时间：</w:t>
      </w:r>
      <w:r>
        <w:rPr>
          <w:rFonts w:hint="eastAsia" w:hAnsi="宋体" w:cs="宋体"/>
          <w:sz w:val="21"/>
          <w:szCs w:val="21"/>
        </w:rPr>
        <w:t>自合同签订之日起30个日历日内。</w:t>
      </w:r>
    </w:p>
    <w:p>
      <w:pPr>
        <w:pStyle w:val="6"/>
        <w:adjustRightInd w:val="0"/>
        <w:snapToGrid w:val="0"/>
        <w:spacing w:line="360" w:lineRule="exact"/>
        <w:rPr>
          <w:rFonts w:hint="eastAsia" w:hAnsi="宋体" w:cs="宋体"/>
          <w:b/>
          <w:bCs/>
          <w:sz w:val="21"/>
          <w:szCs w:val="21"/>
        </w:rPr>
      </w:pPr>
      <w:r>
        <w:rPr>
          <w:rFonts w:hint="eastAsia" w:hAnsi="宋体" w:cs="宋体"/>
          <w:b/>
          <w:bCs/>
          <w:sz w:val="21"/>
          <w:szCs w:val="21"/>
        </w:rPr>
        <w:t>▲（七）服务地点：</w:t>
      </w:r>
      <w:r>
        <w:rPr>
          <w:rFonts w:hint="eastAsia" w:hAnsi="宋体" w:cs="宋体"/>
          <w:sz w:val="21"/>
          <w:szCs w:val="21"/>
        </w:rPr>
        <w:t>北海市，采购人指定地点。</w:t>
      </w:r>
    </w:p>
    <w:p>
      <w:pPr>
        <w:adjustRightInd w:val="0"/>
        <w:snapToGrid w:val="0"/>
        <w:spacing w:line="360" w:lineRule="exact"/>
        <w:rPr>
          <w:rFonts w:hint="eastAsia" w:hAnsi="宋体" w:cs="宋体"/>
          <w:b/>
          <w:bCs/>
          <w:szCs w:val="21"/>
        </w:rPr>
      </w:pPr>
      <w:r>
        <w:rPr>
          <w:rFonts w:hint="eastAsia" w:hAnsi="宋体" w:cs="宋体"/>
          <w:b/>
          <w:bCs/>
          <w:szCs w:val="21"/>
        </w:rPr>
        <w:t>▲（八）付款方式：</w:t>
      </w:r>
    </w:p>
    <w:p>
      <w:pPr>
        <w:adjustRightInd w:val="0"/>
        <w:snapToGrid w:val="0"/>
        <w:spacing w:line="360" w:lineRule="exact"/>
        <w:ind w:firstLine="420" w:firstLineChars="200"/>
        <w:rPr>
          <w:rFonts w:hAnsi="宋体" w:cs="宋体"/>
          <w:szCs w:val="21"/>
        </w:rPr>
      </w:pPr>
      <w:r>
        <w:rPr>
          <w:rFonts w:hint="eastAsia" w:ascii="宋体" w:hAnsi="宋体" w:cs="宋体"/>
          <w:szCs w:val="21"/>
        </w:rPr>
        <w:t>1.合</w:t>
      </w:r>
      <w:r>
        <w:rPr>
          <w:rFonts w:hint="eastAsia" w:hAnsi="宋体" w:cs="宋体"/>
          <w:szCs w:val="21"/>
        </w:rPr>
        <w:t>同生效后，在采购人收到合同规定的资料并审核无误后向成交供应商预付成交总价的30%</w:t>
      </w:r>
      <w:r>
        <w:rPr>
          <w:rFonts w:hint="eastAsia" w:ascii="宋体" w:hAnsi="宋体" w:cs="宋体"/>
          <w:szCs w:val="21"/>
        </w:rPr>
        <w:t>[</w:t>
      </w:r>
      <w:r>
        <w:rPr>
          <w:rFonts w:hint="eastAsia" w:hAnsi="宋体" w:cs="宋体"/>
          <w:szCs w:val="21"/>
        </w:rPr>
        <w:t>成交总价为各分项成交单价</w:t>
      </w:r>
      <w:r>
        <w:rPr>
          <w:rFonts w:hint="eastAsia" w:ascii="Arial" w:hAnsi="Arial" w:cs="Arial"/>
          <w:szCs w:val="21"/>
        </w:rPr>
        <w:t>乘以相应分项工程量（按采购需求中的工程量计算）的合计总金额</w:t>
      </w:r>
      <w:r>
        <w:rPr>
          <w:rFonts w:hint="eastAsia" w:ascii="宋体" w:hAnsi="宋体" w:cs="宋体"/>
          <w:szCs w:val="21"/>
        </w:rPr>
        <w:t>]</w:t>
      </w:r>
      <w:r>
        <w:rPr>
          <w:rFonts w:hint="eastAsia" w:hAnsi="宋体" w:cs="宋体"/>
          <w:szCs w:val="21"/>
        </w:rPr>
        <w:t>。</w:t>
      </w:r>
    </w:p>
    <w:p>
      <w:pPr>
        <w:adjustRightInd w:val="0"/>
        <w:snapToGrid w:val="0"/>
        <w:spacing w:line="360" w:lineRule="exact"/>
        <w:ind w:firstLine="420" w:firstLineChars="200"/>
        <w:rPr>
          <w:rFonts w:hint="eastAsia" w:hAnsi="宋体" w:cs="宋体"/>
          <w:szCs w:val="21"/>
        </w:rPr>
      </w:pPr>
      <w:r>
        <w:rPr>
          <w:rFonts w:hint="eastAsia" w:hAnsi="宋体" w:cs="宋体"/>
          <w:szCs w:val="21"/>
        </w:rPr>
        <w:t>2.采购人在竣工验收合格后向成交供应商支付成交总价的40%，结算审核后（结算价以结算审核单位的审核结果为准）支付结算余款</w:t>
      </w:r>
      <w:r>
        <w:rPr>
          <w:rFonts w:hint="eastAsia" w:ascii="宋体" w:hAnsi="宋体" w:cs="宋体"/>
          <w:szCs w:val="21"/>
        </w:rPr>
        <w:t>[</w:t>
      </w:r>
      <w:r>
        <w:rPr>
          <w:rFonts w:hint="eastAsia" w:hAnsi="宋体" w:cs="宋体"/>
          <w:szCs w:val="21"/>
        </w:rPr>
        <w:t>由于成交供应商原因未能按要求及时办理合同款项结算手续所造成的后果（包括预算主管部门收回年度预算）由供应商自行承担</w:t>
      </w:r>
      <w:r>
        <w:rPr>
          <w:rFonts w:hint="eastAsia" w:ascii="宋体" w:hAnsi="宋体" w:cs="宋体"/>
          <w:szCs w:val="21"/>
        </w:rPr>
        <w:t>]</w:t>
      </w:r>
      <w:r>
        <w:rPr>
          <w:rFonts w:hint="eastAsia" w:hAnsi="宋体" w:cs="宋体"/>
          <w:szCs w:val="21"/>
        </w:rPr>
        <w:t>。</w:t>
      </w:r>
    </w:p>
    <w:p>
      <w:pPr>
        <w:adjustRightInd w:val="0"/>
        <w:snapToGrid w:val="0"/>
        <w:spacing w:line="360" w:lineRule="exact"/>
        <w:rPr>
          <w:rFonts w:hint="eastAsia" w:ascii="宋体" w:hAnsi="宋体" w:cs="宋体"/>
          <w:b/>
          <w:bCs/>
          <w:kern w:val="0"/>
          <w:szCs w:val="21"/>
        </w:rPr>
      </w:pPr>
      <w:r>
        <w:rPr>
          <w:rFonts w:hint="eastAsia" w:ascii="宋体" w:hAnsi="宋体" w:cs="宋体"/>
          <w:b/>
          <w:bCs/>
          <w:szCs w:val="21"/>
        </w:rPr>
        <w:t>▲</w:t>
      </w:r>
      <w:r>
        <w:rPr>
          <w:rFonts w:hint="eastAsia" w:ascii="宋体" w:hAnsi="宋体" w:cs="宋体"/>
          <w:b/>
          <w:bCs/>
          <w:kern w:val="0"/>
          <w:szCs w:val="21"/>
        </w:rPr>
        <w:t>（六）履约保证金：</w:t>
      </w:r>
      <w:r>
        <w:rPr>
          <w:rFonts w:hint="eastAsia" w:ascii="宋体" w:hAnsi="宋体" w:cs="宋体"/>
          <w:kern w:val="0"/>
          <w:szCs w:val="21"/>
        </w:rPr>
        <w:t>成交供应商在签订合同后5日内向采购人按照成交总价的2%，以支票、汇票、本票或金融机构、担保机构出具的保函等非现金方式进行支付，成交供应商无违约情况的，履约保证金于项目验收合格后退还（采购人在接到申请和相关票据后无息退还）。</w:t>
      </w:r>
    </w:p>
    <w:p>
      <w:pPr>
        <w:adjustRightInd w:val="0"/>
        <w:snapToGrid w:val="0"/>
        <w:spacing w:line="360" w:lineRule="exact"/>
        <w:rPr>
          <w:rFonts w:hint="eastAsia" w:hAnsi="宋体" w:cs="宋体"/>
          <w:b/>
          <w:bCs/>
          <w:szCs w:val="21"/>
        </w:rPr>
      </w:pPr>
      <w:r>
        <w:rPr>
          <w:rFonts w:hint="eastAsia" w:ascii="宋体" w:hAnsi="宋体" w:cs="宋体"/>
          <w:b/>
          <w:bCs/>
          <w:szCs w:val="21"/>
        </w:rPr>
        <w:t>▲</w:t>
      </w:r>
      <w:r>
        <w:rPr>
          <w:rFonts w:hint="eastAsia" w:ascii="宋体" w:hAnsi="宋体" w:cs="宋体"/>
          <w:b/>
          <w:bCs/>
          <w:kern w:val="0"/>
          <w:szCs w:val="21"/>
        </w:rPr>
        <w:t>（七）</w:t>
      </w:r>
      <w:r>
        <w:rPr>
          <w:rFonts w:hint="eastAsia" w:hAnsi="宋体" w:cs="宋体"/>
          <w:b/>
          <w:bCs/>
          <w:szCs w:val="21"/>
        </w:rPr>
        <w:t>报价要求：</w:t>
      </w:r>
    </w:p>
    <w:p>
      <w:pPr>
        <w:adjustRightInd w:val="0"/>
        <w:snapToGrid w:val="0"/>
        <w:spacing w:line="360" w:lineRule="exact"/>
        <w:ind w:firstLine="420" w:firstLineChars="200"/>
        <w:rPr>
          <w:rFonts w:hint="eastAsia" w:hAnsi="宋体" w:cs="宋体"/>
          <w:szCs w:val="21"/>
        </w:rPr>
      </w:pPr>
      <w:r>
        <w:rPr>
          <w:rFonts w:hint="eastAsia" w:hAnsi="宋体" w:cs="宋体"/>
          <w:szCs w:val="21"/>
        </w:rPr>
        <w:t>①本项目采用分项单价统一下浮的方式进行报价，各分项报价</w:t>
      </w:r>
      <w:r>
        <w:rPr>
          <w:rFonts w:hint="eastAsia" w:hAnsi="宋体" w:cs="宋体"/>
          <w:szCs w:val="21"/>
          <w:lang w:eastAsia="zh-CN"/>
        </w:rPr>
        <w:t>下浮率</w:t>
      </w:r>
      <w:r>
        <w:rPr>
          <w:rFonts w:hint="eastAsia" w:hAnsi="宋体" w:cs="宋体"/>
          <w:szCs w:val="21"/>
        </w:rPr>
        <w:t>必须一致，否则谈判无效；</w:t>
      </w:r>
    </w:p>
    <w:p>
      <w:pPr>
        <w:pStyle w:val="6"/>
        <w:adjustRightInd w:val="0"/>
        <w:snapToGrid w:val="0"/>
        <w:spacing w:line="360" w:lineRule="exact"/>
        <w:ind w:firstLine="420" w:firstLineChars="200"/>
        <w:rPr>
          <w:rFonts w:hint="eastAsia" w:hAnsi="宋体" w:cs="宋体"/>
          <w:sz w:val="21"/>
          <w:szCs w:val="21"/>
        </w:rPr>
      </w:pPr>
      <w:r>
        <w:rPr>
          <w:rFonts w:hint="eastAsia" w:hAnsi="宋体" w:cs="宋体"/>
          <w:sz w:val="21"/>
          <w:szCs w:val="21"/>
        </w:rPr>
        <w:t>②谈判报价包含材料费、人工费、机械费、必要的保险费及成本、利润、税金等完成本项目服务所需的一切费用，采购人不再另行支付其它任何费用。</w:t>
      </w:r>
    </w:p>
    <w:p>
      <w:pPr>
        <w:adjustRightInd w:val="0"/>
        <w:snapToGrid w:val="0"/>
        <w:spacing w:line="360" w:lineRule="exact"/>
        <w:rPr>
          <w:rFonts w:hint="eastAsia" w:ascii="宋体" w:hAnsi="宋体" w:cs="宋体"/>
          <w:b/>
          <w:bCs/>
          <w:kern w:val="0"/>
          <w:szCs w:val="21"/>
        </w:rPr>
      </w:pPr>
      <w:r>
        <w:rPr>
          <w:rFonts w:hint="eastAsia" w:ascii="宋体" w:hAnsi="宋体" w:cs="宋体"/>
          <w:b/>
          <w:bCs/>
          <w:szCs w:val="21"/>
        </w:rPr>
        <w:t>▲</w:t>
      </w:r>
      <w:r>
        <w:rPr>
          <w:rFonts w:hint="eastAsia" w:ascii="宋体" w:hAnsi="宋体" w:cs="宋体"/>
          <w:b/>
          <w:bCs/>
          <w:kern w:val="0"/>
          <w:szCs w:val="21"/>
        </w:rPr>
        <w:t>（八）其他要求：</w:t>
      </w:r>
    </w:p>
    <w:p>
      <w:pPr>
        <w:pStyle w:val="6"/>
        <w:adjustRightInd w:val="0"/>
        <w:snapToGrid w:val="0"/>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1.质保期内，项目内有关标线出现损坏的情况，在接到采购人通知后2小时内响应，12小时内到达现场进行维护，质保期内的维护费由成交供应商承担；</w:t>
      </w:r>
    </w:p>
    <w:p>
      <w:pPr>
        <w:pStyle w:val="6"/>
        <w:adjustRightInd w:val="0"/>
        <w:snapToGrid w:val="0"/>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2.验收评审时，若未达到规定标准，采购人将视情况责令限期整改；成交供应商未按规定工期履约或因整改延误工期对采购人造成损失的，成交供应商须自行承担相应责任</w:t>
      </w:r>
      <w:r>
        <w:rPr>
          <w:rFonts w:hint="eastAsia" w:ascii="宋体" w:hAnsi="宋体" w:eastAsia="宋体" w:cs="宋体"/>
          <w:sz w:val="21"/>
          <w:szCs w:val="21"/>
          <w:lang w:eastAsia="zh-CN"/>
        </w:rPr>
        <w:t>。</w:t>
      </w:r>
    </w:p>
    <w:p>
      <w:pPr>
        <w:adjustRightInd w:val="0"/>
        <w:snapToGrid w:val="0"/>
        <w:spacing w:line="324" w:lineRule="auto"/>
        <w:rPr>
          <w:rFonts w:hint="eastAsia" w:ascii="宋体" w:hAnsi="宋体" w:cs="宋体"/>
          <w:kern w:val="0"/>
          <w:szCs w:val="21"/>
        </w:rPr>
      </w:pPr>
      <w:r>
        <w:rPr>
          <w:rFonts w:hint="eastAsia" w:hAnsi="宋体" w:cs="宋体"/>
          <w:color w:val="000000"/>
          <w:szCs w:val="21"/>
        </w:rPr>
        <w:br w:type="page"/>
      </w:r>
      <w:r>
        <w:rPr>
          <w:rFonts w:hint="eastAsia" w:ascii="宋体" w:hAnsi="宋体" w:cs="宋体"/>
          <w:b/>
          <w:bCs/>
          <w:kern w:val="0"/>
          <w:szCs w:val="21"/>
        </w:rPr>
        <w:t>附件一</w:t>
      </w:r>
    </w:p>
    <w:p>
      <w:pPr>
        <w:spacing w:line="380" w:lineRule="exact"/>
      </w:pPr>
      <w:r>
        <w:rPr>
          <w:rFonts w:hint="eastAsia"/>
        </w:rPr>
        <w:t>表1   热熔型涂料的性能</w:t>
      </w:r>
    </w:p>
    <w:tbl>
      <w:tblPr>
        <w:tblStyle w:val="8"/>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6"/>
        <w:gridCol w:w="1439"/>
        <w:gridCol w:w="5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vMerge w:val="restart"/>
            <w:noWrap w:val="0"/>
            <w:vAlign w:val="center"/>
          </w:tcPr>
          <w:p>
            <w:pPr>
              <w:spacing w:line="400" w:lineRule="exact"/>
            </w:pPr>
            <w:r>
              <w:rPr>
                <w:rFonts w:hint="eastAsia"/>
              </w:rPr>
              <w:t>项目</w:t>
            </w:r>
          </w:p>
        </w:tc>
        <w:tc>
          <w:tcPr>
            <w:tcW w:w="5857" w:type="dxa"/>
            <w:noWrap w:val="0"/>
            <w:vAlign w:val="center"/>
          </w:tcPr>
          <w:p>
            <w:pPr>
              <w:spacing w:line="400" w:lineRule="exact"/>
            </w:pPr>
            <w:r>
              <w:rPr>
                <w:rFonts w:hint="eastAsia"/>
              </w:rPr>
              <w:t>热熔型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465" w:type="dxa"/>
            <w:gridSpan w:val="2"/>
            <w:vMerge w:val="continue"/>
            <w:noWrap w:val="0"/>
            <w:vAlign w:val="center"/>
          </w:tcPr>
          <w:p>
            <w:pPr>
              <w:spacing w:line="400" w:lineRule="exact"/>
            </w:pPr>
          </w:p>
        </w:tc>
        <w:tc>
          <w:tcPr>
            <w:tcW w:w="5857" w:type="dxa"/>
            <w:noWrap w:val="0"/>
            <w:vAlign w:val="center"/>
          </w:tcPr>
          <w:p>
            <w:pPr>
              <w:spacing w:line="400" w:lineRule="exact"/>
            </w:pPr>
            <w:r>
              <w:rPr>
                <w:rFonts w:hint="eastAsia"/>
              </w:rPr>
              <w:t>反光型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密  度（g/cm3）</w:t>
            </w:r>
          </w:p>
        </w:tc>
        <w:tc>
          <w:tcPr>
            <w:tcW w:w="5857" w:type="dxa"/>
            <w:noWrap w:val="0"/>
            <w:vAlign w:val="center"/>
          </w:tcPr>
          <w:p>
            <w:pPr>
              <w:spacing w:line="400" w:lineRule="exact"/>
            </w:pPr>
            <w:r>
              <w:rPr>
                <w:rFonts w:hint="eastAsia"/>
              </w:rPr>
              <w:t>1.8-2.3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软化点，℃</w:t>
            </w:r>
          </w:p>
        </w:tc>
        <w:tc>
          <w:tcPr>
            <w:tcW w:w="5857" w:type="dxa"/>
            <w:noWrap w:val="0"/>
            <w:vAlign w:val="center"/>
          </w:tcPr>
          <w:p>
            <w:pPr>
              <w:spacing w:line="400" w:lineRule="exact"/>
            </w:pPr>
            <w:r>
              <w:rPr>
                <w:rFonts w:hint="eastAsia"/>
              </w:rPr>
              <w:t>90～120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涂膜外观</w:t>
            </w:r>
          </w:p>
        </w:tc>
        <w:tc>
          <w:tcPr>
            <w:tcW w:w="5857" w:type="dxa"/>
            <w:noWrap w:val="0"/>
            <w:vAlign w:val="center"/>
          </w:tcPr>
          <w:p>
            <w:pPr>
              <w:spacing w:line="400" w:lineRule="exact"/>
            </w:pPr>
            <w:r>
              <w:rPr>
                <w:rFonts w:hint="eastAsia"/>
              </w:rPr>
              <w:t>干燥后，应无发皱、斑点、起泡、裂纹、脱落、粘胎现象，涂膜的颜色和外观应与标准板差异不大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不粘胎干燥时间（min）</w:t>
            </w:r>
          </w:p>
        </w:tc>
        <w:tc>
          <w:tcPr>
            <w:tcW w:w="5857" w:type="dxa"/>
            <w:noWrap w:val="0"/>
            <w:vAlign w:val="center"/>
          </w:tcPr>
          <w:p>
            <w:pPr>
              <w:spacing w:line="400" w:lineRule="exact"/>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2026" w:type="dxa"/>
            <w:noWrap w:val="0"/>
            <w:vAlign w:val="center"/>
          </w:tcPr>
          <w:p>
            <w:pPr>
              <w:spacing w:line="400" w:lineRule="exact"/>
            </w:pPr>
            <w:r>
              <w:rPr>
                <w:rFonts w:hint="eastAsia"/>
              </w:rPr>
              <w:t>色度性能（45/0）</w:t>
            </w:r>
          </w:p>
        </w:tc>
        <w:tc>
          <w:tcPr>
            <w:tcW w:w="1439" w:type="dxa"/>
            <w:noWrap w:val="0"/>
            <w:vAlign w:val="center"/>
          </w:tcPr>
          <w:p>
            <w:pPr>
              <w:spacing w:line="400" w:lineRule="exact"/>
            </w:pPr>
            <w:r>
              <w:rPr>
                <w:rFonts w:hint="eastAsia"/>
              </w:rPr>
              <w:t>白色</w:t>
            </w:r>
          </w:p>
        </w:tc>
        <w:tc>
          <w:tcPr>
            <w:tcW w:w="5857" w:type="dxa"/>
            <w:noWrap w:val="0"/>
            <w:vAlign w:val="center"/>
          </w:tcPr>
          <w:p>
            <w:pPr>
              <w:spacing w:line="400" w:lineRule="exact"/>
            </w:pPr>
            <w:r>
              <w:rPr>
                <w:rFonts w:hint="eastAsia"/>
              </w:rPr>
              <w:t>涂料的色品坐标和亮度因数应符合表2和图1规定的范围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抗压强度，Mpa</w:t>
            </w:r>
          </w:p>
        </w:tc>
        <w:tc>
          <w:tcPr>
            <w:tcW w:w="5857" w:type="dxa"/>
            <w:noWrap w:val="0"/>
            <w:vAlign w:val="center"/>
          </w:tcPr>
          <w:p>
            <w:pPr>
              <w:spacing w:line="400" w:lineRule="exact"/>
              <w:rPr>
                <w:rFonts w:hint="eastAsia"/>
              </w:rP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耐磨性，mg（200转/1000g后减重）</w:t>
            </w:r>
          </w:p>
        </w:tc>
        <w:tc>
          <w:tcPr>
            <w:tcW w:w="5857" w:type="dxa"/>
            <w:noWrap w:val="0"/>
            <w:vAlign w:val="center"/>
          </w:tcPr>
          <w:p>
            <w:pPr>
              <w:spacing w:line="400" w:lineRule="exact"/>
            </w:pPr>
            <w:r>
              <w:rPr>
                <w:rFonts w:hint="eastAsia"/>
              </w:rPr>
              <w:t>≤80(JM—100橡胶砂轮)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耐   水   性</w:t>
            </w:r>
          </w:p>
        </w:tc>
        <w:tc>
          <w:tcPr>
            <w:tcW w:w="5857" w:type="dxa"/>
            <w:noWrap w:val="0"/>
            <w:vAlign w:val="center"/>
          </w:tcPr>
          <w:p>
            <w:pPr>
              <w:spacing w:line="400" w:lineRule="exact"/>
            </w:pPr>
            <w:r>
              <w:rPr>
                <w:rFonts w:hint="eastAsia"/>
              </w:rPr>
              <w:t>在水中浸泡24小时后无异常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耐   碱   性</w:t>
            </w:r>
          </w:p>
        </w:tc>
        <w:tc>
          <w:tcPr>
            <w:tcW w:w="5857" w:type="dxa"/>
            <w:noWrap w:val="0"/>
            <w:vAlign w:val="center"/>
          </w:tcPr>
          <w:p>
            <w:pPr>
              <w:spacing w:line="400" w:lineRule="exact"/>
            </w:pPr>
            <w:r>
              <w:rPr>
                <w:rFonts w:hint="eastAsia"/>
              </w:rPr>
              <w:t>在氢氧化钙饱和溶液中浸泡24小时后无异常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玻璃珠含量,%</w:t>
            </w:r>
          </w:p>
        </w:tc>
        <w:tc>
          <w:tcPr>
            <w:tcW w:w="5857" w:type="dxa"/>
            <w:noWrap w:val="0"/>
            <w:vAlign w:val="center"/>
          </w:tcPr>
          <w:p>
            <w:pPr>
              <w:spacing w:line="400" w:lineRule="exact"/>
            </w:pPr>
            <w:r>
              <w:rPr>
                <w:rFonts w:hint="eastAsia"/>
              </w:rPr>
              <w:t>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流动度，s</w:t>
            </w:r>
          </w:p>
        </w:tc>
        <w:tc>
          <w:tcPr>
            <w:tcW w:w="5857" w:type="dxa"/>
            <w:noWrap w:val="0"/>
            <w:vAlign w:val="center"/>
          </w:tcPr>
          <w:p>
            <w:pPr>
              <w:spacing w:line="400" w:lineRule="exact"/>
            </w:pPr>
            <w:r>
              <w:rPr>
                <w:rFonts w:hint="eastAsia"/>
              </w:rPr>
              <w:t>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center"/>
          </w:tcPr>
          <w:p>
            <w:pPr>
              <w:spacing w:line="400" w:lineRule="exact"/>
            </w:pPr>
            <w:r>
              <w:rPr>
                <w:rFonts w:hint="eastAsia"/>
              </w:rPr>
              <w:t>涂层低温抗裂性</w:t>
            </w:r>
          </w:p>
        </w:tc>
        <w:tc>
          <w:tcPr>
            <w:tcW w:w="5857" w:type="dxa"/>
            <w:noWrap w:val="0"/>
            <w:vAlign w:val="center"/>
          </w:tcPr>
          <w:p>
            <w:pPr>
              <w:spacing w:line="400" w:lineRule="exact"/>
            </w:pPr>
            <w:r>
              <w:rPr>
                <w:rFonts w:hint="eastAsia"/>
              </w:rPr>
              <w:t>-10℃保持4h，室温放置4h为一个循环，连续做三个循环的应无裂纹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top"/>
          </w:tcPr>
          <w:p>
            <w:pPr>
              <w:spacing w:line="400" w:lineRule="exact"/>
            </w:pPr>
            <w:r>
              <w:rPr>
                <w:rFonts w:hint="eastAsia"/>
              </w:rPr>
              <w:t>加热稳定性</w:t>
            </w:r>
          </w:p>
        </w:tc>
        <w:tc>
          <w:tcPr>
            <w:tcW w:w="5857" w:type="dxa"/>
            <w:noWrap w:val="0"/>
            <w:vAlign w:val="top"/>
          </w:tcPr>
          <w:p>
            <w:pPr>
              <w:spacing w:line="400" w:lineRule="exact"/>
            </w:pPr>
            <w:r>
              <w:rPr>
                <w:rFonts w:hint="eastAsia"/>
              </w:rPr>
              <w:t>200℃-220℃在搅拌状态下保持4h，应无明显泛黄、焦化、结块等现象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65" w:type="dxa"/>
            <w:gridSpan w:val="2"/>
            <w:noWrap w:val="0"/>
            <w:vAlign w:val="top"/>
          </w:tcPr>
          <w:p>
            <w:pPr>
              <w:spacing w:line="400" w:lineRule="exact"/>
            </w:pPr>
            <w:r>
              <w:rPr>
                <w:rFonts w:hint="eastAsia"/>
              </w:rPr>
              <w:t>人工加速耐候性</w:t>
            </w:r>
          </w:p>
        </w:tc>
        <w:tc>
          <w:tcPr>
            <w:tcW w:w="5857" w:type="dxa"/>
            <w:noWrap w:val="0"/>
            <w:vAlign w:val="top"/>
          </w:tcPr>
          <w:p>
            <w:pPr>
              <w:spacing w:line="400" w:lineRule="exact"/>
            </w:pPr>
            <w:r>
              <w:rPr>
                <w:rFonts w:hint="eastAsia"/>
              </w:rPr>
              <w:t>经人工加速耐候性试验后，试板涂层不产生龟裂、剥落；允许轻微粉化和变色，但色品坐标应符合表2和图1规定的范围，亮度因数变化范围应不大于原样板亮度因数的20﹪</w:t>
            </w:r>
          </w:p>
        </w:tc>
      </w:tr>
    </w:tbl>
    <w:p>
      <w:pPr>
        <w:spacing w:before="64" w:beforeLines="20" w:line="400" w:lineRule="exact"/>
        <w:rPr>
          <w:rFonts w:hint="eastAsia"/>
        </w:rPr>
      </w:pPr>
    </w:p>
    <w:p>
      <w:pPr>
        <w:spacing w:before="64" w:beforeLines="20" w:line="400" w:lineRule="exact"/>
      </w:pPr>
      <w:r>
        <w:rPr>
          <w:rFonts w:hint="eastAsia"/>
        </w:rPr>
        <w:br w:type="page"/>
      </w:r>
      <w:r>
        <w:rPr>
          <w:rFonts w:hint="eastAsia"/>
        </w:rPr>
        <w:t>表2 标线颜色色品坐标表</w:t>
      </w:r>
    </w:p>
    <w:tbl>
      <w:tblPr>
        <w:tblStyle w:val="8"/>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5"/>
        <w:gridCol w:w="1015"/>
        <w:gridCol w:w="1016"/>
        <w:gridCol w:w="1101"/>
        <w:gridCol w:w="1101"/>
        <w:gridCol w:w="1101"/>
        <w:gridCol w:w="1101"/>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0" w:type="dxa"/>
            <w:gridSpan w:val="2"/>
            <w:vMerge w:val="restart"/>
            <w:noWrap w:val="0"/>
            <w:vAlign w:val="center"/>
          </w:tcPr>
          <w:p>
            <w:pPr>
              <w:spacing w:line="400" w:lineRule="exact"/>
            </w:pPr>
            <w:r>
              <w:rPr>
                <w:rFonts w:hint="eastAsia"/>
              </w:rPr>
              <w:t>颜色</w:t>
            </w:r>
          </w:p>
        </w:tc>
        <w:tc>
          <w:tcPr>
            <w:tcW w:w="5420" w:type="dxa"/>
            <w:gridSpan w:val="5"/>
            <w:noWrap w:val="0"/>
            <w:vAlign w:val="center"/>
          </w:tcPr>
          <w:p>
            <w:pPr>
              <w:spacing w:line="400" w:lineRule="exact"/>
            </w:pPr>
            <w:r>
              <w:rPr>
                <w:rFonts w:hint="eastAsia"/>
              </w:rPr>
              <w:t>用角点的色品坐标来决定可使用的颜色范围</w:t>
            </w:r>
          </w:p>
          <w:p>
            <w:pPr>
              <w:spacing w:line="400" w:lineRule="exact"/>
            </w:pPr>
            <w:r>
              <w:rPr>
                <w:rFonts w:hint="eastAsia"/>
              </w:rPr>
              <w:t>（光源：标准光源D65，照明和观测几何条件：45/0）</w:t>
            </w:r>
          </w:p>
        </w:tc>
        <w:tc>
          <w:tcPr>
            <w:tcW w:w="1872" w:type="dxa"/>
            <w:vMerge w:val="restart"/>
            <w:noWrap w:val="0"/>
            <w:vAlign w:val="center"/>
          </w:tcPr>
          <w:p>
            <w:pPr>
              <w:spacing w:line="400" w:lineRule="exact"/>
            </w:pPr>
            <w:r>
              <w:rPr>
                <w:rFonts w:hint="eastAsia"/>
              </w:rPr>
              <w:t>亮度因数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0" w:type="dxa"/>
            <w:gridSpan w:val="2"/>
            <w:vMerge w:val="continue"/>
            <w:noWrap w:val="0"/>
            <w:vAlign w:val="center"/>
          </w:tcPr>
          <w:p>
            <w:pPr>
              <w:spacing w:line="400" w:lineRule="exact"/>
            </w:pPr>
          </w:p>
        </w:tc>
        <w:tc>
          <w:tcPr>
            <w:tcW w:w="1016" w:type="dxa"/>
            <w:noWrap w:val="0"/>
            <w:vAlign w:val="center"/>
          </w:tcPr>
          <w:p>
            <w:pPr>
              <w:spacing w:line="400" w:lineRule="exact"/>
            </w:pPr>
            <w:r>
              <w:rPr>
                <w:rFonts w:hint="eastAsia"/>
              </w:rPr>
              <w:t>坐标</w:t>
            </w:r>
          </w:p>
        </w:tc>
        <w:tc>
          <w:tcPr>
            <w:tcW w:w="1101" w:type="dxa"/>
            <w:noWrap w:val="0"/>
            <w:vAlign w:val="center"/>
          </w:tcPr>
          <w:p>
            <w:pPr>
              <w:spacing w:line="400" w:lineRule="exact"/>
            </w:pPr>
            <w:r>
              <w:rPr>
                <w:rFonts w:hint="eastAsia"/>
              </w:rPr>
              <w:t>1</w:t>
            </w:r>
          </w:p>
        </w:tc>
        <w:tc>
          <w:tcPr>
            <w:tcW w:w="1101" w:type="dxa"/>
            <w:noWrap w:val="0"/>
            <w:vAlign w:val="center"/>
          </w:tcPr>
          <w:p>
            <w:pPr>
              <w:spacing w:line="400" w:lineRule="exact"/>
            </w:pPr>
            <w:r>
              <w:rPr>
                <w:rFonts w:hint="eastAsia"/>
              </w:rPr>
              <w:t>2</w:t>
            </w:r>
          </w:p>
        </w:tc>
        <w:tc>
          <w:tcPr>
            <w:tcW w:w="1101" w:type="dxa"/>
            <w:noWrap w:val="0"/>
            <w:vAlign w:val="center"/>
          </w:tcPr>
          <w:p>
            <w:pPr>
              <w:spacing w:line="400" w:lineRule="exact"/>
            </w:pPr>
            <w:r>
              <w:rPr>
                <w:rFonts w:hint="eastAsia"/>
              </w:rPr>
              <w:t>3</w:t>
            </w:r>
          </w:p>
        </w:tc>
        <w:tc>
          <w:tcPr>
            <w:tcW w:w="1101" w:type="dxa"/>
            <w:noWrap w:val="0"/>
            <w:vAlign w:val="center"/>
          </w:tcPr>
          <w:p>
            <w:pPr>
              <w:spacing w:line="400" w:lineRule="exact"/>
            </w:pPr>
            <w:r>
              <w:rPr>
                <w:rFonts w:hint="eastAsia"/>
              </w:rPr>
              <w:t>4</w:t>
            </w:r>
          </w:p>
        </w:tc>
        <w:tc>
          <w:tcPr>
            <w:tcW w:w="1872" w:type="dxa"/>
            <w:vMerge w:val="continue"/>
            <w:noWrap w:val="0"/>
            <w:vAlign w:val="center"/>
          </w:tcPr>
          <w:p>
            <w:pPr>
              <w:spacing w:line="4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trPr>
        <w:tc>
          <w:tcPr>
            <w:tcW w:w="1015" w:type="dxa"/>
            <w:noWrap w:val="0"/>
            <w:vAlign w:val="center"/>
          </w:tcPr>
          <w:p>
            <w:pPr>
              <w:spacing w:line="400" w:lineRule="exact"/>
            </w:pPr>
            <w:r>
              <w:rPr>
                <w:rFonts w:hint="eastAsia"/>
              </w:rPr>
              <w:t>逆反材料色</w:t>
            </w:r>
          </w:p>
        </w:tc>
        <w:tc>
          <w:tcPr>
            <w:tcW w:w="1015" w:type="dxa"/>
            <w:noWrap w:val="0"/>
            <w:vAlign w:val="center"/>
          </w:tcPr>
          <w:p>
            <w:pPr>
              <w:spacing w:line="400" w:lineRule="exact"/>
            </w:pPr>
            <w:r>
              <w:rPr>
                <w:rFonts w:hint="eastAsia"/>
              </w:rPr>
              <w:t>白</w:t>
            </w:r>
          </w:p>
        </w:tc>
        <w:tc>
          <w:tcPr>
            <w:tcW w:w="1016" w:type="dxa"/>
            <w:noWrap w:val="0"/>
            <w:vAlign w:val="center"/>
          </w:tcPr>
          <w:p>
            <w:pPr>
              <w:spacing w:line="400" w:lineRule="exact"/>
            </w:pPr>
            <w:r>
              <w:rPr>
                <w:rFonts w:hint="eastAsia"/>
              </w:rPr>
              <w:t>X</w:t>
            </w:r>
          </w:p>
          <w:p>
            <w:pPr>
              <w:spacing w:line="400" w:lineRule="exact"/>
            </w:pPr>
            <w:r>
              <w:rPr>
                <w:rFonts w:hint="eastAsia"/>
              </w:rPr>
              <w:t>Y</w:t>
            </w:r>
          </w:p>
        </w:tc>
        <w:tc>
          <w:tcPr>
            <w:tcW w:w="1101" w:type="dxa"/>
            <w:noWrap w:val="0"/>
            <w:vAlign w:val="center"/>
          </w:tcPr>
          <w:p>
            <w:pPr>
              <w:spacing w:line="400" w:lineRule="exact"/>
            </w:pPr>
            <w:r>
              <w:rPr>
                <w:rFonts w:hint="eastAsia"/>
              </w:rPr>
              <w:t>0.350</w:t>
            </w:r>
          </w:p>
          <w:p>
            <w:pPr>
              <w:spacing w:line="400" w:lineRule="exact"/>
            </w:pPr>
            <w:r>
              <w:rPr>
                <w:rFonts w:hint="eastAsia"/>
              </w:rPr>
              <w:t>0.360</w:t>
            </w:r>
          </w:p>
        </w:tc>
        <w:tc>
          <w:tcPr>
            <w:tcW w:w="1101" w:type="dxa"/>
            <w:noWrap w:val="0"/>
            <w:vAlign w:val="center"/>
          </w:tcPr>
          <w:p>
            <w:pPr>
              <w:spacing w:line="400" w:lineRule="exact"/>
            </w:pPr>
            <w:r>
              <w:rPr>
                <w:rFonts w:hint="eastAsia"/>
              </w:rPr>
              <w:t>0.300</w:t>
            </w:r>
          </w:p>
          <w:p>
            <w:pPr>
              <w:spacing w:line="400" w:lineRule="exact"/>
            </w:pPr>
            <w:r>
              <w:rPr>
                <w:rFonts w:hint="eastAsia"/>
              </w:rPr>
              <w:t>0.310</w:t>
            </w:r>
          </w:p>
        </w:tc>
        <w:tc>
          <w:tcPr>
            <w:tcW w:w="1101" w:type="dxa"/>
            <w:noWrap w:val="0"/>
            <w:vAlign w:val="center"/>
          </w:tcPr>
          <w:p>
            <w:pPr>
              <w:spacing w:line="400" w:lineRule="exact"/>
            </w:pPr>
            <w:r>
              <w:rPr>
                <w:rFonts w:hint="eastAsia"/>
              </w:rPr>
              <w:t>0.290</w:t>
            </w:r>
          </w:p>
          <w:p>
            <w:pPr>
              <w:spacing w:line="400" w:lineRule="exact"/>
            </w:pPr>
            <w:r>
              <w:rPr>
                <w:rFonts w:hint="eastAsia"/>
              </w:rPr>
              <w:t>0.320</w:t>
            </w:r>
          </w:p>
        </w:tc>
        <w:tc>
          <w:tcPr>
            <w:tcW w:w="1101" w:type="dxa"/>
            <w:noWrap w:val="0"/>
            <w:vAlign w:val="center"/>
          </w:tcPr>
          <w:p>
            <w:pPr>
              <w:spacing w:line="400" w:lineRule="exact"/>
            </w:pPr>
            <w:r>
              <w:rPr>
                <w:rFonts w:hint="eastAsia"/>
              </w:rPr>
              <w:t>0.340</w:t>
            </w:r>
          </w:p>
          <w:p>
            <w:pPr>
              <w:spacing w:line="400" w:lineRule="exact"/>
            </w:pPr>
            <w:r>
              <w:rPr>
                <w:rFonts w:hint="eastAsia"/>
              </w:rPr>
              <w:t>0.370</w:t>
            </w:r>
          </w:p>
        </w:tc>
        <w:tc>
          <w:tcPr>
            <w:tcW w:w="1872" w:type="dxa"/>
            <w:noWrap w:val="0"/>
            <w:vAlign w:val="center"/>
          </w:tcPr>
          <w:p>
            <w:pPr>
              <w:spacing w:line="400" w:lineRule="exact"/>
            </w:pPr>
            <w:r>
              <w:rPr>
                <w:rFonts w:hint="eastAsia"/>
              </w:rPr>
              <w:t>≧0.35</w:t>
            </w:r>
          </w:p>
        </w:tc>
      </w:tr>
    </w:tbl>
    <w:p>
      <w:pPr>
        <w:spacing w:line="400" w:lineRule="exact"/>
        <w:rPr>
          <w:rFonts w:hint="eastAsia"/>
        </w:rPr>
      </w:pPr>
    </w:p>
    <w:p>
      <w:pPr>
        <w:spacing w:line="400" w:lineRule="exact"/>
        <w:rPr>
          <w:rFonts w:hint="eastAsia"/>
        </w:rPr>
      </w:pPr>
      <w:r>
        <w:rPr>
          <w:rFonts w:hint="eastAsia"/>
        </w:rPr>
        <w:t>图一</w:t>
      </w:r>
    </w:p>
    <w:p>
      <w:pPr>
        <w:spacing w:line="400" w:lineRule="exact"/>
      </w:pPr>
      <w:r>
        <w:drawing>
          <wp:anchor distT="0" distB="0" distL="114300" distR="114300" simplePos="0" relativeHeight="251659264" behindDoc="0" locked="0" layoutInCell="1" allowOverlap="1">
            <wp:simplePos x="0" y="0"/>
            <wp:positionH relativeFrom="column">
              <wp:posOffset>-127635</wp:posOffset>
            </wp:positionH>
            <wp:positionV relativeFrom="paragraph">
              <wp:posOffset>34925</wp:posOffset>
            </wp:positionV>
            <wp:extent cx="6126480" cy="5074920"/>
            <wp:effectExtent l="0" t="0" r="7620" b="11430"/>
            <wp:wrapNone/>
            <wp:docPr id="2" name="图片 1" descr="QQ截图20150609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150609100304"/>
                    <pic:cNvPicPr>
                      <a:picLocks noChangeAspect="1"/>
                    </pic:cNvPicPr>
                  </pic:nvPicPr>
                  <pic:blipFill>
                    <a:blip r:embed="rId5"/>
                    <a:stretch>
                      <a:fillRect/>
                    </a:stretch>
                  </pic:blipFill>
                  <pic:spPr>
                    <a:xfrm>
                      <a:off x="0" y="0"/>
                      <a:ext cx="6126480" cy="5074920"/>
                    </a:xfrm>
                    <a:prstGeom prst="rect">
                      <a:avLst/>
                    </a:prstGeom>
                    <a:noFill/>
                    <a:ln>
                      <a:noFill/>
                    </a:ln>
                  </pic:spPr>
                </pic:pic>
              </a:graphicData>
            </a:graphic>
          </wp:anchor>
        </w:drawing>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2"/>
        <w:rPr>
          <w:rFonts w:hint="eastAsia"/>
        </w:rPr>
      </w:pPr>
    </w:p>
    <w:p/>
    <w:sectPr>
      <w:pgSz w:w="11906" w:h="16838"/>
      <w:pgMar w:top="1043" w:right="1236" w:bottom="986"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58340"/>
    <w:multiLevelType w:val="multilevel"/>
    <w:tmpl w:val="FC658340"/>
    <w:lvl w:ilvl="0" w:tentative="0">
      <w:start w:val="1"/>
      <w:numFmt w:val="decimal"/>
      <w:lvlText w:val="%1"/>
      <w:lvlJc w:val="left"/>
      <w:pPr>
        <w:ind w:left="0" w:firstLine="0"/>
      </w:pPr>
      <w:rPr>
        <w:rFonts w:hint="eastAsia"/>
      </w:rPr>
    </w:lvl>
    <w:lvl w:ilvl="1" w:tentative="0">
      <w:start w:val="1"/>
      <w:numFmt w:val="decimal"/>
      <w:lvlText w:val="%1.%2"/>
      <w:lvlJc w:val="left"/>
      <w:pPr>
        <w:ind w:left="142" w:firstLine="0"/>
      </w:pPr>
      <w:rPr>
        <w:rFonts w:hint="eastAsia"/>
      </w:rPr>
    </w:lvl>
    <w:lvl w:ilvl="2" w:tentative="0">
      <w:start w:val="1"/>
      <w:numFmt w:val="decimal"/>
      <w:lvlText w:val="%1.%2.%3"/>
      <w:lvlJc w:val="left"/>
      <w:pPr>
        <w:ind w:left="0" w:firstLine="0"/>
      </w:pPr>
      <w:rPr>
        <w:rFonts w:hint="eastAsia" w:ascii="宋体" w:hAnsi="宋体" w:eastAsia="宋体"/>
      </w:rPr>
    </w:lvl>
    <w:lvl w:ilvl="3" w:tentative="0">
      <w:start w:val="1"/>
      <w:numFmt w:val="decimal"/>
      <w:pStyle w:val="5"/>
      <w:lvlText w:val="%1.%2.%3.%4"/>
      <w:lvlJc w:val="left"/>
      <w:pPr>
        <w:ind w:left="0" w:firstLine="0"/>
      </w:pPr>
      <w:rPr>
        <w:rFonts w:hint="eastAsia" w:ascii="宋体" w:hAnsi="宋体" w:eastAsia="宋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C04CA"/>
    <w:rsid w:val="2CFB48D1"/>
    <w:rsid w:val="428B676D"/>
    <w:rsid w:val="578C04CA"/>
    <w:rsid w:val="7170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rFonts w:ascii="Times New Roman" w:hAnsi="Times New Roman" w:eastAsia="宋体"/>
      <w:b/>
      <w:bCs/>
      <w:kern w:val="44"/>
      <w:sz w:val="36"/>
      <w:szCs w:val="44"/>
    </w:rPr>
  </w:style>
  <w:style w:type="paragraph" w:styleId="4">
    <w:name w:val="heading 3"/>
    <w:basedOn w:val="1"/>
    <w:next w:val="1"/>
    <w:semiHidden/>
    <w:unhideWhenUsed/>
    <w:qFormat/>
    <w:uiPriority w:val="0"/>
    <w:pPr>
      <w:keepNext/>
      <w:keepLines/>
      <w:spacing w:before="260" w:beforeLines="0" w:beforeAutospacing="0" w:after="260" w:afterLines="0" w:afterAutospacing="0" w:line="240" w:lineRule="auto"/>
      <w:jc w:val="left"/>
      <w:outlineLvl w:val="2"/>
    </w:pPr>
    <w:rPr>
      <w:rFonts w:ascii="Times New Roman" w:hAnsi="Times New Roman" w:eastAsia="宋体" w:cs="Times New Roman"/>
      <w:b/>
    </w:rPr>
  </w:style>
  <w:style w:type="paragraph" w:styleId="5">
    <w:name w:val="heading 4"/>
    <w:basedOn w:val="1"/>
    <w:next w:val="1"/>
    <w:link w:val="10"/>
    <w:semiHidden/>
    <w:unhideWhenUsed/>
    <w:qFormat/>
    <w:uiPriority w:val="0"/>
    <w:pPr>
      <w:keepNext/>
      <w:keepLines/>
      <w:numPr>
        <w:ilvl w:val="3"/>
        <w:numId w:val="1"/>
      </w:numPr>
      <w:spacing w:before="280" w:after="290" w:line="240" w:lineRule="auto"/>
      <w:outlineLvl w:val="3"/>
    </w:pPr>
    <w:rPr>
      <w:rFonts w:ascii="Cambria" w:hAnsi="Cambria" w:eastAsia="宋体" w:cs="Times New Roman"/>
      <w:b/>
      <w:bCs/>
      <w:sz w:val="22"/>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80" w:lineRule="exact"/>
    </w:pPr>
    <w:rPr>
      <w:sz w:val="24"/>
    </w:rPr>
  </w:style>
  <w:style w:type="paragraph" w:styleId="6">
    <w:name w:val="Plain Text"/>
    <w:basedOn w:val="1"/>
    <w:next w:val="5"/>
    <w:qFormat/>
    <w:uiPriority w:val="0"/>
    <w:rPr>
      <w:rFonts w:ascii="宋体" w:hAnsi="Courier New"/>
      <w:kern w:val="0"/>
      <w:sz w:val="24"/>
      <w:szCs w:val="20"/>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10">
    <w:name w:val="标题 4 Char"/>
    <w:link w:val="5"/>
    <w:qFormat/>
    <w:uiPriority w:val="0"/>
    <w:rPr>
      <w:rFonts w:ascii="Cambria" w:hAnsi="Cambria" w:eastAsia="宋体" w:cs="Times New Roman"/>
      <w:b/>
      <w:bCs/>
      <w:sz w:val="2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2021-07-30T00:58:00Z</dcterms:created>
  <dc:creator>Administrator</dc:creator>
  <cp:lastModifiedBy>Administrator</cp:lastModifiedBy>
  <dcterms:modified xsi:type="dcterms:W3CDTF">2021-07-30T01:00:15Z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0A0ABEC6F3E94593B3F0AE7C8F2D520B</vt:lpwstr>
  </property>
</Properties>
</file>