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81" w:tblpY="176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393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序号</w:t>
            </w:r>
          </w:p>
        </w:tc>
        <w:tc>
          <w:tcPr>
            <w:tcW w:w="5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服务内容</w:t>
            </w:r>
          </w:p>
        </w:tc>
        <w:tc>
          <w:tcPr>
            <w:tcW w:w="3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数量单位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7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9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北海市铁山港区城镇污水处理工程配套管网项目检测服务采购</w:t>
            </w:r>
          </w:p>
        </w:tc>
        <w:tc>
          <w:tcPr>
            <w:tcW w:w="352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70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（大写）： 人民币肆拾壹万陆仟叁佰玖拾玖元整（¥416399.00）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70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服务时间：</w:t>
            </w:r>
            <w:r>
              <w:rPr>
                <w:rFonts w:hint="eastAsia"/>
                <w:color w:val="000000"/>
              </w:rPr>
              <w:t>从</w:t>
            </w:r>
            <w:r>
              <w:rPr>
                <w:rFonts w:hint="eastAsia"/>
                <w:color w:val="000000"/>
                <w:lang w:eastAsia="zh-CN"/>
              </w:rPr>
              <w:t>北海市铁山港区城镇污水处理工程配套管网项目</w:t>
            </w:r>
            <w:r>
              <w:rPr>
                <w:rFonts w:hint="eastAsia"/>
                <w:color w:val="000000"/>
              </w:rPr>
              <w:t>开工令为准至竣工之日止</w:t>
            </w:r>
            <w:r>
              <w:rPr>
                <w:rFonts w:hint="eastAsia"/>
                <w:color w:val="000000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成交标的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C6A01"/>
    <w:rsid w:val="11BC6A01"/>
    <w:rsid w:val="639E4A86"/>
    <w:rsid w:val="6AE348AF"/>
    <w:rsid w:val="6B9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2019-11-07T02:11:00Z</dcterms:created>
  <dc:creator>Administrator</dc:creator>
  <cp:lastModifiedBy>无敌美少女</cp:lastModifiedBy>
  <dcterms:modified xsi:type="dcterms:W3CDTF">2020-05-18T08:07:23Z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