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313" w:afterLines="100" w:line="360" w:lineRule="auto"/>
        <w:ind w:left="13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instrText xml:space="preserve"> HYPERLINK "https://www.zcygov.cn/project-center/project-result-detail/6987575922169993479?utm=web-project-center-front.54583802.0.0.76cebbc04db611ed80e1ff3bd0f0d174" \t "https://www.zcygov.cn/project-center/self-project/_blank" </w:instrTex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“四车”停车保管服务采购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fldChar w:fldCharType="end"/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采购需求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项目编号：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YLZC2022-G3-990580-KLZB（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2分标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重）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(采购计划文号：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YLZC2022-G3-11226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313" w:afterLines="100" w:line="360" w:lineRule="auto"/>
        <w:ind w:left="13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313" w:afterLines="100" w:line="360" w:lineRule="auto"/>
        <w:ind w:left="13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highlight w:val="none"/>
        </w:rPr>
        <w:t>▲一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服务需求、技术需求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313" w:afterLines="100" w:line="340" w:lineRule="exact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在玉林市城区周边通过政府采购租赁停车场用于“四车”等违法涉案车辆停放保管，租赁期限为3年。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313" w:afterLines="100" w:line="340" w:lineRule="exact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位于玉林市二环北路两侧，距离二环路不得超过8公里，面积在25亩（以具有测绘资质的机构出具的测绘结果为准，允许上下有200平方米误差），每年租金不高于40万。</w:t>
      </w:r>
    </w:p>
    <w:p>
      <w:pPr>
        <w:spacing w:line="340" w:lineRule="exact"/>
        <w:ind w:firstLine="424" w:firstLineChars="202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br w:type="page"/>
      </w:r>
    </w:p>
    <w:p>
      <w:pPr>
        <w:pStyle w:val="2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18"/>
        <w:gridCol w:w="945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标的名称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服务内容和要求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玉林市二环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instrText xml:space="preserve"> HYPERLINK "https://www.zcygov.cn/project-center/project-result-detail/6987575922169993479?utm=web-project-center-front.54583802.0.0.76cebbc04db611ed80e1ff3bd0f0d174" \t "https://www.zcygov.cn/project-center/self-project/_blank"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停车保管服务采购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end"/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6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一、</w:t>
            </w:r>
            <w:r>
              <w:rPr>
                <w:rFonts w:hint="eastAsia"/>
                <w:highlight w:val="none"/>
                <w:lang w:eastAsia="zh-CN"/>
              </w:rPr>
              <w:t>中标人实施本项目须配备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的条件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1、停车场必须证件齐全，有合法的经营资格。存放停车场应具有给排水、照明系统、必需的建筑设备等，各种设施设备应合理布置。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2、存放停车场应配备足够的灭火器、灭火沙坑或灭火龙头等消防设施。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3、存放停车场的环境要求：位置交通便利，方便群众与便于交通管理，地面须平整，停车地面应高于周围环境以防雨季雨水积水、倒灌。有良好的采光、通风条件。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4、停车场周围设置有围墙并安装有监控设施，对停车场全面监控，监控录像存储时间不少于30天。</w:t>
            </w:r>
          </w:p>
          <w:p>
            <w:pPr>
              <w:snapToGrid w:val="0"/>
              <w:spacing w:line="360" w:lineRule="exact"/>
              <w:ind w:firstLine="57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5、对涉案车辆需要提供雨棚、防雨、防尘等设施妥善保管。</w:t>
            </w:r>
          </w:p>
          <w:p>
            <w:pPr>
              <w:snapToGrid w:val="0"/>
              <w:spacing w:line="360" w:lineRule="exact"/>
              <w:ind w:firstLine="57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6.若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的停车场地在提供车辆停放保管服务期间被收回，则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须在原停车场周边5公里范围之类提供满足采购人需求的备用停车场地，并承担转车义务。</w:t>
            </w:r>
          </w:p>
          <w:p>
            <w:pPr>
              <w:snapToGrid w:val="0"/>
              <w:spacing w:line="360" w:lineRule="exact"/>
              <w:ind w:firstLine="57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提供的停车场只能停放采购人暂扣的车辆。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二、车辆停放保管服务要求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违法、涉案车辆停放保管服务要求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（1）进场管理：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对委托保管的违法、涉案车辆进行登记，须在停车牌交接时附上车辆交接表，停车牌需写明：车型、车牌号码，车架号码，发动机号码，车辆特征以及损坏情况等，要求字迹工整清晰，并拍照保存；车辆进场时，应及时告知驾驶人员车上贵重物品（包括证件）由其自行保管，并由执法人员、停车场管理人员、驾驶员三方对车辆的外观、随车物品（包括油料、工具、灭火器、备胎、电瓶等）共同进行核查，制作随车物品清单，由三方签字确认；经办案部门使用密封条对交通事故车辆进行封存后，保管方不得损毁，不得进入车内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（2）停放管理：交通事故造成涉案车辆损坏的，不能保证车内物品安全的情况下，保管方应当采取防雨和遮盖措施，避免天气因素加大车辆损失后果；停放违法、涉案车辆随车所运货物，若车主提出卸货、转载要求的，经采购人管理部门同意，由车主自行卸货、转载或委托停车场安排卸货、转载，停车场不得以任何理由阻止卸货、转载，车主在停车场内卸载或转载货物过程中，停车场管理员要做好登记备案工作；委托停放无牌照违法、涉案车辆时，停车场应按采购人要求编制顺位号牌，并及时登记发动机和车架号码，停车号牌编制后不得随意变动；停放调查期间，严禁任何人员对委托保管的违法、涉案车辆进行调试、维修，改变车辆现有的安全技术状况，对整车采取证据保全措施。 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（3）出场管理：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1、涉案车辆案件处理结束后，停车场见办案部门开具的放车单后，应会同驾驶员及时对随车物品清单上登记的情况进行核查，核查无误后放车。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2、涉及报废车辆和套牌的车辆，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要及时拆卸号牌，并将涉案号牌交给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保管；涉及拼装的违法车辆，乙方要拆除加装部分，由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保管，再交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统一报废。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放车时要做好涉案台帐登记，登记好扣车数量、放行车辆数量、剩余车辆数量；当事人领车时，须要求其在涉案台帐上签名并注明日期。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须在每月月初（10号前）与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核对每月扣车数量。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5、当事人凭车辆手续到停车场认车，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负责核对被扣车辆与车辆手续信息，并为当事人开具证明，证明当事人的车辆已暂扣于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停车场。停车场不得擅自处置委托停放的涉案车辆，包括擅自放车、转卖、拆解等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（4）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对委托保管机动车的安全承担法律上的责任，不得遗失、损坏或者被人冒领，也不得擅自使用委托保管的机动车，上述行为所造成的一切损失均由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承担。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对保管不当造成停放车辆及随车物品、货物的损失承担责任。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在委托保管期间必须妥善保管好采购方停放的车辆及随车物品、货物，如有损坏、被盗、丢失或灭失，均由停车场负责照价赔偿。停车场必须凭采购方的有效放行手续放行车辆，如有私自放行车辆，停车场必须承担相应的法律责任，同时采购方有权单方终止合同。不得以任何理由收取停车费，一经发现查实，双倍退还停车费，采购方有权单方终止合同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涉案车辆需证据保全服务特别要求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（1）涉案车辆因碰撞损坏、无法挡雨，为防止保管期间加大车辆损失，必须保管方提供防雨和遮盖措施。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（2）涉案车辆因碰撞造成燃油系统损坏，为保障车辆及停车场所的安全，必须保管方采取相应的防泄漏、防火、防自燃等应急保护措施。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（3）涉案车辆的局部位置粘附有重要的痕迹物证需要保全提取，为防止自燃或人为等因素造成证据灭失，必须在扣留的事故涉案车辆周围设置隔离区，并采取防雨、防火、防自燃和遮盖等保护性措施。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（4）因案件调查取证需要，停车保管方需在停车场设置勘查区并提供停车棚。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（5）扣留的涉案车辆经初步调查属于涉及其他刑事案件车辆，需要停车保管方加强保全措施，不得与其他涉案车辆混合停放。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（6）需提取涉案车辆底下部位或底盘上的痕迹物证，需要停车保管方提供简易移动升降工具。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（7）需要保全证据的涉案车辆，停车场应按照办案部门提出的有关要求进行保管，保持物证原貌，并固定停放位置，未经办案部门同意不得随意移动，严禁其他人员触碰。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（8）停车场应有健全的停车场责任险投保方案，针对事故车辆证据保全部分停车的应具有相应的投保方案。</w:t>
            </w: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（三）停车场人员配备、配套管理制度相关要求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人员配备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（1）停车场实行24小时轮流值班，执行倒班制，按工作职责配备足够的管理人员，以确保停车场的安全及正常运作。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（2）管理人员具备一定的计算机操作技能，并接受采购人提供的管理系统（设备）使用培训，并熟练掌握操作方法。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停车场管理制度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所属存放场所应安排专人做好违法、涉案车辆交接工作，及时清点违法、涉案车辆数量、并按顺序编排号码后将车辆存放于场内指定位置。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应按采购人各所属大队合理划分存放区域，并将交通违法、涉案车辆分类放置；不同区域要设置隔离标识，注明“所属交警大队、入场时间、车数量、责任人、联系方式”等，严禁混放。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（3）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应按“一车一档”要求建立纸质档案，档案资料必须真实、齐全，并将车辆电子档案信息制作光盘保存，同时应将有关资料存入电脑硬盘备份，以便存查。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（4）实施24小时值班制度，保证采购人查扣的违法、涉案车辆能随时进、出场。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规划场内巡查路线，并建立每日定时巡查制度并严格执行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停车场应具备完善的经营管理、停车管理、安全、保卫管理、货物卸货转载管理、门卫管理制度，并及时上墙公示。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（5）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避免违法、涉案车辆因人为或自然原因在证据保存期间遗失或损坏（毁），确保车辆在进、出场时状态的一致性，并保证车辆的安全、完整。车辆进场后如因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原因导致车况发生改变的，由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承担所有法律责任和经济损失，采购人有权视情节进行追责。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（6）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应对进、出场的车辆做好实时登记造册，并每月按时向采购人报送场地的管理情况及车辆进、出场及库存等有关数据。 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（7）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应协助采购人做好车辆拍照、取证、登记、统计等相关工作。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（8）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不得擅自拆解车辆、放行或扣留车辆，由此造成的法律责任和经济损失由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自行承担，采购人有权视情节进行追责。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（9）取证结束确认为合法并予以发还的车辆，当事人凭采购人出具的书面放行证明到存放场所取回车辆，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应在核对放行证明及相关资料后放行车辆。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（10）为方便当事人领取车辆，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值班期间应可随时凭采购人出具放行证明领取车辆。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（11）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应安排场地管理人员按时参加采购人定期召开的工作会议。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安全管理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）停车场应建立完善的安全、保安管理制度，并设置必要的防火、防盗等防护设施，加强停车场地的保安巡查，特别是夜间巡查，防止盗窃、火灾事故发生。妥善保管交通事故车辆，不得损坏、更换部件或者丢失，如有涉及燃料泄漏车辆，停车场应具备相应处置条件及设备，并具备应急处置预案及能力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2）车辆进场时，执法人员及停车场工作人员应对随车所运货物进行鉴别，需采取特殊防护措施的，应要求车主或驾驶人员采取相应的防护措施。在车辆停放期间，停车场应加强对上述车辆的停放管理，防止意外事故发生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台账管理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（1）停车场应建立一整套管理台帐，对车辆进场、出场（纸质和电子）、逾期时间长短及逾期收费记录（应有当事三方确认签字）、卸货、转载等情况及时进行登记，并附有相关人员签字。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（2）台账完整度：准确、及时登记车辆信息，及时核对车辆状态，保证每辆车辆的信息准确、完整。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（3）台账准确率:保证车辆信息准确无误，如车辆信息登记有误，及时上报采购人，予以纠正。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jIzODQyNjVkZWQyMzY3MDNiOTAwYzQ0ZDVhMDkifQ=="/>
  </w:docVars>
  <w:rsids>
    <w:rsidRoot w:val="00000000"/>
    <w:rsid w:val="7BA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2023-02-01T07:57:26Z</dcterms:created>
  <dc:creator>Lenovo</dc:creator>
  <cp:lastModifiedBy>皓</cp:lastModifiedBy>
  <dcterms:modified xsi:type="dcterms:W3CDTF">2023-02-01T07:59:10Z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41955D2BD531475CA2679EBA104D16DB</vt:lpwstr>
  </property>
</Properties>
</file>