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广西社会主义学院教学综合楼室内配套装修工程总承包（EPC）招标公告</w:t>
      </w:r>
    </w:p>
    <w:p>
      <w:pPr>
        <w:rPr>
          <w:rFonts w:hint="eastAsia" w:ascii="宋体" w:hAnsi="宋体" w:eastAsia="宋体" w:cs="宋体"/>
          <w:color w:val="auto"/>
          <w:highlight w:val="none"/>
        </w:rPr>
      </w:pPr>
    </w:p>
    <w:p>
      <w:pPr>
        <w:pStyle w:val="4"/>
        <w:spacing w:line="360" w:lineRule="auto"/>
        <w:rPr>
          <w:rFonts w:hint="eastAsia" w:ascii="宋体" w:hAnsi="宋体" w:eastAsia="宋体" w:cs="宋体"/>
          <w:color w:val="auto"/>
          <w:sz w:val="24"/>
          <w:szCs w:val="24"/>
          <w:highlight w:val="none"/>
        </w:rPr>
      </w:pPr>
      <w:bookmarkStart w:id="0" w:name="_Toc8009"/>
      <w:bookmarkStart w:id="1" w:name="_Toc433988543"/>
      <w:bookmarkStart w:id="2" w:name="_Toc59202980"/>
      <w:bookmarkStart w:id="3" w:name="_Toc419364201"/>
      <w:bookmarkStart w:id="4" w:name="_Toc389065122"/>
      <w:bookmarkStart w:id="5" w:name="_Toc419321110"/>
      <w:bookmarkStart w:id="6" w:name="_Toc419320074"/>
      <w:bookmarkStart w:id="7" w:name="_Toc419363477"/>
      <w:bookmarkStart w:id="8" w:name="_Toc395382353"/>
      <w:r>
        <w:rPr>
          <w:rFonts w:hint="eastAsia" w:ascii="宋体" w:hAnsi="宋体" w:eastAsia="宋体" w:cs="宋体"/>
          <w:color w:val="auto"/>
          <w:sz w:val="24"/>
          <w:szCs w:val="24"/>
          <w:highlight w:val="none"/>
        </w:rPr>
        <w:t>1. 招标条件</w:t>
      </w:r>
      <w:bookmarkEnd w:id="0"/>
      <w:bookmarkEnd w:id="1"/>
      <w:bookmarkEnd w:id="2"/>
      <w:bookmarkEnd w:id="3"/>
      <w:bookmarkEnd w:id="4"/>
      <w:bookmarkEnd w:id="5"/>
      <w:bookmarkEnd w:id="6"/>
      <w:bookmarkEnd w:id="7"/>
      <w:bookmarkEnd w:id="8"/>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本招标项目</w:t>
      </w:r>
      <w:r>
        <w:rPr>
          <w:rFonts w:hint="eastAsia" w:ascii="宋体" w:hAnsi="宋体" w:eastAsia="宋体" w:cs="宋体"/>
          <w:color w:val="auto"/>
          <w:highlight w:val="none"/>
          <w:u w:val="single"/>
          <w:lang w:eastAsia="zh-CN"/>
        </w:rPr>
        <w:t>广西社会主义学院教学综合楼室内配套装修工程总承包（EPC）</w:t>
      </w:r>
      <w:r>
        <w:rPr>
          <w:rFonts w:hint="eastAsia" w:ascii="宋体" w:hAnsi="宋体" w:eastAsia="宋体" w:cs="宋体"/>
          <w:color w:val="auto"/>
          <w:highlight w:val="none"/>
        </w:rPr>
        <w:t>工程已由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lang w:eastAsia="zh-CN"/>
        </w:rPr>
        <w:t>广西壮族自治区发展和改革委员会</w:t>
      </w:r>
      <w:r>
        <w:rPr>
          <w:rFonts w:hint="eastAsia" w:ascii="宋体" w:hAnsi="宋体" w:eastAsia="宋体" w:cs="宋体"/>
          <w:color w:val="auto"/>
          <w:highlight w:val="none"/>
        </w:rPr>
        <w:t>以</w:t>
      </w:r>
      <w:r>
        <w:rPr>
          <w:rFonts w:hint="eastAsia" w:ascii="宋体" w:hAnsi="宋体" w:eastAsia="宋体" w:cs="宋体"/>
          <w:color w:val="auto"/>
          <w:highlight w:val="none"/>
          <w:u w:val="single"/>
          <w:lang w:eastAsia="zh-CN"/>
        </w:rPr>
        <w:t>桂发改投资［</w:t>
      </w:r>
      <w:r>
        <w:rPr>
          <w:rFonts w:hint="eastAsia" w:ascii="宋体" w:hAnsi="宋体" w:eastAsia="宋体" w:cs="宋体"/>
          <w:color w:val="auto"/>
          <w:highlight w:val="none"/>
          <w:u w:val="single"/>
          <w:lang w:val="en-US" w:eastAsia="zh-CN"/>
        </w:rPr>
        <w:t>2018</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1301号</w:t>
      </w:r>
      <w:r>
        <w:rPr>
          <w:rFonts w:hint="eastAsia" w:ascii="宋体" w:hAnsi="宋体" w:eastAsia="宋体" w:cs="宋体"/>
          <w:color w:val="auto"/>
          <w:highlight w:val="none"/>
        </w:rPr>
        <w:t xml:space="preserve"> 批准建设，招标人（项目业主）为</w:t>
      </w:r>
      <w:r>
        <w:rPr>
          <w:rFonts w:hint="eastAsia" w:ascii="宋体" w:hAnsi="宋体" w:eastAsia="宋体" w:cs="宋体"/>
          <w:color w:val="auto"/>
          <w:highlight w:val="none"/>
          <w:u w:val="single"/>
          <w:lang w:eastAsia="zh-CN"/>
        </w:rPr>
        <w:t xml:space="preserve">广西社会主义学院 </w:t>
      </w:r>
      <w:r>
        <w:rPr>
          <w:rFonts w:hint="eastAsia" w:ascii="宋体" w:hAnsi="宋体" w:eastAsia="宋体" w:cs="宋体"/>
          <w:color w:val="auto"/>
          <w:highlight w:val="none"/>
        </w:rPr>
        <w:t>，建设资金来自</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财政</w:t>
      </w:r>
      <w:r>
        <w:rPr>
          <w:rFonts w:hint="eastAsia"/>
          <w:color w:val="auto"/>
          <w:highlight w:val="none"/>
          <w:u w:val="single"/>
          <w:lang w:val="en-US" w:eastAsia="zh-CN"/>
        </w:rPr>
        <w:t>预算资金</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 （资金来源），项目出资比例为</w:t>
      </w:r>
      <w:r>
        <w:rPr>
          <w:rFonts w:hint="eastAsia" w:ascii="宋体" w:hAnsi="宋体" w:eastAsia="宋体" w:cs="宋体"/>
          <w:color w:val="auto"/>
          <w:highlight w:val="none"/>
          <w:u w:val="single"/>
          <w:lang w:val="en-US" w:eastAsia="zh-CN"/>
        </w:rPr>
        <w:t>100%</w:t>
      </w:r>
      <w:r>
        <w:rPr>
          <w:rFonts w:hint="eastAsia" w:ascii="宋体" w:hAnsi="宋体" w:eastAsia="宋体" w:cs="宋体"/>
          <w:color w:val="auto"/>
          <w:highlight w:val="none"/>
        </w:rPr>
        <w:t>。项目已具备招标条件，</w:t>
      </w:r>
      <w:r>
        <w:rPr>
          <w:rFonts w:hint="eastAsia" w:ascii="宋体" w:hAnsi="宋体" w:eastAsia="宋体" w:cs="宋体"/>
          <w:color w:val="auto"/>
          <w:szCs w:val="21"/>
          <w:highlight w:val="none"/>
        </w:rPr>
        <w:t>现对该项目的□设计、采购（指永久专用设备的采购）、施工或</w:t>
      </w:r>
      <w:r>
        <w:rPr>
          <w:rFonts w:hint="eastAsia" w:ascii="MS Mincho" w:hAnsi="MS Mincho" w:eastAsia="宋体" w:cs="MS Mincho"/>
          <w:color w:val="auto"/>
          <w:highlight w:val="none"/>
          <w:lang w:eastAsia="zh-CN"/>
        </w:rPr>
        <w:t>☑</w:t>
      </w:r>
      <w:r>
        <w:rPr>
          <w:rFonts w:hint="eastAsia" w:ascii="宋体" w:hAnsi="宋体" w:eastAsia="宋体" w:cs="宋体"/>
          <w:color w:val="auto"/>
          <w:szCs w:val="21"/>
          <w:highlight w:val="none"/>
        </w:rPr>
        <w:t>设计、施工进行公开招标。</w:t>
      </w:r>
    </w:p>
    <w:p>
      <w:pPr>
        <w:pStyle w:val="4"/>
        <w:spacing w:line="360" w:lineRule="auto"/>
        <w:rPr>
          <w:rFonts w:hint="eastAsia" w:ascii="宋体" w:hAnsi="宋体" w:eastAsia="宋体" w:cs="宋体"/>
          <w:color w:val="auto"/>
          <w:sz w:val="24"/>
          <w:szCs w:val="24"/>
          <w:highlight w:val="none"/>
          <w:lang w:eastAsia="zh-CN"/>
        </w:rPr>
      </w:pPr>
      <w:bookmarkStart w:id="9" w:name="_Toc389065123"/>
      <w:bookmarkStart w:id="10" w:name="_Toc419364202"/>
      <w:bookmarkStart w:id="11" w:name="_Toc419363478"/>
      <w:bookmarkStart w:id="12" w:name="_Toc7158"/>
      <w:bookmarkStart w:id="13" w:name="_Toc419321111"/>
      <w:bookmarkStart w:id="14" w:name="_Toc395382354"/>
      <w:bookmarkStart w:id="15" w:name="_Toc433988544"/>
      <w:bookmarkStart w:id="16" w:name="_Toc419320075"/>
      <w:bookmarkStart w:id="17" w:name="_Toc59202981"/>
      <w:r>
        <w:rPr>
          <w:rFonts w:hint="eastAsia" w:ascii="宋体" w:hAnsi="宋体" w:eastAsia="宋体" w:cs="宋体"/>
          <w:color w:val="auto"/>
          <w:sz w:val="24"/>
          <w:szCs w:val="24"/>
          <w:highlight w:val="none"/>
        </w:rPr>
        <w:t>2. 项目概况与招标范围</w:t>
      </w:r>
      <w:bookmarkEnd w:id="9"/>
      <w:bookmarkEnd w:id="10"/>
      <w:bookmarkEnd w:id="11"/>
      <w:bookmarkEnd w:id="12"/>
      <w:bookmarkEnd w:id="13"/>
      <w:bookmarkEnd w:id="14"/>
      <w:bookmarkEnd w:id="15"/>
      <w:bookmarkEnd w:id="16"/>
      <w:bookmarkEnd w:id="17"/>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2.1项目概况</w:t>
      </w:r>
    </w:p>
    <w:p>
      <w:pPr>
        <w:spacing w:line="360" w:lineRule="auto"/>
        <w:ind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建设地点：</w:t>
      </w:r>
      <w:r>
        <w:rPr>
          <w:rFonts w:hint="eastAsia" w:ascii="宋体" w:hAnsi="宋体" w:eastAsia="宋体" w:cs="宋体"/>
          <w:color w:val="auto"/>
          <w:highlight w:val="none"/>
          <w:u w:val="single"/>
          <w:lang w:eastAsia="zh-CN"/>
        </w:rPr>
        <w:t>南宁市西乡塘区新村大道</w:t>
      </w:r>
      <w:r>
        <w:rPr>
          <w:rFonts w:hint="eastAsia" w:ascii="宋体" w:hAnsi="宋体" w:eastAsia="宋体" w:cs="宋体"/>
          <w:color w:val="auto"/>
          <w:highlight w:val="none"/>
          <w:u w:val="single"/>
          <w:lang w:val="en-US" w:eastAsia="zh-CN"/>
        </w:rPr>
        <w:t>6号广西社会主义学院校区内</w:t>
      </w:r>
    </w:p>
    <w:p>
      <w:pPr>
        <w:spacing w:line="360" w:lineRule="auto"/>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建设规模：</w:t>
      </w:r>
      <w:r>
        <w:rPr>
          <w:rFonts w:hint="eastAsia" w:ascii="宋体" w:hAnsi="宋体" w:eastAsia="宋体" w:cs="宋体"/>
          <w:color w:val="auto"/>
          <w:highlight w:val="none"/>
          <w:u w:val="single"/>
          <w:lang w:eastAsia="zh-CN"/>
        </w:rPr>
        <w:t>室内配套装修面积约8052.59平方米，包括一层装修门厅、电梯厅、餐厅、厨房、走道；二层装修电梯厅、餐厅、厨房、走道；三、四层装修讨论室、小教室；五层装修小教室；六层装修大教室；八层装修讨论室、研究中心；十至二十层装修学员宿舍；二十一层装修电梯厅、走道、教师休息室、学术报告厅、屋面休闲区</w:t>
      </w:r>
    </w:p>
    <w:p>
      <w:pPr>
        <w:spacing w:line="360" w:lineRule="auto"/>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本项目（□估算价</w:t>
      </w:r>
      <w:r>
        <w:rPr>
          <w:rFonts w:hint="eastAsia" w:ascii="宋体" w:hAnsi="宋体" w:eastAsia="宋体" w:cs="宋体"/>
          <w:color w:val="auto"/>
          <w:szCs w:val="21"/>
          <w:highlight w:val="none"/>
        </w:rPr>
        <w:t>☑</w:t>
      </w:r>
      <w:r>
        <w:rPr>
          <w:rFonts w:hint="eastAsia" w:ascii="宋体" w:hAnsi="宋体" w:eastAsia="宋体" w:cs="宋体"/>
          <w:color w:val="auto"/>
          <w:highlight w:val="none"/>
        </w:rPr>
        <w:t>概算价）：</w:t>
      </w:r>
      <w:r>
        <w:rPr>
          <w:rFonts w:hint="eastAsia" w:ascii="宋体" w:hAnsi="宋体" w:eastAsia="宋体" w:cs="宋体"/>
          <w:color w:val="auto"/>
          <w:highlight w:val="none"/>
          <w:u w:val="single"/>
          <w:lang w:eastAsia="zh-CN"/>
        </w:rPr>
        <w:t>约</w:t>
      </w:r>
      <w:r>
        <w:rPr>
          <w:rFonts w:hint="eastAsia" w:ascii="宋体" w:hAnsi="宋体" w:eastAsia="宋体" w:cs="宋体"/>
          <w:color w:val="auto"/>
          <w:highlight w:val="none"/>
          <w:u w:val="single"/>
          <w:lang w:val="en-US" w:eastAsia="zh-CN"/>
        </w:rPr>
        <w:t>1300</w:t>
      </w:r>
      <w:r>
        <w:rPr>
          <w:rFonts w:hint="eastAsia" w:ascii="宋体" w:hAnsi="宋体" w:eastAsia="宋体" w:cs="宋体"/>
          <w:color w:val="auto"/>
          <w:highlight w:val="none"/>
          <w:u w:val="single"/>
          <w:lang w:eastAsia="zh-CN"/>
        </w:rPr>
        <w:t xml:space="preserve"> 万元</w:t>
      </w:r>
    </w:p>
    <w:p>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计划工期：本项目总工期为</w:t>
      </w:r>
      <w:r>
        <w:rPr>
          <w:rFonts w:hint="eastAsia" w:ascii="宋体" w:hAnsi="宋体" w:eastAsia="宋体" w:cs="宋体"/>
          <w:color w:val="auto"/>
          <w:highlight w:val="none"/>
          <w:u w:val="single"/>
          <w:lang w:val="en-US" w:eastAsia="zh-CN"/>
        </w:rPr>
        <w:t>180</w:t>
      </w:r>
      <w:r>
        <w:rPr>
          <w:rFonts w:hint="eastAsia" w:ascii="宋体" w:hAnsi="宋体" w:eastAsia="宋体" w:cs="宋体"/>
          <w:color w:val="auto"/>
          <w:highlight w:val="none"/>
        </w:rPr>
        <w:t>天（日历天）。</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2.2招标范围： </w:t>
      </w:r>
      <w:r>
        <w:rPr>
          <w:rFonts w:hint="eastAsia" w:ascii="宋体" w:hAnsi="宋体" w:eastAsia="宋体" w:cs="宋体"/>
          <w:color w:val="auto"/>
          <w:szCs w:val="21"/>
          <w:highlight w:val="none"/>
        </w:rPr>
        <w:t>初步设计完成后施工图设计完成前：依据拟建项目已批复的初步设计、招标文件的要求进行项目的施工图设计、施工的工程总承包内容招标，包括</w:t>
      </w:r>
      <w:r>
        <w:rPr>
          <w:rFonts w:hint="eastAsia" w:ascii="宋体" w:hAnsi="宋体" w:cs="宋体"/>
          <w:color w:val="auto"/>
          <w:szCs w:val="21"/>
          <w:highlight w:val="none"/>
        </w:rPr>
        <w:t>施工图设计（含预算）、设计变更（含小项及重大项）、技术交底及工程验收等；施工阶段包括经审定的施工图、工程量清单范围内包含的</w:t>
      </w:r>
      <w:r>
        <w:rPr>
          <w:rFonts w:hint="eastAsia" w:ascii="宋体" w:hAnsi="宋体" w:eastAsia="宋体" w:cs="宋体"/>
          <w:color w:val="auto"/>
          <w:highlight w:val="none"/>
          <w:u w:val="single"/>
          <w:lang w:eastAsia="zh-CN"/>
        </w:rPr>
        <w:t>室内精装修、电气照明、消防工程、空调暖通改造工程等相关配套设施</w:t>
      </w:r>
      <w:r>
        <w:rPr>
          <w:rFonts w:hint="eastAsia" w:ascii="宋体" w:hAnsi="宋体" w:eastAsia="宋体" w:cs="宋体"/>
          <w:color w:val="auto"/>
          <w:highlight w:val="none"/>
          <w:u w:val="single"/>
        </w:rPr>
        <w:t>等施工（施工设计范围内所涉及的工程内容）</w:t>
      </w:r>
      <w:r>
        <w:rPr>
          <w:rFonts w:hint="eastAsia" w:ascii="宋体" w:hAnsi="宋体" w:cs="宋体"/>
          <w:color w:val="auto"/>
          <w:szCs w:val="21"/>
          <w:highlight w:val="none"/>
        </w:rPr>
        <w:t>，直至竣工验收合格及整体移交、工程保修期内的缺陷修复和保修工作；工程管理工作包括协助业主完成本工程所有报批报建（环保、消防、质监、安监、竣工备案），现场工程管理、安全管理、扬尘治理等工作。</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2.3标段划分： </w:t>
      </w:r>
      <w:r>
        <w:rPr>
          <w:rFonts w:hint="eastAsia" w:ascii="宋体" w:hAnsi="宋体" w:eastAsia="宋体" w:cs="宋体"/>
          <w:color w:val="auto"/>
          <w:highlight w:val="none"/>
          <w:u w:val="single"/>
          <w:lang w:eastAsia="zh-CN"/>
        </w:rPr>
        <w:t>本项目共划分</w:t>
      </w:r>
      <w:r>
        <w:rPr>
          <w:rFonts w:hint="eastAsia" w:ascii="宋体" w:hAnsi="宋体" w:eastAsia="宋体" w:cs="宋体"/>
          <w:color w:val="auto"/>
          <w:highlight w:val="none"/>
          <w:u w:val="single"/>
          <w:lang w:val="en-US" w:eastAsia="zh-CN"/>
        </w:rPr>
        <w:t>为</w:t>
      </w:r>
      <w:r>
        <w:rPr>
          <w:rFonts w:hint="eastAsia" w:ascii="宋体" w:hAnsi="宋体" w:eastAsia="宋体" w:cs="宋体"/>
          <w:color w:val="auto"/>
          <w:highlight w:val="none"/>
          <w:u w:val="single"/>
          <w:lang w:eastAsia="zh-CN"/>
        </w:rPr>
        <w:t>1个标段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2.4 </w:t>
      </w:r>
      <w:r>
        <w:rPr>
          <w:rFonts w:hint="eastAsia" w:ascii="宋体" w:hAnsi="宋体" w:eastAsia="宋体" w:cs="宋体"/>
          <w:color w:val="auto"/>
          <w:szCs w:val="21"/>
          <w:highlight w:val="none"/>
        </w:rPr>
        <w:t xml:space="preserve">本项目 </w:t>
      </w:r>
      <w:r>
        <w:rPr>
          <w:rFonts w:hint="eastAsia" w:ascii="宋体" w:hAnsi="宋体" w:eastAsia="宋体" w:cs="宋体"/>
          <w:color w:val="auto"/>
          <w:highlight w:val="none"/>
        </w:rPr>
        <w:t>不要求采用装配式技术。</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2.5 </w:t>
      </w:r>
      <w:r>
        <w:rPr>
          <w:rFonts w:hint="eastAsia" w:ascii="宋体" w:hAnsi="宋体" w:eastAsia="宋体" w:cs="宋体"/>
          <w:color w:val="auto"/>
          <w:szCs w:val="21"/>
          <w:highlight w:val="none"/>
        </w:rPr>
        <w:t xml:space="preserve">本项目 </w:t>
      </w:r>
      <w:r>
        <w:rPr>
          <w:rFonts w:hint="eastAsia" w:ascii="宋体" w:hAnsi="宋体" w:eastAsia="宋体" w:cs="宋体"/>
          <w:color w:val="auto"/>
          <w:highlight w:val="none"/>
        </w:rPr>
        <w:t>要求采用建筑信息模型（BIM）技术。</w:t>
      </w:r>
    </w:p>
    <w:p>
      <w:pPr>
        <w:pStyle w:val="4"/>
        <w:spacing w:line="360" w:lineRule="auto"/>
        <w:rPr>
          <w:rFonts w:hint="eastAsia" w:ascii="宋体" w:hAnsi="宋体" w:eastAsia="宋体" w:cs="宋体"/>
          <w:color w:val="auto"/>
          <w:sz w:val="24"/>
          <w:szCs w:val="24"/>
          <w:highlight w:val="none"/>
        </w:rPr>
      </w:pPr>
      <w:bookmarkStart w:id="18" w:name="_Toc389065124"/>
      <w:bookmarkStart w:id="19" w:name="_Toc11524"/>
      <w:bookmarkStart w:id="20" w:name="_Toc419363479"/>
      <w:bookmarkStart w:id="21" w:name="_Toc395382355"/>
      <w:bookmarkStart w:id="22" w:name="_Toc59202982"/>
      <w:bookmarkStart w:id="23" w:name="_Toc419321112"/>
      <w:bookmarkStart w:id="24" w:name="_Toc419320076"/>
      <w:bookmarkStart w:id="25" w:name="_Toc419364203"/>
      <w:bookmarkStart w:id="26" w:name="_Toc433988545"/>
      <w:r>
        <w:rPr>
          <w:rFonts w:hint="eastAsia" w:ascii="宋体" w:hAnsi="宋体" w:eastAsia="宋体" w:cs="宋体"/>
          <w:color w:val="auto"/>
          <w:sz w:val="24"/>
          <w:szCs w:val="24"/>
          <w:highlight w:val="none"/>
        </w:rPr>
        <w:t>3. 投标人资格要求</w:t>
      </w:r>
      <w:bookmarkEnd w:id="18"/>
      <w:bookmarkEnd w:id="19"/>
      <w:bookmarkEnd w:id="20"/>
      <w:bookmarkEnd w:id="21"/>
      <w:bookmarkEnd w:id="22"/>
      <w:bookmarkEnd w:id="23"/>
      <w:bookmarkEnd w:id="24"/>
      <w:bookmarkEnd w:id="25"/>
      <w:bookmarkEnd w:id="26"/>
    </w:p>
    <w:p>
      <w:pPr>
        <w:spacing w:line="360" w:lineRule="auto"/>
        <w:ind w:left="105" w:leftChars="50"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highlight w:val="none"/>
        </w:rPr>
        <w:t>3.1本次招标要求投标人</w:t>
      </w:r>
      <w:r>
        <w:rPr>
          <w:rFonts w:hint="eastAsia" w:ascii="宋体" w:hAnsi="宋体" w:eastAsia="宋体" w:cs="宋体"/>
          <w:color w:val="auto"/>
          <w:szCs w:val="21"/>
          <w:highlight w:val="none"/>
        </w:rPr>
        <w:t>同时</w:t>
      </w:r>
      <w:r>
        <w:rPr>
          <w:rFonts w:hint="eastAsia" w:ascii="宋体" w:hAnsi="宋体" w:eastAsia="宋体" w:cs="宋体"/>
          <w:b w:val="0"/>
          <w:bCs w:val="0"/>
          <w:color w:val="auto"/>
          <w:szCs w:val="24"/>
          <w:highlight w:val="none"/>
        </w:rPr>
        <w:t>具</w:t>
      </w:r>
      <w:r>
        <w:rPr>
          <w:rFonts w:hint="eastAsia" w:ascii="宋体" w:hAnsi="宋体" w:eastAsia="宋体" w:cs="宋体"/>
          <w:b w:val="0"/>
          <w:bCs w:val="0"/>
          <w:color w:val="auto"/>
          <w:highlight w:val="none"/>
        </w:rPr>
        <w:t>备</w:t>
      </w:r>
      <w:r>
        <w:rPr>
          <w:rFonts w:hint="default" w:ascii="Calibri" w:hAnsi="Calibri" w:eastAsia="宋体" w:cs="Calibri"/>
          <w:b w:val="0"/>
          <w:bCs w:val="0"/>
          <w:color w:val="auto"/>
          <w:highlight w:val="none"/>
        </w:rPr>
        <w:t>①</w:t>
      </w:r>
      <w:r>
        <w:rPr>
          <w:rFonts w:hint="eastAsia" w:ascii="Calibri" w:hAnsi="Calibri" w:eastAsia="宋体" w:cs="Calibri"/>
          <w:b w:val="0"/>
          <w:bCs w:val="0"/>
          <w:color w:val="auto"/>
          <w:highlight w:val="none"/>
          <w:lang w:eastAsia="zh-CN"/>
        </w:rPr>
        <w:t>和</w:t>
      </w:r>
      <w:r>
        <w:rPr>
          <w:rFonts w:hint="default" w:ascii="Calibri" w:hAnsi="Calibri" w:eastAsia="宋体" w:cs="Calibri"/>
          <w:b w:val="0"/>
          <w:bCs w:val="0"/>
          <w:color w:val="auto"/>
          <w:highlight w:val="none"/>
        </w:rPr>
        <w:t>②</w:t>
      </w:r>
      <w:r>
        <w:rPr>
          <w:rFonts w:hint="eastAsia" w:ascii="Calibri" w:hAnsi="Calibri" w:eastAsia="宋体" w:cs="Calibri"/>
          <w:b w:val="0"/>
          <w:bCs w:val="0"/>
          <w:color w:val="auto"/>
          <w:highlight w:val="none"/>
          <w:lang w:val="en-US" w:eastAsia="zh-CN"/>
        </w:rPr>
        <w:t>资质</w:t>
      </w:r>
      <w:r>
        <w:rPr>
          <w:rFonts w:hint="eastAsia" w:ascii="Calibri" w:hAnsi="Calibri" w:eastAsia="宋体" w:cs="Calibri"/>
          <w:b w:val="0"/>
          <w:bCs w:val="0"/>
          <w:color w:val="auto"/>
          <w:highlight w:val="none"/>
          <w:lang w:eastAsia="zh-CN"/>
        </w:rPr>
        <w:t>：</w:t>
      </w:r>
      <w:r>
        <w:rPr>
          <w:rFonts w:hint="default" w:ascii="Calibri" w:hAnsi="Calibri" w:eastAsia="宋体" w:cs="Calibri"/>
          <w:b w:val="0"/>
          <w:bCs w:val="0"/>
          <w:color w:val="auto"/>
          <w:highlight w:val="none"/>
        </w:rPr>
        <w:t>①</w:t>
      </w:r>
      <w:r>
        <w:rPr>
          <w:rFonts w:hint="eastAsia" w:ascii="宋体" w:hAnsi="宋体" w:eastAsia="宋体" w:cs="宋体"/>
          <w:b/>
          <w:bCs/>
          <w:color w:val="auto"/>
          <w:szCs w:val="21"/>
          <w:highlight w:val="none"/>
        </w:rPr>
        <w:t>建筑装饰工程设计专项</w:t>
      </w:r>
      <w:r>
        <w:rPr>
          <w:rFonts w:hint="eastAsia" w:ascii="宋体" w:hAnsi="宋体" w:eastAsia="宋体" w:cs="宋体"/>
          <w:b/>
          <w:bCs/>
          <w:color w:val="auto"/>
          <w:szCs w:val="21"/>
          <w:highlight w:val="none"/>
          <w:lang w:eastAsia="zh-CN"/>
        </w:rPr>
        <w:t>乙</w:t>
      </w:r>
      <w:r>
        <w:rPr>
          <w:rFonts w:hint="eastAsia" w:ascii="宋体" w:hAnsi="宋体" w:eastAsia="宋体" w:cs="宋体"/>
          <w:b/>
          <w:bCs/>
          <w:color w:val="auto"/>
          <w:szCs w:val="21"/>
          <w:highlight w:val="none"/>
        </w:rPr>
        <w:t>级</w:t>
      </w:r>
      <w:r>
        <w:rPr>
          <w:rFonts w:hint="eastAsia" w:ascii="宋体" w:hAnsi="宋体" w:eastAsia="宋体" w:cs="宋体"/>
          <w:b/>
          <w:bCs/>
          <w:color w:val="auto"/>
          <w:szCs w:val="21"/>
          <w:highlight w:val="none"/>
          <w:u w:val="none"/>
          <w:lang w:val="zh-CN" w:eastAsia="zh-CN"/>
        </w:rPr>
        <w:t>(含)</w:t>
      </w:r>
      <w:r>
        <w:rPr>
          <w:rFonts w:hint="eastAsia" w:ascii="宋体" w:hAnsi="宋体" w:eastAsia="宋体" w:cs="宋体"/>
          <w:b/>
          <w:bCs/>
          <w:color w:val="auto"/>
          <w:szCs w:val="21"/>
          <w:highlight w:val="none"/>
          <w:lang w:eastAsia="zh-CN"/>
        </w:rPr>
        <w:t>以上</w:t>
      </w:r>
      <w:r>
        <w:rPr>
          <w:rFonts w:hint="eastAsia" w:ascii="宋体" w:hAnsi="宋体" w:eastAsia="宋体" w:cs="宋体"/>
          <w:b/>
          <w:bCs/>
          <w:color w:val="auto"/>
          <w:szCs w:val="21"/>
          <w:highlight w:val="none"/>
        </w:rPr>
        <w:t>资质</w:t>
      </w:r>
      <w:r>
        <w:rPr>
          <w:rFonts w:hint="eastAsia" w:ascii="宋体" w:hAnsi="宋体" w:eastAsia="宋体" w:cs="宋体"/>
          <w:b/>
          <w:bCs/>
          <w:color w:val="auto"/>
          <w:szCs w:val="21"/>
          <w:highlight w:val="none"/>
          <w:lang w:eastAsia="zh-CN"/>
        </w:rPr>
        <w:t>或</w:t>
      </w:r>
      <w:r>
        <w:rPr>
          <w:rFonts w:hint="eastAsia" w:ascii="宋体" w:hAnsi="宋体" w:eastAsia="宋体" w:cs="宋体"/>
          <w:b/>
          <w:bCs/>
          <w:color w:val="auto"/>
          <w:szCs w:val="21"/>
          <w:highlight w:val="none"/>
          <w:u w:val="none"/>
          <w:lang w:val="zh-CN" w:eastAsia="zh-CN"/>
        </w:rPr>
        <w:t>建筑行业（建筑工程）设计乙级(含)以上资质或建筑行业工程设计乙级(含)以上资质或工程设计综合资质；</w:t>
      </w:r>
      <w:r>
        <w:rPr>
          <w:rFonts w:hint="default" w:ascii="Calibri" w:hAnsi="Calibri" w:eastAsia="宋体" w:cs="Calibri"/>
          <w:b w:val="0"/>
          <w:bCs w:val="0"/>
          <w:color w:val="auto"/>
          <w:highlight w:val="none"/>
        </w:rPr>
        <w:t>②</w:t>
      </w:r>
      <w:r>
        <w:rPr>
          <w:rFonts w:hint="eastAsia" w:ascii="宋体" w:hAnsi="宋体" w:eastAsia="宋体" w:cs="宋体"/>
          <w:b/>
          <w:bCs/>
          <w:color w:val="auto"/>
          <w:highlight w:val="none"/>
        </w:rPr>
        <w:t>建筑装修装饰工程专业承包二级</w:t>
      </w:r>
      <w:r>
        <w:rPr>
          <w:rFonts w:hint="eastAsia" w:ascii="宋体" w:hAnsi="宋体" w:eastAsia="宋体" w:cs="宋体"/>
          <w:b/>
          <w:bCs/>
          <w:color w:val="auto"/>
          <w:szCs w:val="21"/>
          <w:highlight w:val="none"/>
          <w:u w:val="none"/>
          <w:lang w:val="zh-CN" w:eastAsia="zh-CN"/>
        </w:rPr>
        <w:t>(含)</w:t>
      </w:r>
      <w:r>
        <w:rPr>
          <w:rFonts w:hint="eastAsia" w:ascii="宋体" w:hAnsi="宋体" w:eastAsia="宋体" w:cs="宋体"/>
          <w:b/>
          <w:bCs/>
          <w:color w:val="auto"/>
          <w:highlight w:val="none"/>
        </w:rPr>
        <w:t>以上</w:t>
      </w:r>
      <w:r>
        <w:rPr>
          <w:rFonts w:hint="eastAsia" w:ascii="宋体" w:hAnsi="宋体" w:eastAsia="宋体" w:cs="宋体"/>
          <w:b/>
          <w:bCs/>
          <w:color w:val="auto"/>
          <w:szCs w:val="21"/>
          <w:highlight w:val="none"/>
        </w:rPr>
        <w:t>资质</w:t>
      </w:r>
      <w:r>
        <w:rPr>
          <w:rFonts w:hint="eastAsia" w:ascii="宋体" w:hAnsi="宋体" w:eastAsia="宋体" w:cs="宋体"/>
          <w:b/>
          <w:bCs/>
          <w:color w:val="auto"/>
          <w:szCs w:val="21"/>
          <w:highlight w:val="none"/>
          <w:lang w:eastAsia="zh-CN"/>
        </w:rPr>
        <w:t>或建筑工程施工总承包三级</w:t>
      </w:r>
      <w:r>
        <w:rPr>
          <w:rFonts w:hint="eastAsia" w:ascii="宋体" w:hAnsi="宋体" w:eastAsia="宋体" w:cs="宋体"/>
          <w:b/>
          <w:bCs/>
          <w:color w:val="auto"/>
          <w:szCs w:val="21"/>
          <w:highlight w:val="none"/>
          <w:u w:val="none"/>
          <w:lang w:val="zh-CN" w:eastAsia="zh-CN"/>
        </w:rPr>
        <w:t>(含)</w:t>
      </w:r>
      <w:r>
        <w:rPr>
          <w:rFonts w:hint="eastAsia" w:ascii="宋体" w:hAnsi="宋体" w:eastAsia="宋体" w:cs="宋体"/>
          <w:b/>
          <w:bCs/>
          <w:color w:val="auto"/>
          <w:szCs w:val="21"/>
          <w:highlight w:val="none"/>
          <w:lang w:eastAsia="zh-CN"/>
        </w:rPr>
        <w:t>以上资质</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 xml:space="preserve">具有有效的安全生产许可证，并在人员、设备、资金等方面具备相应的履约能力。投标人（如为联合体投标的要求其联合体中施工单位）已录入广西建筑业企业诚信信息库并处于有效状态。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3.2主要负责人员要求：</w:t>
      </w:r>
    </w:p>
    <w:p>
      <w:pPr>
        <w:spacing w:line="360" w:lineRule="auto"/>
        <w:ind w:firstLine="405"/>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3.2.1工程总承包项目经理：</w:t>
      </w:r>
      <w:r>
        <w:rPr>
          <w:rFonts w:hint="eastAsia" w:ascii="宋体" w:hAnsi="宋体"/>
          <w:color w:val="auto"/>
          <w:szCs w:val="21"/>
          <w:highlight w:val="none"/>
          <w:u w:val="single"/>
        </w:rPr>
        <w:t>具有</w:t>
      </w:r>
      <w:r>
        <w:rPr>
          <w:rFonts w:hint="eastAsia" w:ascii="宋体" w:hAnsi="宋体"/>
          <w:color w:val="auto"/>
          <w:szCs w:val="21"/>
          <w:highlight w:val="none"/>
          <w:u w:val="single"/>
          <w:lang w:eastAsia="zh-CN"/>
        </w:rPr>
        <w:t>建筑</w:t>
      </w:r>
      <w:r>
        <w:rPr>
          <w:rFonts w:hint="eastAsia" w:ascii="宋体" w:hAnsi="宋体"/>
          <w:color w:val="auto"/>
          <w:szCs w:val="21"/>
          <w:highlight w:val="none"/>
          <w:u w:val="single"/>
        </w:rPr>
        <w:t>工程专业</w:t>
      </w:r>
      <w:r>
        <w:rPr>
          <w:rFonts w:hint="eastAsia" w:ascii="宋体" w:hAnsi="宋体"/>
          <w:color w:val="auto"/>
          <w:szCs w:val="21"/>
          <w:highlight w:val="none"/>
          <w:u w:val="single"/>
          <w:lang w:eastAsia="zh-CN"/>
        </w:rPr>
        <w:t>二</w:t>
      </w:r>
      <w:r>
        <w:rPr>
          <w:rFonts w:hint="eastAsia" w:ascii="宋体" w:hAnsi="宋体"/>
          <w:color w:val="auto"/>
          <w:szCs w:val="21"/>
          <w:highlight w:val="none"/>
          <w:u w:val="single"/>
        </w:rPr>
        <w:t>级</w:t>
      </w:r>
      <w:r>
        <w:rPr>
          <w:rFonts w:hint="eastAsia" w:ascii="宋体" w:hAnsi="宋体"/>
          <w:color w:val="auto"/>
          <w:szCs w:val="21"/>
          <w:highlight w:val="none"/>
          <w:u w:val="single"/>
          <w:lang w:eastAsia="zh-CN"/>
        </w:rPr>
        <w:t>（含）以上</w:t>
      </w:r>
      <w:r>
        <w:rPr>
          <w:rFonts w:hint="eastAsia" w:ascii="宋体" w:hAnsi="宋体"/>
          <w:color w:val="auto"/>
          <w:szCs w:val="21"/>
          <w:highlight w:val="none"/>
          <w:u w:val="single"/>
        </w:rPr>
        <w:t>注册建筑师或注册结构工程师或注册建造师或注册监理工程师和</w:t>
      </w:r>
      <w:r>
        <w:rPr>
          <w:rFonts w:hint="eastAsia" w:ascii="宋体" w:hAnsi="宋体"/>
          <w:color w:val="auto"/>
          <w:szCs w:val="21"/>
          <w:highlight w:val="none"/>
          <w:u w:val="single"/>
          <w:lang w:eastAsia="zh-CN"/>
        </w:rPr>
        <w:t>工程类中级</w:t>
      </w:r>
      <w:r>
        <w:rPr>
          <w:rFonts w:hint="eastAsia" w:ascii="宋体" w:hAnsi="宋体"/>
          <w:color w:val="auto"/>
          <w:szCs w:val="21"/>
          <w:highlight w:val="none"/>
          <w:u w:val="single"/>
        </w:rPr>
        <w:t>及以上职称（</w:t>
      </w:r>
      <w:r>
        <w:rPr>
          <w:rFonts w:hint="eastAsia" w:ascii="宋体" w:hAnsi="宋体"/>
          <w:b/>
          <w:color w:val="auto"/>
          <w:szCs w:val="21"/>
          <w:highlight w:val="none"/>
          <w:u w:val="single"/>
        </w:rPr>
        <w:t>联合</w:t>
      </w:r>
      <w:r>
        <w:rPr>
          <w:rFonts w:ascii="宋体" w:hAnsi="宋体"/>
          <w:b/>
          <w:color w:val="auto"/>
          <w:szCs w:val="21"/>
          <w:highlight w:val="none"/>
          <w:u w:val="single"/>
        </w:rPr>
        <w:t>体投标的，需</w:t>
      </w:r>
      <w:r>
        <w:rPr>
          <w:rFonts w:hint="eastAsia" w:ascii="宋体" w:hAnsi="宋体"/>
          <w:b/>
          <w:color w:val="auto"/>
          <w:szCs w:val="21"/>
          <w:highlight w:val="none"/>
          <w:u w:val="single"/>
        </w:rPr>
        <w:t>为</w:t>
      </w:r>
      <w:r>
        <w:rPr>
          <w:rFonts w:ascii="宋体" w:hAnsi="宋体"/>
          <w:b/>
          <w:color w:val="auto"/>
          <w:szCs w:val="21"/>
          <w:highlight w:val="none"/>
          <w:u w:val="single"/>
        </w:rPr>
        <w:t>牵</w:t>
      </w:r>
      <w:r>
        <w:rPr>
          <w:rFonts w:hint="eastAsia" w:ascii="宋体" w:hAnsi="宋体"/>
          <w:b/>
          <w:color w:val="auto"/>
          <w:szCs w:val="21"/>
          <w:highlight w:val="none"/>
          <w:u w:val="single"/>
        </w:rPr>
        <w:t>头</w:t>
      </w:r>
      <w:r>
        <w:rPr>
          <w:rFonts w:ascii="宋体" w:hAnsi="宋体"/>
          <w:b/>
          <w:color w:val="auto"/>
          <w:szCs w:val="21"/>
          <w:highlight w:val="none"/>
          <w:u w:val="single"/>
        </w:rPr>
        <w:t>单位</w:t>
      </w:r>
      <w:r>
        <w:rPr>
          <w:rFonts w:hint="eastAsia" w:ascii="宋体" w:hAnsi="宋体"/>
          <w:b/>
          <w:color w:val="auto"/>
          <w:szCs w:val="21"/>
          <w:highlight w:val="none"/>
          <w:u w:val="single"/>
        </w:rPr>
        <w:t>员工）</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已录入广西建筑业企业诚信信息库并处于有效状态，不得同时在两个或者两个以上工程项目担任施工项目经理</w:t>
      </w:r>
      <w:r>
        <w:rPr>
          <w:rFonts w:hint="eastAsia" w:ascii="宋体" w:hAnsi="宋体" w:eastAsia="宋体" w:cs="宋体"/>
          <w:color w:val="auto"/>
          <w:szCs w:val="21"/>
          <w:highlight w:val="none"/>
          <w:u w:val="single"/>
        </w:rPr>
        <w:t>或</w:t>
      </w:r>
      <w:r>
        <w:rPr>
          <w:rFonts w:hint="eastAsia" w:ascii="宋体" w:hAnsi="宋体" w:eastAsia="宋体" w:cs="宋体"/>
          <w:color w:val="auto"/>
          <w:szCs w:val="21"/>
          <w:highlight w:val="none"/>
        </w:rPr>
        <w:t>工程总承包项目经理</w:t>
      </w:r>
      <w:r>
        <w:rPr>
          <w:rFonts w:hint="eastAsia" w:ascii="宋体" w:hAnsi="宋体" w:eastAsia="宋体" w:cs="宋体"/>
          <w:color w:val="auto"/>
          <w:szCs w:val="21"/>
          <w:highlight w:val="none"/>
          <w:u w:val="single"/>
        </w:rPr>
        <w:t>或</w:t>
      </w:r>
      <w:r>
        <w:rPr>
          <w:rFonts w:hint="eastAsia" w:ascii="宋体" w:hAnsi="宋体" w:eastAsia="宋体" w:cs="宋体"/>
          <w:color w:val="auto"/>
          <w:szCs w:val="21"/>
          <w:highlight w:val="none"/>
        </w:rPr>
        <w:t>项目总监理工程师，不接受有在建、已中标未开工或已列为其他项目中标候选人第一名的施工项目经理</w:t>
      </w:r>
      <w:r>
        <w:rPr>
          <w:rFonts w:hint="eastAsia" w:ascii="宋体" w:hAnsi="宋体" w:eastAsia="宋体" w:cs="宋体"/>
          <w:color w:val="auto"/>
          <w:szCs w:val="21"/>
          <w:highlight w:val="none"/>
          <w:u w:val="single"/>
        </w:rPr>
        <w:t>或</w:t>
      </w:r>
      <w:r>
        <w:rPr>
          <w:rFonts w:hint="eastAsia" w:ascii="宋体" w:hAnsi="宋体" w:eastAsia="宋体" w:cs="宋体"/>
          <w:color w:val="auto"/>
          <w:szCs w:val="21"/>
          <w:highlight w:val="none"/>
        </w:rPr>
        <w:t>工程总承包项目经理</w:t>
      </w:r>
      <w:r>
        <w:rPr>
          <w:rFonts w:hint="eastAsia" w:ascii="宋体" w:hAnsi="宋体" w:eastAsia="宋体" w:cs="宋体"/>
          <w:color w:val="auto"/>
          <w:szCs w:val="21"/>
          <w:highlight w:val="none"/>
          <w:u w:val="single"/>
        </w:rPr>
        <w:t>或</w:t>
      </w:r>
      <w:r>
        <w:rPr>
          <w:rFonts w:hint="eastAsia" w:ascii="宋体" w:hAnsi="宋体" w:eastAsia="宋体" w:cs="宋体"/>
          <w:color w:val="auto"/>
          <w:szCs w:val="21"/>
          <w:highlight w:val="none"/>
        </w:rPr>
        <w:t>项目总监理工程师作为工程总承包项目经理（符合《广西壮族自治区建筑市场诚信卡管理暂行办法》第十六条第一款及桂建管（2016）70号文除外）。</w:t>
      </w:r>
      <w:r>
        <w:rPr>
          <w:rFonts w:hint="eastAsia" w:ascii="宋体" w:hAnsi="宋体" w:eastAsia="宋体" w:cs="宋体"/>
          <w:color w:val="auto"/>
          <w:highlight w:val="none"/>
        </w:rPr>
        <w:t>要求担任过与拟建项目相类似的工程总承包项目经理</w:t>
      </w:r>
      <w:r>
        <w:rPr>
          <w:rFonts w:hint="eastAsia" w:ascii="宋体" w:hAnsi="宋体" w:eastAsia="宋体" w:cs="宋体"/>
          <w:color w:val="auto"/>
          <w:szCs w:val="21"/>
          <w:highlight w:val="none"/>
          <w:u w:val="single"/>
        </w:rPr>
        <w:t>或</w:t>
      </w:r>
      <w:r>
        <w:rPr>
          <w:rFonts w:hint="eastAsia" w:ascii="宋体" w:hAnsi="宋体" w:eastAsia="宋体" w:cs="宋体"/>
          <w:color w:val="auto"/>
          <w:highlight w:val="none"/>
        </w:rPr>
        <w:t>设计项目负责人</w:t>
      </w:r>
      <w:r>
        <w:rPr>
          <w:rFonts w:hint="eastAsia" w:ascii="宋体" w:hAnsi="宋体" w:eastAsia="宋体" w:cs="宋体"/>
          <w:color w:val="auto"/>
          <w:szCs w:val="21"/>
          <w:highlight w:val="none"/>
          <w:u w:val="single"/>
        </w:rPr>
        <w:t>或</w:t>
      </w:r>
      <w:r>
        <w:rPr>
          <w:rFonts w:hint="eastAsia" w:ascii="宋体" w:hAnsi="宋体" w:eastAsia="宋体" w:cs="宋体"/>
          <w:color w:val="auto"/>
          <w:highlight w:val="none"/>
        </w:rPr>
        <w:t>施工项目经理或者项目总监理工程师</w:t>
      </w:r>
      <w:r>
        <w:rPr>
          <w:rFonts w:hint="eastAsia" w:ascii="宋体" w:hAnsi="宋体" w:eastAsia="宋体" w:cs="宋体"/>
          <w:color w:val="auto"/>
          <w:highlight w:val="none"/>
          <w:lang w:eastAsia="zh-CN"/>
        </w:rPr>
        <w:t>。</w:t>
      </w:r>
    </w:p>
    <w:p>
      <w:pPr>
        <w:spacing w:line="360" w:lineRule="auto"/>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3.2.2项目设计负责人：具有</w:t>
      </w:r>
      <w:r>
        <w:rPr>
          <w:rFonts w:hint="eastAsia" w:ascii="宋体" w:hAnsi="宋体" w:eastAsia="宋体" w:cs="宋体"/>
          <w:color w:val="auto"/>
          <w:szCs w:val="21"/>
          <w:highlight w:val="none"/>
          <w:u w:val="single"/>
          <w:lang w:eastAsia="zh-CN"/>
        </w:rPr>
        <w:t>一</w:t>
      </w:r>
      <w:r>
        <w:rPr>
          <w:rFonts w:hint="eastAsia" w:ascii="宋体" w:hAnsi="宋体" w:eastAsia="宋体" w:cs="宋体"/>
          <w:color w:val="auto"/>
          <w:szCs w:val="21"/>
          <w:highlight w:val="none"/>
        </w:rPr>
        <w:t>级注册建筑师证书和</w:t>
      </w:r>
      <w:r>
        <w:rPr>
          <w:rFonts w:hint="eastAsia" w:ascii="宋体" w:hAnsi="宋体" w:eastAsia="宋体" w:cs="宋体"/>
          <w:color w:val="auto"/>
          <w:szCs w:val="21"/>
          <w:highlight w:val="none"/>
          <w:u w:val="single"/>
          <w:lang w:eastAsia="zh-CN"/>
        </w:rPr>
        <w:t>建筑工程类</w:t>
      </w:r>
      <w:r>
        <w:rPr>
          <w:rFonts w:hint="eastAsia" w:ascii="宋体" w:hAnsi="宋体" w:eastAsia="宋体" w:cs="宋体"/>
          <w:color w:val="auto"/>
          <w:szCs w:val="21"/>
          <w:highlight w:val="none"/>
        </w:rPr>
        <w:t>专业</w:t>
      </w:r>
      <w:r>
        <w:rPr>
          <w:rFonts w:hint="eastAsia" w:ascii="宋体" w:hAnsi="宋体" w:eastAsia="宋体" w:cs="宋体"/>
          <w:color w:val="auto"/>
          <w:szCs w:val="21"/>
          <w:highlight w:val="none"/>
          <w:u w:val="single"/>
          <w:lang w:eastAsia="zh-CN"/>
        </w:rPr>
        <w:t>中</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及以上</w:t>
      </w:r>
      <w:r>
        <w:rPr>
          <w:rFonts w:hint="eastAsia" w:ascii="宋体" w:hAnsi="宋体" w:eastAsia="宋体" w:cs="宋体"/>
          <w:color w:val="auto"/>
          <w:szCs w:val="21"/>
          <w:highlight w:val="none"/>
        </w:rPr>
        <w:t>职称。【备注：涉及市政道桥专业等尚未实行注册制的设相关专业高级职称要求即可】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3.2.3施工项目经理：具有</w:t>
      </w:r>
      <w:r>
        <w:rPr>
          <w:rFonts w:hint="eastAsia" w:ascii="宋体" w:hAnsi="宋体" w:eastAsia="宋体" w:cs="宋体"/>
          <w:color w:val="auto"/>
          <w:szCs w:val="21"/>
          <w:highlight w:val="none"/>
          <w:u w:val="single"/>
          <w:lang w:eastAsia="zh-CN"/>
        </w:rPr>
        <w:t>建筑工程</w:t>
      </w:r>
      <w:r>
        <w:rPr>
          <w:rFonts w:hint="eastAsia" w:ascii="宋体" w:hAnsi="宋体" w:eastAsia="宋体" w:cs="宋体"/>
          <w:color w:val="auto"/>
          <w:szCs w:val="21"/>
          <w:highlight w:val="none"/>
        </w:rPr>
        <w:t>专业</w:t>
      </w:r>
      <w:r>
        <w:rPr>
          <w:rFonts w:hint="eastAsia" w:ascii="宋体" w:hAnsi="宋体" w:eastAsia="宋体" w:cs="宋体"/>
          <w:color w:val="auto"/>
          <w:szCs w:val="21"/>
          <w:highlight w:val="none"/>
          <w:u w:val="single"/>
          <w:lang w:eastAsia="zh-CN"/>
        </w:rPr>
        <w:t>一</w:t>
      </w:r>
      <w:r>
        <w:rPr>
          <w:rFonts w:hint="eastAsia" w:ascii="宋体" w:hAnsi="宋体" w:eastAsia="宋体" w:cs="宋体"/>
          <w:color w:val="auto"/>
          <w:szCs w:val="21"/>
          <w:highlight w:val="none"/>
        </w:rPr>
        <w:t>级注册建造师证书和</w:t>
      </w:r>
      <w:r>
        <w:rPr>
          <w:rFonts w:hint="eastAsia" w:ascii="宋体" w:hAnsi="宋体" w:eastAsia="宋体" w:cs="宋体"/>
          <w:color w:val="auto"/>
          <w:szCs w:val="21"/>
          <w:highlight w:val="none"/>
          <w:u w:val="single"/>
          <w:lang w:eastAsia="zh-CN"/>
        </w:rPr>
        <w:t>中</w:t>
      </w:r>
      <w:r>
        <w:rPr>
          <w:rFonts w:hint="eastAsia" w:ascii="宋体" w:hAnsi="宋体" w:eastAsia="宋体" w:cs="宋体"/>
          <w:color w:val="auto"/>
          <w:szCs w:val="21"/>
          <w:highlight w:val="none"/>
        </w:rPr>
        <w:t>级及以上职称，已录入广西建筑业企业诚信信息库并处于有效状态，具备有效的安全生产考核合格证书（B类）。不接受有在建、已中标未开工或已列为其他项目中标候选人第一名的施工项目经理、工程总承包项目经理作为施工项目经理（符合《广西壮族自治区建筑市场诚信卡管理暂行办法》第十六条第一款及桂建管﹝</w:t>
      </w:r>
      <w:r>
        <w:rPr>
          <w:rFonts w:hint="eastAsia" w:ascii="宋体" w:hAnsi="宋体" w:eastAsia="宋体" w:cs="宋体"/>
          <w:color w:val="auto"/>
          <w:kern w:val="0"/>
          <w:szCs w:val="21"/>
          <w:highlight w:val="none"/>
        </w:rPr>
        <w:t>2016</w:t>
      </w:r>
      <w:r>
        <w:rPr>
          <w:rFonts w:hint="eastAsia" w:ascii="宋体" w:hAnsi="宋体" w:eastAsia="宋体" w:cs="宋体"/>
          <w:color w:val="auto"/>
          <w:szCs w:val="21"/>
          <w:highlight w:val="none"/>
        </w:rPr>
        <w:t>﹞70号文除外）。</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szCs w:val="21"/>
          <w:highlight w:val="none"/>
        </w:rPr>
        <w:t>3.2.4 项目施工专职安全生产管理人员：</w:t>
      </w:r>
      <w:r>
        <w:rPr>
          <w:rFonts w:hint="eastAsia" w:ascii="宋体" w:hAnsi="宋体" w:eastAsia="宋体" w:cs="宋体"/>
          <w:color w:val="auto"/>
          <w:highlight w:val="none"/>
        </w:rPr>
        <w:t>已录入广西建筑业企业诚信信息库并处于有效状态，具备有效的专职安全生产管理人员安全生产考核合格证书（C类）。</w:t>
      </w:r>
    </w:p>
    <w:p>
      <w:pPr>
        <w:spacing w:line="360" w:lineRule="auto"/>
        <w:rPr>
          <w:rFonts w:hint="eastAsia"/>
          <w:color w:val="auto"/>
          <w:szCs w:val="21"/>
          <w:highlight w:val="none"/>
          <w:lang w:eastAsia="zh-CN"/>
        </w:rPr>
      </w:pPr>
      <w:r>
        <w:rPr>
          <w:rFonts w:hint="eastAsia" w:ascii="宋体" w:hAnsi="宋体" w:eastAsia="宋体" w:cs="宋体"/>
          <w:color w:val="auto"/>
          <w:szCs w:val="21"/>
          <w:highlight w:val="none"/>
        </w:rPr>
        <w:t>3.3 业绩要求：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无要求  </w:t>
      </w:r>
      <w:r>
        <w:rPr>
          <w:rFonts w:hint="eastAsia" w:ascii="宋体" w:hAnsi="宋体" w:eastAsia="宋体" w:cs="宋体"/>
          <w:color w:val="auto"/>
          <w:highlight w:val="none"/>
        </w:rPr>
        <w:t>☑</w:t>
      </w:r>
      <w:r>
        <w:rPr>
          <w:rFonts w:hint="eastAsia" w:ascii="宋体" w:hAnsi="宋体" w:eastAsia="宋体" w:cs="宋体"/>
          <w:color w:val="auto"/>
          <w:szCs w:val="21"/>
          <w:highlight w:val="none"/>
        </w:rPr>
        <w:t>有要求，要求</w:t>
      </w:r>
      <w:r>
        <w:rPr>
          <w:rFonts w:hint="eastAsia" w:ascii="宋体" w:hAnsi="宋体" w:eastAsia="宋体" w:cs="宋体"/>
          <w:color w:val="auto"/>
          <w:szCs w:val="21"/>
          <w:highlight w:val="none"/>
          <w:u w:val="single"/>
          <w:lang w:val="en-US" w:eastAsia="zh-CN"/>
        </w:rPr>
        <w:t>2018</w:t>
      </w:r>
      <w:r>
        <w:rPr>
          <w:rFonts w:hint="eastAsia" w:ascii="宋体" w:hAnsi="宋体" w:eastAsia="宋体" w:cs="宋体"/>
          <w:color w:val="auto"/>
          <w:szCs w:val="21"/>
          <w:highlight w:val="none"/>
        </w:rPr>
        <w:t>年（应填写年份）以来</w:t>
      </w:r>
      <w:r>
        <w:rPr>
          <w:rFonts w:hint="eastAsia" w:ascii="宋体" w:hAnsi="宋体" w:eastAsia="宋体" w:cs="宋体"/>
          <w:color w:val="auto"/>
          <w:highlight w:val="none"/>
        </w:rPr>
        <w:t>☑</w:t>
      </w:r>
      <w:r>
        <w:rPr>
          <w:rFonts w:hint="eastAsia" w:ascii="宋体" w:hAnsi="宋体" w:eastAsia="宋体" w:cs="宋体"/>
          <w:color w:val="auto"/>
          <w:szCs w:val="21"/>
          <w:highlight w:val="none"/>
        </w:rPr>
        <w:t xml:space="preserve">完成过质量合格的类似工程业绩 </w:t>
      </w:r>
      <w:r>
        <w:rPr>
          <w:rFonts w:hint="eastAsia" w:ascii="宋体" w:hAnsi="宋体" w:eastAsia="宋体" w:cs="宋体"/>
          <w:color w:val="auto"/>
          <w:highlight w:val="none"/>
        </w:rPr>
        <w:t>☑</w:t>
      </w:r>
      <w:r>
        <w:rPr>
          <w:rFonts w:hint="eastAsia" w:ascii="宋体" w:hAnsi="宋体" w:eastAsia="宋体" w:cs="宋体"/>
          <w:color w:val="auto"/>
          <w:szCs w:val="21"/>
          <w:highlight w:val="none"/>
        </w:rPr>
        <w:t>承接过类似工程业绩，类似工程指：</w:t>
      </w:r>
      <w:r>
        <w:rPr>
          <w:rFonts w:hint="eastAsia" w:ascii="Calibri" w:hAnsi="Calibri" w:eastAsia="宋体" w:cs="Calibri"/>
          <w:b w:val="0"/>
          <w:bCs w:val="0"/>
          <w:color w:val="auto"/>
          <w:szCs w:val="21"/>
          <w:highlight w:val="none"/>
          <w:lang w:eastAsia="zh-CN"/>
        </w:rPr>
        <w:t>类似</w:t>
      </w:r>
      <w:r>
        <w:rPr>
          <w:rFonts w:hint="eastAsia"/>
          <w:b w:val="0"/>
          <w:bCs w:val="0"/>
          <w:color w:val="auto"/>
          <w:szCs w:val="21"/>
          <w:highlight w:val="none"/>
        </w:rPr>
        <w:t>工程总承包</w:t>
      </w:r>
      <w:r>
        <w:rPr>
          <w:rFonts w:hint="eastAsia"/>
          <w:b w:val="0"/>
          <w:bCs w:val="0"/>
          <w:color w:val="auto"/>
          <w:szCs w:val="21"/>
          <w:highlight w:val="none"/>
          <w:lang w:eastAsia="zh-CN"/>
        </w:rPr>
        <w:t>项目</w:t>
      </w:r>
      <w:r>
        <w:rPr>
          <w:rFonts w:hint="eastAsia"/>
          <w:b w:val="0"/>
          <w:bCs w:val="0"/>
          <w:color w:val="auto"/>
          <w:szCs w:val="21"/>
          <w:highlight w:val="none"/>
          <w:lang w:val="en-US" w:eastAsia="zh-CN"/>
        </w:rPr>
        <w:t>或</w:t>
      </w:r>
      <w:r>
        <w:rPr>
          <w:rFonts w:hint="eastAsia" w:ascii="Calibri" w:hAnsi="Calibri" w:eastAsia="宋体" w:cs="Calibri"/>
          <w:b w:val="0"/>
          <w:bCs w:val="0"/>
          <w:color w:val="auto"/>
          <w:szCs w:val="21"/>
          <w:highlight w:val="none"/>
          <w:lang w:eastAsia="zh-CN"/>
        </w:rPr>
        <w:t>类似</w:t>
      </w:r>
      <w:r>
        <w:rPr>
          <w:rFonts w:hint="eastAsia"/>
          <w:b w:val="0"/>
          <w:bCs w:val="0"/>
          <w:color w:val="auto"/>
          <w:szCs w:val="21"/>
          <w:highlight w:val="none"/>
        </w:rPr>
        <w:t>工程</w:t>
      </w:r>
      <w:r>
        <w:rPr>
          <w:rFonts w:hint="eastAsia"/>
          <w:b w:val="0"/>
          <w:bCs w:val="0"/>
          <w:color w:val="auto"/>
          <w:szCs w:val="21"/>
          <w:highlight w:val="none"/>
          <w:lang w:eastAsia="zh-CN"/>
        </w:rPr>
        <w:t>施工项目或</w:t>
      </w:r>
      <w:r>
        <w:rPr>
          <w:rFonts w:hint="eastAsia" w:ascii="Calibri" w:hAnsi="Calibri" w:eastAsia="宋体" w:cs="Calibri"/>
          <w:b w:val="0"/>
          <w:bCs w:val="0"/>
          <w:color w:val="auto"/>
          <w:szCs w:val="21"/>
          <w:highlight w:val="none"/>
          <w:lang w:eastAsia="zh-CN"/>
        </w:rPr>
        <w:t>类似</w:t>
      </w:r>
      <w:r>
        <w:rPr>
          <w:rFonts w:hint="eastAsia"/>
          <w:b w:val="0"/>
          <w:bCs w:val="0"/>
          <w:color w:val="auto"/>
          <w:szCs w:val="21"/>
          <w:highlight w:val="none"/>
        </w:rPr>
        <w:t>工程</w:t>
      </w:r>
      <w:r>
        <w:rPr>
          <w:rFonts w:hint="eastAsia"/>
          <w:b w:val="0"/>
          <w:bCs w:val="0"/>
          <w:color w:val="auto"/>
          <w:szCs w:val="21"/>
          <w:highlight w:val="none"/>
          <w:lang w:eastAsia="zh-CN"/>
        </w:rPr>
        <w:t>设计项目。</w:t>
      </w:r>
    </w:p>
    <w:p>
      <w:pPr>
        <w:numPr>
          <w:ilvl w:val="0"/>
          <w:numId w:val="0"/>
        </w:numPr>
        <w:spacing w:line="360" w:lineRule="auto"/>
        <w:ind w:firstLine="420" w:firstLineChars="200"/>
        <w:rPr>
          <w:rFonts w:hint="default" w:ascii="Calibri" w:hAnsi="Calibri" w:eastAsia="宋体" w:cs="Calibri"/>
          <w:color w:val="auto"/>
          <w:szCs w:val="21"/>
          <w:highlight w:val="none"/>
          <w:lang w:val="en-US" w:eastAsia="zh-CN"/>
        </w:rPr>
      </w:pPr>
      <w:r>
        <w:rPr>
          <w:rFonts w:hint="default" w:ascii="Calibri" w:hAnsi="Calibri" w:eastAsia="宋体" w:cs="Calibri"/>
          <w:color w:val="auto"/>
          <w:szCs w:val="21"/>
          <w:highlight w:val="none"/>
        </w:rPr>
        <w:t>①</w:t>
      </w:r>
      <w:r>
        <w:rPr>
          <w:rFonts w:hint="eastAsia" w:ascii="Calibri" w:hAnsi="Calibri" w:eastAsia="宋体" w:cs="Calibri"/>
          <w:b/>
          <w:bCs/>
          <w:color w:val="auto"/>
          <w:szCs w:val="21"/>
          <w:highlight w:val="none"/>
          <w:lang w:eastAsia="zh-CN"/>
        </w:rPr>
        <w:t>类似</w:t>
      </w:r>
      <w:r>
        <w:rPr>
          <w:rFonts w:hint="eastAsia"/>
          <w:b/>
          <w:bCs/>
          <w:color w:val="auto"/>
          <w:szCs w:val="21"/>
          <w:highlight w:val="none"/>
        </w:rPr>
        <w:t>工程总承包</w:t>
      </w:r>
      <w:r>
        <w:rPr>
          <w:rFonts w:hint="eastAsia"/>
          <w:b/>
          <w:bCs/>
          <w:color w:val="auto"/>
          <w:szCs w:val="21"/>
          <w:highlight w:val="none"/>
          <w:lang w:eastAsia="zh-CN"/>
        </w:rPr>
        <w:t>项目：</w:t>
      </w:r>
      <w:r>
        <w:rPr>
          <w:rFonts w:hint="eastAsia"/>
          <w:color w:val="auto"/>
          <w:szCs w:val="21"/>
          <w:highlight w:val="none"/>
        </w:rPr>
        <w:t>单项合同金额</w:t>
      </w:r>
      <w:r>
        <w:rPr>
          <w:rFonts w:hint="eastAsia"/>
          <w:color w:val="auto"/>
          <w:szCs w:val="21"/>
          <w:highlight w:val="none"/>
          <w:lang w:val="en-US" w:eastAsia="zh-CN"/>
        </w:rPr>
        <w:t>100</w:t>
      </w:r>
      <w:r>
        <w:rPr>
          <w:rFonts w:hint="eastAsia"/>
          <w:color w:val="auto"/>
          <w:szCs w:val="21"/>
          <w:highlight w:val="none"/>
        </w:rPr>
        <w:t>0万</w:t>
      </w:r>
      <w:r>
        <w:rPr>
          <w:color w:val="auto"/>
          <w:szCs w:val="21"/>
          <w:highlight w:val="none"/>
        </w:rPr>
        <w:t>元</w:t>
      </w:r>
      <w:r>
        <w:rPr>
          <w:rFonts w:hint="eastAsia"/>
          <w:color w:val="auto"/>
          <w:szCs w:val="21"/>
          <w:highlight w:val="none"/>
        </w:rPr>
        <w:t>及以上或建筑面积</w:t>
      </w:r>
      <w:r>
        <w:rPr>
          <w:rFonts w:hint="eastAsia"/>
          <w:color w:val="auto"/>
          <w:szCs w:val="21"/>
          <w:highlight w:val="none"/>
          <w:lang w:val="en-US" w:eastAsia="zh-CN"/>
        </w:rPr>
        <w:t>8000</w:t>
      </w:r>
      <w:r>
        <w:rPr>
          <w:rFonts w:hint="eastAsia"/>
          <w:color w:val="auto"/>
          <w:szCs w:val="21"/>
          <w:highlight w:val="none"/>
        </w:rPr>
        <w:t>平方米及以上建筑类装饰装修工程设计施工总承包项目</w:t>
      </w:r>
      <w:r>
        <w:rPr>
          <w:rFonts w:hint="eastAsia"/>
          <w:color w:val="auto"/>
          <w:szCs w:val="21"/>
          <w:highlight w:val="none"/>
          <w:lang w:eastAsia="zh-CN"/>
        </w:rPr>
        <w:t>。</w:t>
      </w:r>
    </w:p>
    <w:p>
      <w:pPr>
        <w:spacing w:line="360" w:lineRule="auto"/>
        <w:ind w:firstLine="422" w:firstLineChars="200"/>
        <w:rPr>
          <w:rFonts w:hint="eastAsia"/>
          <w:color w:val="auto"/>
          <w:szCs w:val="21"/>
          <w:highlight w:val="none"/>
          <w:lang w:eastAsia="zh-CN"/>
        </w:rPr>
      </w:pPr>
      <w:r>
        <w:rPr>
          <w:rFonts w:hint="default" w:ascii="Calibri" w:hAnsi="Calibri" w:eastAsia="宋体" w:cs="Calibri"/>
          <w:b/>
          <w:bCs/>
          <w:color w:val="auto"/>
          <w:szCs w:val="21"/>
          <w:highlight w:val="none"/>
          <w:lang w:eastAsia="zh-CN"/>
        </w:rPr>
        <w:t>②</w:t>
      </w:r>
      <w:r>
        <w:rPr>
          <w:rFonts w:hint="eastAsia" w:ascii="Calibri" w:hAnsi="Calibri" w:eastAsia="宋体" w:cs="Calibri"/>
          <w:b/>
          <w:bCs/>
          <w:color w:val="auto"/>
          <w:szCs w:val="21"/>
          <w:highlight w:val="none"/>
          <w:lang w:eastAsia="zh-CN"/>
        </w:rPr>
        <w:t>类似</w:t>
      </w:r>
      <w:r>
        <w:rPr>
          <w:rFonts w:hint="eastAsia"/>
          <w:b/>
          <w:bCs/>
          <w:color w:val="auto"/>
          <w:szCs w:val="21"/>
          <w:highlight w:val="none"/>
        </w:rPr>
        <w:t>工程</w:t>
      </w:r>
      <w:r>
        <w:rPr>
          <w:rFonts w:hint="eastAsia"/>
          <w:b/>
          <w:bCs/>
          <w:color w:val="auto"/>
          <w:szCs w:val="21"/>
          <w:highlight w:val="none"/>
          <w:lang w:eastAsia="zh-CN"/>
        </w:rPr>
        <w:t>施工项目：</w:t>
      </w:r>
      <w:r>
        <w:rPr>
          <w:rFonts w:hint="eastAsia"/>
          <w:color w:val="auto"/>
          <w:szCs w:val="21"/>
          <w:highlight w:val="none"/>
        </w:rPr>
        <w:t>单项合同金额</w:t>
      </w:r>
      <w:r>
        <w:rPr>
          <w:rFonts w:hint="eastAsia"/>
          <w:color w:val="auto"/>
          <w:szCs w:val="21"/>
          <w:highlight w:val="none"/>
          <w:lang w:val="en-US" w:eastAsia="zh-CN"/>
        </w:rPr>
        <w:t>100</w:t>
      </w:r>
      <w:r>
        <w:rPr>
          <w:rFonts w:hint="eastAsia"/>
          <w:color w:val="auto"/>
          <w:szCs w:val="21"/>
          <w:highlight w:val="none"/>
        </w:rPr>
        <w:t>0万</w:t>
      </w:r>
      <w:r>
        <w:rPr>
          <w:color w:val="auto"/>
          <w:szCs w:val="21"/>
          <w:highlight w:val="none"/>
        </w:rPr>
        <w:t>元</w:t>
      </w:r>
      <w:r>
        <w:rPr>
          <w:rFonts w:hint="eastAsia"/>
          <w:color w:val="auto"/>
          <w:szCs w:val="21"/>
          <w:highlight w:val="none"/>
        </w:rPr>
        <w:t>及以上或建筑面积</w:t>
      </w:r>
      <w:r>
        <w:rPr>
          <w:rFonts w:hint="eastAsia"/>
          <w:color w:val="auto"/>
          <w:szCs w:val="21"/>
          <w:highlight w:val="none"/>
          <w:lang w:val="en-US" w:eastAsia="zh-CN"/>
        </w:rPr>
        <w:t>8000</w:t>
      </w:r>
      <w:r>
        <w:rPr>
          <w:rFonts w:hint="eastAsia"/>
          <w:color w:val="auto"/>
          <w:szCs w:val="21"/>
          <w:highlight w:val="none"/>
        </w:rPr>
        <w:t>平方米及以上建筑类装饰装修工程施工项目</w:t>
      </w:r>
      <w:r>
        <w:rPr>
          <w:rFonts w:hint="eastAsia"/>
          <w:color w:val="auto"/>
          <w:szCs w:val="21"/>
          <w:highlight w:val="none"/>
          <w:lang w:eastAsia="zh-CN"/>
        </w:rPr>
        <w:t>。</w:t>
      </w:r>
    </w:p>
    <w:p>
      <w:pPr>
        <w:spacing w:line="360" w:lineRule="auto"/>
        <w:ind w:firstLine="422" w:firstLineChars="200"/>
        <w:rPr>
          <w:rFonts w:hint="eastAsia" w:ascii="宋体" w:hAnsi="宋体" w:eastAsia="宋体" w:cs="宋体"/>
          <w:color w:val="auto"/>
          <w:szCs w:val="21"/>
          <w:highlight w:val="none"/>
        </w:rPr>
      </w:pPr>
      <w:r>
        <w:rPr>
          <w:rFonts w:hint="default" w:ascii="Calibri" w:hAnsi="Calibri" w:eastAsia="宋体" w:cs="Calibri"/>
          <w:b/>
          <w:bCs/>
          <w:color w:val="auto"/>
          <w:szCs w:val="21"/>
          <w:highlight w:val="none"/>
          <w:lang w:eastAsia="zh-CN"/>
        </w:rPr>
        <w:t>③</w:t>
      </w:r>
      <w:r>
        <w:rPr>
          <w:rFonts w:hint="eastAsia" w:ascii="Calibri" w:hAnsi="Calibri" w:eastAsia="宋体" w:cs="Calibri"/>
          <w:b/>
          <w:bCs/>
          <w:color w:val="auto"/>
          <w:szCs w:val="21"/>
          <w:highlight w:val="none"/>
          <w:lang w:eastAsia="zh-CN"/>
        </w:rPr>
        <w:t>类似</w:t>
      </w:r>
      <w:r>
        <w:rPr>
          <w:rFonts w:hint="eastAsia"/>
          <w:b/>
          <w:bCs/>
          <w:color w:val="auto"/>
          <w:szCs w:val="21"/>
          <w:highlight w:val="none"/>
        </w:rPr>
        <w:t>工程</w:t>
      </w:r>
      <w:r>
        <w:rPr>
          <w:rFonts w:hint="eastAsia"/>
          <w:b/>
          <w:bCs/>
          <w:color w:val="auto"/>
          <w:szCs w:val="21"/>
          <w:highlight w:val="none"/>
          <w:lang w:eastAsia="zh-CN"/>
        </w:rPr>
        <w:t>设计项目：</w:t>
      </w:r>
      <w:r>
        <w:rPr>
          <w:rFonts w:hint="eastAsia"/>
          <w:color w:val="auto"/>
          <w:szCs w:val="21"/>
          <w:highlight w:val="none"/>
        </w:rPr>
        <w:t>投资金额</w:t>
      </w:r>
      <w:r>
        <w:rPr>
          <w:rFonts w:hint="eastAsia"/>
          <w:color w:val="auto"/>
          <w:szCs w:val="21"/>
          <w:highlight w:val="none"/>
          <w:lang w:val="en-US" w:eastAsia="zh-CN"/>
        </w:rPr>
        <w:t>100</w:t>
      </w:r>
      <w:r>
        <w:rPr>
          <w:rFonts w:hint="eastAsia"/>
          <w:color w:val="auto"/>
          <w:szCs w:val="21"/>
          <w:highlight w:val="none"/>
        </w:rPr>
        <w:t>0万</w:t>
      </w:r>
      <w:r>
        <w:rPr>
          <w:color w:val="auto"/>
          <w:szCs w:val="21"/>
          <w:highlight w:val="none"/>
        </w:rPr>
        <w:t>元</w:t>
      </w:r>
      <w:r>
        <w:rPr>
          <w:rFonts w:hint="eastAsia"/>
          <w:color w:val="auto"/>
          <w:szCs w:val="21"/>
          <w:highlight w:val="none"/>
        </w:rPr>
        <w:t>及以上或建筑面积</w:t>
      </w:r>
      <w:r>
        <w:rPr>
          <w:rFonts w:hint="eastAsia"/>
          <w:color w:val="auto"/>
          <w:szCs w:val="21"/>
          <w:highlight w:val="none"/>
          <w:lang w:val="en-US" w:eastAsia="zh-CN"/>
        </w:rPr>
        <w:t>8000</w:t>
      </w:r>
      <w:r>
        <w:rPr>
          <w:rFonts w:hint="eastAsia"/>
          <w:color w:val="auto"/>
          <w:szCs w:val="21"/>
          <w:highlight w:val="none"/>
        </w:rPr>
        <w:t>平方米及以上建筑类装饰装修工程</w:t>
      </w:r>
      <w:r>
        <w:rPr>
          <w:rFonts w:hint="eastAsia"/>
          <w:color w:val="auto"/>
          <w:szCs w:val="21"/>
          <w:highlight w:val="none"/>
          <w:lang w:eastAsia="zh-CN"/>
        </w:rPr>
        <w:t>设计</w:t>
      </w:r>
      <w:r>
        <w:rPr>
          <w:rFonts w:hint="eastAsia"/>
          <w:color w:val="auto"/>
          <w:szCs w:val="21"/>
          <w:highlight w:val="none"/>
        </w:rPr>
        <w:t>项目</w:t>
      </w:r>
      <w:r>
        <w:rPr>
          <w:rFonts w:hint="eastAsia"/>
          <w:color w:val="auto"/>
          <w:szCs w:val="21"/>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 本次招标接受联合体投标</w:t>
      </w:r>
      <w:r>
        <w:rPr>
          <w:rFonts w:hint="eastAsia" w:ascii="宋体" w:hAnsi="宋体" w:eastAsia="宋体" w:cs="宋体"/>
          <w:color w:val="auto"/>
          <w:szCs w:val="21"/>
          <w:highlight w:val="none"/>
        </w:rPr>
        <w:t>。</w:t>
      </w:r>
      <w:r>
        <w:rPr>
          <w:rFonts w:hint="eastAsia" w:ascii="宋体" w:hAnsi="宋体" w:eastAsia="宋体" w:cs="宋体"/>
          <w:color w:val="auto"/>
          <w:highlight w:val="none"/>
        </w:rPr>
        <w:t>联合体投标的，应满足下列要求：</w:t>
      </w:r>
    </w:p>
    <w:p>
      <w:pPr>
        <w:spacing w:after="120" w:afterLines="5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3.4.1本项目接受联合体投标。联合体成员可由设计单位和施工单位组成，联合体各方均应符合“具有独立法人资格”、“具有独立承担民事责任的能力”的条件，其中施工单位须具备有效的安全生产许可证。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3.4.2联合体各方应当签订联合体协议书，其中联合体牵头人代表联合体各方成员负责投标和合同实施阶段的主办、协调工作，但联合体其他成员在投标、签约与履行合同过程中，负有连带的和各自的法律责任。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3.4.3组成联合体进行投标的设计或施工单位不得再以自己的名义单独参与同一标段的投标，也不得组成新的联合体参与同一标段的投标。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3.4.4联合体各方应分别在人员、设备、资金等方面具有承担本项目联合体协议书分工职责范围内的履约能力。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3.4.5联合体中有同类资质的企业按照联合体协议书分工承担相同工作的，应当按照资质等级较低的企业确定联合体资质等级，并按照企业信誉实力评分较低的企业确定企业信誉实力分。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各投标人可就本招标项目的所有标段进行投标，并允许中标其中☑</w:t>
      </w:r>
      <w:r>
        <w:rPr>
          <w:rFonts w:hint="eastAsia" w:ascii="宋体" w:hAnsi="宋体" w:eastAsia="宋体" w:cs="宋体"/>
          <w:color w:val="auto"/>
          <w:szCs w:val="21"/>
          <w:highlight w:val="none"/>
          <w:u w:val="single"/>
        </w:rPr>
        <w:t>一个/□多个/□所有</w:t>
      </w:r>
      <w:r>
        <w:rPr>
          <w:rFonts w:hint="eastAsia" w:ascii="宋体" w:hAnsi="宋体" w:eastAsia="宋体" w:cs="宋体"/>
          <w:color w:val="auto"/>
          <w:szCs w:val="21"/>
          <w:highlight w:val="none"/>
        </w:rPr>
        <w:t>标段（由招标人事先确定）</w:t>
      </w:r>
      <w:r>
        <w:rPr>
          <w:rFonts w:hint="eastAsia" w:ascii="宋体" w:hAnsi="宋体" w:eastAsia="宋体" w:cs="宋体"/>
          <w:color w:val="auto"/>
          <w:highlight w:val="none"/>
        </w:rPr>
        <w:t>。但投标人应就</w:t>
      </w:r>
      <w:r>
        <w:rPr>
          <w:rFonts w:hint="eastAsia" w:ascii="宋体" w:hAnsi="宋体" w:eastAsia="宋体" w:cs="宋体"/>
          <w:color w:val="auto"/>
          <w:szCs w:val="21"/>
          <w:highlight w:val="none"/>
        </w:rPr>
        <w:t>不同标段派出不同的工程总承包项目经理、施工项目经理和项目施工专职安全生产管理人员，否则同一工程总承包项目经理、施工项目经理或项目施工专职安全生产管理人员所参与其它标段作否决投标处理</w:t>
      </w:r>
      <w:r>
        <w:rPr>
          <w:rFonts w:hint="eastAsia" w:ascii="宋体" w:hAnsi="宋体" w:eastAsia="宋体" w:cs="宋体"/>
          <w:color w:val="auto"/>
          <w:highlight w:val="none"/>
        </w:rPr>
        <w:t>（符合桂建管</w:t>
      </w:r>
      <w:r>
        <w:rPr>
          <w:rFonts w:hint="eastAsia" w:ascii="宋体" w:hAnsi="宋体" w:eastAsia="宋体" w:cs="宋体"/>
          <w:color w:val="auto"/>
          <w:szCs w:val="21"/>
          <w:highlight w:val="none"/>
        </w:rPr>
        <w:t>﹝2013﹞</w:t>
      </w:r>
      <w:r>
        <w:rPr>
          <w:rFonts w:hint="eastAsia" w:ascii="宋体" w:hAnsi="宋体" w:eastAsia="宋体" w:cs="宋体"/>
          <w:color w:val="auto"/>
          <w:highlight w:val="none"/>
        </w:rPr>
        <w:t>17号</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桂建管</w:t>
      </w:r>
      <w:r>
        <w:rPr>
          <w:rFonts w:hint="eastAsia" w:ascii="宋体" w:hAnsi="宋体" w:eastAsia="宋体" w:cs="宋体"/>
          <w:color w:val="auto"/>
          <w:szCs w:val="21"/>
          <w:highlight w:val="none"/>
        </w:rPr>
        <w:t>﹝2014﹞</w:t>
      </w:r>
      <w:r>
        <w:rPr>
          <w:rFonts w:hint="eastAsia" w:ascii="宋体" w:hAnsi="宋体" w:eastAsia="宋体" w:cs="宋体"/>
          <w:color w:val="auto"/>
          <w:highlight w:val="none"/>
        </w:rPr>
        <w:t>25号</w:t>
      </w:r>
      <w:r>
        <w:rPr>
          <w:rFonts w:hint="eastAsia" w:ascii="宋体" w:hAnsi="宋体" w:eastAsia="宋体" w:cs="宋体"/>
          <w:color w:val="auto"/>
          <w:kern w:val="0"/>
          <w:szCs w:val="21"/>
          <w:highlight w:val="none"/>
        </w:rPr>
        <w:t>文及桂建管</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2016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70号文除外</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3.6</w:t>
      </w: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（如为联合体投标的要求其联合体中施工单位）</w:t>
      </w:r>
      <w:r>
        <w:rPr>
          <w:rFonts w:hint="eastAsia" w:ascii="宋体" w:hAnsi="宋体" w:eastAsia="宋体" w:cs="宋体"/>
          <w:color w:val="auto"/>
          <w:szCs w:val="21"/>
          <w:highlight w:val="none"/>
        </w:rPr>
        <w:t>信息以广西建筑业企业诚信信息库为准。</w:t>
      </w:r>
    </w:p>
    <w:p>
      <w:pPr>
        <w:pStyle w:val="4"/>
        <w:spacing w:line="360" w:lineRule="auto"/>
        <w:rPr>
          <w:rFonts w:hint="eastAsia" w:ascii="宋体" w:hAnsi="宋体" w:eastAsia="宋体" w:cs="宋体"/>
          <w:color w:val="auto"/>
          <w:sz w:val="24"/>
          <w:szCs w:val="24"/>
          <w:highlight w:val="none"/>
        </w:rPr>
      </w:pPr>
      <w:bookmarkStart w:id="27" w:name="_Toc20871"/>
      <w:bookmarkStart w:id="28" w:name="_Toc395382357"/>
      <w:bookmarkStart w:id="29" w:name="_Toc419321114"/>
      <w:bookmarkStart w:id="30" w:name="_Toc59202983"/>
      <w:bookmarkStart w:id="31" w:name="_Toc419320078"/>
      <w:bookmarkStart w:id="32" w:name="_Toc433988547"/>
      <w:bookmarkStart w:id="33" w:name="_Toc419364205"/>
      <w:bookmarkStart w:id="34" w:name="_Toc419363481"/>
      <w:bookmarkStart w:id="35" w:name="_Toc389065126"/>
      <w:r>
        <w:rPr>
          <w:rFonts w:hint="eastAsia" w:ascii="宋体" w:hAnsi="宋体" w:eastAsia="宋体" w:cs="宋体"/>
          <w:color w:val="auto"/>
          <w:sz w:val="24"/>
          <w:szCs w:val="24"/>
          <w:highlight w:val="none"/>
        </w:rPr>
        <w:t>4. 招标文件的获取</w:t>
      </w:r>
      <w:bookmarkEnd w:id="27"/>
      <w:bookmarkEnd w:id="28"/>
      <w:bookmarkEnd w:id="29"/>
      <w:bookmarkEnd w:id="30"/>
      <w:bookmarkEnd w:id="31"/>
      <w:bookmarkEnd w:id="32"/>
      <w:bookmarkEnd w:id="33"/>
      <w:bookmarkEnd w:id="34"/>
      <w:bookmarkEnd w:id="35"/>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u w:val="none"/>
          <w:lang w:val="en-US" w:eastAsia="zh-CN"/>
        </w:rPr>
        <w:t xml:space="preserve">4.1 </w:t>
      </w:r>
      <w:r>
        <w:rPr>
          <w:rFonts w:hint="eastAsia" w:ascii="宋体" w:hAnsi="宋体" w:eastAsia="宋体" w:cs="宋体"/>
          <w:color w:val="auto"/>
          <w:highlight w:val="none"/>
          <w:u w:val="single"/>
          <w:lang w:val="en-US" w:eastAsia="zh-CN"/>
        </w:rPr>
        <w:t xml:space="preserve"> 2021</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rPr>
        <w:t>分至投标文件递交的截止时间止（不少于30日），</w:t>
      </w:r>
      <w:r>
        <w:rPr>
          <w:rFonts w:hint="eastAsia" w:ascii="宋体" w:hAnsi="宋体" w:eastAsia="宋体" w:cs="宋体"/>
          <w:color w:val="auto"/>
          <w:szCs w:val="21"/>
          <w:highlight w:val="none"/>
          <w:lang w:val="zh-CN" w:bidi="ar"/>
        </w:rPr>
        <w:t>由潜在投标人的专职投标员凭本人的身份证证号及密码或企业CA锁登陆南宁市公共资源交易平台(https://www.nnggzy.org.cn/gxnnhy)免费下载招标文件</w:t>
      </w:r>
      <w:r>
        <w:rPr>
          <w:rFonts w:hint="eastAsia" w:ascii="宋体" w:hAnsi="宋体" w:eastAsia="宋体" w:cs="宋体"/>
          <w:color w:val="auto"/>
          <w:szCs w:val="21"/>
          <w:highlight w:val="none"/>
        </w:rPr>
        <w:t>。</w:t>
      </w:r>
    </w:p>
    <w:p>
      <w:pPr>
        <w:pStyle w:val="4"/>
        <w:spacing w:line="360" w:lineRule="auto"/>
        <w:rPr>
          <w:rFonts w:hint="eastAsia" w:ascii="宋体" w:hAnsi="宋体" w:eastAsia="宋体" w:cs="宋体"/>
          <w:color w:val="auto"/>
          <w:sz w:val="24"/>
          <w:szCs w:val="24"/>
          <w:highlight w:val="none"/>
        </w:rPr>
      </w:pPr>
      <w:bookmarkStart w:id="36" w:name="_Toc419320079"/>
      <w:bookmarkStart w:id="37" w:name="_Toc419363482"/>
      <w:bookmarkStart w:id="38" w:name="_Toc59202984"/>
      <w:bookmarkStart w:id="39" w:name="_Toc22058"/>
      <w:bookmarkStart w:id="40" w:name="_Toc389065127"/>
      <w:bookmarkStart w:id="41" w:name="_Toc433988548"/>
      <w:bookmarkStart w:id="42" w:name="_Toc395382358"/>
      <w:bookmarkStart w:id="43" w:name="_Toc419321115"/>
      <w:bookmarkStart w:id="44" w:name="_Toc419364206"/>
      <w:r>
        <w:rPr>
          <w:rFonts w:hint="eastAsia" w:ascii="宋体" w:hAnsi="宋体" w:eastAsia="宋体" w:cs="宋体"/>
          <w:color w:val="auto"/>
          <w:sz w:val="24"/>
          <w:szCs w:val="24"/>
          <w:highlight w:val="none"/>
        </w:rPr>
        <w:t>5. 投标文件的递交</w:t>
      </w:r>
      <w:bookmarkEnd w:id="36"/>
      <w:bookmarkEnd w:id="37"/>
      <w:bookmarkEnd w:id="38"/>
      <w:bookmarkEnd w:id="39"/>
      <w:bookmarkEnd w:id="40"/>
      <w:bookmarkEnd w:id="41"/>
      <w:bookmarkEnd w:id="42"/>
      <w:bookmarkEnd w:id="43"/>
      <w:bookmarkEnd w:id="44"/>
    </w:p>
    <w:p>
      <w:pPr>
        <w:spacing w:line="400" w:lineRule="exact"/>
        <w:ind w:firstLine="420" w:firstLineChars="200"/>
        <w:rPr>
          <w:rFonts w:hint="eastAsia" w:ascii="宋体" w:hAnsi="宋体" w:eastAsia="宋体" w:cs="宋体"/>
          <w:color w:val="auto"/>
          <w:szCs w:val="21"/>
          <w:highlight w:val="none"/>
        </w:rPr>
      </w:pPr>
      <w:bookmarkStart w:id="45" w:name="_Toc59202985"/>
      <w:bookmarkStart w:id="46" w:name="_Toc419321116"/>
      <w:bookmarkStart w:id="47" w:name="_Toc419320080"/>
      <w:bookmarkStart w:id="48" w:name="_Toc395382359"/>
      <w:bookmarkStart w:id="49" w:name="_Toc433988549"/>
      <w:bookmarkStart w:id="50" w:name="_Toc389065128"/>
      <w:bookmarkStart w:id="51" w:name="_Toc419363483"/>
      <w:bookmarkStart w:id="52" w:name="_Toc419364207"/>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bidi="ar"/>
        </w:rPr>
        <w:t>投标文件递交的截止时间（投标截止时间，下同）为2021年</w:t>
      </w:r>
      <w:r>
        <w:rPr>
          <w:rFonts w:hint="eastAsia" w:ascii="宋体" w:hAnsi="宋体" w:eastAsia="宋体" w:cs="宋体"/>
          <w:color w:val="auto"/>
          <w:szCs w:val="21"/>
          <w:highlight w:val="none"/>
          <w:lang w:val="en-US" w:eastAsia="zh-CN" w:bidi="ar"/>
        </w:rPr>
        <w:t>11</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bidi="ar"/>
        </w:rPr>
        <w:t>日9时30分，地点为</w:t>
      </w:r>
      <w:r>
        <w:rPr>
          <w:rFonts w:hint="eastAsia" w:ascii="宋体" w:hAnsi="宋体" w:eastAsia="宋体" w:cs="宋体"/>
          <w:color w:val="auto"/>
          <w:szCs w:val="21"/>
          <w:highlight w:val="none"/>
        </w:rPr>
        <w:t>南宁市良庆区玉洞大道 33 号南宁市民中心南宁市公共资源交易中心开标厅（具体开标室根据电子屏幕显示的安排）。</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逾期送达的或者未送达指定地点的投标文件，招标人不予受理。</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5.3 </w:t>
      </w:r>
      <w:r>
        <w:rPr>
          <w:rFonts w:hint="eastAsia" w:ascii="宋体" w:hAnsi="宋体" w:eastAsia="宋体" w:cs="宋体"/>
          <w:color w:val="auto"/>
          <w:szCs w:val="21"/>
          <w:highlight w:val="none"/>
          <w:lang w:bidi="ar"/>
        </w:rPr>
        <w:t>投标文件</w:t>
      </w:r>
      <w:r>
        <w:rPr>
          <w:rFonts w:hint="eastAsia" w:ascii="宋体" w:hAnsi="宋体" w:eastAsia="宋体" w:cs="宋体"/>
          <w:color w:val="auto"/>
          <w:szCs w:val="21"/>
          <w:highlight w:val="none"/>
        </w:rPr>
        <w:t>须在投标截止前</w:t>
      </w:r>
      <w:r>
        <w:rPr>
          <w:rFonts w:hint="eastAsia" w:ascii="宋体" w:hAnsi="宋体" w:eastAsia="宋体" w:cs="宋体"/>
          <w:color w:val="auto"/>
          <w:szCs w:val="21"/>
          <w:highlight w:val="none"/>
          <w:lang w:bidi="ar"/>
        </w:rPr>
        <w:t>由投标人的企业法定代表人或专职投标员本人递交</w:t>
      </w:r>
      <w:r>
        <w:rPr>
          <w:rFonts w:hint="eastAsia" w:ascii="宋体" w:hAnsi="宋体" w:eastAsia="宋体" w:cs="宋体"/>
          <w:color w:val="auto"/>
          <w:szCs w:val="21"/>
          <w:highlight w:val="none"/>
        </w:rPr>
        <w:t>，并持专职投标员本人身份件原件（如为法定代表人递交时可持本人身份证原件及本企业任一专职投标员的身份证复印件）、拟投入的工程总承包项目经理、施工项目经理、</w:t>
      </w:r>
      <w:r>
        <w:rPr>
          <w:rFonts w:hint="eastAsia" w:ascii="宋体" w:hAnsi="宋体" w:eastAsia="宋体" w:cs="宋体"/>
          <w:color w:val="auto"/>
          <w:szCs w:val="21"/>
          <w:highlight w:val="none"/>
          <w:lang w:val="zh-CN"/>
        </w:rPr>
        <w:t>所有</w:t>
      </w:r>
      <w:r>
        <w:rPr>
          <w:rFonts w:hint="eastAsia" w:ascii="宋体" w:hAnsi="宋体" w:eastAsia="宋体" w:cs="宋体"/>
          <w:color w:val="auto"/>
          <w:szCs w:val="21"/>
          <w:highlight w:val="none"/>
        </w:rPr>
        <w:t>项目施工专职安全生产管理人员</w:t>
      </w:r>
      <w:r>
        <w:rPr>
          <w:rFonts w:hint="eastAsia" w:ascii="宋体" w:hAnsi="宋体" w:eastAsia="宋体" w:cs="宋体"/>
          <w:color w:val="auto"/>
          <w:szCs w:val="21"/>
          <w:highlight w:val="none"/>
          <w:lang w:val="zh-CN"/>
        </w:rPr>
        <w:t>的身份证复印件</w:t>
      </w:r>
      <w:r>
        <w:rPr>
          <w:rFonts w:hint="eastAsia" w:ascii="宋体" w:hAnsi="宋体" w:eastAsia="宋体" w:cs="宋体"/>
          <w:color w:val="auto"/>
          <w:szCs w:val="21"/>
          <w:highlight w:val="none"/>
        </w:rPr>
        <w:t>通过南宁市公共资源交易平台系统验证，如验证不通过，则投标无效。投标人拟投入工程总承包项目经理、施工项目经理被标注为注册状态异常的，拟投入的工程总承包项目经理、施工项目经理本人须持本人身份证原件出席开标会现场，否则招标人有权拒绝该投标人投标</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5.4 投标人的委托代理人参加现场开标会时必须做好个人防护，全程正确佩戴口罩，配合进行体温检测（体温不得超过37.3℃）、身份登记等，且没有疫情接触史或医学观察已经满14天，否则将被劝返或隔离，必要时配合区域防疫机构强制隔离。符合疫情防控要求的人员方可参加现场交易活动。</w:t>
      </w:r>
    </w:p>
    <w:p>
      <w:pPr>
        <w:widowControl/>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5.5疫情期间，本项目投标人可自行选择到现场递交投标文件或通过邮寄方式寄送投标文件</w:t>
      </w:r>
      <w:r>
        <w:rPr>
          <w:rFonts w:hint="eastAsia" w:ascii="宋体" w:hAnsi="宋体" w:eastAsia="宋体" w:cs="宋体"/>
          <w:color w:val="auto"/>
          <w:kern w:val="0"/>
          <w:szCs w:val="21"/>
          <w:highlight w:val="none"/>
          <w:lang w:bidi="ar"/>
        </w:rPr>
        <w:t>。</w:t>
      </w:r>
      <w:r>
        <w:rPr>
          <w:rFonts w:hint="eastAsia" w:ascii="宋体" w:hAnsi="宋体" w:eastAsia="宋体" w:cs="宋体"/>
          <w:b/>
          <w:bCs/>
          <w:color w:val="auto"/>
          <w:kern w:val="0"/>
          <w:szCs w:val="21"/>
          <w:highlight w:val="none"/>
          <w:lang w:bidi="ar"/>
        </w:rPr>
        <w:t>选择邮寄方式寄送投标文件的，</w:t>
      </w:r>
      <w:r>
        <w:rPr>
          <w:rFonts w:hint="eastAsia" w:ascii="宋体" w:hAnsi="宋体" w:eastAsia="宋体" w:cs="宋体"/>
          <w:b/>
          <w:color w:val="auto"/>
          <w:szCs w:val="21"/>
          <w:highlight w:val="none"/>
        </w:rPr>
        <w:t>具体要求如下</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投标文件必须在投标截止时间前送达到广西壮族自治区南宁市西乡塘区大学东路170号广西科联招标中心有限公司一楼大厅前台。招标代理机构工作人员签收邮寄包裹的时间即为投标人投标文件的送达时间，逾期送达的投标文件无效，后果由投标人自行承担。</w:t>
      </w:r>
    </w:p>
    <w:p>
      <w:pPr>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lang w:bidi="ar"/>
        </w:rPr>
        <w:t>投标人须在截标（</w:t>
      </w:r>
      <w:r>
        <w:rPr>
          <w:rFonts w:hint="eastAsia" w:ascii="宋体" w:hAnsi="宋体" w:eastAsia="宋体" w:cs="宋体"/>
          <w:color w:val="auto"/>
          <w:szCs w:val="21"/>
          <w:highlight w:val="none"/>
          <w:lang w:bidi="ar"/>
        </w:rPr>
        <w:t>开标）时间前，将密封包装好的投标文件寄到以下地址：</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收件地址：</w:t>
      </w:r>
      <w:r>
        <w:rPr>
          <w:rFonts w:hint="eastAsia" w:ascii="宋体" w:hAnsi="宋体" w:eastAsia="宋体" w:cs="宋体"/>
          <w:bCs/>
          <w:color w:val="auto"/>
          <w:szCs w:val="21"/>
          <w:highlight w:val="none"/>
        </w:rPr>
        <w:t>广西壮族自治区南宁市西乡塘区大学东路170号广西科联招标中心有限公司一楼大厅前台</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收件人：</w:t>
      </w:r>
      <w:r>
        <w:rPr>
          <w:rFonts w:hint="eastAsia" w:ascii="宋体" w:hAnsi="宋体" w:eastAsia="宋体" w:cs="宋体"/>
          <w:bCs/>
          <w:color w:val="auto"/>
          <w:szCs w:val="21"/>
          <w:highlight w:val="none"/>
        </w:rPr>
        <w:t>李艳、周工，联系电话：0771-2273368</w:t>
      </w:r>
      <w:r>
        <w:rPr>
          <w:rFonts w:hint="eastAsia" w:ascii="宋体" w:hAnsi="宋体" w:eastAsia="宋体" w:cs="宋体"/>
          <w:color w:val="auto"/>
          <w:szCs w:val="21"/>
          <w:highlight w:val="none"/>
        </w:rPr>
        <w:t>。</w:t>
      </w:r>
    </w:p>
    <w:p>
      <w:pPr>
        <w:widowControl/>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（3）为确保疫情防控期间邮寄包裹能及时送达，投标人应选择邮寄运送时间有保障的快递公司寄送投标</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，招标代理机构将在投标（开标）截止时间前一</w:t>
      </w:r>
      <w:r>
        <w:rPr>
          <w:rFonts w:hint="eastAsia" w:ascii="宋体" w:hAnsi="宋体" w:eastAsia="宋体" w:cs="宋体"/>
          <w:color w:val="auto"/>
          <w:szCs w:val="21"/>
          <w:highlight w:val="none"/>
          <w:lang w:eastAsia="zh-CN"/>
        </w:rPr>
        <w:t>个半</w:t>
      </w:r>
      <w:r>
        <w:rPr>
          <w:rFonts w:hint="eastAsia" w:ascii="宋体" w:hAnsi="宋体" w:eastAsia="宋体" w:cs="宋体"/>
          <w:color w:val="auto"/>
          <w:szCs w:val="21"/>
          <w:highlight w:val="none"/>
        </w:rPr>
        <w:t>小时（即8时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0分）统一将收到的投标文件运送至南宁市公共资源交易中心，以确保本项目能在截止（开标）时间准时截标。投标人应充分预留投标文件邮寄、送达所需要的时间。</w:t>
      </w:r>
      <w:r>
        <w:rPr>
          <w:rFonts w:hint="eastAsia" w:ascii="宋体" w:hAnsi="宋体" w:eastAsia="宋体" w:cs="宋体"/>
          <w:b w:val="0"/>
          <w:bCs/>
          <w:color w:val="auto"/>
          <w:szCs w:val="21"/>
          <w:highlight w:val="none"/>
        </w:rPr>
        <w:t>接收邮寄快递包裹的时间为正常工作日上午 8：00～12：00，下午15：00～18:00。</w:t>
      </w:r>
    </w:p>
    <w:p>
      <w:pPr>
        <w:pStyle w:val="8"/>
        <w:spacing w:after="0" w:line="400" w:lineRule="exact"/>
        <w:ind w:firstLine="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（4）投标人在按照招标文件的要求装订、密封好投标文件后，应使用不透明、防水的邮寄袋（或箱）再次包裹已密封好的投标文件，</w:t>
      </w:r>
      <w:r>
        <w:rPr>
          <w:rFonts w:hint="eastAsia" w:ascii="宋体" w:hAnsi="宋体" w:eastAsia="宋体" w:cs="宋体"/>
          <w:b w:val="0"/>
          <w:bCs w:val="0"/>
          <w:color w:val="auto"/>
          <w:szCs w:val="21"/>
          <w:highlight w:val="none"/>
        </w:rPr>
        <w:t>并在邮寄袋（或箱）上粘牢注明项目名称、项目编号、开标时间、电话、电子邮箱等内容</w:t>
      </w:r>
      <w:r>
        <w:rPr>
          <w:rFonts w:hint="eastAsia" w:ascii="宋体" w:hAnsi="宋体" w:cs="宋体"/>
          <w:b w:val="0"/>
          <w:bCs w:val="0"/>
          <w:color w:val="auto"/>
          <w:szCs w:val="21"/>
          <w:highlight w:val="none"/>
          <w:lang w:eastAsia="zh-CN"/>
        </w:rPr>
        <w:t>，但不应有可识别投标人的信息</w:t>
      </w:r>
      <w:r>
        <w:rPr>
          <w:rFonts w:hint="eastAsia" w:ascii="宋体" w:hAnsi="宋体" w:eastAsia="宋体" w:cs="宋体"/>
          <w:b w:val="0"/>
          <w:bCs w:val="0"/>
          <w:color w:val="auto"/>
          <w:szCs w:val="21"/>
          <w:highlight w:val="none"/>
        </w:rPr>
        <w:t>。招标代理机构工作人</w:t>
      </w:r>
      <w:r>
        <w:rPr>
          <w:rFonts w:hint="eastAsia" w:ascii="宋体" w:hAnsi="宋体" w:eastAsia="宋体" w:cs="宋体"/>
          <w:color w:val="auto"/>
          <w:szCs w:val="21"/>
          <w:highlight w:val="none"/>
        </w:rPr>
        <w:t>员将依据此信息将邮寄袋（或箱）提交该项目的开标评标环节。如招标代理机构收到的邮寄包裹未按上述要求进行标识，造成无法将投标文件提交至该项目开标评标环节的，由此产生的后果由投标人自行承担。</w:t>
      </w:r>
    </w:p>
    <w:p>
      <w:pPr>
        <w:pStyle w:val="8"/>
        <w:spacing w:after="0" w:line="400" w:lineRule="exact"/>
        <w:ind w:firstLine="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邮件外包粘贴表格式如下：</w:t>
      </w:r>
    </w:p>
    <w:p>
      <w:pPr>
        <w:pStyle w:val="8"/>
        <w:spacing w:after="0" w:line="400" w:lineRule="exact"/>
        <w:ind w:firstLine="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p>
      <w:pPr>
        <w:pStyle w:val="8"/>
        <w:spacing w:after="0" w:line="400" w:lineRule="exact"/>
        <w:ind w:firstLine="21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项目编号：</w:t>
      </w:r>
    </w:p>
    <w:p>
      <w:pPr>
        <w:pStyle w:val="8"/>
        <w:spacing w:after="0" w:line="400" w:lineRule="exact"/>
        <w:ind w:firstLine="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电 话（手机+办公座机）： </w:t>
      </w:r>
    </w:p>
    <w:p>
      <w:pPr>
        <w:pStyle w:val="8"/>
        <w:spacing w:after="0" w:line="400" w:lineRule="exact"/>
        <w:ind w:firstLine="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电子邮箱（QQ邮箱）： </w:t>
      </w:r>
    </w:p>
    <w:p>
      <w:pPr>
        <w:pStyle w:val="8"/>
        <w:spacing w:after="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   年   月   日    时 分前不得开启</w:t>
      </w:r>
    </w:p>
    <w:p>
      <w:pPr>
        <w:pStyle w:val="8"/>
        <w:spacing w:after="0" w:line="400" w:lineRule="exact"/>
        <w:ind w:firstLine="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招标代理机构工作人员在收到投标文件的邮寄包裹后，第一时间按照投标人在邮寄包裹上所预留的电子邮箱告知各投标人投标文件收件情况，请投标人务必确保所预留的电子邮箱的有效性，并注意查收邮件。</w:t>
      </w:r>
    </w:p>
    <w:p>
      <w:pPr>
        <w:widowControl/>
        <w:spacing w:line="40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（6）关于投标文件澄清的有关要求：  </w:t>
      </w:r>
    </w:p>
    <w:p>
      <w:pPr>
        <w:widowControl/>
        <w:spacing w:line="40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1)为便于招标代理机构或评标委员会在项目评标期间与投标人及时取得联系，做好评标过程中投标人对投标文件的澄清、说明或者补正等工作，</w:t>
      </w:r>
      <w:r>
        <w:rPr>
          <w:rFonts w:hint="eastAsia" w:ascii="宋体" w:hAnsi="宋体" w:eastAsia="宋体" w:cs="宋体"/>
          <w:b w:val="0"/>
          <w:bCs w:val="0"/>
          <w:color w:val="auto"/>
          <w:szCs w:val="21"/>
          <w:highlight w:val="none"/>
        </w:rPr>
        <w:t xml:space="preserve">投标人务必做到：提供联系方式（联系方式为：办公座机号+手机号）、电子邮箱等信息必须准确有效。 </w:t>
      </w:r>
    </w:p>
    <w:p>
      <w:pPr>
        <w:widowControl/>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开标当天投标人授权的代理人必须保持电话畅通</w:t>
      </w:r>
      <w:r>
        <w:rPr>
          <w:rFonts w:hint="eastAsia" w:ascii="宋体" w:hAnsi="宋体" w:eastAsia="宋体" w:cs="宋体"/>
          <w:color w:val="auto"/>
          <w:szCs w:val="21"/>
          <w:highlight w:val="none"/>
        </w:rPr>
        <w:t xml:space="preserve">。如果评标过程中需要投标人对投标文件作出澄清、说明或者补正的，评标委员会将通知投标人在规定的时间内通过电子邮件、传真等方式提交。投标人所提交的澄清、说明或者补正等材料必须加单位公章确认。 </w:t>
      </w:r>
    </w:p>
    <w:p>
      <w:pPr>
        <w:widowControl/>
        <w:spacing w:line="420" w:lineRule="exact"/>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3）如投标人未按要求提供信息，致使招标代理机构或评标委员会在项目开标或评标期间无法与投标人取得联系的，或因自身原因未能保持电话畅通或未按评标委员会要求提交澄清、说明或者补正的，造成投标无效的，后果由投标人自行承担。</w:t>
      </w:r>
    </w:p>
    <w:p>
      <w:pPr>
        <w:widowControl/>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5.6选择邮寄的投标人视为对本项目的唱标记录直接确认，其签到时间以投标文件送达时间为准，签到表和唱标记录表中将对投标人标注“邮寄”字样。</w:t>
      </w:r>
    </w:p>
    <w:p>
      <w:pPr>
        <w:widowControl/>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5.7投标人应对自己的投标文件的快递包封和密封负责，如送达的快递包裹出现破损导致投标文件包封破损的，视为不响应招标文件的密封要求，做废标处理。</w:t>
      </w:r>
    </w:p>
    <w:p>
      <w:pPr>
        <w:widowControl/>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5.8</w:t>
      </w:r>
      <w:r>
        <w:rPr>
          <w:rFonts w:hint="eastAsia" w:ascii="宋体" w:hAnsi="宋体" w:eastAsia="宋体" w:cs="宋体"/>
          <w:b/>
          <w:bCs/>
          <w:color w:val="auto"/>
          <w:kern w:val="0"/>
          <w:szCs w:val="21"/>
          <w:highlight w:val="none"/>
          <w:lang w:bidi="ar"/>
        </w:rPr>
        <w:t>为减少人员聚集风险，疫情防控期间，每个项目只能派1名投标人代表参加现场交易活动。</w:t>
      </w:r>
    </w:p>
    <w:p>
      <w:pPr>
        <w:pStyle w:val="4"/>
        <w:spacing w:line="360" w:lineRule="auto"/>
        <w:rPr>
          <w:rFonts w:hint="eastAsia" w:ascii="宋体" w:hAnsi="宋体" w:eastAsia="宋体" w:cs="宋体"/>
          <w:color w:val="auto"/>
          <w:sz w:val="24"/>
          <w:szCs w:val="24"/>
          <w:highlight w:val="none"/>
        </w:rPr>
      </w:pPr>
      <w:bookmarkStart w:id="53" w:name="_Toc17969"/>
      <w:r>
        <w:rPr>
          <w:rFonts w:hint="eastAsia" w:ascii="宋体" w:hAnsi="宋体" w:eastAsia="宋体" w:cs="宋体"/>
          <w:color w:val="auto"/>
          <w:sz w:val="24"/>
          <w:szCs w:val="24"/>
          <w:highlight w:val="none"/>
        </w:rPr>
        <w:t>6.</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预付款和进度款支付方式</w:t>
      </w:r>
      <w:bookmarkEnd w:id="45"/>
      <w:bookmarkEnd w:id="53"/>
    </w:p>
    <w:bookmarkEnd w:id="46"/>
    <w:bookmarkEnd w:id="47"/>
    <w:bookmarkEnd w:id="48"/>
    <w:bookmarkEnd w:id="49"/>
    <w:bookmarkEnd w:id="50"/>
    <w:bookmarkEnd w:id="51"/>
    <w:bookmarkEnd w:id="52"/>
    <w:p>
      <w:pPr>
        <w:spacing w:line="360" w:lineRule="auto"/>
        <w:ind w:firstLine="420" w:firstLineChars="200"/>
        <w:rPr>
          <w:rFonts w:hint="eastAsia" w:ascii="宋体" w:hAnsi="宋体" w:eastAsia="宋体" w:cs="宋体"/>
          <w:color w:val="auto"/>
          <w:highlight w:val="none"/>
          <w:u w:val="single"/>
          <w:lang w:eastAsia="zh-CN"/>
        </w:rPr>
      </w:pPr>
      <w:bookmarkStart w:id="54" w:name="_Toc419364208"/>
      <w:bookmarkStart w:id="55" w:name="_Toc419321117"/>
      <w:bookmarkStart w:id="56" w:name="_Toc389065130"/>
      <w:bookmarkStart w:id="57" w:name="_Toc419320081"/>
      <w:bookmarkStart w:id="58" w:name="_Toc419363484"/>
      <w:bookmarkStart w:id="59" w:name="_Toc395382361"/>
      <w:r>
        <w:rPr>
          <w:rFonts w:hint="eastAsia" w:ascii="宋体" w:hAnsi="宋体" w:eastAsia="宋体" w:cs="宋体"/>
          <w:color w:val="auto"/>
          <w:highlight w:val="none"/>
        </w:rPr>
        <w:t>预付款支付比例或金额：</w:t>
      </w:r>
      <w:r>
        <w:rPr>
          <w:rFonts w:ascii="Times New Roman" w:hAnsi="Times New Roman" w:cs="Times New Roman"/>
          <w:b/>
          <w:bCs/>
          <w:color w:val="auto"/>
          <w:szCs w:val="21"/>
          <w:highlight w:val="none"/>
          <w:u w:val="single"/>
        </w:rPr>
        <w:t>按照签约合同价（扣除暂列金额、安全文明施工费）</w:t>
      </w:r>
      <w:r>
        <w:rPr>
          <w:rFonts w:hint="eastAsia" w:ascii="Times New Roman" w:hAnsi="Times New Roman" w:cs="Times New Roman"/>
          <w:b/>
          <w:bCs/>
          <w:color w:val="auto"/>
          <w:szCs w:val="21"/>
          <w:highlight w:val="none"/>
          <w:u w:val="single"/>
        </w:rPr>
        <w:t>30</w:t>
      </w:r>
      <w:r>
        <w:rPr>
          <w:rFonts w:ascii="Times New Roman" w:hAnsi="Times New Roman" w:cs="Times New Roman"/>
          <w:b/>
          <w:bCs/>
          <w:color w:val="auto"/>
          <w:szCs w:val="21"/>
          <w:highlight w:val="none"/>
          <w:u w:val="single"/>
        </w:rPr>
        <w:t>%</w:t>
      </w:r>
      <w:r>
        <w:rPr>
          <w:rFonts w:hint="eastAsia" w:ascii="宋体" w:hAnsi="宋体" w:eastAsia="宋体" w:cs="宋体"/>
          <w:color w:val="auto"/>
          <w:kern w:val="0"/>
          <w:szCs w:val="21"/>
          <w:highlight w:val="none"/>
          <w:lang w:eastAsia="zh-CN" w:bidi="ar"/>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进度款支付方式：合同内按工程计量周期内完成工程量的</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rPr>
        <w:t>，合同外按工程计量周期完成工程量的</w:t>
      </w:r>
      <w:r>
        <w:rPr>
          <w:rFonts w:hint="default" w:ascii="宋体" w:hAnsi="宋体" w:eastAsia="宋体" w:cs="宋体"/>
          <w:color w:val="auto"/>
          <w:highlight w:val="none"/>
          <w:u w:val="single"/>
          <w:lang w:val="en-US" w:eastAsia="zh-CN"/>
        </w:rPr>
        <w:t>70</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rPr>
        <w:t>。【建议按工程计量周期内完成工程量的80%~90%支付】</w:t>
      </w:r>
    </w:p>
    <w:p>
      <w:pPr>
        <w:pStyle w:val="4"/>
        <w:spacing w:line="360" w:lineRule="auto"/>
        <w:rPr>
          <w:rFonts w:hint="eastAsia" w:ascii="宋体" w:hAnsi="宋体" w:eastAsia="宋体" w:cs="宋体"/>
          <w:color w:val="auto"/>
          <w:sz w:val="24"/>
          <w:szCs w:val="24"/>
          <w:highlight w:val="none"/>
        </w:rPr>
      </w:pPr>
      <w:bookmarkStart w:id="60" w:name="_Toc16119"/>
      <w:bookmarkStart w:id="61" w:name="_Toc433988551"/>
      <w:bookmarkStart w:id="62" w:name="_Toc59202986"/>
      <w:r>
        <w:rPr>
          <w:rFonts w:hint="eastAsia" w:ascii="宋体" w:hAnsi="宋体" w:eastAsia="宋体" w:cs="宋体"/>
          <w:color w:val="auto"/>
          <w:sz w:val="24"/>
          <w:szCs w:val="24"/>
          <w:highlight w:val="none"/>
        </w:rPr>
        <w:t>7. 发布公告的媒介</w:t>
      </w:r>
      <w:bookmarkEnd w:id="54"/>
      <w:bookmarkEnd w:id="55"/>
      <w:bookmarkEnd w:id="56"/>
      <w:bookmarkEnd w:id="57"/>
      <w:bookmarkEnd w:id="58"/>
      <w:bookmarkEnd w:id="59"/>
      <w:bookmarkEnd w:id="60"/>
      <w:bookmarkEnd w:id="61"/>
      <w:bookmarkEnd w:id="62"/>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本次招标公告</w:t>
      </w:r>
      <w:r>
        <w:rPr>
          <w:rFonts w:hint="eastAsia" w:ascii="宋体" w:hAnsi="宋体" w:eastAsia="宋体" w:cs="宋体"/>
          <w:color w:val="auto"/>
          <w:szCs w:val="21"/>
          <w:highlight w:val="none"/>
          <w:lang w:val="zh-CN"/>
        </w:rPr>
        <w:t>同时在中国采购与招标网www.chinabidding.com.cn、广西壮族自治区招标投标公共服务平台http://ztb.gxi.gov.cn/ 、中国招标投标公共服务平台http://www.cebpubservice.com、</w:t>
      </w:r>
      <w:r>
        <w:rPr>
          <w:rFonts w:hint="eastAsia" w:ascii="宋体" w:hAnsi="宋体" w:eastAsia="宋体" w:cs="宋体"/>
          <w:color w:val="auto"/>
          <w:highlight w:val="none"/>
        </w:rPr>
        <w:t>中国政府采购网（www.ccgp.gov.cn）、广西壮族自治区政府采购网(http://www.gxzfcg.gov.cn/)</w:t>
      </w:r>
      <w:r>
        <w:rPr>
          <w:rFonts w:hint="eastAsia" w:ascii="宋体" w:hAnsi="宋体" w:eastAsia="宋体" w:cs="宋体"/>
          <w:color w:val="auto"/>
          <w:highlight w:val="none"/>
          <w:lang w:eastAsia="zh-CN"/>
        </w:rPr>
        <w:t>、</w:t>
      </w:r>
      <w:r>
        <w:rPr>
          <w:rFonts w:hint="eastAsia" w:ascii="宋体" w:hAnsi="宋体" w:eastAsia="宋体" w:cs="宋体"/>
          <w:bCs/>
          <w:color w:val="auto"/>
          <w:szCs w:val="32"/>
          <w:highlight w:val="none"/>
        </w:rPr>
        <w:t>南宁市公共资源交易中心网https://www.nnggzy.org.cn/gxnnzbw</w:t>
      </w:r>
      <w:r>
        <w:rPr>
          <w:rFonts w:hint="eastAsia" w:ascii="宋体" w:hAnsi="宋体" w:eastAsia="宋体" w:cs="宋体"/>
          <w:color w:val="auto"/>
          <w:szCs w:val="21"/>
          <w:highlight w:val="none"/>
          <w:lang w:val="zh-CN"/>
        </w:rPr>
        <w:t>发布</w:t>
      </w:r>
      <w:r>
        <w:rPr>
          <w:rFonts w:hint="eastAsia" w:ascii="宋体" w:hAnsi="宋体" w:eastAsia="宋体" w:cs="宋体"/>
          <w:color w:val="auto"/>
          <w:highlight w:val="none"/>
        </w:rPr>
        <w:t>。</w:t>
      </w:r>
    </w:p>
    <w:p>
      <w:pPr>
        <w:pStyle w:val="4"/>
        <w:spacing w:line="360" w:lineRule="auto"/>
        <w:rPr>
          <w:rFonts w:hint="eastAsia" w:ascii="宋体" w:hAnsi="宋体" w:eastAsia="宋体" w:cs="宋体"/>
          <w:color w:val="auto"/>
          <w:sz w:val="24"/>
          <w:szCs w:val="24"/>
          <w:highlight w:val="none"/>
        </w:rPr>
      </w:pPr>
      <w:bookmarkStart w:id="63" w:name="_Toc419321118"/>
      <w:bookmarkStart w:id="64" w:name="_Toc419364209"/>
      <w:bookmarkStart w:id="65" w:name="_Toc419320082"/>
      <w:bookmarkStart w:id="66" w:name="_Toc433988552"/>
      <w:bookmarkStart w:id="67" w:name="_Toc395382362"/>
      <w:bookmarkStart w:id="68" w:name="_Toc419363485"/>
      <w:bookmarkStart w:id="69" w:name="_Toc59202987"/>
      <w:bookmarkStart w:id="70" w:name="_Toc29182"/>
      <w:r>
        <w:rPr>
          <w:rFonts w:hint="eastAsia" w:ascii="宋体" w:hAnsi="宋体" w:eastAsia="宋体" w:cs="宋体"/>
          <w:color w:val="auto"/>
          <w:sz w:val="24"/>
          <w:szCs w:val="24"/>
          <w:highlight w:val="none"/>
        </w:rPr>
        <w:t>8. 交易服务单位</w:t>
      </w:r>
      <w:bookmarkEnd w:id="63"/>
      <w:bookmarkEnd w:id="64"/>
      <w:bookmarkEnd w:id="65"/>
      <w:bookmarkEnd w:id="66"/>
      <w:bookmarkEnd w:id="67"/>
      <w:bookmarkEnd w:id="68"/>
      <w:bookmarkEnd w:id="69"/>
      <w:bookmarkEnd w:id="70"/>
    </w:p>
    <w:p>
      <w:pPr>
        <w:pStyle w:val="4"/>
        <w:spacing w:line="360" w:lineRule="auto"/>
        <w:rPr>
          <w:rFonts w:hint="eastAsia" w:ascii="宋体" w:hAnsi="宋体" w:eastAsia="宋体" w:cs="宋体"/>
          <w:color w:val="auto"/>
          <w:highlight w:val="none"/>
        </w:rPr>
      </w:pPr>
      <w:bookmarkStart w:id="71" w:name="_Toc22802"/>
      <w:bookmarkStart w:id="72" w:name="_Toc419321119"/>
      <w:bookmarkStart w:id="73" w:name="_Toc59202988"/>
      <w:bookmarkStart w:id="74" w:name="_Toc433988553"/>
      <w:bookmarkStart w:id="75" w:name="_Toc395382363"/>
      <w:bookmarkStart w:id="76" w:name="_Toc419364210"/>
      <w:bookmarkStart w:id="77" w:name="_Toc419320083"/>
      <w:bookmarkStart w:id="78" w:name="_Toc419363486"/>
      <w:r>
        <w:rPr>
          <w:rFonts w:hint="eastAsia" w:ascii="宋体" w:hAnsi="宋体" w:eastAsia="宋体" w:cs="宋体"/>
          <w:color w:val="auto"/>
          <w:highlight w:val="none"/>
        </w:rPr>
        <w:t>南宁市公共资源交易中心</w:t>
      </w:r>
      <w:bookmarkEnd w:id="71"/>
    </w:p>
    <w:p>
      <w:pPr>
        <w:pStyle w:val="4"/>
        <w:spacing w:line="360" w:lineRule="auto"/>
        <w:rPr>
          <w:rFonts w:hint="eastAsia" w:ascii="宋体" w:hAnsi="宋体" w:eastAsia="宋体" w:cs="宋体"/>
          <w:color w:val="auto"/>
          <w:sz w:val="24"/>
          <w:szCs w:val="24"/>
          <w:highlight w:val="none"/>
        </w:rPr>
      </w:pPr>
      <w:bookmarkStart w:id="79" w:name="_Toc23248"/>
      <w:r>
        <w:rPr>
          <w:rFonts w:hint="eastAsia" w:ascii="宋体" w:hAnsi="宋体" w:eastAsia="宋体" w:cs="宋体"/>
          <w:color w:val="auto"/>
          <w:sz w:val="24"/>
          <w:szCs w:val="24"/>
          <w:highlight w:val="none"/>
        </w:rPr>
        <w:t>9. 监督部门及电话</w:t>
      </w:r>
      <w:bookmarkEnd w:id="72"/>
      <w:bookmarkEnd w:id="73"/>
      <w:bookmarkEnd w:id="74"/>
      <w:bookmarkEnd w:id="75"/>
      <w:bookmarkEnd w:id="76"/>
      <w:bookmarkEnd w:id="77"/>
      <w:bookmarkEnd w:id="78"/>
      <w:bookmarkEnd w:id="79"/>
    </w:p>
    <w:p>
      <w:pPr>
        <w:spacing w:line="360" w:lineRule="auto"/>
        <w:ind w:firstLine="420" w:firstLineChars="200"/>
        <w:rPr>
          <w:rFonts w:hint="eastAsia" w:ascii="宋体" w:hAnsi="宋体" w:eastAsia="宋体" w:cs="宋体"/>
          <w:color w:val="auto"/>
          <w:highlight w:val="none"/>
          <w:u w:val="single"/>
        </w:rPr>
      </w:pPr>
      <w:r>
        <w:rPr>
          <w:rStyle w:val="10"/>
          <w:rFonts w:hint="eastAsia" w:ascii="宋体" w:hAnsi="宋体" w:eastAsia="宋体" w:cs="宋体"/>
          <w:color w:val="auto"/>
          <w:sz w:val="21"/>
          <w:highlight w:val="none"/>
          <w:rtl w:val="0"/>
          <w:lang w:val="zh-CN" w:eastAsia="zh-CN"/>
        </w:rPr>
        <w:t>南宁高新技术产业开发区建设房产局（监督电话：0771-5816894）</w:t>
      </w:r>
    </w:p>
    <w:p>
      <w:pPr>
        <w:pStyle w:val="4"/>
        <w:spacing w:line="360" w:lineRule="auto"/>
        <w:rPr>
          <w:rFonts w:hint="eastAsia" w:ascii="宋体" w:hAnsi="宋体" w:eastAsia="宋体" w:cs="宋体"/>
          <w:color w:val="auto"/>
          <w:sz w:val="24"/>
          <w:szCs w:val="24"/>
          <w:highlight w:val="none"/>
        </w:rPr>
      </w:pPr>
      <w:bookmarkStart w:id="80" w:name="_Toc59202989"/>
      <w:bookmarkStart w:id="81" w:name="_Toc19030"/>
      <w:r>
        <w:rPr>
          <w:rFonts w:hint="eastAsia" w:ascii="宋体" w:hAnsi="宋体" w:eastAsia="宋体" w:cs="宋体"/>
          <w:color w:val="auto"/>
          <w:sz w:val="24"/>
          <w:szCs w:val="24"/>
          <w:highlight w:val="none"/>
        </w:rPr>
        <w:t>10. 注意事项</w:t>
      </w:r>
      <w:bookmarkEnd w:id="80"/>
      <w:bookmarkEnd w:id="81"/>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w:t>
      </w:r>
    </w:p>
    <w:p>
      <w:pPr>
        <w:pStyle w:val="4"/>
        <w:spacing w:line="360" w:lineRule="auto"/>
        <w:rPr>
          <w:rFonts w:hint="eastAsia" w:ascii="宋体" w:hAnsi="宋体" w:eastAsia="宋体" w:cs="宋体"/>
          <w:color w:val="auto"/>
          <w:sz w:val="24"/>
          <w:szCs w:val="24"/>
          <w:highlight w:val="none"/>
        </w:rPr>
      </w:pPr>
      <w:bookmarkStart w:id="82" w:name="_Toc389065131"/>
      <w:bookmarkStart w:id="83" w:name="_Toc4211"/>
      <w:bookmarkStart w:id="84" w:name="_Toc419321120"/>
      <w:bookmarkStart w:id="85" w:name="_Toc433988554"/>
      <w:bookmarkStart w:id="86" w:name="_Toc395382364"/>
      <w:bookmarkStart w:id="87" w:name="_Toc419320084"/>
      <w:bookmarkStart w:id="88" w:name="_Toc419364211"/>
      <w:bookmarkStart w:id="89" w:name="_Toc59202990"/>
      <w:bookmarkStart w:id="90" w:name="_Toc419363487"/>
      <w:r>
        <w:rPr>
          <w:rFonts w:hint="eastAsia" w:ascii="宋体" w:hAnsi="宋体" w:eastAsia="宋体" w:cs="宋体"/>
          <w:color w:val="auto"/>
          <w:sz w:val="24"/>
          <w:szCs w:val="24"/>
          <w:highlight w:val="none"/>
        </w:rPr>
        <w:t>11. 联系方式</w:t>
      </w:r>
      <w:bookmarkEnd w:id="82"/>
      <w:bookmarkEnd w:id="83"/>
      <w:bookmarkEnd w:id="84"/>
      <w:bookmarkEnd w:id="85"/>
      <w:bookmarkEnd w:id="86"/>
      <w:bookmarkEnd w:id="87"/>
      <w:bookmarkEnd w:id="88"/>
      <w:bookmarkEnd w:id="89"/>
      <w:bookmarkEnd w:id="90"/>
    </w:p>
    <w:tbl>
      <w:tblPr>
        <w:tblStyle w:val="9"/>
        <w:tblW w:w="9040" w:type="dxa"/>
        <w:jc w:val="center"/>
        <w:tblInd w:w="-502" w:type="dxa"/>
        <w:tblLayout w:type="fixed"/>
        <w:tblCellMar>
          <w:top w:w="0" w:type="dxa"/>
          <w:left w:w="0" w:type="dxa"/>
          <w:bottom w:w="0" w:type="dxa"/>
          <w:right w:w="0" w:type="dxa"/>
        </w:tblCellMar>
      </w:tblPr>
      <w:tblGrid>
        <w:gridCol w:w="1298"/>
        <w:gridCol w:w="3361"/>
        <w:gridCol w:w="1442"/>
        <w:gridCol w:w="2939"/>
      </w:tblGrid>
      <w:tr>
        <w:tblPrEx>
          <w:tblLayout w:type="fixed"/>
          <w:tblCellMar>
            <w:top w:w="0" w:type="dxa"/>
            <w:left w:w="0" w:type="dxa"/>
            <w:bottom w:w="0" w:type="dxa"/>
            <w:right w:w="0" w:type="dxa"/>
          </w:tblCellMar>
        </w:tblPrEx>
        <w:trPr>
          <w:trHeight w:val="552" w:hRule="atLeast"/>
          <w:jc w:val="center"/>
        </w:trPr>
        <w:tc>
          <w:tcPr>
            <w:tcW w:w="1298" w:type="dxa"/>
            <w:noWrap w:val="0"/>
            <w:vAlign w:val="top"/>
          </w:tcPr>
          <w:p>
            <w:pPr>
              <w:pStyle w:val="18"/>
              <w:tabs>
                <w:tab w:val="left" w:pos="0"/>
                <w:tab w:val="left" w:pos="1134"/>
                <w:tab w:val="left" w:pos="8505"/>
              </w:tabs>
              <w:bidi w:val="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招标 人:</w:t>
            </w:r>
          </w:p>
        </w:tc>
        <w:tc>
          <w:tcPr>
            <w:tcW w:w="3361"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cs="宋体"/>
                <w:color w:val="auto"/>
                <w:sz w:val="21"/>
                <w:szCs w:val="24"/>
                <w:highlight w:val="none"/>
                <w:rtl w:val="0"/>
                <w:lang w:val="zh-CN" w:eastAsia="zh-CN"/>
              </w:rPr>
              <w:t>广西社会主义学院</w:t>
            </w:r>
          </w:p>
        </w:tc>
        <w:tc>
          <w:tcPr>
            <w:tcW w:w="1442"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代理机 构:</w:t>
            </w:r>
          </w:p>
        </w:tc>
        <w:tc>
          <w:tcPr>
            <w:tcW w:w="2939"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广西科联招标中心有限公司</w:t>
            </w:r>
          </w:p>
        </w:tc>
      </w:tr>
      <w:tr>
        <w:tblPrEx>
          <w:tblLayout w:type="fixed"/>
          <w:tblCellMar>
            <w:top w:w="0" w:type="dxa"/>
            <w:left w:w="0" w:type="dxa"/>
            <w:bottom w:w="0" w:type="dxa"/>
            <w:right w:w="0" w:type="dxa"/>
          </w:tblCellMar>
        </w:tblPrEx>
        <w:trPr>
          <w:jc w:val="center"/>
        </w:trPr>
        <w:tc>
          <w:tcPr>
            <w:tcW w:w="1298"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地</w:t>
            </w:r>
            <w:r>
              <w:rPr>
                <w:rStyle w:val="10"/>
                <w:rFonts w:hint="eastAsia" w:ascii="宋体" w:hAnsi="宋体" w:eastAsia="宋体" w:cs="宋体"/>
                <w:color w:val="auto"/>
                <w:sz w:val="21"/>
                <w:szCs w:val="24"/>
                <w:highlight w:val="none"/>
                <w:rtl w:val="0"/>
                <w:lang w:val="en-US" w:eastAsia="zh-CN"/>
              </w:rPr>
              <w:t xml:space="preserve">   </w:t>
            </w:r>
            <w:r>
              <w:rPr>
                <w:rStyle w:val="10"/>
                <w:rFonts w:hint="eastAsia" w:ascii="宋体" w:hAnsi="宋体" w:eastAsia="宋体" w:cs="宋体"/>
                <w:color w:val="auto"/>
                <w:sz w:val="21"/>
                <w:szCs w:val="24"/>
                <w:highlight w:val="none"/>
                <w:rtl w:val="0"/>
                <w:lang w:val="zh-CN" w:eastAsia="zh-CN"/>
              </w:rPr>
              <w:t>址:</w:t>
            </w:r>
          </w:p>
        </w:tc>
        <w:tc>
          <w:tcPr>
            <w:tcW w:w="3361"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Fonts w:hint="eastAsia" w:ascii="宋体" w:hAnsi="宋体" w:eastAsia="宋体" w:cs="宋体"/>
                <w:color w:val="auto"/>
                <w:highlight w:val="none"/>
                <w:u w:val="none"/>
                <w:lang w:eastAsia="zh-CN"/>
              </w:rPr>
              <w:t>南宁市西乡塘区新村大道</w:t>
            </w:r>
            <w:r>
              <w:rPr>
                <w:rFonts w:hint="eastAsia" w:ascii="宋体" w:hAnsi="宋体" w:eastAsia="宋体" w:cs="宋体"/>
                <w:color w:val="auto"/>
                <w:highlight w:val="none"/>
                <w:u w:val="none"/>
                <w:lang w:val="en-US" w:eastAsia="zh-CN"/>
              </w:rPr>
              <w:t>6号</w:t>
            </w:r>
          </w:p>
        </w:tc>
        <w:tc>
          <w:tcPr>
            <w:tcW w:w="1442"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地  址:</w:t>
            </w:r>
          </w:p>
        </w:tc>
        <w:tc>
          <w:tcPr>
            <w:tcW w:w="2939"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南宁市大学东路170号</w:t>
            </w:r>
          </w:p>
        </w:tc>
      </w:tr>
      <w:tr>
        <w:tblPrEx>
          <w:tblLayout w:type="fixed"/>
          <w:tblCellMar>
            <w:top w:w="0" w:type="dxa"/>
            <w:left w:w="0" w:type="dxa"/>
            <w:bottom w:w="0" w:type="dxa"/>
            <w:right w:w="0" w:type="dxa"/>
          </w:tblCellMar>
        </w:tblPrEx>
        <w:trPr>
          <w:jc w:val="center"/>
        </w:trPr>
        <w:tc>
          <w:tcPr>
            <w:tcW w:w="1298"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邮  编:</w:t>
            </w:r>
          </w:p>
        </w:tc>
        <w:tc>
          <w:tcPr>
            <w:tcW w:w="3361" w:type="dxa"/>
            <w:noWrap w:val="0"/>
            <w:vAlign w:val="top"/>
          </w:tcPr>
          <w:p>
            <w:pPr>
              <w:pStyle w:val="18"/>
              <w:tabs>
                <w:tab w:val="left" w:pos="0"/>
                <w:tab w:val="left" w:pos="1134"/>
                <w:tab w:val="left" w:pos="8505"/>
              </w:tabs>
              <w:bidi w:val="0"/>
              <w:spacing w:after="0" w:afterAutospacing="0"/>
              <w:rPr>
                <w:rFonts w:hint="default" w:ascii="宋体" w:hAnsi="宋体" w:eastAsia="宋体" w:cs="宋体"/>
                <w:color w:val="auto"/>
                <w:szCs w:val="22"/>
                <w:highlight w:val="none"/>
                <w:u w:val="none"/>
                <w:rtl w:val="0"/>
                <w:lang w:val="en-US" w:eastAsia="zh-CN"/>
              </w:rPr>
            </w:pPr>
            <w:r>
              <w:rPr>
                <w:rFonts w:hint="eastAsia" w:ascii="宋体" w:hAnsi="宋体" w:eastAsia="宋体" w:cs="宋体"/>
                <w:color w:val="auto"/>
                <w:szCs w:val="22"/>
                <w:highlight w:val="none"/>
                <w:u w:val="none"/>
                <w:rtl w:val="0"/>
                <w:lang w:val="en-US" w:eastAsia="zh-CN"/>
              </w:rPr>
              <w:t>530007</w:t>
            </w:r>
          </w:p>
        </w:tc>
        <w:tc>
          <w:tcPr>
            <w:tcW w:w="1442"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邮  编:</w:t>
            </w:r>
          </w:p>
        </w:tc>
        <w:tc>
          <w:tcPr>
            <w:tcW w:w="2939"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530007</w:t>
            </w:r>
          </w:p>
        </w:tc>
      </w:tr>
      <w:tr>
        <w:tblPrEx>
          <w:tblLayout w:type="fixed"/>
          <w:tblCellMar>
            <w:top w:w="0" w:type="dxa"/>
            <w:left w:w="0" w:type="dxa"/>
            <w:bottom w:w="0" w:type="dxa"/>
            <w:right w:w="0" w:type="dxa"/>
          </w:tblCellMar>
        </w:tblPrEx>
        <w:trPr>
          <w:jc w:val="center"/>
        </w:trPr>
        <w:tc>
          <w:tcPr>
            <w:tcW w:w="1298"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联 系人:</w:t>
            </w:r>
          </w:p>
        </w:tc>
        <w:tc>
          <w:tcPr>
            <w:tcW w:w="3361" w:type="dxa"/>
            <w:noWrap w:val="0"/>
            <w:vAlign w:val="top"/>
          </w:tcPr>
          <w:p>
            <w:pPr>
              <w:pStyle w:val="18"/>
              <w:tabs>
                <w:tab w:val="left" w:pos="0"/>
                <w:tab w:val="left" w:pos="1134"/>
                <w:tab w:val="left" w:pos="8505"/>
              </w:tabs>
              <w:bidi w:val="0"/>
              <w:spacing w:after="0" w:afterAutospacing="0"/>
              <w:rPr>
                <w:rFonts w:hint="eastAsia" w:ascii="宋体" w:hAnsi="宋体" w:eastAsia="宋体" w:cs="宋体"/>
                <w:color w:val="auto"/>
                <w:szCs w:val="22"/>
                <w:highlight w:val="none"/>
                <w:u w:val="none"/>
                <w:rtl w:val="0"/>
                <w:lang w:val="zh-CN" w:eastAsia="zh-CN"/>
              </w:rPr>
            </w:pPr>
            <w:r>
              <w:rPr>
                <w:rFonts w:hint="eastAsia" w:ascii="宋体" w:hAnsi="宋体" w:eastAsia="宋体" w:cs="宋体"/>
                <w:color w:val="auto"/>
                <w:szCs w:val="22"/>
                <w:highlight w:val="none"/>
                <w:u w:val="none"/>
                <w:rtl w:val="0"/>
                <w:lang w:val="zh-CN" w:eastAsia="zh-CN"/>
              </w:rPr>
              <w:t>农老师</w:t>
            </w:r>
          </w:p>
        </w:tc>
        <w:tc>
          <w:tcPr>
            <w:tcW w:w="1442"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联 系 人:</w:t>
            </w:r>
          </w:p>
        </w:tc>
        <w:tc>
          <w:tcPr>
            <w:tcW w:w="2939"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周</w:t>
            </w:r>
            <w:r>
              <w:rPr>
                <w:rStyle w:val="10"/>
                <w:rFonts w:hint="eastAsia" w:cs="宋体"/>
                <w:color w:val="auto"/>
                <w:sz w:val="21"/>
                <w:szCs w:val="24"/>
                <w:highlight w:val="none"/>
                <w:rtl w:val="0"/>
                <w:lang w:val="zh-CN" w:eastAsia="zh-CN"/>
              </w:rPr>
              <w:t>先桂</w:t>
            </w:r>
          </w:p>
        </w:tc>
      </w:tr>
      <w:tr>
        <w:tblPrEx>
          <w:tblLayout w:type="fixed"/>
          <w:tblCellMar>
            <w:top w:w="0" w:type="dxa"/>
            <w:left w:w="0" w:type="dxa"/>
            <w:bottom w:w="0" w:type="dxa"/>
            <w:right w:w="0" w:type="dxa"/>
          </w:tblCellMar>
        </w:tblPrEx>
        <w:trPr>
          <w:jc w:val="center"/>
        </w:trPr>
        <w:tc>
          <w:tcPr>
            <w:tcW w:w="1298"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电  话:</w:t>
            </w:r>
          </w:p>
        </w:tc>
        <w:tc>
          <w:tcPr>
            <w:tcW w:w="3361" w:type="dxa"/>
            <w:noWrap w:val="0"/>
            <w:vAlign w:val="top"/>
          </w:tcPr>
          <w:p>
            <w:pPr>
              <w:pStyle w:val="18"/>
              <w:tabs>
                <w:tab w:val="left" w:pos="0"/>
                <w:tab w:val="left" w:pos="1134"/>
                <w:tab w:val="left" w:pos="8505"/>
              </w:tabs>
              <w:bidi w:val="0"/>
              <w:spacing w:after="0" w:afterAutospacing="0"/>
              <w:rPr>
                <w:rFonts w:hint="eastAsia" w:ascii="宋体" w:hAnsi="宋体" w:eastAsia="宋体" w:cs="宋体"/>
                <w:color w:val="auto"/>
                <w:szCs w:val="22"/>
                <w:highlight w:val="none"/>
                <w:u w:val="none"/>
                <w:rtl w:val="0"/>
                <w:lang w:val="zh-CN" w:eastAsia="zh-CN"/>
              </w:rPr>
            </w:pPr>
            <w:r>
              <w:rPr>
                <w:rFonts w:hint="eastAsia" w:ascii="宋体" w:hAnsi="宋体" w:eastAsia="宋体" w:cs="宋体"/>
                <w:color w:val="auto"/>
                <w:szCs w:val="22"/>
                <w:highlight w:val="none"/>
                <w:u w:val="none"/>
                <w:lang w:eastAsia="zh-CN"/>
              </w:rPr>
              <w:t>0771-3891633</w:t>
            </w:r>
          </w:p>
        </w:tc>
        <w:tc>
          <w:tcPr>
            <w:tcW w:w="1442"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电   话:</w:t>
            </w:r>
          </w:p>
        </w:tc>
        <w:tc>
          <w:tcPr>
            <w:tcW w:w="2939"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0771-3486517</w:t>
            </w:r>
          </w:p>
        </w:tc>
      </w:tr>
      <w:tr>
        <w:tblPrEx>
          <w:tblLayout w:type="fixed"/>
          <w:tblCellMar>
            <w:top w:w="0" w:type="dxa"/>
            <w:left w:w="0" w:type="dxa"/>
            <w:bottom w:w="0" w:type="dxa"/>
            <w:right w:w="0" w:type="dxa"/>
          </w:tblCellMar>
        </w:tblPrEx>
        <w:trPr>
          <w:jc w:val="center"/>
        </w:trPr>
        <w:tc>
          <w:tcPr>
            <w:tcW w:w="1298"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传  真:</w:t>
            </w:r>
          </w:p>
        </w:tc>
        <w:tc>
          <w:tcPr>
            <w:tcW w:w="3361"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p>
        </w:tc>
        <w:tc>
          <w:tcPr>
            <w:tcW w:w="1442"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传  真:</w:t>
            </w:r>
          </w:p>
        </w:tc>
        <w:tc>
          <w:tcPr>
            <w:tcW w:w="2939"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4"/>
                <w:szCs w:val="24"/>
                <w:highlight w:val="none"/>
                <w:rtl w:val="0"/>
                <w:lang w:val="zh-CN" w:eastAsia="zh-CN"/>
              </w:rPr>
            </w:pPr>
            <w:r>
              <w:rPr>
                <w:rStyle w:val="10"/>
                <w:rFonts w:hint="eastAsia" w:ascii="宋体" w:hAnsi="宋体" w:eastAsia="宋体" w:cs="宋体"/>
                <w:color w:val="auto"/>
                <w:sz w:val="21"/>
                <w:szCs w:val="24"/>
                <w:highlight w:val="none"/>
                <w:rtl w:val="0"/>
                <w:lang w:val="zh-CN" w:eastAsia="zh-CN"/>
              </w:rPr>
              <w:t>0771-2273500</w:t>
            </w:r>
          </w:p>
        </w:tc>
      </w:tr>
      <w:tr>
        <w:tblPrEx>
          <w:tblLayout w:type="fixed"/>
          <w:tblCellMar>
            <w:top w:w="0" w:type="dxa"/>
            <w:left w:w="0" w:type="dxa"/>
            <w:bottom w:w="0" w:type="dxa"/>
            <w:right w:w="0" w:type="dxa"/>
          </w:tblCellMar>
        </w:tblPrEx>
        <w:trPr>
          <w:jc w:val="center"/>
        </w:trPr>
        <w:tc>
          <w:tcPr>
            <w:tcW w:w="1298"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1"/>
                <w:szCs w:val="24"/>
                <w:highlight w:val="none"/>
                <w:rtl w:val="0"/>
                <w:lang w:val="zh-CN" w:eastAsia="zh-CN"/>
              </w:rPr>
            </w:pPr>
            <w:r>
              <w:rPr>
                <w:rFonts w:hint="eastAsia" w:ascii="宋体" w:hAnsi="宋体" w:eastAsia="宋体" w:cs="宋体"/>
                <w:color w:val="auto"/>
                <w:highlight w:val="none"/>
              </w:rPr>
              <w:t>电子邮箱</w:t>
            </w:r>
            <w:r>
              <w:rPr>
                <w:rFonts w:hint="eastAsia" w:ascii="宋体" w:hAnsi="宋体" w:eastAsia="宋体" w:cs="宋体"/>
                <w:color w:val="auto"/>
                <w:highlight w:val="none"/>
                <w:lang w:eastAsia="zh-CN"/>
              </w:rPr>
              <w:t>：</w:t>
            </w:r>
          </w:p>
        </w:tc>
        <w:tc>
          <w:tcPr>
            <w:tcW w:w="3361"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1"/>
                <w:szCs w:val="24"/>
                <w:highlight w:val="none"/>
                <w:rtl w:val="0"/>
                <w:lang w:val="zh-CN" w:eastAsia="zh-CN"/>
              </w:rPr>
            </w:pPr>
          </w:p>
        </w:tc>
        <w:tc>
          <w:tcPr>
            <w:tcW w:w="1442" w:type="dxa"/>
            <w:noWrap w:val="0"/>
            <w:vAlign w:val="top"/>
          </w:tcPr>
          <w:p>
            <w:pPr>
              <w:pStyle w:val="18"/>
              <w:tabs>
                <w:tab w:val="left" w:pos="0"/>
                <w:tab w:val="left" w:pos="1134"/>
                <w:tab w:val="left" w:pos="8505"/>
              </w:tabs>
              <w:bidi w:val="0"/>
              <w:spacing w:after="0" w:afterAutospacing="0"/>
              <w:ind w:left="1134" w:leftChars="0" w:hanging="1134" w:firstLineChars="0"/>
              <w:rPr>
                <w:rStyle w:val="10"/>
                <w:rFonts w:hint="eastAsia" w:ascii="宋体" w:hAnsi="宋体" w:eastAsia="宋体" w:cs="宋体"/>
                <w:color w:val="auto"/>
                <w:sz w:val="21"/>
                <w:szCs w:val="24"/>
                <w:highlight w:val="none"/>
                <w:rtl w:val="0"/>
                <w:lang w:val="zh-CN" w:eastAsia="zh-CN"/>
              </w:rPr>
            </w:pPr>
            <w:r>
              <w:rPr>
                <w:rFonts w:hint="eastAsia" w:ascii="宋体" w:hAnsi="宋体" w:eastAsia="宋体" w:cs="宋体"/>
                <w:color w:val="auto"/>
                <w:highlight w:val="none"/>
              </w:rPr>
              <w:t>电子邮箱</w:t>
            </w:r>
            <w:r>
              <w:rPr>
                <w:rFonts w:hint="eastAsia" w:ascii="宋体" w:hAnsi="宋体" w:eastAsia="宋体" w:cs="宋体"/>
                <w:color w:val="auto"/>
                <w:highlight w:val="none"/>
                <w:lang w:eastAsia="zh-CN"/>
              </w:rPr>
              <w:t>：</w:t>
            </w:r>
          </w:p>
        </w:tc>
        <w:tc>
          <w:tcPr>
            <w:tcW w:w="2939"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1"/>
                <w:szCs w:val="24"/>
                <w:highlight w:val="none"/>
                <w:rtl w:val="0"/>
                <w:lang w:val="zh-CN" w:eastAsia="zh-CN"/>
              </w:rPr>
            </w:pPr>
            <w:bookmarkStart w:id="91" w:name="EB2a44a726b5e845c2803636a278fa069e"/>
            <w:r>
              <w:rPr>
                <w:rFonts w:hint="eastAsia" w:ascii="宋体" w:hAnsi="宋体" w:eastAsia="宋体" w:cs="宋体"/>
                <w:color w:val="auto"/>
                <w:highlight w:val="none"/>
              </w:rPr>
              <w:t>nn@gxkl.com</w:t>
            </w:r>
            <w:bookmarkEnd w:id="91"/>
          </w:p>
        </w:tc>
      </w:tr>
      <w:tr>
        <w:tblPrEx>
          <w:tblLayout w:type="fixed"/>
          <w:tblCellMar>
            <w:top w:w="0" w:type="dxa"/>
            <w:left w:w="0" w:type="dxa"/>
            <w:bottom w:w="0" w:type="dxa"/>
            <w:right w:w="0" w:type="dxa"/>
          </w:tblCellMar>
        </w:tblPrEx>
        <w:trPr>
          <w:jc w:val="center"/>
        </w:trPr>
        <w:tc>
          <w:tcPr>
            <w:tcW w:w="1298"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1"/>
                <w:szCs w:val="24"/>
                <w:highlight w:val="none"/>
                <w:rtl w:val="0"/>
                <w:lang w:val="zh-CN" w:eastAsia="zh-CN"/>
              </w:rPr>
            </w:pPr>
            <w:r>
              <w:rPr>
                <w:rFonts w:hint="eastAsia" w:ascii="宋体" w:hAnsi="宋体" w:eastAsia="宋体" w:cs="宋体"/>
                <w:color w:val="auto"/>
                <w:szCs w:val="21"/>
                <w:highlight w:val="none"/>
              </w:rPr>
              <w:t>网    址：</w:t>
            </w:r>
          </w:p>
        </w:tc>
        <w:tc>
          <w:tcPr>
            <w:tcW w:w="3361"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1"/>
                <w:szCs w:val="24"/>
                <w:highlight w:val="none"/>
                <w:rtl w:val="0"/>
                <w:lang w:val="zh-CN" w:eastAsia="zh-CN"/>
              </w:rPr>
            </w:pPr>
          </w:p>
        </w:tc>
        <w:tc>
          <w:tcPr>
            <w:tcW w:w="1442" w:type="dxa"/>
            <w:noWrap w:val="0"/>
            <w:vAlign w:val="top"/>
          </w:tcPr>
          <w:p>
            <w:pPr>
              <w:pStyle w:val="18"/>
              <w:tabs>
                <w:tab w:val="left" w:pos="0"/>
                <w:tab w:val="left" w:pos="1134"/>
                <w:tab w:val="left" w:pos="8505"/>
              </w:tabs>
              <w:bidi w:val="0"/>
              <w:spacing w:after="0" w:afterAutospacing="0"/>
              <w:ind w:left="1134" w:leftChars="0" w:hanging="1134" w:firstLineChars="0"/>
              <w:rPr>
                <w:rStyle w:val="10"/>
                <w:rFonts w:hint="eastAsia" w:ascii="宋体" w:hAnsi="宋体" w:eastAsia="宋体" w:cs="宋体"/>
                <w:color w:val="auto"/>
                <w:sz w:val="21"/>
                <w:szCs w:val="24"/>
                <w:highlight w:val="none"/>
                <w:rtl w:val="0"/>
                <w:lang w:val="zh-CN" w:eastAsia="zh-CN"/>
              </w:rPr>
            </w:pPr>
            <w:r>
              <w:rPr>
                <w:rFonts w:hint="eastAsia" w:ascii="宋体" w:hAnsi="宋体" w:eastAsia="宋体" w:cs="宋体"/>
                <w:color w:val="auto"/>
                <w:szCs w:val="21"/>
                <w:highlight w:val="none"/>
              </w:rPr>
              <w:t>网    址：</w:t>
            </w:r>
          </w:p>
        </w:tc>
        <w:tc>
          <w:tcPr>
            <w:tcW w:w="2939" w:type="dxa"/>
            <w:noWrap w:val="0"/>
            <w:vAlign w:val="top"/>
          </w:tcPr>
          <w:p>
            <w:pPr>
              <w:pStyle w:val="18"/>
              <w:tabs>
                <w:tab w:val="left" w:pos="0"/>
                <w:tab w:val="left" w:pos="1134"/>
                <w:tab w:val="left" w:pos="8505"/>
              </w:tabs>
              <w:bidi w:val="0"/>
              <w:spacing w:after="0" w:afterAutospacing="0"/>
              <w:rPr>
                <w:rStyle w:val="10"/>
                <w:rFonts w:hint="eastAsia" w:ascii="宋体" w:hAnsi="宋体" w:eastAsia="宋体" w:cs="宋体"/>
                <w:color w:val="auto"/>
                <w:sz w:val="21"/>
                <w:szCs w:val="24"/>
                <w:highlight w:val="none"/>
                <w:rtl w:val="0"/>
                <w:lang w:val="zh-CN" w:eastAsia="zh-CN"/>
              </w:rPr>
            </w:pPr>
          </w:p>
        </w:tc>
      </w:tr>
    </w:tbl>
    <w:p>
      <w:pPr>
        <w:ind w:firstLine="4725" w:firstLineChars="2250"/>
        <w:rPr>
          <w:rFonts w:hint="eastAsia" w:ascii="宋体" w:hAnsi="宋体" w:eastAsia="宋体" w:cs="宋体"/>
          <w:color w:val="auto"/>
          <w:highlight w:val="none"/>
          <w:u w:val="single"/>
          <w:lang w:val="en-US" w:eastAsia="zh-CN"/>
        </w:rPr>
      </w:pPr>
    </w:p>
    <w:p>
      <w:pPr>
        <w:ind w:firstLine="4725" w:firstLineChars="2250"/>
        <w:rPr>
          <w:rFonts w:hint="eastAsia" w:ascii="宋体" w:hAnsi="宋体" w:eastAsia="宋体" w:cs="宋体"/>
          <w:color w:val="auto"/>
          <w:szCs w:val="21"/>
          <w:highlight w:val="none"/>
        </w:rPr>
      </w:pPr>
      <w:bookmarkStart w:id="92" w:name="_GoBack"/>
      <w:bookmarkEnd w:id="92"/>
      <w:r>
        <w:rPr>
          <w:rFonts w:hint="eastAsia" w:ascii="宋体" w:hAnsi="宋体" w:eastAsia="宋体" w:cs="宋体"/>
          <w:color w:val="auto"/>
          <w:highlight w:val="none"/>
          <w:u w:val="single"/>
          <w:lang w:val="en-US" w:eastAsia="zh-CN"/>
        </w:rPr>
        <w:t>2021</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szCs w:val="21"/>
          <w:highlight w:val="none"/>
        </w:rPr>
        <w:t>日</w:t>
      </w:r>
    </w:p>
    <w:p>
      <w:pPr>
        <w:rPr>
          <w:rFonts w:hint="eastAsia"/>
        </w:rPr>
      </w:pPr>
    </w:p>
    <w:sectPr>
      <w:footerReference r:id="rId3" w:type="default"/>
      <w:pgSz w:w="11906" w:h="16838"/>
      <w:pgMar w:top="1554" w:right="1133"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78924"/>
      <w:docPartObj>
        <w:docPartGallery w:val="autotext"/>
      </w:docPartObj>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A67"/>
    <w:rsid w:val="00101CA0"/>
    <w:rsid w:val="00284160"/>
    <w:rsid w:val="002B672F"/>
    <w:rsid w:val="00453A67"/>
    <w:rsid w:val="005F219F"/>
    <w:rsid w:val="00741867"/>
    <w:rsid w:val="007E01E9"/>
    <w:rsid w:val="008536F0"/>
    <w:rsid w:val="0087227A"/>
    <w:rsid w:val="008F7E19"/>
    <w:rsid w:val="00936867"/>
    <w:rsid w:val="009948A9"/>
    <w:rsid w:val="009B43A0"/>
    <w:rsid w:val="00A156ED"/>
    <w:rsid w:val="00C4605F"/>
    <w:rsid w:val="00C75F30"/>
    <w:rsid w:val="00E10B8A"/>
    <w:rsid w:val="00E771EE"/>
    <w:rsid w:val="00F97B81"/>
    <w:rsid w:val="00FF7643"/>
    <w:rsid w:val="04A21946"/>
    <w:rsid w:val="06556DD7"/>
    <w:rsid w:val="08761A8A"/>
    <w:rsid w:val="16451BD1"/>
    <w:rsid w:val="16A96E1B"/>
    <w:rsid w:val="17234876"/>
    <w:rsid w:val="17D8781F"/>
    <w:rsid w:val="17F4009C"/>
    <w:rsid w:val="18422950"/>
    <w:rsid w:val="1EC065E2"/>
    <w:rsid w:val="1ED168A0"/>
    <w:rsid w:val="1F606776"/>
    <w:rsid w:val="21FD65FC"/>
    <w:rsid w:val="22362204"/>
    <w:rsid w:val="23385AD3"/>
    <w:rsid w:val="23AF30A5"/>
    <w:rsid w:val="25D34CCF"/>
    <w:rsid w:val="30A97DF3"/>
    <w:rsid w:val="33003E1F"/>
    <w:rsid w:val="34136D76"/>
    <w:rsid w:val="3C206F0E"/>
    <w:rsid w:val="3CFE2EA6"/>
    <w:rsid w:val="470F19B9"/>
    <w:rsid w:val="47234B32"/>
    <w:rsid w:val="493439C0"/>
    <w:rsid w:val="4DDF77E7"/>
    <w:rsid w:val="54B61194"/>
    <w:rsid w:val="5D8F4526"/>
    <w:rsid w:val="60054B87"/>
    <w:rsid w:val="6009173D"/>
    <w:rsid w:val="60D84369"/>
    <w:rsid w:val="686C5119"/>
    <w:rsid w:val="69227864"/>
    <w:rsid w:val="6FC708B5"/>
    <w:rsid w:val="70F707AE"/>
    <w:rsid w:val="73783A57"/>
    <w:rsid w:val="7A10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b w:val="0"/>
      <w:sz w:val="21"/>
    </w:rPr>
  </w:style>
  <w:style w:type="paragraph" w:styleId="3">
    <w:name w:val="Body Text Indent"/>
    <w:basedOn w:val="1"/>
    <w:qFormat/>
    <w:uiPriority w:val="0"/>
    <w:pPr>
      <w:ind w:firstLine="444"/>
    </w:pPr>
    <w:rPr>
      <w:b/>
      <w:sz w:val="24"/>
    </w:rPr>
  </w:style>
  <w:style w:type="paragraph" w:styleId="5">
    <w:name w:val="annotation text"/>
    <w:basedOn w:val="1"/>
    <w:qFormat/>
    <w:uiPriority w:val="0"/>
    <w:pPr>
      <w:adjustRightInd w:val="0"/>
      <w:spacing w:line="360" w:lineRule="atLeast"/>
      <w:jc w:val="left"/>
    </w:pPr>
    <w:rPr>
      <w:sz w:val="24"/>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w:basedOn w:val="1"/>
    <w:qFormat/>
    <w:uiPriority w:val="0"/>
    <w:pPr>
      <w:spacing w:after="120"/>
      <w:ind w:firstLine="420" w:firstLineChars="100"/>
    </w:pPr>
    <w:rPr>
      <w:rFonts w:ascii="Times New Roman" w:hAnsi="Times New Roman" w:eastAsia="宋体" w:cs="Times New Roman"/>
    </w:rPr>
  </w:style>
  <w:style w:type="character" w:styleId="11">
    <w:name w:val="Strong"/>
    <w:basedOn w:val="10"/>
    <w:qFormat/>
    <w:uiPriority w:val="22"/>
    <w:rPr>
      <w:b/>
    </w:rPr>
  </w:style>
  <w:style w:type="character" w:styleId="12">
    <w:name w:val="FollowedHyperlink"/>
    <w:basedOn w:val="10"/>
    <w:semiHidden/>
    <w:unhideWhenUsed/>
    <w:qFormat/>
    <w:uiPriority w:val="99"/>
    <w:rPr>
      <w:color w:val="800080"/>
      <w:u w:val="none"/>
    </w:rPr>
  </w:style>
  <w:style w:type="character" w:styleId="13">
    <w:name w:val="Hyperlink"/>
    <w:basedOn w:val="10"/>
    <w:semiHidden/>
    <w:unhideWhenUsed/>
    <w:qFormat/>
    <w:uiPriority w:val="99"/>
    <w:rPr>
      <w:color w:val="0000FF"/>
      <w:u w:val="non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qFormat/>
    <w:uiPriority w:val="99"/>
    <w:rPr>
      <w:sz w:val="18"/>
      <w:szCs w:val="18"/>
    </w:rPr>
  </w:style>
  <w:style w:type="paragraph" w:customStyle="1" w:styleId="16">
    <w:name w:val="Div_MsoNormal ParagraphIndent"/>
    <w:basedOn w:val="17"/>
    <w:qFormat/>
    <w:uiPriority w:val="0"/>
    <w:rPr>
      <w:rFonts w:ascii="宋体" w:hAnsi="宋体" w:eastAsia="宋体" w:cs="宋体"/>
      <w:sz w:val="21"/>
    </w:rPr>
  </w:style>
  <w:style w:type="paragraph" w:customStyle="1" w:styleId="17">
    <w:name w:val="Normal"/>
    <w:qFormat/>
    <w:uiPriority w:val="0"/>
    <w:rPr>
      <w:rFonts w:ascii="Times New Roman" w:hAnsi="Times New Roman" w:eastAsia="Times New Roman" w:cs="Times New Roman"/>
      <w:sz w:val="24"/>
      <w:szCs w:val="24"/>
    </w:rPr>
  </w:style>
  <w:style w:type="paragraph" w:customStyle="1" w:styleId="18">
    <w:name w:val="Div_MsoNormal  ParagraphIndent"/>
    <w:basedOn w:val="17"/>
    <w:qFormat/>
    <w:uiPriority w:val="0"/>
    <w:rPr>
      <w:rFonts w:ascii="宋体" w:hAnsi="宋体" w:eastAsia="宋体" w:cs="宋体"/>
      <w:sz w:val="21"/>
    </w:rPr>
  </w:style>
  <w:style w:type="paragraph" w:customStyle="1" w:styleId="19">
    <w:name w:val="Div_MsoNormal ParagraphIndent_0"/>
    <w:basedOn w:val="20"/>
    <w:qFormat/>
    <w:uiPriority w:val="0"/>
    <w:rPr>
      <w:rFonts w:ascii="宋体" w:hAnsi="宋体" w:eastAsia="宋体" w:cs="宋体"/>
      <w:sz w:val="21"/>
    </w:rPr>
  </w:style>
  <w:style w:type="paragraph" w:customStyle="1" w:styleId="20">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Pages>
  <Words>422</Words>
  <Characters>2407</Characters>
  <Lines>20</Lines>
  <Paragraphs>5</Paragraphs>
  <TotalTime>0</TotalTime>
  <ScaleCrop>false</ScaleCrop>
  <LinksUpToDate>false</LinksUpToDate>
  <CharactersWithSpaces>2824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2021-01-28T01:49:00Z</dcterms:created>
  <dc:creator>NTKO</dc:creator>
  <cp:lastModifiedBy>NTKO</cp:lastModifiedBy>
  <dcterms:modified xsi:type="dcterms:W3CDTF">2021-10-09T07:37:37Z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