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7"/>
        <w:tblW w:w="88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01"/>
        <w:gridCol w:w="782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标的的名称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技术需求或者服务要求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（具体内容详见本项目招标文件）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</w:rPr>
              <w:t>激光离子源</w:t>
            </w:r>
            <w:r>
              <w:rPr>
                <w:rFonts w:ascii="宋体" w:hAnsi="宋体" w:eastAsia="宋体"/>
                <w:color w:val="000000"/>
              </w:rPr>
              <w:t>-高分辨质谱分子成像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</w:rPr>
              <w:t>套</w:t>
            </w:r>
          </w:p>
        </w:tc>
        <w:tc>
          <w:tcPr>
            <w:tcW w:w="6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技术参数</w:t>
            </w:r>
          </w:p>
          <w:p>
            <w:pPr>
              <w:spacing w:line="360" w:lineRule="auto"/>
              <w:outlineLvl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1、离子源</w:t>
            </w:r>
          </w:p>
          <w:p>
            <w:pPr>
              <w:spacing w:line="360" w:lineRule="auto"/>
              <w:outlineLvl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★1.1 具有ESI和MALDI双离子源</w:t>
            </w:r>
          </w:p>
          <w:p>
            <w:pPr>
              <w:spacing w:line="360" w:lineRule="auto"/>
              <w:outlineLvl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1.2  ESI和MALDI离子源可通过软件全自动切换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★1.3双激光器，主激光频率：10,000Hz;后电离激光1,000Hz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1.4 MALDI离子源：样品盘采用工业标准的微滴定盘设计，可点384个样品，最多能够放1536个样品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1.5 ESI离子源：离子漏斗传输技术，柔和的离子聚焦和高效离子传输，且不受质量大小的影响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1.6 ESI和MALDI离子源可通过软件全自动切换，时间不超过1分钟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1.7 具备捕获离子淌度谱功能，产生高分辨率离子淌度数据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1.8 具有平行累加连续碎裂功能，几乎达到100%工作周期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1.9 进样口喷针部分电压为零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1.10 玻璃毛细管，起到将大气压与真空系统隔离和产生电压差的目的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2、飞行管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 同轴、快速高灵敏度的检测器系统，飞行中重聚焦离子光学系统，提供高灵敏度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2.2正负离子切换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★2.3飞行管配有水冷恒温温控装置和智能化温度补偿装置，在MS和MS/MS模式下质量准确度具有长时间的超稳定性。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2.4 采用ADC模拟数字化转换器，确保得到准确的真实同位素分布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.5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CID离子碎裂功能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四极杆质量过滤器，质量范围20-</w:t>
            </w:r>
            <w:r>
              <w:rPr>
                <w:rFonts w:ascii="宋体" w:hAnsi="宋体" w:cs="宋体"/>
                <w:color w:val="000000"/>
                <w:szCs w:val="21"/>
              </w:rPr>
              <w:t>3000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m/z</w:t>
            </w:r>
          </w:p>
          <w:p>
            <w:pPr>
              <w:pStyle w:val="5"/>
              <w:spacing w:line="360" w:lineRule="auto"/>
              <w:rPr>
                <w:rFonts w:hint="eastAsia"/>
                <w:color w:val="000000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3、技术指标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★3.1 具备离子淌度功能，离子淌度分辨率≥150，可计算CCS值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3.2 分辨率：高达 50 Hz 采集速度下不损失分辨率，TOF分辨率≥60,000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 准确度：内标校准：平均误差 ≤ 0.8 ppm；外标校准：平均误差 ≤ 2 ppm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★3.4 采样频率：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QTOF和TIMS模式：MS和MS/MS均为 50 Hz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PASEF模式：MS/MS &gt; 100 Hz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3.5 质量范围：20-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0,000 m/z，可由软件自动设定 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3.6 灵敏度：1pg/uL利血平，信噪比&gt;100: 1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3.7 具备基质成像分析的样品制备、信号采集和数据分析处理功能。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3.8 具备常规和纳升流速的ESI离子源。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3.9 在断电的情况下维持仪器持续运行1小时以上。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设备清单：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1、质谱仪主机及辅助其功能的必须辅助设备，包含离子源、控制、分析软件等。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1套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2、安装调试试剂盒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1个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、基质3-羟基吡啶甲酸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、基质a-氰基-4-羟基肉桂酸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、基质2,5-二羟基苯甲酸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6、基质芥子酸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、Hela酶解液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、BSA标准品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、多肽混合标准品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、蛋白混合标准品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件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、零死体积喷雾针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、打印机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2153E"/>
    <w:rsid w:val="07216312"/>
    <w:rsid w:val="0952153E"/>
    <w:rsid w:val="13592BD6"/>
    <w:rsid w:val="2F735B65"/>
    <w:rsid w:val="3E835DDC"/>
    <w:rsid w:val="72A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  <w:jc w:val="left"/>
    </w:pPr>
    <w:rPr>
      <w:rFonts w:hAnsi="仿宋_GB2312" w:eastAsia="黑体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2021-08-03T07:59:00Z</dcterms:created>
  <dc:creator>Administrator</dc:creator>
  <cp:lastModifiedBy>Administrator</cp:lastModifiedBy>
  <dcterms:modified xsi:type="dcterms:W3CDTF">2021-08-24T03:42:39Z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