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09" w:rsidRPr="005A2009" w:rsidRDefault="00056204" w:rsidP="005A2009">
      <w:pPr>
        <w:spacing w:line="360" w:lineRule="auto"/>
        <w:jc w:val="center"/>
        <w:rPr>
          <w:rFonts w:ascii="宋体" w:eastAsia="宋体" w:hAnsi="宋体" w:cs="宋体"/>
          <w:b/>
          <w:sz w:val="44"/>
          <w:szCs w:val="44"/>
        </w:rPr>
      </w:pPr>
      <w:r>
        <w:rPr>
          <w:rFonts w:ascii="宋体" w:eastAsia="宋体" w:hAnsi="宋体" w:cs="宋体" w:hint="eastAsia"/>
          <w:b/>
          <w:sz w:val="44"/>
          <w:szCs w:val="44"/>
        </w:rPr>
        <w:t>简要</w:t>
      </w:r>
      <w:r w:rsidR="005A2009" w:rsidRPr="005A2009">
        <w:rPr>
          <w:rFonts w:ascii="宋体" w:eastAsia="宋体" w:hAnsi="宋体" w:cs="宋体" w:hint="eastAsia"/>
          <w:b/>
          <w:sz w:val="44"/>
          <w:szCs w:val="44"/>
        </w:rPr>
        <w:t>采购需求</w:t>
      </w:r>
    </w:p>
    <w:p w:rsidR="005A2009" w:rsidRDefault="005A2009" w:rsidP="005A2009">
      <w:pPr>
        <w:spacing w:line="360" w:lineRule="auto"/>
        <w:jc w:val="center"/>
        <w:rPr>
          <w:rFonts w:ascii="宋体" w:eastAsia="宋体" w:hAnsi="宋体" w:cs="宋体" w:hint="eastAsia"/>
          <w:b/>
          <w:sz w:val="24"/>
          <w:szCs w:val="24"/>
        </w:rPr>
      </w:pPr>
    </w:p>
    <w:tbl>
      <w:tblPr>
        <w:tblpPr w:leftFromText="180" w:rightFromText="180" w:vertAnchor="text" w:horzAnchor="margin" w:tblpY="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295"/>
        <w:gridCol w:w="690"/>
        <w:gridCol w:w="709"/>
        <w:gridCol w:w="6270"/>
      </w:tblGrid>
      <w:tr w:rsidR="00056204" w:rsidRPr="00056204" w:rsidTr="004656C8">
        <w:trPr>
          <w:trHeight w:val="699"/>
        </w:trPr>
        <w:tc>
          <w:tcPr>
            <w:tcW w:w="675" w:type="dxa"/>
            <w:vAlign w:val="center"/>
          </w:tcPr>
          <w:p w:rsidR="00056204" w:rsidRPr="00056204" w:rsidRDefault="00056204" w:rsidP="00056204">
            <w:pPr>
              <w:tabs>
                <w:tab w:val="left" w:pos="180"/>
                <w:tab w:val="left" w:pos="1620"/>
              </w:tabs>
              <w:spacing w:line="336" w:lineRule="exact"/>
              <w:jc w:val="center"/>
              <w:rPr>
                <w:rFonts w:ascii="宋体" w:eastAsia="宋体" w:hAnsi="宋体" w:cs="宋体" w:hint="eastAsia"/>
                <w:b/>
                <w:szCs w:val="21"/>
              </w:rPr>
            </w:pPr>
            <w:r w:rsidRPr="00056204">
              <w:rPr>
                <w:rFonts w:ascii="宋体" w:eastAsia="宋体" w:hAnsi="宋体" w:cs="宋体" w:hint="eastAsia"/>
                <w:b/>
                <w:szCs w:val="21"/>
              </w:rPr>
              <w:t>序号</w:t>
            </w:r>
          </w:p>
        </w:tc>
        <w:tc>
          <w:tcPr>
            <w:tcW w:w="1295" w:type="dxa"/>
            <w:vAlign w:val="center"/>
          </w:tcPr>
          <w:p w:rsidR="00056204" w:rsidRPr="00056204" w:rsidRDefault="00056204" w:rsidP="00056204">
            <w:pPr>
              <w:tabs>
                <w:tab w:val="left" w:pos="180"/>
                <w:tab w:val="left" w:pos="1620"/>
              </w:tabs>
              <w:spacing w:line="336" w:lineRule="exact"/>
              <w:jc w:val="center"/>
              <w:rPr>
                <w:rFonts w:ascii="宋体" w:eastAsia="宋体" w:hAnsi="宋体" w:cs="宋体" w:hint="eastAsia"/>
                <w:b/>
                <w:szCs w:val="21"/>
              </w:rPr>
            </w:pPr>
            <w:r w:rsidRPr="00056204">
              <w:rPr>
                <w:rFonts w:ascii="宋体" w:eastAsia="宋体" w:hAnsi="宋体" w:cs="宋体" w:hint="eastAsia"/>
                <w:b/>
                <w:szCs w:val="21"/>
              </w:rPr>
              <w:t>标的的名称</w:t>
            </w:r>
          </w:p>
        </w:tc>
        <w:tc>
          <w:tcPr>
            <w:tcW w:w="690" w:type="dxa"/>
            <w:tcBorders>
              <w:right w:val="single" w:sz="4" w:space="0" w:color="auto"/>
            </w:tcBorders>
            <w:vAlign w:val="center"/>
          </w:tcPr>
          <w:p w:rsidR="00056204" w:rsidRPr="00056204" w:rsidRDefault="00056204" w:rsidP="00056204">
            <w:pPr>
              <w:tabs>
                <w:tab w:val="left" w:pos="180"/>
                <w:tab w:val="left" w:pos="1620"/>
              </w:tabs>
              <w:spacing w:line="336" w:lineRule="exact"/>
              <w:jc w:val="center"/>
              <w:rPr>
                <w:rFonts w:ascii="宋体" w:eastAsia="宋体" w:hAnsi="宋体" w:cs="宋体" w:hint="eastAsia"/>
                <w:b/>
                <w:szCs w:val="21"/>
              </w:rPr>
            </w:pPr>
            <w:r w:rsidRPr="00056204">
              <w:rPr>
                <w:rFonts w:ascii="宋体" w:eastAsia="宋体" w:hAnsi="宋体" w:cs="宋体" w:hint="eastAsia"/>
                <w:b/>
                <w:szCs w:val="21"/>
              </w:rPr>
              <w:t>单位</w:t>
            </w:r>
          </w:p>
        </w:tc>
        <w:tc>
          <w:tcPr>
            <w:tcW w:w="709" w:type="dxa"/>
            <w:tcBorders>
              <w:left w:val="single" w:sz="4" w:space="0" w:color="auto"/>
            </w:tcBorders>
            <w:vAlign w:val="center"/>
          </w:tcPr>
          <w:p w:rsidR="00056204" w:rsidRPr="00056204" w:rsidRDefault="00056204" w:rsidP="00056204">
            <w:pPr>
              <w:tabs>
                <w:tab w:val="left" w:pos="180"/>
                <w:tab w:val="left" w:pos="1620"/>
              </w:tabs>
              <w:spacing w:line="336" w:lineRule="exact"/>
              <w:jc w:val="center"/>
              <w:rPr>
                <w:rFonts w:ascii="宋体" w:eastAsia="宋体" w:hAnsi="宋体" w:cs="宋体" w:hint="eastAsia"/>
                <w:b/>
                <w:szCs w:val="21"/>
              </w:rPr>
            </w:pPr>
            <w:r w:rsidRPr="00056204">
              <w:rPr>
                <w:rFonts w:ascii="宋体" w:eastAsia="宋体" w:hAnsi="宋体" w:cs="宋体" w:hint="eastAsia"/>
                <w:b/>
                <w:szCs w:val="21"/>
              </w:rPr>
              <w:t>数量</w:t>
            </w:r>
          </w:p>
        </w:tc>
        <w:tc>
          <w:tcPr>
            <w:tcW w:w="6270" w:type="dxa"/>
            <w:vAlign w:val="center"/>
          </w:tcPr>
          <w:p w:rsidR="00056204" w:rsidRPr="00056204" w:rsidRDefault="00056204" w:rsidP="00056204">
            <w:pPr>
              <w:tabs>
                <w:tab w:val="left" w:pos="180"/>
                <w:tab w:val="left" w:pos="1620"/>
              </w:tabs>
              <w:spacing w:line="336" w:lineRule="exact"/>
              <w:jc w:val="center"/>
              <w:rPr>
                <w:rFonts w:ascii="宋体" w:eastAsia="宋体" w:hAnsi="宋体" w:cs="宋体" w:hint="eastAsia"/>
                <w:b/>
                <w:szCs w:val="21"/>
              </w:rPr>
            </w:pPr>
            <w:r w:rsidRPr="00056204">
              <w:rPr>
                <w:rFonts w:ascii="宋体" w:eastAsia="宋体" w:hAnsi="宋体" w:cs="宋体" w:hint="eastAsia"/>
                <w:b/>
                <w:szCs w:val="21"/>
              </w:rPr>
              <w:t>技术需求及要求</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黑体" w:hint="eastAsia"/>
                <w:color w:val="000000"/>
                <w:szCs w:val="24"/>
              </w:rPr>
              <w:t>AP主机</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宋体"/>
                <w:kern w:val="0"/>
                <w:szCs w:val="21"/>
                <w:lang/>
              </w:rPr>
            </w:pPr>
            <w:r w:rsidRPr="00056204">
              <w:rPr>
                <w:rFonts w:ascii="宋体" w:eastAsia="宋体" w:hAnsi="宋体" w:cs="仿宋" w:hint="eastAsia"/>
                <w:kern w:val="0"/>
                <w:szCs w:val="24"/>
              </w:rPr>
              <w:t>台</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宋体"/>
                <w:kern w:val="0"/>
                <w:szCs w:val="21"/>
                <w:lang/>
              </w:rPr>
            </w:pPr>
            <w:r w:rsidRPr="00056204">
              <w:rPr>
                <w:rFonts w:ascii="宋体" w:eastAsia="宋体" w:hAnsi="宋体" w:cs="仿宋" w:hint="eastAsia"/>
                <w:kern w:val="0"/>
                <w:szCs w:val="24"/>
              </w:rPr>
              <w:t>90</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24个千兆POE端口，可以支持24个分体AP并对分体AP进行远程供电，上行原生千兆电口≥2个，万兆SFP+光口≥2个，配置≥2块万兆光模块，光模块传输波长:1310nm，光模块传输速率:≥10Gb/s，光模块传输距离：≥10km，光模块接口类型:LC；</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2.整机无风扇静音设计；</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3.支持简化部署，AP主机和分体AP可以通过网线链接传输数据，最大支持85米网线部署；</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4.▲支持统一管理，分体AP上电后识别为主AP的射频卡，分体AP无需单独管理，无需单独授权，所有端口可以通过控制器统一控制，并具备分体AP无需配置的即插即用功能，更换分体AP后，无需做任何配置，即可替换使用；</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5.AP主机具备节能管理功能，可实现对分体AP的定时关机、定时启动；</w:t>
            </w:r>
          </w:p>
          <w:p w:rsidR="00056204" w:rsidRPr="00056204" w:rsidRDefault="00056204" w:rsidP="00056204">
            <w:pPr>
              <w:widowControl/>
              <w:adjustRightInd w:val="0"/>
              <w:snapToGrid w:val="0"/>
              <w:spacing w:line="336" w:lineRule="exact"/>
              <w:jc w:val="left"/>
              <w:rPr>
                <w:rFonts w:ascii="宋体" w:eastAsia="宋体" w:hAnsi="宋体" w:cs="Times New Roman"/>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黑体" w:hint="eastAsia"/>
                <w:color w:val="000000"/>
                <w:szCs w:val="24"/>
              </w:rPr>
              <w:t>分体AP</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台</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1818</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 ▲支持802.11ax标准，采用双路双频设计；</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2. 支持多种形态安装，可壁挂、吸顶或嵌入86面板内安装；</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3. ▲整机4条空间流，整机最大接入速率≥1.7Gbps，5GHz单射频支持2*2 MIMO，且单射频最大接入速率≥1.2Gbps，2.4GHz单射频支持2*2 MIMO，且单射频最大接入速率≥0.5Gbps；</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4. ▲≥1个1G以太网口上联，≥4个1G以太网口下联；</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 xml:space="preserve">5. ▲整机功耗小于10W； </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6. 支持简化部署，AP主机和分体AP可以通过网线链接传输数据，最大支持85米网线部署；</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7. 支持统一管理，分体AP上电后识别为主AP的射频卡，分体AP无需单独管理，无需单独授权；</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8. 支持即插即用，更换分体AP后，无需做任何配置，即可替换使用；</w:t>
            </w:r>
          </w:p>
          <w:p w:rsidR="00056204" w:rsidRPr="00056204" w:rsidRDefault="00056204" w:rsidP="00056204">
            <w:pPr>
              <w:widowControl/>
              <w:adjustRightInd w:val="0"/>
              <w:snapToGrid w:val="0"/>
              <w:spacing w:line="336" w:lineRule="exact"/>
              <w:jc w:val="left"/>
              <w:rPr>
                <w:rFonts w:ascii="宋体" w:eastAsia="宋体" w:hAnsi="宋体" w:cs="宋体"/>
                <w:b/>
                <w:bCs/>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仿宋" w:hint="eastAsia"/>
                <w:kern w:val="0"/>
                <w:szCs w:val="24"/>
              </w:rPr>
              <w:t>无线控制器授权</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套</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3</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一、AP接入授权</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 提供≥128个放装AP接入授权；</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二、无线网络优化平台授权</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1.配置无线接入点优化授权数量≥128个；</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2.要求所投产品须以独立系统进行定制开发，非依托于无线网管平台开发或采用无线网管软件内置功能组件方式实现；</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3.部署模式可以采用公有云部署；</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4.支持云端运维管理，支持故障微信实时推送报警；</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lastRenderedPageBreak/>
              <w:t>5.▲为保证无线网络运行稳定，需要提供网优工具分析网络运行情况，网优工具支持设备健康状态、网络覆盖情况、网络关联成功、上网体验情况、网络活跃度、网络饱和度查询功能，</w:t>
            </w:r>
            <w:r w:rsidRPr="00056204">
              <w:rPr>
                <w:rFonts w:ascii="宋体" w:eastAsia="宋体" w:hAnsi="宋体" w:cs="仿宋" w:hint="eastAsia"/>
                <w:szCs w:val="24"/>
              </w:rPr>
              <w:t>投标文件中</w:t>
            </w:r>
            <w:r w:rsidRPr="00056204">
              <w:rPr>
                <w:rFonts w:ascii="宋体" w:eastAsia="宋体" w:hAnsi="宋体" w:cs="仿宋" w:hint="eastAsia"/>
                <w:kern w:val="0"/>
                <w:szCs w:val="24"/>
              </w:rPr>
              <w:t>提供此项功能截图并加盖投标人公章；</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6.网优工具分析出网络问题，支持问题区域、问题AP、问题终端定位功能；</w:t>
            </w:r>
          </w:p>
          <w:p w:rsidR="00056204" w:rsidRPr="00056204" w:rsidRDefault="00056204" w:rsidP="00056204">
            <w:pPr>
              <w:widowControl/>
              <w:adjustRightInd w:val="0"/>
              <w:snapToGrid w:val="0"/>
              <w:spacing w:line="336" w:lineRule="exact"/>
              <w:jc w:val="left"/>
              <w:rPr>
                <w:rFonts w:ascii="宋体" w:eastAsia="宋体" w:hAnsi="宋体" w:cs="宋体"/>
                <w:b/>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仿宋" w:hint="eastAsia"/>
                <w:kern w:val="0"/>
                <w:szCs w:val="24"/>
              </w:rPr>
              <w:t>万兆汇聚交换机</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台</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1</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 ▲端口≥28个100/1000Mbps光口，8个复用的10/100/1000M自适应电口，4个1G/10G SFP+光口，除固定端口外剩余扩展插槽≥2个，可扩展万兆接口模块和专用堆叠模块；</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2. ▲交换容量≥7Tbps，包转发率≥340Mpps；</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3. ▲要求所投设备MAC地址≥64K，ARP表项≥20K，FIB表项≥12K；</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4. 支持IP标准、IP扩展、MAC扩展、专家级、ACL80、IPV6ACL、基于VLAN、基于端口、基于协议、基于全局等方式的访问控制列表；</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5. 支持内置AC功能，实现有线无线一体化，最大可管理256个AP，同时支持集群功能，在主AC故障后可以切换到备AC，当主AC故障恢复后可切换回主AC；</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6. 支持专门基础网络保护机制，增强设备防攻击能力，即使在受到攻击的情况下，也能保护系统各种服务的正常运行，保持较低的CPU负载，从而保障整个网络的稳定运行；</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7. 支持静态、OSPF、BGP、PIM-SM、MP-BGP，MPLS/BGP VPN，BGP4，ISIS等路由协议；</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8. 支持IPv6静态路由、手工隧道、自动隧道、PBR、IPv4 Over IPv6等IPv6路由协议；</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9. 支持软件定义网络SDN，符合OpenFlow 1.3协议标准；</w:t>
            </w:r>
          </w:p>
          <w:p w:rsidR="00056204" w:rsidRPr="00056204" w:rsidRDefault="00056204" w:rsidP="00056204">
            <w:pPr>
              <w:widowControl/>
              <w:adjustRightInd w:val="0"/>
              <w:snapToGrid w:val="0"/>
              <w:spacing w:line="336" w:lineRule="exact"/>
              <w:jc w:val="left"/>
              <w:rPr>
                <w:rFonts w:ascii="宋体" w:eastAsia="宋体" w:hAnsi="宋体" w:cs="Times New Roman"/>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仿宋" w:hint="eastAsia"/>
                <w:kern w:val="0"/>
                <w:szCs w:val="24"/>
              </w:rPr>
              <w:t>认证系统授权扩容</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个</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5000</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1.▲升级学校现有认证系统（城市热点 2166）授权数，新增授权 5000并发账号。实现校园网有线无线统一身份认证管理，并实现日志管理和数据同步等功能；</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2.要求支持用户上网的时段控制，基于不同时间段实现不同的控制策略；</w:t>
            </w:r>
          </w:p>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3.▲要求认证平台需支持B/S和C/S的方式；（在投标文件中提供此项功能截图）；</w:t>
            </w:r>
          </w:p>
          <w:p w:rsidR="00056204" w:rsidRPr="00056204" w:rsidRDefault="00056204" w:rsidP="00056204">
            <w:pPr>
              <w:widowControl/>
              <w:adjustRightInd w:val="0"/>
              <w:snapToGrid w:val="0"/>
              <w:spacing w:line="336" w:lineRule="exact"/>
              <w:jc w:val="left"/>
              <w:rPr>
                <w:rFonts w:ascii="宋体" w:eastAsia="宋体" w:hAnsi="宋体" w:cs="Times New Roman"/>
                <w:kern w:val="0"/>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仿宋" w:hint="eastAsia"/>
                <w:kern w:val="0"/>
                <w:szCs w:val="24"/>
              </w:rPr>
              <w:t>六类UTP非屏蔽双绞线</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箱</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494</w:t>
            </w:r>
          </w:p>
        </w:tc>
        <w:tc>
          <w:tcPr>
            <w:tcW w:w="6270" w:type="dxa"/>
            <w:vAlign w:val="center"/>
          </w:tcPr>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1.标准：</w:t>
            </w:r>
            <w:r w:rsidRPr="00056204">
              <w:rPr>
                <w:rFonts w:ascii="宋体" w:eastAsia="宋体" w:hAnsi="宋体" w:cs="仿宋"/>
                <w:szCs w:val="24"/>
              </w:rPr>
              <w:t>GB/T18015.5</w:t>
            </w:r>
            <w:r w:rsidRPr="00056204">
              <w:rPr>
                <w:rFonts w:ascii="宋体" w:eastAsia="宋体" w:hAnsi="宋体" w:cs="仿宋" w:hint="eastAsia"/>
                <w:szCs w:val="24"/>
              </w:rPr>
              <w:t>；</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2.通过标准最高传输频率250MHz测试；</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3.额定传输速率(NVP)：68%；</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4.单根导体直流电阻：≤9.0Ω/100m；</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5.导体：导体规格：4×2×24AWG，导体名称：软圆铜线，绝缘：HDPE；</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6.屏蔽方式：U/UTP，线对采用“十”字骨架隔离；</w:t>
            </w:r>
          </w:p>
          <w:p w:rsidR="00056204" w:rsidRPr="00056204" w:rsidRDefault="00056204" w:rsidP="00056204">
            <w:pPr>
              <w:spacing w:line="336" w:lineRule="exact"/>
              <w:rPr>
                <w:rFonts w:ascii="宋体" w:eastAsia="宋体" w:hAnsi="宋体" w:cs="Times New Roman"/>
                <w:kern w:val="0"/>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光纤跳线</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对</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100</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kern w:val="0"/>
                <w:szCs w:val="24"/>
              </w:rPr>
            </w:pPr>
            <w:r w:rsidRPr="00056204">
              <w:rPr>
                <w:rFonts w:ascii="宋体" w:eastAsia="宋体" w:hAnsi="宋体" w:cs="仿宋" w:hint="eastAsia"/>
                <w:kern w:val="0"/>
                <w:szCs w:val="24"/>
              </w:rPr>
              <w:t>1.LC-LC 3m双芯单模跳线；</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2.标准：YD/T1272，ISO/IEC 11801，ANSI/TIA-568-C.3；</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3.依据标准出厂前100%光学测试；</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4.陶瓷插芯，插入损耗低，耐久性好；</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5.重复性，互换性，光学特性稳定；</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6.承诺提供各种长度，多种类型的跳纤和尾纤供选择；</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7.单芯光缆护套外径：3mm；</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8.插入损耗（含重复性）：≤0.2dB；</w:t>
            </w:r>
          </w:p>
          <w:p w:rsidR="00056204" w:rsidRPr="00056204" w:rsidRDefault="00056204" w:rsidP="00056204">
            <w:pPr>
              <w:widowControl/>
              <w:adjustRightInd w:val="0"/>
              <w:snapToGrid w:val="0"/>
              <w:spacing w:line="336" w:lineRule="exact"/>
              <w:jc w:val="left"/>
              <w:rPr>
                <w:rFonts w:ascii="宋体" w:eastAsia="宋体" w:hAnsi="宋体" w:cs="Times New Roman"/>
                <w:kern w:val="0"/>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PVC线槽1</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米</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6000</w:t>
            </w:r>
          </w:p>
        </w:tc>
        <w:tc>
          <w:tcPr>
            <w:tcW w:w="6270" w:type="dxa"/>
            <w:vAlign w:val="center"/>
          </w:tcPr>
          <w:p w:rsidR="00056204" w:rsidRPr="00056204" w:rsidRDefault="00056204" w:rsidP="00056204">
            <w:pPr>
              <w:spacing w:line="336" w:lineRule="exact"/>
              <w:rPr>
                <w:rFonts w:ascii="宋体" w:eastAsia="宋体" w:hAnsi="宋体" w:cs="Times New Roman"/>
                <w:kern w:val="0"/>
                <w:szCs w:val="21"/>
              </w:rPr>
            </w:pPr>
            <w:r w:rsidRPr="00056204">
              <w:rPr>
                <w:rFonts w:ascii="宋体" w:eastAsia="宋体" w:hAnsi="宋体" w:cs="仿宋" w:hint="eastAsia"/>
                <w:kern w:val="0"/>
                <w:szCs w:val="24"/>
              </w:rPr>
              <w:t>规格约24mm*19mm。</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PVC线槽2</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米</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2000</w:t>
            </w:r>
          </w:p>
        </w:tc>
        <w:tc>
          <w:tcPr>
            <w:tcW w:w="6270" w:type="dxa"/>
            <w:vAlign w:val="center"/>
          </w:tcPr>
          <w:p w:rsidR="00056204" w:rsidRPr="00056204" w:rsidRDefault="00056204" w:rsidP="00056204">
            <w:pPr>
              <w:spacing w:line="336" w:lineRule="exact"/>
              <w:rPr>
                <w:rFonts w:ascii="宋体" w:eastAsia="宋体" w:hAnsi="宋体" w:cs="Times New Roman"/>
                <w:kern w:val="0"/>
                <w:szCs w:val="21"/>
              </w:rPr>
            </w:pPr>
            <w:r w:rsidRPr="00056204">
              <w:rPr>
                <w:rFonts w:ascii="宋体" w:eastAsia="宋体" w:hAnsi="宋体" w:cs="仿宋" w:hint="eastAsia"/>
                <w:kern w:val="0"/>
                <w:szCs w:val="24"/>
              </w:rPr>
              <w:t>规格约100mm*19mm。</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spacing w:line="336" w:lineRule="exact"/>
              <w:rPr>
                <w:rFonts w:ascii="宋体" w:eastAsia="宋体" w:hAnsi="宋体" w:cs="黑体"/>
                <w:szCs w:val="21"/>
              </w:rPr>
            </w:pPr>
            <w:r w:rsidRPr="00056204">
              <w:rPr>
                <w:rFonts w:ascii="宋体" w:eastAsia="宋体" w:hAnsi="宋体" w:cs="仿宋" w:hint="eastAsia"/>
                <w:kern w:val="0"/>
                <w:szCs w:val="24"/>
              </w:rPr>
              <w:t>12U机柜</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个</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96</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仿宋"/>
                <w:szCs w:val="24"/>
              </w:rPr>
            </w:pPr>
            <w:r w:rsidRPr="00056204">
              <w:rPr>
                <w:rFonts w:ascii="宋体" w:eastAsia="宋体" w:hAnsi="宋体" w:cs="仿宋" w:hint="eastAsia"/>
                <w:szCs w:val="24"/>
              </w:rPr>
              <w:t>1.规格：600宽*450深 *650(mm)高；</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2.颜色：白色；</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3.设备安装架厚度为:1.5mm；</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4.支撑架厚度为:1.2mm；</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5.结构：19英寸，EIA标准立柱，成型材结构，落地式机柜的结构：框架、底部加固以达到增强机柜强度的效果；</w:t>
            </w:r>
          </w:p>
          <w:p w:rsidR="00056204" w:rsidRPr="00056204" w:rsidRDefault="00056204" w:rsidP="00056204">
            <w:pPr>
              <w:adjustRightInd w:val="0"/>
              <w:snapToGrid w:val="0"/>
              <w:spacing w:line="336" w:lineRule="exact"/>
              <w:rPr>
                <w:rFonts w:ascii="宋体" w:eastAsia="宋体" w:hAnsi="宋体" w:cs="仿宋"/>
                <w:szCs w:val="24"/>
              </w:rPr>
            </w:pPr>
            <w:r w:rsidRPr="00056204">
              <w:rPr>
                <w:rFonts w:ascii="宋体" w:eastAsia="宋体" w:hAnsi="宋体" w:cs="仿宋" w:hint="eastAsia"/>
                <w:szCs w:val="24"/>
              </w:rPr>
              <w:t>6.前门：采用高强度玻璃结构；</w:t>
            </w:r>
          </w:p>
          <w:p w:rsidR="00056204" w:rsidRPr="00056204" w:rsidRDefault="00056204" w:rsidP="00056204">
            <w:pPr>
              <w:adjustRightInd w:val="0"/>
              <w:snapToGrid w:val="0"/>
              <w:spacing w:line="336" w:lineRule="exact"/>
              <w:rPr>
                <w:rFonts w:ascii="宋体" w:eastAsia="宋体" w:hAnsi="宋体" w:cs="Times New Roman"/>
                <w:kern w:val="0"/>
                <w:szCs w:val="21"/>
              </w:rPr>
            </w:pPr>
            <w:r>
              <w:rPr>
                <w:rFonts w:ascii="宋体" w:eastAsia="宋体" w:hAnsi="宋体" w:cs="Times New Roman"/>
                <w:szCs w:val="21"/>
              </w:rPr>
              <w:t>……</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安装及布线施工</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点</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1818</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Times New Roman"/>
                <w:kern w:val="0"/>
                <w:szCs w:val="21"/>
              </w:rPr>
            </w:pPr>
            <w:r w:rsidRPr="00056204">
              <w:rPr>
                <w:rFonts w:ascii="宋体" w:eastAsia="宋体" w:hAnsi="宋体" w:cs="仿宋" w:hint="eastAsia"/>
                <w:szCs w:val="24"/>
              </w:rPr>
              <w:t>包含本项目所有的</w:t>
            </w:r>
            <w:r w:rsidRPr="00056204">
              <w:rPr>
                <w:rFonts w:ascii="宋体" w:eastAsia="宋体" w:hAnsi="宋体" w:cs="仿宋" w:hint="eastAsia"/>
                <w:kern w:val="0"/>
                <w:szCs w:val="24"/>
              </w:rPr>
              <w:t>安装施工调试。</w:t>
            </w:r>
          </w:p>
        </w:tc>
      </w:tr>
      <w:tr w:rsidR="00056204" w:rsidRPr="00056204" w:rsidTr="004656C8">
        <w:trPr>
          <w:trHeight w:val="400"/>
        </w:trPr>
        <w:tc>
          <w:tcPr>
            <w:tcW w:w="675" w:type="dxa"/>
            <w:vAlign w:val="center"/>
          </w:tcPr>
          <w:p w:rsidR="00056204" w:rsidRPr="00056204" w:rsidRDefault="00056204" w:rsidP="00056204">
            <w:pPr>
              <w:widowControl/>
              <w:numPr>
                <w:ilvl w:val="0"/>
                <w:numId w:val="1"/>
              </w:numPr>
              <w:spacing w:line="336" w:lineRule="exact"/>
              <w:jc w:val="center"/>
              <w:textAlignment w:val="center"/>
              <w:rPr>
                <w:rFonts w:ascii="宋体" w:eastAsia="宋体" w:hAnsi="宋体" w:cs="宋体" w:hint="eastAsia"/>
                <w:kern w:val="0"/>
                <w:sz w:val="20"/>
                <w:szCs w:val="20"/>
                <w:lang/>
              </w:rPr>
            </w:pPr>
          </w:p>
        </w:tc>
        <w:tc>
          <w:tcPr>
            <w:tcW w:w="1295" w:type="dxa"/>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辅材</w:t>
            </w:r>
          </w:p>
        </w:tc>
        <w:tc>
          <w:tcPr>
            <w:tcW w:w="690" w:type="dxa"/>
            <w:tcBorders>
              <w:righ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批</w:t>
            </w:r>
          </w:p>
        </w:tc>
        <w:tc>
          <w:tcPr>
            <w:tcW w:w="709" w:type="dxa"/>
            <w:tcBorders>
              <w:left w:val="single" w:sz="4" w:space="0" w:color="auto"/>
            </w:tcBorders>
            <w:vAlign w:val="center"/>
          </w:tcPr>
          <w:p w:rsidR="00056204" w:rsidRPr="00056204" w:rsidRDefault="00056204" w:rsidP="00056204">
            <w:pPr>
              <w:widowControl/>
              <w:adjustRightInd w:val="0"/>
              <w:snapToGrid w:val="0"/>
              <w:spacing w:line="336" w:lineRule="exact"/>
              <w:jc w:val="center"/>
              <w:rPr>
                <w:rFonts w:ascii="宋体" w:eastAsia="宋体" w:hAnsi="宋体" w:cs="黑体"/>
                <w:szCs w:val="21"/>
              </w:rPr>
            </w:pPr>
            <w:r w:rsidRPr="00056204">
              <w:rPr>
                <w:rFonts w:ascii="宋体" w:eastAsia="宋体" w:hAnsi="宋体" w:cs="仿宋" w:hint="eastAsia"/>
                <w:kern w:val="0"/>
                <w:szCs w:val="24"/>
              </w:rPr>
              <w:t>1</w:t>
            </w:r>
          </w:p>
        </w:tc>
        <w:tc>
          <w:tcPr>
            <w:tcW w:w="6270" w:type="dxa"/>
            <w:vAlign w:val="center"/>
          </w:tcPr>
          <w:p w:rsidR="00056204" w:rsidRPr="00056204" w:rsidRDefault="00056204" w:rsidP="00056204">
            <w:pPr>
              <w:widowControl/>
              <w:adjustRightInd w:val="0"/>
              <w:snapToGrid w:val="0"/>
              <w:spacing w:line="336" w:lineRule="exact"/>
              <w:jc w:val="left"/>
              <w:rPr>
                <w:rFonts w:ascii="宋体" w:eastAsia="宋体" w:hAnsi="宋体" w:cs="Times New Roman"/>
                <w:kern w:val="0"/>
                <w:szCs w:val="21"/>
              </w:rPr>
            </w:pPr>
            <w:r w:rsidRPr="00056204">
              <w:rPr>
                <w:rFonts w:ascii="宋体" w:eastAsia="宋体" w:hAnsi="宋体" w:cs="仿宋" w:hint="eastAsia"/>
                <w:kern w:val="0"/>
                <w:szCs w:val="24"/>
              </w:rPr>
              <w:t>含：水晶头、膨胀钉、扎带、连接件、线标、底盒、护套、胶布、螺丝、弯头和护套，排插等配件，满足项目需求。</w:t>
            </w:r>
          </w:p>
        </w:tc>
      </w:tr>
    </w:tbl>
    <w:p w:rsidR="00056204" w:rsidRPr="00056204" w:rsidRDefault="00056204" w:rsidP="005A2009">
      <w:pPr>
        <w:spacing w:line="360" w:lineRule="auto"/>
        <w:jc w:val="center"/>
        <w:rPr>
          <w:rFonts w:ascii="宋体" w:eastAsia="宋体" w:hAnsi="宋体" w:cs="宋体"/>
          <w:b/>
          <w:sz w:val="24"/>
          <w:szCs w:val="24"/>
        </w:rPr>
      </w:pPr>
    </w:p>
    <w:sectPr w:rsidR="00056204" w:rsidRPr="00056204" w:rsidSect="005A2009">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453" w:rsidRDefault="00C83453" w:rsidP="005A2009">
      <w:r>
        <w:separator/>
      </w:r>
    </w:p>
  </w:endnote>
  <w:endnote w:type="continuationSeparator" w:id="1">
    <w:p w:rsidR="00C83453" w:rsidRDefault="00C83453" w:rsidP="005A2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3032"/>
      <w:docPartObj>
        <w:docPartGallery w:val="Page Numbers (Bottom of Page)"/>
        <w:docPartUnique/>
      </w:docPartObj>
    </w:sdtPr>
    <w:sdtContent>
      <w:p w:rsidR="005A2009" w:rsidRDefault="00C37353">
        <w:pPr>
          <w:pStyle w:val="a4"/>
          <w:jc w:val="center"/>
        </w:pPr>
        <w:fldSimple w:instr=" PAGE   \* MERGEFORMAT ">
          <w:r w:rsidR="00056204" w:rsidRPr="00056204">
            <w:rPr>
              <w:noProof/>
              <w:lang w:val="zh-CN"/>
            </w:rPr>
            <w:t>1</w:t>
          </w:r>
        </w:fldSimple>
      </w:p>
    </w:sdtContent>
  </w:sdt>
  <w:p w:rsidR="005A2009" w:rsidRDefault="005A20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453" w:rsidRDefault="00C83453" w:rsidP="005A2009">
      <w:r>
        <w:separator/>
      </w:r>
    </w:p>
  </w:footnote>
  <w:footnote w:type="continuationSeparator" w:id="1">
    <w:p w:rsidR="00C83453" w:rsidRDefault="00C83453" w:rsidP="005A2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AF973"/>
    <w:multiLevelType w:val="singleLevel"/>
    <w:tmpl w:val="ED0AF973"/>
    <w:lvl w:ilvl="0">
      <w:start w:val="9"/>
      <w:numFmt w:val="decimal"/>
      <w:suff w:val="space"/>
      <w:lvlText w:val="%1."/>
      <w:lvlJc w:val="left"/>
    </w:lvl>
  </w:abstractNum>
  <w:abstractNum w:abstractNumId="1">
    <w:nsid w:val="02291926"/>
    <w:multiLevelType w:val="hybridMultilevel"/>
    <w:tmpl w:val="24B6E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DA78DB"/>
    <w:multiLevelType w:val="hybridMultilevel"/>
    <w:tmpl w:val="24B6E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635315"/>
    <w:multiLevelType w:val="hybridMultilevel"/>
    <w:tmpl w:val="24B6E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009"/>
    <w:rsid w:val="00056204"/>
    <w:rsid w:val="005A2009"/>
    <w:rsid w:val="006E6830"/>
    <w:rsid w:val="00C37353"/>
    <w:rsid w:val="00C83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009"/>
    <w:rPr>
      <w:sz w:val="18"/>
      <w:szCs w:val="18"/>
    </w:rPr>
  </w:style>
  <w:style w:type="paragraph" w:styleId="a4">
    <w:name w:val="footer"/>
    <w:basedOn w:val="a"/>
    <w:link w:val="Char0"/>
    <w:uiPriority w:val="99"/>
    <w:unhideWhenUsed/>
    <w:rsid w:val="005A2009"/>
    <w:pPr>
      <w:tabs>
        <w:tab w:val="center" w:pos="4153"/>
        <w:tab w:val="right" w:pos="8306"/>
      </w:tabs>
      <w:snapToGrid w:val="0"/>
      <w:jc w:val="left"/>
    </w:pPr>
    <w:rPr>
      <w:sz w:val="18"/>
      <w:szCs w:val="18"/>
    </w:rPr>
  </w:style>
  <w:style w:type="character" w:customStyle="1" w:styleId="Char0">
    <w:name w:val="页脚 Char"/>
    <w:basedOn w:val="a0"/>
    <w:link w:val="a4"/>
    <w:uiPriority w:val="99"/>
    <w:rsid w:val="005A20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科联招标</dc:creator>
  <cp:lastModifiedBy>科联招标</cp:lastModifiedBy>
  <cp:revision>3</cp:revision>
  <dcterms:created xsi:type="dcterms:W3CDTF">2021-06-18T08:06:00Z</dcterms:created>
  <dcterms:modified xsi:type="dcterms:W3CDTF">2021-10-09T01:58:00Z</dcterms:modified>
</cp:coreProperties>
</file>