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tabs>
          <w:tab w:val="left" w:pos="0"/>
          <w:tab w:val="left" w:pos="3165"/>
          <w:tab w:val="center" w:pos="4153"/>
        </w:tabs>
        <w:autoSpaceDE w:val="0"/>
        <w:autoSpaceDN w:val="0"/>
        <w:adjustRightInd w:val="0"/>
        <w:spacing w:before="0" w:after="0" w:line="360" w:lineRule="auto"/>
        <w:jc w:val="center"/>
        <w:rPr>
          <w:rFonts w:hint="eastAsia" w:ascii="宋体" w:hAnsi="宋体" w:cs="宋体"/>
          <w:color w:val="auto"/>
          <w:highlight w:val="none"/>
        </w:rPr>
      </w:pPr>
      <w:bookmarkStart w:id="0" w:name="_Toc28359001"/>
      <w:bookmarkStart w:id="1" w:name="_Toc11455"/>
      <w:bookmarkStart w:id="2" w:name="_Toc35393789"/>
      <w:r>
        <w:rPr>
          <w:rFonts w:hint="eastAsia" w:ascii="宋体" w:hAnsi="宋体" w:cs="宋体"/>
          <w:color w:val="auto"/>
          <w:highlight w:val="none"/>
          <w:lang w:val="en-US" w:eastAsia="zh-CN"/>
        </w:rPr>
        <w:t>广西科联招标中心有限公司关于反网络诈骗犯罪项目系统（GGZC2021-G3-01060-KLZB）</w:t>
      </w:r>
      <w:r>
        <w:rPr>
          <w:rFonts w:hint="eastAsia" w:ascii="宋体" w:hAnsi="宋体" w:cs="宋体"/>
          <w:color w:val="auto"/>
          <w:highlight w:val="none"/>
        </w:rPr>
        <w:t>招标公告</w:t>
      </w:r>
      <w:bookmarkEnd w:id="0"/>
      <w:bookmarkEnd w:id="1"/>
      <w:bookmarkEnd w:id="2"/>
    </w:p>
    <w:p>
      <w:pPr>
        <w:spacing w:line="360" w:lineRule="auto"/>
        <w:rPr>
          <w:rFonts w:hint="eastAsia" w:ascii="宋体" w:hAnsi="宋体" w:cs="宋体"/>
          <w:color w:val="auto"/>
          <w:szCs w:val="21"/>
          <w:highlight w:val="none"/>
        </w:rPr>
      </w:pPr>
    </w:p>
    <w:p>
      <w:pPr>
        <w:pBdr>
          <w:top w:val="single" w:color="auto" w:sz="4" w:space="1"/>
          <w:left w:val="single" w:color="auto" w:sz="4" w:space="4"/>
          <w:bottom w:val="single" w:color="auto" w:sz="4" w:space="1"/>
          <w:right w:val="single" w:color="auto" w:sz="4" w:space="4"/>
        </w:pBd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项目概况</w:t>
      </w:r>
    </w:p>
    <w:p>
      <w:pPr>
        <w:pBdr>
          <w:top w:val="single" w:color="auto" w:sz="4" w:space="1"/>
          <w:left w:val="single" w:color="auto" w:sz="4" w:space="4"/>
          <w:bottom w:val="single" w:color="auto" w:sz="4" w:space="1"/>
          <w:right w:val="single" w:color="auto" w:sz="4" w:space="4"/>
        </w:pBdr>
        <w:ind w:firstLine="480" w:firstLineChars="200"/>
        <w:rPr>
          <w:rFonts w:hint="eastAsia" w:ascii="宋体" w:hAnsi="宋体" w:cs="宋体"/>
          <w:color w:val="auto"/>
          <w:sz w:val="24"/>
          <w:highlight w:val="none"/>
        </w:rPr>
      </w:pPr>
      <w:r>
        <w:rPr>
          <w:rFonts w:hint="eastAsia" w:ascii="宋体" w:hAnsi="宋体" w:cs="宋体"/>
          <w:color w:val="auto"/>
          <w:sz w:val="24"/>
          <w:highlight w:val="none"/>
          <w:u w:val="single"/>
        </w:rPr>
        <w:t>反网络诈骗犯罪项目系统</w:t>
      </w:r>
      <w:r>
        <w:rPr>
          <w:rFonts w:hint="eastAsia" w:ascii="宋体" w:hAnsi="宋体" w:cs="宋体"/>
          <w:color w:val="auto"/>
          <w:sz w:val="24"/>
          <w:highlight w:val="none"/>
        </w:rPr>
        <w:t>招标项目的潜在投标人应在</w:t>
      </w:r>
      <w:r>
        <w:rPr>
          <w:rFonts w:hint="eastAsia" w:ascii="宋体" w:hAnsi="宋体" w:cs="宋体"/>
          <w:color w:val="auto"/>
          <w:sz w:val="24"/>
          <w:highlight w:val="none"/>
          <w:u w:val="single"/>
        </w:rPr>
        <w:t>贵港市政府采购网（http://zfcg.czj.gxgg.gov.cn）“供应商注册入口”完成账号注册后，登录政采云平台“项目采购—获取招标文件”模块自行下载</w:t>
      </w:r>
      <w:r>
        <w:rPr>
          <w:rFonts w:hint="eastAsia" w:ascii="宋体" w:hAnsi="宋体" w:cs="宋体"/>
          <w:color w:val="auto"/>
          <w:sz w:val="24"/>
          <w:highlight w:val="none"/>
        </w:rPr>
        <w:t>获取招标文件，并于</w:t>
      </w:r>
      <w:r>
        <w:rPr>
          <w:rFonts w:hint="eastAsia" w:ascii="宋体" w:hAnsi="宋体" w:cs="宋体"/>
          <w:color w:val="auto"/>
          <w:sz w:val="24"/>
          <w:highlight w:val="none"/>
          <w:u w:val="single"/>
        </w:rPr>
        <w:t>2021</w:t>
      </w:r>
      <w:r>
        <w:rPr>
          <w:rFonts w:hint="eastAsia" w:ascii="宋体" w:hAnsi="宋体" w:cs="宋体"/>
          <w:bCs/>
          <w:color w:val="auto"/>
          <w:sz w:val="24"/>
          <w:highlight w:val="none"/>
          <w:u w:val="single"/>
        </w:rPr>
        <w:t>年</w:t>
      </w:r>
      <w:r>
        <w:rPr>
          <w:rFonts w:hint="eastAsia" w:ascii="宋体" w:hAnsi="宋体" w:cs="宋体"/>
          <w:bCs/>
          <w:color w:val="auto"/>
          <w:sz w:val="24"/>
          <w:highlight w:val="none"/>
          <w:u w:val="single"/>
          <w:lang w:val="en-US" w:eastAsia="zh-CN"/>
        </w:rPr>
        <w:t>7</w:t>
      </w:r>
      <w:r>
        <w:rPr>
          <w:rFonts w:hint="eastAsia" w:ascii="宋体" w:hAnsi="宋体" w:cs="宋体"/>
          <w:bCs/>
          <w:color w:val="auto"/>
          <w:sz w:val="24"/>
          <w:highlight w:val="none"/>
          <w:u w:val="single"/>
          <w:lang w:eastAsia="zh-CN"/>
        </w:rPr>
        <w:t>月</w:t>
      </w:r>
      <w:r>
        <w:rPr>
          <w:rFonts w:hint="eastAsia" w:ascii="宋体" w:hAnsi="宋体" w:cs="宋体"/>
          <w:bCs/>
          <w:color w:val="auto"/>
          <w:sz w:val="24"/>
          <w:highlight w:val="none"/>
          <w:u w:val="single"/>
          <w:lang w:val="en-US" w:eastAsia="zh-CN"/>
        </w:rPr>
        <w:t>8</w:t>
      </w:r>
      <w:r>
        <w:rPr>
          <w:rFonts w:hint="eastAsia" w:ascii="宋体" w:hAnsi="宋体" w:cs="宋体"/>
          <w:bCs/>
          <w:color w:val="auto"/>
          <w:sz w:val="24"/>
          <w:highlight w:val="none"/>
          <w:u w:val="single"/>
        </w:rPr>
        <w:t>日</w:t>
      </w:r>
      <w:r>
        <w:rPr>
          <w:rFonts w:hint="eastAsia" w:ascii="宋体" w:hAnsi="宋体" w:cs="宋体"/>
          <w:bCs/>
          <w:color w:val="auto"/>
          <w:sz w:val="24"/>
          <w:highlight w:val="none"/>
          <w:u w:val="single"/>
          <w:lang w:val="en-US" w:eastAsia="zh-CN"/>
        </w:rPr>
        <w:t>8时50分</w:t>
      </w:r>
      <w:r>
        <w:rPr>
          <w:rFonts w:hint="eastAsia" w:ascii="宋体" w:hAnsi="宋体" w:cs="宋体"/>
          <w:bCs/>
          <w:color w:val="auto"/>
          <w:sz w:val="24"/>
          <w:highlight w:val="none"/>
          <w:u w:val="none"/>
        </w:rPr>
        <w:t>（</w:t>
      </w:r>
      <w:r>
        <w:rPr>
          <w:rFonts w:hint="eastAsia" w:ascii="宋体" w:hAnsi="宋体" w:cs="宋体"/>
          <w:bCs/>
          <w:color w:val="auto"/>
          <w:sz w:val="24"/>
          <w:highlight w:val="none"/>
        </w:rPr>
        <w:t>北京时间）前递交投标文件</w:t>
      </w:r>
      <w:r>
        <w:rPr>
          <w:rFonts w:hint="eastAsia" w:ascii="宋体" w:hAnsi="宋体" w:cs="宋体"/>
          <w:color w:val="auto"/>
          <w:sz w:val="24"/>
          <w:highlight w:val="none"/>
        </w:rPr>
        <w:t>。</w:t>
      </w:r>
    </w:p>
    <w:p>
      <w:pPr>
        <w:rPr>
          <w:rFonts w:hint="eastAsia" w:ascii="宋体" w:hAnsi="宋体" w:cs="宋体"/>
          <w:color w:val="auto"/>
          <w:sz w:val="24"/>
          <w:highlight w:val="none"/>
        </w:rPr>
      </w:pPr>
    </w:p>
    <w:p>
      <w:pPr>
        <w:rPr>
          <w:rFonts w:hint="eastAsia" w:ascii="宋体" w:hAnsi="宋体" w:cs="宋体"/>
          <w:b/>
          <w:bCs/>
          <w:color w:val="auto"/>
          <w:sz w:val="24"/>
          <w:highlight w:val="none"/>
        </w:rPr>
      </w:pPr>
      <w:bookmarkStart w:id="3" w:name="_Toc28359079"/>
      <w:bookmarkStart w:id="4" w:name="_Toc35393790"/>
      <w:bookmarkStart w:id="5" w:name="_Toc28359002"/>
      <w:bookmarkStart w:id="6" w:name="_Toc35393621"/>
      <w:bookmarkStart w:id="7" w:name="_Hlk24379207"/>
      <w:r>
        <w:rPr>
          <w:rFonts w:hint="eastAsia" w:ascii="宋体" w:hAnsi="宋体" w:cs="宋体"/>
          <w:b/>
          <w:bCs/>
          <w:color w:val="auto"/>
          <w:sz w:val="24"/>
          <w:highlight w:val="none"/>
        </w:rPr>
        <w:t>一、项目基本情况</w:t>
      </w:r>
      <w:bookmarkEnd w:id="3"/>
      <w:bookmarkEnd w:id="4"/>
      <w:bookmarkEnd w:id="5"/>
      <w:bookmarkEnd w:id="6"/>
    </w:p>
    <w:p>
      <w:pP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项目编号：GGZC2021-G3-01060-KLZB</w:t>
      </w:r>
    </w:p>
    <w:p>
      <w:pP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政府采购计划编号：GGZC[2021]1060号-001</w:t>
      </w:r>
    </w:p>
    <w:p>
      <w:pPr>
        <w:ind w:firstLine="480" w:firstLineChars="200"/>
        <w:rPr>
          <w:rFonts w:hint="eastAsia" w:ascii="宋体" w:hAnsi="宋体" w:cs="宋体"/>
          <w:color w:val="auto"/>
          <w:sz w:val="24"/>
          <w:highlight w:val="none"/>
          <w:u w:val="none"/>
        </w:rPr>
      </w:pPr>
      <w:r>
        <w:rPr>
          <w:rFonts w:hint="eastAsia" w:ascii="宋体" w:hAnsi="宋体" w:cs="宋体"/>
          <w:color w:val="auto"/>
          <w:sz w:val="24"/>
          <w:highlight w:val="none"/>
        </w:rPr>
        <w:t>项目名称：</w:t>
      </w:r>
      <w:r>
        <w:rPr>
          <w:rFonts w:hint="eastAsia" w:ascii="宋体" w:hAnsi="宋体" w:cs="宋体"/>
          <w:color w:val="auto"/>
          <w:sz w:val="24"/>
          <w:highlight w:val="none"/>
          <w:u w:val="none"/>
        </w:rPr>
        <w:t>反网络诈骗犯罪项目系统</w:t>
      </w:r>
    </w:p>
    <w:bookmarkEnd w:id="7"/>
    <w:p>
      <w:pPr>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预算金额：人民币捌佰肆拾万元整（￥</w:t>
      </w:r>
      <w:r>
        <w:rPr>
          <w:rFonts w:hint="eastAsia" w:ascii="宋体" w:hAnsi="宋体" w:cs="宋体"/>
          <w:color w:val="auto"/>
          <w:sz w:val="24"/>
          <w:highlight w:val="none"/>
          <w:u w:val="single"/>
        </w:rPr>
        <w:t xml:space="preserve"> 8400000.00</w:t>
      </w:r>
      <w:r>
        <w:rPr>
          <w:rFonts w:hint="eastAsia" w:ascii="宋体" w:hAnsi="宋体" w:cs="宋体"/>
          <w:color w:val="auto"/>
          <w:sz w:val="24"/>
          <w:highlight w:val="none"/>
        </w:rPr>
        <w:t>元）</w:t>
      </w:r>
    </w:p>
    <w:p>
      <w:pPr>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最高限价：无</w:t>
      </w:r>
      <w:r>
        <w:rPr>
          <w:rFonts w:hint="eastAsia" w:ascii="宋体" w:hAnsi="宋体" w:cs="宋体"/>
          <w:color w:val="auto"/>
          <w:sz w:val="24"/>
          <w:highlight w:val="none"/>
          <w:lang w:val="en-US" w:eastAsia="zh-CN"/>
        </w:rPr>
        <w:t>。</w:t>
      </w:r>
    </w:p>
    <w:p>
      <w:pP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采购需求：</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3405"/>
        <w:gridCol w:w="720"/>
        <w:gridCol w:w="855"/>
        <w:gridCol w:w="4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noWrap w:val="0"/>
            <w:vAlign w:val="center"/>
          </w:tcPr>
          <w:p>
            <w:pPr>
              <w:jc w:val="center"/>
              <w:rPr>
                <w:rFonts w:hint="eastAsia" w:ascii="宋体" w:hAnsi="宋体" w:cs="宋体"/>
                <w:color w:val="auto"/>
                <w:sz w:val="24"/>
                <w:highlight w:val="none"/>
              </w:rPr>
            </w:pPr>
            <w:r>
              <w:rPr>
                <w:rFonts w:hint="eastAsia"/>
                <w:b/>
                <w:color w:val="auto"/>
                <w:highlight w:val="none"/>
              </w:rPr>
              <w:t>序号</w:t>
            </w:r>
          </w:p>
        </w:tc>
        <w:tc>
          <w:tcPr>
            <w:tcW w:w="3405" w:type="dxa"/>
            <w:noWrap w:val="0"/>
            <w:vAlign w:val="center"/>
          </w:tcPr>
          <w:p>
            <w:pPr>
              <w:jc w:val="center"/>
              <w:rPr>
                <w:rFonts w:hint="eastAsia" w:ascii="宋体" w:hAnsi="宋体" w:cs="宋体"/>
                <w:color w:val="auto"/>
                <w:sz w:val="24"/>
                <w:highlight w:val="none"/>
              </w:rPr>
            </w:pPr>
            <w:r>
              <w:rPr>
                <w:rFonts w:hint="eastAsia"/>
                <w:b/>
                <w:color w:val="auto"/>
                <w:highlight w:val="none"/>
              </w:rPr>
              <w:t>服务名称</w:t>
            </w:r>
          </w:p>
        </w:tc>
        <w:tc>
          <w:tcPr>
            <w:tcW w:w="720" w:type="dxa"/>
            <w:noWrap w:val="0"/>
            <w:vAlign w:val="center"/>
          </w:tcPr>
          <w:p>
            <w:pPr>
              <w:jc w:val="center"/>
              <w:rPr>
                <w:rFonts w:hint="eastAsia" w:ascii="宋体" w:hAnsi="宋体" w:cs="宋体"/>
                <w:color w:val="auto"/>
                <w:sz w:val="24"/>
                <w:highlight w:val="none"/>
              </w:rPr>
            </w:pPr>
            <w:r>
              <w:rPr>
                <w:rFonts w:hint="eastAsia" w:ascii="宋体" w:hAnsi="宋体" w:cs="宋体"/>
                <w:b/>
                <w:color w:val="auto"/>
                <w:highlight w:val="none"/>
              </w:rPr>
              <w:t>数量</w:t>
            </w:r>
          </w:p>
        </w:tc>
        <w:tc>
          <w:tcPr>
            <w:tcW w:w="855" w:type="dxa"/>
            <w:noWrap w:val="0"/>
            <w:vAlign w:val="center"/>
          </w:tcPr>
          <w:p>
            <w:pPr>
              <w:jc w:val="center"/>
              <w:rPr>
                <w:rFonts w:hint="eastAsia" w:ascii="宋体" w:hAnsi="宋体" w:cs="宋体"/>
                <w:color w:val="auto"/>
                <w:sz w:val="24"/>
                <w:highlight w:val="none"/>
              </w:rPr>
            </w:pPr>
            <w:r>
              <w:rPr>
                <w:rFonts w:hint="eastAsia" w:ascii="宋体" w:hAnsi="宋体" w:cs="宋体"/>
                <w:b/>
                <w:color w:val="auto"/>
                <w:highlight w:val="none"/>
              </w:rPr>
              <w:t>单位</w:t>
            </w:r>
          </w:p>
        </w:tc>
        <w:tc>
          <w:tcPr>
            <w:tcW w:w="4229" w:type="dxa"/>
            <w:noWrap w:val="0"/>
            <w:vAlign w:val="center"/>
          </w:tcPr>
          <w:p>
            <w:pPr>
              <w:jc w:val="center"/>
              <w:rPr>
                <w:rFonts w:hint="eastAsia" w:ascii="宋体" w:hAnsi="宋体" w:cs="宋体"/>
                <w:color w:val="auto"/>
                <w:sz w:val="24"/>
                <w:highlight w:val="none"/>
              </w:rPr>
            </w:pPr>
            <w:r>
              <w:rPr>
                <w:rFonts w:hint="eastAsia" w:ascii="宋体" w:hAnsi="宋体" w:cs="宋体"/>
                <w:b/>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noWrap w:val="0"/>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3405" w:type="dxa"/>
            <w:noWrap w:val="0"/>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反网络诈骗犯罪项目系统服务</w:t>
            </w:r>
          </w:p>
        </w:tc>
        <w:tc>
          <w:tcPr>
            <w:tcW w:w="720" w:type="dxa"/>
            <w:noWrap w:val="0"/>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855" w:type="dxa"/>
            <w:noWrap w:val="0"/>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年</w:t>
            </w:r>
          </w:p>
        </w:tc>
        <w:tc>
          <w:tcPr>
            <w:tcW w:w="4229" w:type="dxa"/>
            <w:noWrap w:val="0"/>
            <w:vAlign w:val="center"/>
          </w:tcPr>
          <w:p>
            <w:pPr>
              <w:jc w:val="left"/>
              <w:rPr>
                <w:rFonts w:hint="eastAsia" w:ascii="宋体" w:hAnsi="宋体" w:cs="宋体"/>
                <w:color w:val="auto"/>
                <w:sz w:val="24"/>
                <w:highlight w:val="none"/>
              </w:rPr>
            </w:pPr>
            <w:r>
              <w:rPr>
                <w:rFonts w:ascii="宋体" w:hAnsi="宋体" w:cs="宋体"/>
                <w:color w:val="auto"/>
                <w:highlight w:val="none"/>
              </w:rPr>
              <w:t>包含大数据反诈平台、</w:t>
            </w:r>
            <w:r>
              <w:rPr>
                <w:rFonts w:ascii="宋体" w:hAnsi="宋体" w:cs="宋体"/>
                <w:color w:val="auto"/>
                <w:szCs w:val="21"/>
                <w:highlight w:val="none"/>
              </w:rPr>
              <w:t>警民联防平台，</w:t>
            </w:r>
            <w:r>
              <w:rPr>
                <w:rFonts w:ascii="宋体" w:hAnsi="宋体" w:cs="宋体"/>
                <w:color w:val="auto"/>
                <w:highlight w:val="none"/>
              </w:rPr>
              <w:t>以上招标内容的具体需求，详见招标文件第二章相关内容。</w:t>
            </w:r>
          </w:p>
        </w:tc>
      </w:tr>
    </w:tbl>
    <w:p>
      <w:pP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合同履行期限：确定本次使用服务所配套的系统平台及其他服务全部交付使用验收合格后服务3年。</w:t>
      </w:r>
    </w:p>
    <w:p>
      <w:pPr>
        <w:pStyle w:val="4"/>
        <w:ind w:firstLine="480" w:firstLineChars="200"/>
        <w:rPr>
          <w:rFonts w:hint="eastAsia" w:hAnsi="宋体" w:cs="宋体"/>
          <w:color w:val="auto"/>
          <w:kern w:val="2"/>
          <w:sz w:val="24"/>
          <w:szCs w:val="24"/>
          <w:highlight w:val="none"/>
        </w:rPr>
      </w:pPr>
      <w:r>
        <w:rPr>
          <w:rFonts w:hint="eastAsia" w:hAnsi="宋体" w:cs="宋体"/>
          <w:color w:val="auto"/>
          <w:sz w:val="24"/>
          <w:szCs w:val="24"/>
          <w:highlight w:val="none"/>
        </w:rPr>
        <w:t>提交服务成果时间：自中标通知书发出之日起</w:t>
      </w:r>
      <w:r>
        <w:rPr>
          <w:rFonts w:hint="eastAsia" w:hAnsi="宋体" w:cs="宋体"/>
          <w:color w:val="auto"/>
          <w:kern w:val="2"/>
          <w:sz w:val="24"/>
          <w:szCs w:val="24"/>
          <w:highlight w:val="none"/>
        </w:rPr>
        <w:t xml:space="preserve"> </w:t>
      </w:r>
      <w:r>
        <w:rPr>
          <w:rFonts w:hAnsi="宋体" w:cs="宋体"/>
          <w:color w:val="auto"/>
          <w:kern w:val="2"/>
          <w:sz w:val="24"/>
          <w:szCs w:val="24"/>
          <w:highlight w:val="none"/>
        </w:rPr>
        <w:t>15</w:t>
      </w:r>
      <w:r>
        <w:rPr>
          <w:rFonts w:hint="eastAsia" w:hAnsi="宋体" w:cs="宋体"/>
          <w:color w:val="auto"/>
          <w:kern w:val="2"/>
          <w:sz w:val="24"/>
          <w:szCs w:val="24"/>
          <w:highlight w:val="none"/>
        </w:rPr>
        <w:t xml:space="preserve"> 个自然日内完成所有软件开发、硬件安装及系统调测工作，并具备上线使用条件。</w:t>
      </w:r>
    </w:p>
    <w:p>
      <w:pP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本项目不接受联合体投标。</w:t>
      </w:r>
    </w:p>
    <w:p>
      <w:pPr>
        <w:rPr>
          <w:rFonts w:hint="eastAsia" w:ascii="宋体" w:hAnsi="宋体" w:cs="宋体"/>
          <w:b/>
          <w:bCs/>
          <w:color w:val="auto"/>
          <w:sz w:val="24"/>
          <w:highlight w:val="none"/>
        </w:rPr>
      </w:pPr>
      <w:bookmarkStart w:id="8" w:name="_Toc28359003"/>
      <w:bookmarkStart w:id="9" w:name="_Toc28359080"/>
      <w:bookmarkStart w:id="10" w:name="_Toc35393622"/>
      <w:bookmarkStart w:id="11" w:name="_Toc35393791"/>
      <w:r>
        <w:rPr>
          <w:rFonts w:hint="eastAsia" w:ascii="宋体" w:hAnsi="宋体" w:cs="宋体"/>
          <w:b/>
          <w:bCs/>
          <w:color w:val="auto"/>
          <w:sz w:val="24"/>
          <w:highlight w:val="none"/>
        </w:rPr>
        <w:t>二、申请人的资格要求：</w:t>
      </w:r>
      <w:bookmarkEnd w:id="8"/>
      <w:bookmarkEnd w:id="9"/>
      <w:bookmarkEnd w:id="10"/>
      <w:bookmarkEnd w:id="11"/>
    </w:p>
    <w:p>
      <w:pPr>
        <w:ind w:firstLine="480" w:firstLineChars="200"/>
        <w:rPr>
          <w:rFonts w:hint="eastAsia" w:ascii="宋体" w:hAnsi="宋体" w:cs="宋体"/>
          <w:color w:val="auto"/>
          <w:sz w:val="24"/>
          <w:highlight w:val="none"/>
        </w:rPr>
      </w:pPr>
      <w:bookmarkStart w:id="12" w:name="_Hlk51746371"/>
      <w:r>
        <w:rPr>
          <w:rFonts w:hint="eastAsia" w:ascii="宋体" w:hAnsi="宋体" w:cs="宋体"/>
          <w:color w:val="auto"/>
          <w:sz w:val="24"/>
          <w:highlight w:val="none"/>
        </w:rPr>
        <w:t>1.满足《中华人民共和国政府采购法》第二十二条规定；</w:t>
      </w:r>
    </w:p>
    <w:p>
      <w:pPr>
        <w:ind w:firstLine="480" w:firstLineChars="200"/>
        <w:rPr>
          <w:rFonts w:hint="eastAsia" w:ascii="宋体" w:hAnsi="宋体" w:cs="宋体"/>
          <w:color w:val="auto"/>
          <w:sz w:val="24"/>
          <w:highlight w:val="none"/>
        </w:rPr>
      </w:pPr>
      <w:bookmarkStart w:id="13" w:name="_Toc28359004"/>
      <w:bookmarkStart w:id="14" w:name="_Toc28359081"/>
      <w:r>
        <w:rPr>
          <w:rFonts w:hint="eastAsia" w:ascii="宋体" w:hAnsi="宋体" w:cs="宋体"/>
          <w:color w:val="auto"/>
          <w:sz w:val="24"/>
          <w:highlight w:val="none"/>
        </w:rPr>
        <w:t>2.落实政府采购政策需满足的资格要求：</w:t>
      </w:r>
      <w:r>
        <w:rPr>
          <w:rFonts w:hint="eastAsia" w:ascii="宋体" w:hAnsi="宋体" w:cs="宋体"/>
          <w:color w:val="auto"/>
          <w:sz w:val="24"/>
          <w:highlight w:val="none"/>
          <w:u w:val="single"/>
        </w:rPr>
        <w:t>无</w:t>
      </w:r>
      <w:r>
        <w:rPr>
          <w:rFonts w:hint="eastAsia" w:ascii="宋体" w:hAnsi="宋体" w:cs="宋体"/>
          <w:color w:val="auto"/>
          <w:sz w:val="24"/>
          <w:highlight w:val="none"/>
        </w:rPr>
        <w:t>；</w:t>
      </w:r>
    </w:p>
    <w:p>
      <w:pPr>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3.本项目的特定资格要求：</w:t>
      </w:r>
      <w:r>
        <w:rPr>
          <w:rFonts w:hint="eastAsia" w:ascii="宋体" w:hAnsi="宋体" w:cs="宋体"/>
          <w:color w:val="auto"/>
          <w:sz w:val="24"/>
          <w:highlight w:val="none"/>
          <w:u w:val="single"/>
        </w:rPr>
        <w:t>无。</w:t>
      </w:r>
    </w:p>
    <w:bookmarkEnd w:id="12"/>
    <w:p>
      <w:pPr>
        <w:rPr>
          <w:rFonts w:hint="eastAsia" w:ascii="宋体" w:hAnsi="宋体" w:cs="宋体"/>
          <w:b/>
          <w:bCs/>
          <w:color w:val="auto"/>
          <w:sz w:val="24"/>
          <w:highlight w:val="none"/>
        </w:rPr>
      </w:pPr>
      <w:bookmarkStart w:id="15" w:name="_Toc35393792"/>
      <w:bookmarkStart w:id="16" w:name="_Toc35393623"/>
      <w:r>
        <w:rPr>
          <w:rFonts w:hint="eastAsia" w:ascii="宋体" w:hAnsi="宋体" w:cs="宋体"/>
          <w:b/>
          <w:bCs/>
          <w:color w:val="auto"/>
          <w:sz w:val="24"/>
          <w:highlight w:val="none"/>
        </w:rPr>
        <w:t>三、获取招标文件</w:t>
      </w:r>
      <w:bookmarkEnd w:id="13"/>
      <w:bookmarkEnd w:id="14"/>
      <w:bookmarkEnd w:id="15"/>
      <w:bookmarkEnd w:id="16"/>
    </w:p>
    <w:p>
      <w:pPr>
        <w:ind w:firstLine="540"/>
        <w:rPr>
          <w:rFonts w:hint="eastAsia" w:ascii="宋体" w:hAnsi="宋体" w:cs="宋体"/>
          <w:bCs/>
          <w:color w:val="auto"/>
          <w:kern w:val="0"/>
          <w:sz w:val="24"/>
          <w:highlight w:val="none"/>
        </w:rPr>
      </w:pPr>
      <w:r>
        <w:rPr>
          <w:rFonts w:hint="eastAsia" w:ascii="宋体" w:hAnsi="宋体" w:cs="宋体"/>
          <w:bCs/>
          <w:color w:val="auto"/>
          <w:kern w:val="0"/>
          <w:sz w:val="24"/>
          <w:highlight w:val="none"/>
        </w:rPr>
        <w:t>时间：自招标公告发出之时起至投标文件递交截止时间前登陆政采云平台（www.zcygov.cn）自行下载招标文件。</w:t>
      </w:r>
    </w:p>
    <w:p>
      <w:pPr>
        <w:ind w:firstLine="540"/>
        <w:rPr>
          <w:rFonts w:hint="eastAsia" w:ascii="宋体" w:hAnsi="宋体" w:cs="宋体"/>
          <w:bCs/>
          <w:color w:val="auto"/>
          <w:kern w:val="0"/>
          <w:sz w:val="24"/>
          <w:highlight w:val="none"/>
        </w:rPr>
      </w:pPr>
      <w:r>
        <w:rPr>
          <w:rFonts w:hint="eastAsia" w:ascii="宋体" w:hAnsi="宋体" w:cs="宋体"/>
          <w:bCs/>
          <w:color w:val="auto"/>
          <w:kern w:val="0"/>
          <w:sz w:val="24"/>
          <w:highlight w:val="none"/>
        </w:rPr>
        <w:t>地点：政采云平台（www.zcygov.cn）</w:t>
      </w:r>
    </w:p>
    <w:p>
      <w:pPr>
        <w:ind w:firstLine="540"/>
        <w:rPr>
          <w:rFonts w:hint="eastAsia" w:ascii="宋体" w:hAnsi="宋体" w:cs="宋体"/>
          <w:bCs/>
          <w:color w:val="auto"/>
          <w:kern w:val="0"/>
          <w:sz w:val="24"/>
          <w:highlight w:val="none"/>
        </w:rPr>
      </w:pPr>
      <w:r>
        <w:rPr>
          <w:rFonts w:hint="eastAsia" w:ascii="宋体" w:hAnsi="宋体" w:cs="宋体"/>
          <w:bCs/>
          <w:color w:val="auto"/>
          <w:kern w:val="0"/>
          <w:sz w:val="24"/>
          <w:highlight w:val="none"/>
        </w:rPr>
        <w:t>方式：由潜在供应商在贵港市政府采购网（http://zfcg.czj.gxgg.gov.cn）“供应商注册入口”完 成账号注册后，登录政采云平台“项目采购—获取招标文件”模块自行下载招标文件，未在政采云注册的供应商可在获取招标文件前登录政采云（https://www.zcygov.cn/）进行注册。如在操作过程中遇到问题或需技术支持，请致电政采云客服热线：400-881-7190。</w:t>
      </w:r>
    </w:p>
    <w:p>
      <w:pPr>
        <w:ind w:firstLine="540"/>
        <w:rPr>
          <w:rFonts w:hint="eastAsia" w:ascii="宋体" w:hAnsi="宋体" w:cs="宋体"/>
          <w:color w:val="auto"/>
          <w:sz w:val="24"/>
          <w:highlight w:val="none"/>
        </w:rPr>
      </w:pPr>
      <w:r>
        <w:rPr>
          <w:rFonts w:hint="eastAsia" w:ascii="宋体" w:hAnsi="宋体" w:cs="宋体"/>
          <w:bCs/>
          <w:color w:val="auto"/>
          <w:kern w:val="0"/>
          <w:sz w:val="24"/>
          <w:highlight w:val="none"/>
        </w:rPr>
        <w:t>售价：</w:t>
      </w:r>
      <w:r>
        <w:rPr>
          <w:rFonts w:hint="eastAsia"/>
          <w:color w:val="auto"/>
          <w:highlight w:val="none"/>
          <w:lang w:eastAsia="zh-CN"/>
        </w:rPr>
        <w:t>人民币</w:t>
      </w:r>
      <w:r>
        <w:rPr>
          <w:rFonts w:hint="eastAsia" w:ascii="宋体" w:hAnsi="宋体" w:cs="宋体"/>
          <w:bCs/>
          <w:color w:val="auto"/>
          <w:kern w:val="0"/>
          <w:sz w:val="24"/>
          <w:highlight w:val="none"/>
        </w:rPr>
        <w:t>0元。</w:t>
      </w:r>
    </w:p>
    <w:p>
      <w:pPr>
        <w:rPr>
          <w:rFonts w:hint="eastAsia" w:ascii="宋体" w:hAnsi="宋体" w:cs="宋体"/>
          <w:b/>
          <w:bCs/>
          <w:color w:val="auto"/>
          <w:sz w:val="24"/>
          <w:highlight w:val="none"/>
        </w:rPr>
      </w:pPr>
      <w:bookmarkStart w:id="17" w:name="_Toc28359005"/>
      <w:bookmarkStart w:id="18" w:name="_Toc28359082"/>
      <w:bookmarkStart w:id="19" w:name="_Toc35393793"/>
      <w:bookmarkStart w:id="20" w:name="_Toc35393624"/>
      <w:r>
        <w:rPr>
          <w:rFonts w:hint="eastAsia" w:ascii="宋体" w:hAnsi="宋体" w:cs="宋体"/>
          <w:b/>
          <w:bCs/>
          <w:color w:val="auto"/>
          <w:sz w:val="24"/>
          <w:highlight w:val="none"/>
        </w:rPr>
        <w:t>四、提交投标文件</w:t>
      </w:r>
      <w:bookmarkEnd w:id="17"/>
      <w:bookmarkEnd w:id="18"/>
      <w:r>
        <w:rPr>
          <w:rFonts w:hint="eastAsia" w:ascii="宋体" w:hAnsi="宋体" w:cs="宋体"/>
          <w:b/>
          <w:bCs/>
          <w:color w:val="auto"/>
          <w:sz w:val="24"/>
          <w:highlight w:val="none"/>
        </w:rPr>
        <w:t>截止时间、开标时间和地点</w:t>
      </w:r>
      <w:bookmarkEnd w:id="19"/>
      <w:bookmarkEnd w:id="20"/>
    </w:p>
    <w:p>
      <w:pPr>
        <w:ind w:firstLine="480" w:firstLineChars="200"/>
        <w:rPr>
          <w:rFonts w:hint="eastAsia" w:ascii="宋体" w:hAnsi="宋体" w:cs="宋体"/>
          <w:color w:val="auto"/>
          <w:sz w:val="24"/>
          <w:highlight w:val="none"/>
          <w:u w:val="single"/>
        </w:rPr>
      </w:pPr>
      <w:r>
        <w:rPr>
          <w:rFonts w:hint="eastAsia" w:ascii="宋体" w:hAnsi="宋体" w:cs="宋体"/>
          <w:bCs/>
          <w:color w:val="auto"/>
          <w:sz w:val="24"/>
          <w:highlight w:val="none"/>
        </w:rPr>
        <w:t>提交投标文件截止时间和开标时间：</w:t>
      </w:r>
      <w:r>
        <w:rPr>
          <w:rFonts w:hint="eastAsia" w:ascii="宋体" w:hAnsi="宋体" w:cs="宋体"/>
          <w:color w:val="auto"/>
          <w:sz w:val="24"/>
          <w:highlight w:val="none"/>
          <w:u w:val="single"/>
        </w:rPr>
        <w:t>2021</w:t>
      </w:r>
      <w:r>
        <w:rPr>
          <w:rFonts w:hint="eastAsia" w:ascii="宋体" w:hAnsi="宋体" w:cs="宋体"/>
          <w:bCs/>
          <w:color w:val="auto"/>
          <w:sz w:val="24"/>
          <w:highlight w:val="none"/>
          <w:u w:val="single"/>
        </w:rPr>
        <w:t>年</w:t>
      </w:r>
      <w:r>
        <w:rPr>
          <w:rFonts w:hint="eastAsia" w:ascii="宋体" w:hAnsi="宋体" w:cs="宋体"/>
          <w:bCs/>
          <w:color w:val="auto"/>
          <w:sz w:val="24"/>
          <w:highlight w:val="none"/>
          <w:u w:val="single"/>
          <w:lang w:val="en-US" w:eastAsia="zh-CN"/>
        </w:rPr>
        <w:t>7</w:t>
      </w:r>
      <w:r>
        <w:rPr>
          <w:rFonts w:hint="eastAsia" w:ascii="宋体" w:hAnsi="宋体" w:cs="宋体"/>
          <w:bCs/>
          <w:color w:val="auto"/>
          <w:sz w:val="24"/>
          <w:highlight w:val="none"/>
          <w:u w:val="single"/>
          <w:lang w:eastAsia="zh-CN"/>
        </w:rPr>
        <w:t>月</w:t>
      </w:r>
      <w:r>
        <w:rPr>
          <w:rFonts w:hint="eastAsia" w:ascii="宋体" w:hAnsi="宋体" w:cs="宋体"/>
          <w:bCs/>
          <w:color w:val="auto"/>
          <w:sz w:val="24"/>
          <w:highlight w:val="none"/>
          <w:u w:val="single"/>
          <w:lang w:val="en-US" w:eastAsia="zh-CN"/>
        </w:rPr>
        <w:t>8</w:t>
      </w:r>
      <w:r>
        <w:rPr>
          <w:rFonts w:hint="eastAsia" w:ascii="宋体" w:hAnsi="宋体" w:cs="宋体"/>
          <w:bCs/>
          <w:color w:val="auto"/>
          <w:sz w:val="24"/>
          <w:highlight w:val="none"/>
          <w:u w:val="single"/>
        </w:rPr>
        <w:t>日</w:t>
      </w:r>
      <w:r>
        <w:rPr>
          <w:rFonts w:hint="eastAsia" w:ascii="宋体" w:hAnsi="宋体" w:cs="宋体"/>
          <w:bCs/>
          <w:color w:val="auto"/>
          <w:sz w:val="24"/>
          <w:highlight w:val="none"/>
          <w:u w:val="single"/>
          <w:lang w:val="en-US" w:eastAsia="zh-CN"/>
        </w:rPr>
        <w:t>8时50分</w:t>
      </w:r>
      <w:r>
        <w:rPr>
          <w:rFonts w:hint="eastAsia" w:ascii="宋体" w:hAnsi="宋体" w:cs="宋体"/>
          <w:bCs/>
          <w:color w:val="auto"/>
          <w:sz w:val="24"/>
          <w:highlight w:val="none"/>
        </w:rPr>
        <w:t>（北京时间）</w:t>
      </w:r>
    </w:p>
    <w:p>
      <w:pPr>
        <w:ind w:firstLine="420" w:firstLineChars="200"/>
        <w:rPr>
          <w:rFonts w:hint="eastAsia" w:ascii="宋体" w:hAnsi="宋体" w:cs="宋体"/>
          <w:color w:val="auto"/>
          <w:sz w:val="24"/>
          <w:highlight w:val="none"/>
        </w:rPr>
      </w:pPr>
      <w:r>
        <w:rPr>
          <w:rFonts w:hint="eastAsia"/>
          <w:color w:val="auto"/>
          <w:highlight w:val="none"/>
        </w:rPr>
        <w:t>提交投标文件</w:t>
      </w:r>
      <w:r>
        <w:rPr>
          <w:rFonts w:hint="eastAsia" w:ascii="宋体" w:hAnsi="宋体" w:cs="宋体"/>
          <w:color w:val="auto"/>
          <w:sz w:val="24"/>
          <w:highlight w:val="none"/>
        </w:rPr>
        <w:t>和开标地点：贵港市公共资源交易中心二楼交易厅（贵港市港北区金城商业步行街与金田路交叉口东南150米水利大厦）</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投标人可以由法定代表人（负责人）或委托代理人出席开标会议（携带本人身份证原件，委托代理人出席</w:t>
      </w:r>
      <w:r>
        <w:rPr>
          <w:rFonts w:hint="eastAsia" w:ascii="宋体" w:hAnsi="宋体" w:cs="宋体"/>
          <w:color w:val="auto"/>
          <w:sz w:val="24"/>
          <w:highlight w:val="none"/>
          <w:lang w:eastAsia="zh-CN"/>
        </w:rPr>
        <w:t>的还需</w:t>
      </w:r>
      <w:r>
        <w:rPr>
          <w:rFonts w:hint="eastAsia" w:ascii="宋体" w:hAnsi="宋体" w:cs="宋体"/>
          <w:color w:val="auto"/>
          <w:sz w:val="24"/>
          <w:highlight w:val="none"/>
        </w:rPr>
        <w:t>携带单位授权委托书原件）。</w:t>
      </w:r>
    </w:p>
    <w:p>
      <w:pPr>
        <w:ind w:firstLine="480" w:firstLineChars="200"/>
        <w:rPr>
          <w:rFonts w:hint="eastAsia" w:ascii="宋体" w:hAnsi="宋体" w:cs="宋体"/>
          <w:bCs/>
          <w:color w:val="auto"/>
          <w:sz w:val="24"/>
          <w:highlight w:val="none"/>
          <w:u w:val="single"/>
        </w:rPr>
      </w:pPr>
      <w:r>
        <w:rPr>
          <w:rFonts w:hint="eastAsia" w:ascii="宋体" w:hAnsi="宋体" w:cs="宋体"/>
          <w:bCs/>
          <w:color w:val="auto"/>
          <w:sz w:val="24"/>
          <w:highlight w:val="none"/>
          <w:u w:val="single"/>
        </w:rPr>
        <w:t>注：投标人应在投标文件提交截止时间内，将投标文件密封送达投标地点，未在规定时间内送达或者未按照招标文件要求密封的投标文件，采购人、采购代理机构将予以拒收。</w:t>
      </w:r>
    </w:p>
    <w:p>
      <w:pPr>
        <w:rPr>
          <w:rFonts w:hint="eastAsia" w:ascii="宋体" w:hAnsi="宋体" w:cs="宋体"/>
          <w:b/>
          <w:bCs/>
          <w:color w:val="auto"/>
          <w:sz w:val="24"/>
          <w:highlight w:val="none"/>
        </w:rPr>
      </w:pPr>
      <w:bookmarkStart w:id="21" w:name="_Toc28359007"/>
      <w:bookmarkStart w:id="22" w:name="_Toc35393794"/>
      <w:bookmarkStart w:id="23" w:name="_Toc28359084"/>
      <w:bookmarkStart w:id="24" w:name="_Toc35393625"/>
      <w:r>
        <w:rPr>
          <w:rFonts w:hint="eastAsia" w:ascii="宋体" w:hAnsi="宋体" w:cs="宋体"/>
          <w:b/>
          <w:bCs/>
          <w:color w:val="auto"/>
          <w:sz w:val="24"/>
          <w:highlight w:val="none"/>
        </w:rPr>
        <w:t>五、公告期限</w:t>
      </w:r>
      <w:bookmarkEnd w:id="21"/>
      <w:bookmarkEnd w:id="22"/>
      <w:bookmarkEnd w:id="23"/>
      <w:bookmarkEnd w:id="24"/>
    </w:p>
    <w:p>
      <w:pPr>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自本公告发布之日起5个工作日。</w:t>
      </w:r>
    </w:p>
    <w:p>
      <w:pPr>
        <w:rPr>
          <w:rFonts w:hint="eastAsia" w:ascii="宋体" w:hAnsi="宋体" w:cs="宋体"/>
          <w:b/>
          <w:bCs/>
          <w:color w:val="auto"/>
          <w:sz w:val="24"/>
          <w:highlight w:val="none"/>
        </w:rPr>
      </w:pPr>
      <w:bookmarkStart w:id="25" w:name="_Toc35393626"/>
      <w:bookmarkStart w:id="26" w:name="_Toc35393795"/>
      <w:r>
        <w:rPr>
          <w:rFonts w:hint="eastAsia" w:ascii="宋体" w:hAnsi="宋体" w:cs="宋体"/>
          <w:b/>
          <w:bCs/>
          <w:color w:val="auto"/>
          <w:sz w:val="24"/>
          <w:highlight w:val="none"/>
        </w:rPr>
        <w:t>六、其他补充事宜</w:t>
      </w:r>
      <w:bookmarkEnd w:id="25"/>
      <w:bookmarkEnd w:id="26"/>
    </w:p>
    <w:p>
      <w:pPr>
        <w:ind w:firstLine="360" w:firstLineChars="150"/>
        <w:rPr>
          <w:rFonts w:hint="eastAsia" w:ascii="宋体" w:hAnsi="宋体" w:cs="宋体"/>
          <w:color w:val="auto"/>
          <w:kern w:val="0"/>
          <w:sz w:val="24"/>
          <w:highlight w:val="none"/>
        </w:rPr>
      </w:pPr>
      <w:r>
        <w:rPr>
          <w:rFonts w:hint="eastAsia" w:ascii="宋体" w:hAnsi="宋体" w:cs="宋体"/>
          <w:color w:val="auto"/>
          <w:kern w:val="0"/>
          <w:sz w:val="24"/>
          <w:highlight w:val="none"/>
        </w:rPr>
        <w:t>1.投标保证金：</w:t>
      </w:r>
      <w:r>
        <w:rPr>
          <w:rFonts w:hint="eastAsia" w:ascii="宋体" w:hAnsi="宋体" w:cs="宋体"/>
          <w:color w:val="auto"/>
          <w:sz w:val="24"/>
          <w:highlight w:val="none"/>
        </w:rPr>
        <w:t>本项目免收投标保证金。</w:t>
      </w:r>
    </w:p>
    <w:p>
      <w:pPr>
        <w:ind w:firstLine="360" w:firstLineChars="150"/>
        <w:jc w:val="left"/>
        <w:rPr>
          <w:rFonts w:hint="eastAsia" w:ascii="宋体" w:hAnsi="宋体" w:cs="宋体"/>
          <w:color w:val="auto"/>
          <w:kern w:val="0"/>
          <w:sz w:val="24"/>
          <w:highlight w:val="none"/>
        </w:rPr>
      </w:pPr>
      <w:bookmarkStart w:id="27" w:name="_Hlk37429585"/>
      <w:r>
        <w:rPr>
          <w:rFonts w:hint="eastAsia" w:ascii="宋体" w:hAnsi="宋体" w:cs="宋体"/>
          <w:color w:val="auto"/>
          <w:kern w:val="0"/>
          <w:sz w:val="24"/>
          <w:highlight w:val="none"/>
        </w:rPr>
        <w:t>2.</w:t>
      </w:r>
      <w:bookmarkStart w:id="28" w:name="_Hlk37429595"/>
      <w:r>
        <w:rPr>
          <w:rFonts w:hint="eastAsia" w:ascii="宋体" w:hAnsi="宋体" w:eastAsia="宋体" w:cs="宋体"/>
          <w:color w:val="auto"/>
          <w:kern w:val="0"/>
          <w:sz w:val="24"/>
          <w:highlight w:val="none"/>
          <w:lang w:eastAsia="zh-CN"/>
        </w:rPr>
        <w:t>招标公告</w:t>
      </w:r>
      <w:r>
        <w:rPr>
          <w:rFonts w:hint="eastAsia" w:ascii="宋体" w:hAnsi="宋体" w:cs="宋体"/>
          <w:color w:val="auto"/>
          <w:kern w:val="0"/>
          <w:sz w:val="24"/>
          <w:highlight w:val="none"/>
        </w:rPr>
        <w:t>网上查询地址：http://www.ccgp.gov.cn（中国政府采购网）、http://www.gxzfcg.gov.cn（广西壮族自治区政府采购网）、http://ggzy.jgswj.gxzf.gov.cn/ggggzy/全国公共资源交易平台（广西•贵港）、http://zfcg.czj.gxgg.gov.cn/（贵港市政府采购网）</w:t>
      </w:r>
      <w:bookmarkEnd w:id="27"/>
    </w:p>
    <w:bookmarkEnd w:id="28"/>
    <w:p>
      <w:pPr>
        <w:ind w:firstLine="360" w:firstLineChars="150"/>
        <w:rPr>
          <w:rFonts w:hint="eastAsia" w:ascii="宋体" w:hAnsi="宋体" w:cs="宋体"/>
          <w:color w:val="auto"/>
          <w:kern w:val="0"/>
          <w:sz w:val="24"/>
          <w:highlight w:val="none"/>
        </w:rPr>
      </w:pPr>
      <w:bookmarkStart w:id="29" w:name="_Hlk37429674"/>
      <w:r>
        <w:rPr>
          <w:rFonts w:hint="eastAsia" w:ascii="宋体" w:hAnsi="宋体" w:cs="宋体"/>
          <w:color w:val="auto"/>
          <w:sz w:val="24"/>
          <w:highlight w:val="none"/>
        </w:rPr>
        <w:t>3.</w:t>
      </w:r>
      <w:r>
        <w:rPr>
          <w:rFonts w:hint="eastAsia" w:ascii="宋体" w:hAnsi="宋体" w:cs="宋体"/>
          <w:color w:val="auto"/>
          <w:kern w:val="0"/>
          <w:sz w:val="24"/>
          <w:highlight w:val="none"/>
        </w:rPr>
        <w:t>本项目需要落实的政府采购政策</w:t>
      </w:r>
    </w:p>
    <w:p>
      <w:pPr>
        <w:ind w:firstLine="360" w:firstLineChars="150"/>
        <w:rPr>
          <w:rFonts w:hint="eastAsia" w:ascii="宋体" w:hAnsi="宋体" w:cs="宋体"/>
          <w:color w:val="auto"/>
          <w:kern w:val="0"/>
          <w:sz w:val="24"/>
          <w:highlight w:val="none"/>
        </w:rPr>
      </w:pPr>
      <w:r>
        <w:rPr>
          <w:rFonts w:hint="eastAsia" w:ascii="宋体" w:hAnsi="宋体" w:cs="宋体"/>
          <w:color w:val="auto"/>
          <w:kern w:val="0"/>
          <w:sz w:val="24"/>
          <w:highlight w:val="none"/>
        </w:rPr>
        <w:t>（1）政府采购促进中小企业发展。</w:t>
      </w:r>
    </w:p>
    <w:p>
      <w:pPr>
        <w:ind w:firstLine="360" w:firstLineChars="150"/>
        <w:rPr>
          <w:rFonts w:hint="eastAsia" w:ascii="宋体" w:hAnsi="宋体" w:cs="宋体"/>
          <w:color w:val="auto"/>
          <w:kern w:val="0"/>
          <w:sz w:val="24"/>
          <w:highlight w:val="none"/>
        </w:rPr>
      </w:pPr>
      <w:r>
        <w:rPr>
          <w:rFonts w:hint="eastAsia" w:ascii="宋体" w:hAnsi="宋体" w:cs="宋体"/>
          <w:color w:val="auto"/>
          <w:kern w:val="0"/>
          <w:sz w:val="24"/>
          <w:highlight w:val="none"/>
        </w:rPr>
        <w:t>（2）政府采购支持采用本国产品的政策。</w:t>
      </w:r>
    </w:p>
    <w:p>
      <w:pPr>
        <w:ind w:firstLine="360" w:firstLineChars="150"/>
        <w:rPr>
          <w:rFonts w:hint="eastAsia" w:ascii="宋体" w:hAnsi="宋体" w:cs="宋体"/>
          <w:color w:val="auto"/>
          <w:kern w:val="0"/>
          <w:sz w:val="24"/>
          <w:highlight w:val="none"/>
        </w:rPr>
      </w:pPr>
      <w:r>
        <w:rPr>
          <w:rFonts w:hint="eastAsia" w:ascii="宋体" w:hAnsi="宋体" w:cs="宋体"/>
          <w:color w:val="auto"/>
          <w:kern w:val="0"/>
          <w:sz w:val="24"/>
          <w:highlight w:val="none"/>
        </w:rPr>
        <w:t>（3）强制采购节能产品；优先采购节能产品、环境标志产品。</w:t>
      </w:r>
    </w:p>
    <w:p>
      <w:pPr>
        <w:ind w:firstLine="360" w:firstLineChars="150"/>
        <w:rPr>
          <w:rFonts w:hint="eastAsia" w:ascii="宋体" w:hAnsi="宋体" w:cs="宋体"/>
          <w:color w:val="auto"/>
          <w:kern w:val="0"/>
          <w:sz w:val="24"/>
          <w:highlight w:val="none"/>
        </w:rPr>
      </w:pPr>
      <w:r>
        <w:rPr>
          <w:rFonts w:hint="eastAsia" w:ascii="宋体" w:hAnsi="宋体" w:cs="宋体"/>
          <w:color w:val="auto"/>
          <w:kern w:val="0"/>
          <w:sz w:val="24"/>
          <w:highlight w:val="none"/>
        </w:rPr>
        <w:t>（4）政府采购促进残疾人就业政策。</w:t>
      </w:r>
    </w:p>
    <w:p>
      <w:pPr>
        <w:ind w:firstLine="360" w:firstLineChars="150"/>
        <w:rPr>
          <w:rFonts w:hint="eastAsia" w:ascii="宋体" w:hAnsi="宋体" w:cs="宋体"/>
          <w:color w:val="auto"/>
          <w:kern w:val="0"/>
          <w:sz w:val="24"/>
          <w:highlight w:val="none"/>
        </w:rPr>
      </w:pPr>
      <w:r>
        <w:rPr>
          <w:rFonts w:hint="eastAsia" w:ascii="宋体" w:hAnsi="宋体" w:cs="宋体"/>
          <w:color w:val="auto"/>
          <w:kern w:val="0"/>
          <w:sz w:val="24"/>
          <w:highlight w:val="none"/>
        </w:rPr>
        <w:t>（5）政府采购支持监狱企业发展。</w:t>
      </w:r>
      <w:bookmarkEnd w:id="29"/>
    </w:p>
    <w:p>
      <w:pPr>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为配合采购人执行政府采购项目及备案，未入驻政府采购云平台的投标人请在获取招标文件后登录政府采购云平台（网址：http://www.zcygov.cn）进行商家入驻，如在操作过程中遇到问题或需技术支持，请致电政采云客服热线：400-881-7190。</w:t>
      </w:r>
    </w:p>
    <w:p>
      <w:pPr>
        <w:ind w:firstLine="616" w:firstLineChars="257"/>
        <w:rPr>
          <w:rFonts w:ascii="宋体" w:hAnsi="宋体" w:cs="宋体"/>
          <w:color w:val="auto"/>
          <w:sz w:val="24"/>
          <w:highlight w:val="none"/>
        </w:rPr>
      </w:pPr>
      <w:r>
        <w:rPr>
          <w:rFonts w:hint="eastAsia" w:ascii="宋体" w:hAnsi="宋体" w:cs="宋体"/>
          <w:color w:val="auto"/>
          <w:kern w:val="0"/>
          <w:sz w:val="24"/>
          <w:highlight w:val="none"/>
        </w:rPr>
        <w:t>5.</w:t>
      </w:r>
      <w:r>
        <w:rPr>
          <w:rFonts w:ascii="宋体" w:hAnsi="宋体" w:cs="宋体"/>
          <w:color w:val="auto"/>
          <w:sz w:val="24"/>
          <w:highlight w:val="none"/>
        </w:rPr>
        <w:t>单位负责人为同一人或者存在直接控股、管理关系的不同供应商，不得参加同一合同项下的政府采购活动。</w:t>
      </w:r>
      <w:r>
        <w:rPr>
          <w:rFonts w:hint="eastAsia" w:ascii="宋体" w:hAnsi="宋体" w:cs="宋体"/>
          <w:color w:val="auto"/>
          <w:sz w:val="24"/>
          <w:highlight w:val="none"/>
        </w:rPr>
        <w:t>除单一来源采购项目外，</w:t>
      </w:r>
      <w:r>
        <w:rPr>
          <w:rFonts w:ascii="宋体" w:hAnsi="宋体" w:cs="宋体"/>
          <w:color w:val="auto"/>
          <w:sz w:val="24"/>
          <w:highlight w:val="none"/>
        </w:rPr>
        <w:t>为本项目提供过整体设计、规范编制或者项目管理、监理、检测等服务的供应商，不得再参加本项目上述服务以外的其他采购活动。</w:t>
      </w:r>
    </w:p>
    <w:p>
      <w:pPr>
        <w:ind w:firstLine="616" w:firstLineChars="257"/>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ascii="宋体" w:hAnsi="宋体" w:cs="宋体"/>
          <w:color w:val="auto"/>
          <w:sz w:val="24"/>
          <w:highlight w:val="none"/>
        </w:rPr>
        <w:t>.对在“信用中国”网站(www.creditchina.gov.cn)、中国政府采购网(www.ccgp.gov.cn)被列入失信被执行人、重大税收违法案件当事人名单、政府采购严重违法失信行为记录名单及其他不符合《中华人民共和国政府采购法》第二十二条规定条件的供应商，不得参与政府采购活动。</w:t>
      </w:r>
    </w:p>
    <w:p>
      <w:pPr>
        <w:rPr>
          <w:rFonts w:hint="eastAsia" w:ascii="宋体" w:hAnsi="宋体" w:cs="宋体"/>
          <w:b/>
          <w:bCs/>
          <w:color w:val="auto"/>
          <w:sz w:val="24"/>
          <w:highlight w:val="none"/>
        </w:rPr>
      </w:pPr>
      <w:bookmarkStart w:id="30" w:name="_Toc35393627"/>
      <w:bookmarkStart w:id="31" w:name="_Toc35393796"/>
      <w:bookmarkStart w:id="32" w:name="_Toc28359085"/>
      <w:bookmarkStart w:id="33" w:name="_Toc28359008"/>
      <w:r>
        <w:rPr>
          <w:rFonts w:hint="eastAsia" w:ascii="宋体" w:hAnsi="宋体" w:cs="宋体"/>
          <w:b/>
          <w:bCs/>
          <w:color w:val="auto"/>
          <w:sz w:val="24"/>
          <w:highlight w:val="none"/>
        </w:rPr>
        <w:t>七、对本次招标提出询问，请按以下方式联系。</w:t>
      </w:r>
      <w:bookmarkEnd w:id="30"/>
      <w:bookmarkEnd w:id="31"/>
      <w:bookmarkEnd w:id="32"/>
      <w:bookmarkEnd w:id="33"/>
    </w:p>
    <w:p>
      <w:pPr>
        <w:jc w:val="left"/>
        <w:rPr>
          <w:rFonts w:hint="eastAsia" w:ascii="宋体" w:hAnsi="宋体" w:cs="宋体"/>
          <w:color w:val="auto"/>
          <w:sz w:val="24"/>
          <w:highlight w:val="none"/>
        </w:rPr>
      </w:pPr>
      <w:r>
        <w:rPr>
          <w:rFonts w:hint="eastAsia" w:ascii="宋体" w:hAnsi="宋体" w:cs="宋体"/>
          <w:color w:val="auto"/>
          <w:sz w:val="24"/>
          <w:highlight w:val="none"/>
        </w:rPr>
        <w:t>　　　1.采购人信息</w:t>
      </w:r>
    </w:p>
    <w:p>
      <w:pPr>
        <w:ind w:left="1079" w:leftChars="371" w:hanging="300" w:hangingChars="125"/>
        <w:jc w:val="left"/>
        <w:rPr>
          <w:rFonts w:hint="eastAsia" w:ascii="宋体" w:hAnsi="宋体" w:cs="宋体"/>
          <w:color w:val="auto"/>
          <w:sz w:val="24"/>
          <w:highlight w:val="none"/>
        </w:rPr>
      </w:pPr>
      <w:r>
        <w:rPr>
          <w:rFonts w:hint="eastAsia" w:ascii="宋体" w:hAnsi="宋体" w:cs="宋体"/>
          <w:color w:val="auto"/>
          <w:sz w:val="24"/>
          <w:highlight w:val="none"/>
        </w:rPr>
        <w:t>名称：贵港市公安局</w:t>
      </w:r>
    </w:p>
    <w:p>
      <w:pPr>
        <w:ind w:left="1079" w:leftChars="371" w:hanging="300" w:hangingChars="125"/>
        <w:jc w:val="left"/>
        <w:rPr>
          <w:rFonts w:hint="eastAsia" w:ascii="宋体" w:hAnsi="宋体" w:cs="宋体"/>
          <w:color w:val="auto"/>
          <w:sz w:val="24"/>
          <w:highlight w:val="none"/>
        </w:rPr>
      </w:pPr>
      <w:r>
        <w:rPr>
          <w:rFonts w:hint="eastAsia" w:ascii="宋体" w:hAnsi="宋体" w:cs="宋体"/>
          <w:color w:val="auto"/>
          <w:sz w:val="24"/>
          <w:highlight w:val="none"/>
        </w:rPr>
        <w:t>地址：贵港市港北区建设西路558号</w:t>
      </w:r>
    </w:p>
    <w:p>
      <w:pPr>
        <w:ind w:left="1079" w:leftChars="371" w:hanging="300" w:hangingChars="125"/>
        <w:jc w:val="left"/>
        <w:rPr>
          <w:rFonts w:hint="eastAsia" w:ascii="宋体" w:hAnsi="宋体" w:cs="宋体"/>
          <w:color w:val="auto"/>
          <w:sz w:val="24"/>
          <w:highlight w:val="none"/>
          <w:u w:val="single"/>
        </w:rPr>
      </w:pPr>
      <w:r>
        <w:rPr>
          <w:rFonts w:hint="eastAsia" w:ascii="宋体" w:hAnsi="宋体" w:cs="宋体"/>
          <w:color w:val="auto"/>
          <w:sz w:val="24"/>
          <w:highlight w:val="none"/>
        </w:rPr>
        <w:t>联系方式：</w:t>
      </w:r>
      <w:r>
        <w:rPr>
          <w:rFonts w:hint="eastAsia" w:ascii="宋体" w:hAnsi="宋体" w:cs="宋体"/>
          <w:color w:val="auto"/>
          <w:sz w:val="24"/>
          <w:highlight w:val="none"/>
          <w:lang w:eastAsia="zh-CN"/>
        </w:rPr>
        <w:t>陈宁</w:t>
      </w:r>
      <w:r>
        <w:rPr>
          <w:rFonts w:hint="eastAsia" w:ascii="宋体" w:hAnsi="宋体" w:cs="宋体"/>
          <w:color w:val="auto"/>
          <w:sz w:val="24"/>
          <w:highlight w:val="none"/>
        </w:rPr>
        <w:t>0775-</w:t>
      </w:r>
      <w:bookmarkStart w:id="34" w:name="_Toc28359086"/>
      <w:bookmarkStart w:id="35" w:name="_Toc28359009"/>
      <w:r>
        <w:rPr>
          <w:rFonts w:hint="eastAsia" w:ascii="宋体" w:hAnsi="宋体" w:cs="宋体"/>
          <w:color w:val="auto"/>
          <w:sz w:val="24"/>
          <w:highlight w:val="none"/>
        </w:rPr>
        <w:t>4572277</w:t>
      </w:r>
    </w:p>
    <w:p>
      <w:pPr>
        <w:ind w:left="640" w:leftChars="305" w:firstLine="156" w:firstLineChars="65"/>
        <w:jc w:val="left"/>
        <w:rPr>
          <w:rFonts w:hint="eastAsia" w:ascii="宋体" w:hAnsi="宋体" w:cs="宋体"/>
          <w:color w:val="auto"/>
          <w:sz w:val="24"/>
          <w:highlight w:val="none"/>
        </w:rPr>
      </w:pPr>
      <w:r>
        <w:rPr>
          <w:rFonts w:hint="eastAsia" w:ascii="宋体" w:hAnsi="宋体" w:cs="宋体"/>
          <w:color w:val="auto"/>
          <w:sz w:val="24"/>
          <w:highlight w:val="none"/>
        </w:rPr>
        <w:t>2.采购代理机构信息</w:t>
      </w:r>
      <w:bookmarkEnd w:id="34"/>
      <w:bookmarkEnd w:id="35"/>
    </w:p>
    <w:p>
      <w:pPr>
        <w:ind w:firstLine="720" w:firstLineChars="300"/>
        <w:rPr>
          <w:rFonts w:hint="eastAsia" w:ascii="宋体" w:hAnsi="宋体" w:cs="宋体"/>
          <w:color w:val="auto"/>
          <w:sz w:val="24"/>
          <w:highlight w:val="none"/>
        </w:rPr>
      </w:pPr>
      <w:r>
        <w:rPr>
          <w:rFonts w:hint="eastAsia" w:ascii="宋体" w:hAnsi="宋体" w:cs="宋体"/>
          <w:color w:val="auto"/>
          <w:sz w:val="24"/>
          <w:highlight w:val="none"/>
        </w:rPr>
        <w:t>名称：广西科联招标中心有限公司</w:t>
      </w:r>
    </w:p>
    <w:p>
      <w:pPr>
        <w:ind w:firstLine="720" w:firstLineChars="300"/>
        <w:rPr>
          <w:rFonts w:hint="eastAsia" w:ascii="宋体" w:hAnsi="宋体" w:cs="宋体"/>
          <w:color w:val="auto"/>
          <w:sz w:val="24"/>
          <w:highlight w:val="none"/>
        </w:rPr>
      </w:pPr>
      <w:r>
        <w:rPr>
          <w:rFonts w:hint="eastAsia" w:ascii="宋体" w:hAnsi="宋体" w:cs="宋体"/>
          <w:color w:val="auto"/>
          <w:sz w:val="24"/>
          <w:highlight w:val="none"/>
        </w:rPr>
        <w:t>地址：广西贵港市港北区金港大道935号财富中心17楼1722室</w:t>
      </w:r>
    </w:p>
    <w:p>
      <w:pPr>
        <w:ind w:firstLine="720" w:firstLineChars="300"/>
        <w:rPr>
          <w:rFonts w:hint="eastAsia" w:ascii="宋体" w:hAnsi="宋体" w:cs="宋体"/>
          <w:color w:val="auto"/>
          <w:sz w:val="24"/>
          <w:highlight w:val="none"/>
        </w:rPr>
      </w:pPr>
      <w:r>
        <w:rPr>
          <w:rFonts w:hint="eastAsia" w:ascii="宋体" w:hAnsi="宋体" w:cs="宋体"/>
          <w:color w:val="auto"/>
          <w:sz w:val="24"/>
          <w:highlight w:val="none"/>
        </w:rPr>
        <w:t>联系方式：</w:t>
      </w:r>
      <w:bookmarkStart w:id="36" w:name="_Toc28359010"/>
      <w:bookmarkStart w:id="37" w:name="_Toc28359087"/>
      <w:r>
        <w:rPr>
          <w:rFonts w:hint="eastAsia" w:ascii="宋体" w:hAnsi="宋体" w:cs="宋体"/>
          <w:color w:val="auto"/>
          <w:sz w:val="24"/>
          <w:highlight w:val="none"/>
        </w:rPr>
        <w:t>0775-4563700</w:t>
      </w:r>
    </w:p>
    <w:p>
      <w:pPr>
        <w:ind w:firstLine="720" w:firstLineChars="300"/>
        <w:rPr>
          <w:rFonts w:hint="eastAsia" w:ascii="宋体" w:hAnsi="宋体" w:cs="宋体"/>
          <w:color w:val="auto"/>
          <w:sz w:val="24"/>
          <w:highlight w:val="none"/>
          <w:u w:val="single"/>
        </w:rPr>
      </w:pPr>
      <w:r>
        <w:rPr>
          <w:rFonts w:hint="eastAsia" w:ascii="宋体" w:hAnsi="宋体" w:cs="宋体"/>
          <w:color w:val="auto"/>
          <w:sz w:val="24"/>
          <w:highlight w:val="none"/>
        </w:rPr>
        <w:t>3.项目联系方式</w:t>
      </w:r>
      <w:bookmarkEnd w:id="36"/>
      <w:bookmarkEnd w:id="37"/>
    </w:p>
    <w:p>
      <w:pPr>
        <w:pStyle w:val="4"/>
        <w:ind w:firstLine="720" w:firstLineChars="300"/>
        <w:rPr>
          <w:rFonts w:hint="eastAsia" w:hAnsi="宋体" w:cs="宋体"/>
          <w:color w:val="auto"/>
          <w:sz w:val="24"/>
          <w:szCs w:val="24"/>
          <w:highlight w:val="none"/>
        </w:rPr>
      </w:pPr>
      <w:r>
        <w:rPr>
          <w:rFonts w:hint="eastAsia" w:hAnsi="宋体" w:cs="宋体"/>
          <w:color w:val="auto"/>
          <w:sz w:val="24"/>
          <w:szCs w:val="24"/>
          <w:highlight w:val="none"/>
        </w:rPr>
        <w:t>项目联系人：丘秀兰</w:t>
      </w:r>
    </w:p>
    <w:p>
      <w:pPr>
        <w:ind w:firstLine="720" w:firstLineChars="300"/>
        <w:rPr>
          <w:rFonts w:hint="eastAsia" w:ascii="宋体" w:hAnsi="宋体" w:cs="宋体"/>
          <w:color w:val="auto"/>
          <w:sz w:val="24"/>
          <w:highlight w:val="none"/>
        </w:rPr>
      </w:pPr>
      <w:r>
        <w:rPr>
          <w:rFonts w:hint="eastAsia" w:ascii="宋体" w:hAnsi="宋体" w:cs="宋体"/>
          <w:color w:val="auto"/>
          <w:sz w:val="24"/>
          <w:highlight w:val="none"/>
        </w:rPr>
        <w:t>电话：0775-4563700</w:t>
      </w:r>
    </w:p>
    <w:p>
      <w:pPr>
        <w:rPr>
          <w:rFonts w:hint="eastAsia" w:ascii="宋体" w:hAnsi="宋体" w:cs="宋体"/>
          <w:color w:val="auto"/>
          <w:sz w:val="24"/>
          <w:highlight w:val="none"/>
        </w:rPr>
      </w:pPr>
    </w:p>
    <w:p>
      <w:pPr>
        <w:jc w:val="right"/>
        <w:rPr>
          <w:rFonts w:hint="eastAsia" w:ascii="宋体" w:hAnsi="宋体" w:cs="宋体"/>
          <w:color w:val="auto"/>
          <w:sz w:val="24"/>
          <w:highlight w:val="none"/>
        </w:rPr>
      </w:pPr>
      <w:r>
        <w:rPr>
          <w:rFonts w:hint="eastAsia" w:ascii="宋体" w:hAnsi="宋体" w:cs="宋体"/>
          <w:color w:val="auto"/>
          <w:sz w:val="24"/>
          <w:highlight w:val="none"/>
        </w:rPr>
        <w:t>广西科联招标中心有限公司</w:t>
      </w:r>
    </w:p>
    <w:p>
      <w:pPr>
        <w:ind w:firstLine="240" w:firstLineChars="100"/>
        <w:jc w:val="right"/>
        <w:rPr>
          <w:rFonts w:hint="eastAsia" w:ascii="宋体" w:hAnsi="宋体" w:cs="宋体"/>
          <w:color w:val="auto"/>
          <w:sz w:val="24"/>
          <w:highlight w:val="none"/>
        </w:rPr>
      </w:pPr>
      <w:r>
        <w:rPr>
          <w:rFonts w:hint="eastAsia" w:ascii="宋体" w:hAnsi="宋体" w:cs="宋体"/>
          <w:color w:val="auto"/>
          <w:sz w:val="24"/>
          <w:highlight w:val="none"/>
          <w:u w:val="single"/>
        </w:rPr>
        <w:t>2021</w:t>
      </w:r>
      <w:r>
        <w:rPr>
          <w:rFonts w:hint="eastAsia" w:ascii="宋体" w:hAnsi="宋体" w:cs="宋体"/>
          <w:color w:val="auto"/>
          <w:sz w:val="24"/>
          <w:highlight w:val="none"/>
        </w:rPr>
        <w:t>年</w:t>
      </w:r>
      <w:r>
        <w:rPr>
          <w:rFonts w:hint="eastAsia" w:ascii="宋体" w:hAnsi="宋体" w:cs="宋体"/>
          <w:color w:val="auto"/>
          <w:sz w:val="24"/>
          <w:highlight w:val="none"/>
          <w:u w:val="single"/>
          <w:lang w:val="en-US" w:eastAsia="zh-CN"/>
        </w:rPr>
        <w:t>0</w:t>
      </w:r>
      <w:r>
        <w:rPr>
          <w:rFonts w:hint="eastAsia" w:ascii="宋体" w:hAnsi="宋体" w:cs="宋体"/>
          <w:color w:val="auto"/>
          <w:sz w:val="24"/>
          <w:highlight w:val="none"/>
          <w:u w:val="single"/>
          <w:lang w:eastAsia="zh-CN"/>
        </w:rPr>
        <w:t>6</w:t>
      </w:r>
      <w:r>
        <w:rPr>
          <w:rFonts w:hint="eastAsia" w:ascii="宋体" w:hAnsi="宋体" w:cs="宋体"/>
          <w:color w:val="auto"/>
          <w:sz w:val="24"/>
          <w:highlight w:val="none"/>
          <w:u w:val="none"/>
          <w:lang w:eastAsia="zh-CN"/>
        </w:rPr>
        <w:t>月</w:t>
      </w:r>
      <w:r>
        <w:rPr>
          <w:rFonts w:hint="eastAsia" w:ascii="宋体" w:hAnsi="宋体" w:cs="宋体"/>
          <w:color w:val="auto"/>
          <w:sz w:val="24"/>
          <w:highlight w:val="none"/>
          <w:u w:val="single"/>
          <w:lang w:val="en-US" w:eastAsia="zh-CN"/>
        </w:rPr>
        <w:t>17</w:t>
      </w:r>
      <w:r>
        <w:rPr>
          <w:rFonts w:hint="eastAsia" w:ascii="宋体" w:hAnsi="宋体" w:cs="宋体"/>
          <w:color w:val="auto"/>
          <w:sz w:val="24"/>
          <w:highlight w:val="none"/>
        </w:rPr>
        <w:t>日</w:t>
      </w:r>
    </w:p>
    <w:p>
      <w:pPr>
        <w:pStyle w:val="2"/>
        <w:rPr>
          <w:rFonts w:hint="eastAsia" w:ascii="宋体" w:hAnsi="宋体" w:cs="宋体"/>
          <w:color w:val="auto"/>
          <w:sz w:val="24"/>
          <w:highlight w:val="none"/>
        </w:rPr>
      </w:pPr>
    </w:p>
    <w:p>
      <w:pPr>
        <w:pStyle w:val="3"/>
        <w:spacing w:line="240" w:lineRule="auto"/>
        <w:ind w:firstLine="2650" w:firstLineChars="600"/>
        <w:rPr>
          <w:rFonts w:hint="eastAsia" w:ascii="宋体" w:hAnsi="宋体" w:cs="宋体"/>
          <w:color w:val="auto"/>
          <w:szCs w:val="30"/>
          <w:highlight w:val="none"/>
        </w:rPr>
      </w:pPr>
      <w:bookmarkStart w:id="77" w:name="_GoBack"/>
      <w:bookmarkEnd w:id="77"/>
      <w:r>
        <w:rPr>
          <w:rFonts w:hint="eastAsia" w:ascii="宋体" w:hAnsi="宋体" w:cs="宋体"/>
          <w:color w:val="auto"/>
          <w:highlight w:val="none"/>
        </w:rPr>
        <w:t>采购需求</w:t>
      </w:r>
    </w:p>
    <w:p>
      <w:pPr>
        <w:pStyle w:val="2"/>
        <w:rPr>
          <w:rFonts w:hint="eastAsia" w:ascii="宋体" w:hAnsi="宋体" w:cs="宋体"/>
          <w:color w:val="auto"/>
          <w:sz w:val="24"/>
          <w:highlight w:val="none"/>
        </w:rPr>
      </w:pPr>
    </w:p>
    <w:p>
      <w:pPr>
        <w:pStyle w:val="4"/>
        <w:spacing w:line="240" w:lineRule="auto"/>
        <w:ind w:firstLine="562" w:firstLineChars="200"/>
        <w:outlineLvl w:val="2"/>
        <w:rPr>
          <w:rFonts w:hAnsi="宋体" w:cs="宋体"/>
          <w:b/>
          <w:color w:val="auto"/>
          <w:sz w:val="28"/>
          <w:szCs w:val="28"/>
          <w:highlight w:val="none"/>
        </w:rPr>
      </w:pPr>
      <w:r>
        <w:rPr>
          <w:rFonts w:hint="eastAsia" w:hAnsi="宋体" w:cs="宋体"/>
          <w:b/>
          <w:color w:val="auto"/>
          <w:sz w:val="28"/>
          <w:szCs w:val="28"/>
          <w:highlight w:val="none"/>
        </w:rPr>
        <w:t>1、项目背景</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近年来，电信网络诈骗犯罪屡打不尽，犯罪数量依旧处于高位，严重影响公众的财产安全和互联网生态环境，甚至破坏社会秩序的和谐与稳定，危害性极大。有数据显示，仅2018年全国公安机关电信诈骗案件立案69万起，共造成经济损失222亿元。由于当前电信网络诈骗犯罪技术手法翻新极快，利用移动互联、人工智能、快捷支付等网络新技术实施犯罪的现象日益突出，打击电信网络诈骗犯罪的任务仍然十分艰巨。</w:t>
      </w:r>
    </w:p>
    <w:p>
      <w:pPr>
        <w:pStyle w:val="7"/>
        <w:spacing w:line="240" w:lineRule="auto"/>
        <w:ind w:left="0" w:firstLine="480" w:firstLineChars="200"/>
        <w:rPr>
          <w:rFonts w:hint="eastAsia" w:cs="宋体"/>
          <w:color w:val="auto"/>
          <w:sz w:val="24"/>
          <w:highlight w:val="none"/>
        </w:rPr>
      </w:pPr>
      <w:r>
        <w:rPr>
          <w:rFonts w:hint="eastAsia" w:cs="宋体"/>
          <w:color w:val="auto"/>
          <w:sz w:val="24"/>
          <w:highlight w:val="none"/>
        </w:rPr>
        <w:t>随着信息技术快速发展，各类APP已成为满足人民群众获取信息、投资理财、贷款转账等各类需求的重要渠道，在给日常生产生活带来便利的同时，也被一些不法分子用于违法犯罪活动。公安机关在工作中发现，一些电信网络诈骗犯罪团伙为提高诈骗成功率，打着正规平台的旗号诱导受害人下载虚假APP，并诱骗受害人在该APP上进行投资理财、申请贷款等，进而骗取受害人钱款。今年以来，通过虚假APP实施的电信网络诈骗案件高发多发，严重危害人民群众财产安全和社会经济秩序。</w:t>
      </w:r>
    </w:p>
    <w:p>
      <w:pPr>
        <w:pStyle w:val="8"/>
        <w:spacing w:line="240" w:lineRule="auto"/>
        <w:ind w:firstLine="480" w:firstLineChars="200"/>
        <w:rPr>
          <w:rFonts w:hint="eastAsia" w:cs="宋体"/>
          <w:color w:val="auto"/>
          <w:kern w:val="2"/>
          <w:sz w:val="24"/>
          <w:szCs w:val="24"/>
          <w:highlight w:val="none"/>
        </w:rPr>
      </w:pPr>
      <w:r>
        <w:rPr>
          <w:rFonts w:hint="eastAsia" w:cs="宋体"/>
          <w:color w:val="auto"/>
          <w:kern w:val="2"/>
          <w:sz w:val="24"/>
          <w:szCs w:val="24"/>
          <w:highlight w:val="none"/>
        </w:rPr>
        <w:t>在电诈防范能力建设方面，2020年至今,随着新型电诈犯罪变化加快，刑事侦查协同办公业务面临着严峻的挑战，仅靠单一警种、单一手段已不能满足公安系统对各类新型网络犯罪风险洞察、快速反应、快速处置、精准宣传的要求，为解决这一矛盾，急需整合公安侧和互联网侧相关资源，形成“互联网+”的反诈服务能力。</w:t>
      </w:r>
    </w:p>
    <w:p>
      <w:pPr>
        <w:pStyle w:val="8"/>
        <w:spacing w:line="240" w:lineRule="auto"/>
        <w:ind w:firstLine="480" w:firstLineChars="200"/>
        <w:rPr>
          <w:rFonts w:hint="eastAsia" w:cs="宋体"/>
          <w:color w:val="auto"/>
          <w:kern w:val="2"/>
          <w:sz w:val="24"/>
          <w:szCs w:val="24"/>
          <w:highlight w:val="none"/>
        </w:rPr>
      </w:pPr>
      <w:r>
        <w:rPr>
          <w:rFonts w:hint="eastAsia" w:cs="宋体"/>
          <w:color w:val="auto"/>
          <w:kern w:val="2"/>
          <w:sz w:val="24"/>
          <w:szCs w:val="24"/>
          <w:highlight w:val="none"/>
        </w:rPr>
        <w:t>为确保公安部“案件和群众损失明显下降，破案和抓捕明显上升”的“两降两升”工作要求落实，按照省厅党委和市级联席会议对综合治理网络信息违法犯罪部署要求，做好预警信息快速精准劝阻拦截，做好防诈反诈的宣传工作，最大程度降低人民群众财产损失，降低我市电信网络诈骗案件的发案数、案件损失，急需利用反电诈服务资源减少群众被骗几率，提升人民的安全感和幸福感。</w:t>
      </w:r>
    </w:p>
    <w:p>
      <w:pPr>
        <w:pStyle w:val="4"/>
        <w:spacing w:line="240" w:lineRule="auto"/>
        <w:ind w:firstLine="562" w:firstLineChars="200"/>
        <w:outlineLvl w:val="2"/>
        <w:rPr>
          <w:rFonts w:hint="eastAsia" w:hAnsi="宋体" w:cs="宋体"/>
          <w:b/>
          <w:color w:val="auto"/>
          <w:sz w:val="28"/>
          <w:szCs w:val="28"/>
          <w:highlight w:val="none"/>
        </w:rPr>
      </w:pPr>
      <w:r>
        <w:rPr>
          <w:rFonts w:hint="eastAsia" w:hAnsi="宋体" w:cs="宋体"/>
          <w:b/>
          <w:color w:val="auto"/>
          <w:sz w:val="28"/>
          <w:szCs w:val="28"/>
          <w:highlight w:val="none"/>
        </w:rPr>
        <w:t>2、建设目标</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以提升人民群众的获得感、安全感和幸福感为目标，通过大数据反诈预警和宣传服务的持续推广，以推送预警的覆盖面和准确率不断提高为整体思路，以破案打击、战果落地为导向，充分运用大数据技术和公安信息化建设成果，采取数据导防、数据导侦的模式，努力实现高效预警预防、拦截劝阻，为反诈业务部门提供数据支撑，同时采用多种宣传手段提供反诈素材，向广大人民群众宣传反诈知识，提升易受骗人群防诈意识，从源头上减少诈骗案件的发生。</w:t>
      </w:r>
    </w:p>
    <w:p>
      <w:pPr>
        <w:pStyle w:val="4"/>
        <w:spacing w:line="240" w:lineRule="auto"/>
        <w:ind w:firstLine="562" w:firstLineChars="200"/>
        <w:outlineLvl w:val="2"/>
        <w:rPr>
          <w:rFonts w:hint="eastAsia" w:hAnsi="宋体" w:cs="宋体"/>
          <w:b/>
          <w:color w:val="auto"/>
          <w:sz w:val="28"/>
          <w:szCs w:val="28"/>
          <w:highlight w:val="none"/>
        </w:rPr>
      </w:pPr>
      <w:r>
        <w:rPr>
          <w:rFonts w:hint="eastAsia" w:hAnsi="宋体" w:cs="宋体"/>
          <w:b/>
          <w:color w:val="auto"/>
          <w:sz w:val="28"/>
          <w:szCs w:val="28"/>
          <w:highlight w:val="none"/>
        </w:rPr>
        <w:t>3、招标范围及系统功能性能要求</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3405"/>
        <w:gridCol w:w="720"/>
        <w:gridCol w:w="855"/>
        <w:gridCol w:w="4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noWrap w:val="0"/>
            <w:vAlign w:val="center"/>
          </w:tcPr>
          <w:p>
            <w:pPr>
              <w:spacing w:line="240" w:lineRule="auto"/>
              <w:jc w:val="center"/>
              <w:rPr>
                <w:rFonts w:hint="eastAsia" w:ascii="宋体" w:hAnsi="宋体" w:cs="宋体"/>
                <w:color w:val="auto"/>
                <w:sz w:val="24"/>
                <w:highlight w:val="none"/>
              </w:rPr>
            </w:pPr>
            <w:r>
              <w:rPr>
                <w:rFonts w:hint="eastAsia"/>
                <w:b/>
                <w:color w:val="auto"/>
                <w:highlight w:val="none"/>
              </w:rPr>
              <w:t>序号</w:t>
            </w:r>
          </w:p>
        </w:tc>
        <w:tc>
          <w:tcPr>
            <w:tcW w:w="3405" w:type="dxa"/>
            <w:noWrap w:val="0"/>
            <w:vAlign w:val="center"/>
          </w:tcPr>
          <w:p>
            <w:pPr>
              <w:spacing w:line="240" w:lineRule="auto"/>
              <w:jc w:val="center"/>
              <w:rPr>
                <w:rFonts w:hint="eastAsia" w:ascii="宋体" w:hAnsi="宋体" w:cs="宋体"/>
                <w:color w:val="auto"/>
                <w:sz w:val="24"/>
                <w:highlight w:val="none"/>
              </w:rPr>
            </w:pPr>
            <w:r>
              <w:rPr>
                <w:rFonts w:hint="eastAsia"/>
                <w:b/>
                <w:color w:val="auto"/>
                <w:highlight w:val="none"/>
              </w:rPr>
              <w:t>服务名称</w:t>
            </w:r>
          </w:p>
        </w:tc>
        <w:tc>
          <w:tcPr>
            <w:tcW w:w="720" w:type="dxa"/>
            <w:noWrap w:val="0"/>
            <w:vAlign w:val="center"/>
          </w:tcPr>
          <w:p>
            <w:pPr>
              <w:spacing w:line="240" w:lineRule="auto"/>
              <w:jc w:val="center"/>
              <w:rPr>
                <w:rFonts w:hint="eastAsia" w:ascii="宋体" w:hAnsi="宋体" w:cs="宋体"/>
                <w:color w:val="auto"/>
                <w:sz w:val="24"/>
                <w:highlight w:val="none"/>
              </w:rPr>
            </w:pPr>
            <w:r>
              <w:rPr>
                <w:rFonts w:hint="eastAsia" w:ascii="宋体" w:hAnsi="宋体" w:cs="宋体"/>
                <w:b/>
                <w:color w:val="auto"/>
                <w:highlight w:val="none"/>
              </w:rPr>
              <w:t>数量</w:t>
            </w:r>
          </w:p>
        </w:tc>
        <w:tc>
          <w:tcPr>
            <w:tcW w:w="855" w:type="dxa"/>
            <w:noWrap w:val="0"/>
            <w:vAlign w:val="center"/>
          </w:tcPr>
          <w:p>
            <w:pPr>
              <w:spacing w:line="240" w:lineRule="auto"/>
              <w:jc w:val="center"/>
              <w:rPr>
                <w:rFonts w:hint="eastAsia" w:ascii="宋体" w:hAnsi="宋体" w:cs="宋体"/>
                <w:color w:val="auto"/>
                <w:sz w:val="24"/>
                <w:highlight w:val="none"/>
              </w:rPr>
            </w:pPr>
            <w:r>
              <w:rPr>
                <w:rFonts w:hint="eastAsia" w:ascii="宋体" w:hAnsi="宋体" w:cs="宋体"/>
                <w:b/>
                <w:color w:val="auto"/>
                <w:highlight w:val="none"/>
              </w:rPr>
              <w:t>单位</w:t>
            </w:r>
          </w:p>
        </w:tc>
        <w:tc>
          <w:tcPr>
            <w:tcW w:w="4229" w:type="dxa"/>
            <w:noWrap w:val="0"/>
            <w:vAlign w:val="center"/>
          </w:tcPr>
          <w:p>
            <w:pPr>
              <w:spacing w:line="240" w:lineRule="auto"/>
              <w:jc w:val="center"/>
              <w:rPr>
                <w:rFonts w:hint="eastAsia" w:ascii="宋体" w:hAnsi="宋体" w:cs="宋体"/>
                <w:color w:val="auto"/>
                <w:sz w:val="24"/>
                <w:highlight w:val="none"/>
              </w:rPr>
            </w:pPr>
            <w:r>
              <w:rPr>
                <w:rFonts w:hint="eastAsia" w:ascii="宋体" w:hAnsi="宋体" w:cs="宋体"/>
                <w:b/>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645" w:type="dxa"/>
            <w:noWrap w:val="0"/>
            <w:vAlign w:val="center"/>
          </w:tcPr>
          <w:p>
            <w:pPr>
              <w:spacing w:line="24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3405" w:type="dxa"/>
            <w:noWrap w:val="0"/>
            <w:vAlign w:val="center"/>
          </w:tcPr>
          <w:p>
            <w:pPr>
              <w:spacing w:line="240" w:lineRule="auto"/>
              <w:jc w:val="center"/>
              <w:rPr>
                <w:rFonts w:hint="eastAsia" w:ascii="宋体" w:hAnsi="宋体" w:cs="宋体"/>
                <w:color w:val="auto"/>
                <w:sz w:val="24"/>
                <w:highlight w:val="none"/>
              </w:rPr>
            </w:pPr>
            <w:r>
              <w:rPr>
                <w:rFonts w:hint="eastAsia" w:ascii="宋体" w:hAnsi="宋体" w:cs="宋体"/>
                <w:color w:val="auto"/>
                <w:sz w:val="24"/>
                <w:highlight w:val="none"/>
              </w:rPr>
              <w:t>反网络诈骗犯罪项目系统服务</w:t>
            </w:r>
          </w:p>
        </w:tc>
        <w:tc>
          <w:tcPr>
            <w:tcW w:w="720" w:type="dxa"/>
            <w:noWrap w:val="0"/>
            <w:vAlign w:val="center"/>
          </w:tcPr>
          <w:p>
            <w:pPr>
              <w:spacing w:line="24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3</w:t>
            </w:r>
          </w:p>
        </w:tc>
        <w:tc>
          <w:tcPr>
            <w:tcW w:w="855" w:type="dxa"/>
            <w:noWrap w:val="0"/>
            <w:vAlign w:val="center"/>
          </w:tcPr>
          <w:p>
            <w:pPr>
              <w:spacing w:line="24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年</w:t>
            </w:r>
          </w:p>
        </w:tc>
        <w:tc>
          <w:tcPr>
            <w:tcW w:w="4229" w:type="dxa"/>
            <w:noWrap w:val="0"/>
            <w:vAlign w:val="center"/>
          </w:tcPr>
          <w:p>
            <w:pPr>
              <w:spacing w:line="240" w:lineRule="auto"/>
              <w:jc w:val="left"/>
              <w:rPr>
                <w:rFonts w:hint="eastAsia" w:ascii="宋体" w:hAnsi="宋体" w:cs="宋体"/>
                <w:color w:val="auto"/>
                <w:sz w:val="24"/>
                <w:highlight w:val="none"/>
              </w:rPr>
            </w:pPr>
            <w:r>
              <w:rPr>
                <w:rFonts w:ascii="宋体" w:hAnsi="宋体" w:cs="宋体"/>
                <w:color w:val="auto"/>
                <w:highlight w:val="none"/>
              </w:rPr>
              <w:t>包含大数据反诈平台、</w:t>
            </w:r>
            <w:r>
              <w:rPr>
                <w:rFonts w:ascii="宋体" w:hAnsi="宋体" w:cs="宋体"/>
                <w:color w:val="auto"/>
                <w:szCs w:val="21"/>
                <w:highlight w:val="none"/>
              </w:rPr>
              <w:t>警民联防平台，</w:t>
            </w:r>
            <w:r>
              <w:rPr>
                <w:rFonts w:ascii="宋体" w:hAnsi="宋体" w:cs="宋体"/>
                <w:color w:val="auto"/>
                <w:highlight w:val="none"/>
              </w:rPr>
              <w:t>以上招标内容的具体需求，详见</w:t>
            </w:r>
            <w:r>
              <w:rPr>
                <w:rFonts w:hint="eastAsia" w:ascii="宋体" w:hAnsi="宋体" w:cs="宋体"/>
                <w:color w:val="auto"/>
                <w:highlight w:val="none"/>
              </w:rPr>
              <w:t>本</w:t>
            </w:r>
            <w:r>
              <w:rPr>
                <w:rFonts w:ascii="宋体" w:hAnsi="宋体" w:cs="宋体"/>
                <w:color w:val="auto"/>
                <w:highlight w:val="none"/>
              </w:rPr>
              <w:t>章相关内容。</w:t>
            </w:r>
          </w:p>
        </w:tc>
      </w:tr>
    </w:tbl>
    <w:p>
      <w:pPr>
        <w:pStyle w:val="8"/>
        <w:spacing w:line="240" w:lineRule="auto"/>
        <w:ind w:firstLine="480" w:firstLineChars="200"/>
        <w:rPr>
          <w:rFonts w:hint="eastAsia" w:cs="宋体"/>
          <w:color w:val="auto"/>
          <w:kern w:val="2"/>
          <w:sz w:val="24"/>
          <w:szCs w:val="24"/>
          <w:highlight w:val="none"/>
        </w:rPr>
      </w:pPr>
      <w:r>
        <w:rPr>
          <w:rFonts w:hint="eastAsia" w:cs="宋体"/>
          <w:color w:val="auto"/>
          <w:kern w:val="2"/>
          <w:sz w:val="24"/>
          <w:szCs w:val="24"/>
          <w:highlight w:val="none"/>
        </w:rPr>
        <w:t>整个方案包括两大部分：1、大数据反诈服务平台，主要响应反诈中心针对预警劝阻、反制拦截等方面的任务需求。2、</w:t>
      </w:r>
      <w:r>
        <w:rPr>
          <w:rFonts w:hint="eastAsia" w:cs="宋体"/>
          <w:color w:val="auto"/>
          <w:kern w:val="2"/>
          <w:sz w:val="24"/>
          <w:szCs w:val="24"/>
          <w:highlight w:val="none"/>
          <w:lang w:eastAsia="zh-CN"/>
        </w:rPr>
        <w:t>警民联防平台</w:t>
      </w:r>
      <w:r>
        <w:rPr>
          <w:rFonts w:hint="eastAsia" w:cs="宋体"/>
          <w:color w:val="auto"/>
          <w:kern w:val="2"/>
          <w:sz w:val="24"/>
          <w:szCs w:val="24"/>
          <w:highlight w:val="none"/>
        </w:rPr>
        <w:t>，主要响应反诈中心针对反诈宣传、精准预警、统计考核方面的任务需求。</w:t>
      </w:r>
    </w:p>
    <w:p>
      <w:pPr>
        <w:pStyle w:val="4"/>
        <w:spacing w:line="240" w:lineRule="auto"/>
        <w:ind w:firstLine="562" w:firstLineChars="200"/>
        <w:outlineLvl w:val="3"/>
        <w:rPr>
          <w:rFonts w:hint="eastAsia" w:hAnsi="宋体" w:cs="宋体"/>
          <w:b/>
          <w:color w:val="auto"/>
          <w:sz w:val="28"/>
          <w:szCs w:val="28"/>
          <w:highlight w:val="none"/>
        </w:rPr>
      </w:pPr>
      <w:bookmarkStart w:id="38" w:name="_Toc63452210"/>
      <w:bookmarkStart w:id="39" w:name="_Toc59895328"/>
      <w:bookmarkStart w:id="40" w:name="_Toc33720598"/>
      <w:bookmarkStart w:id="41" w:name="_Toc59893349"/>
      <w:bookmarkStart w:id="42" w:name="_Toc53763310"/>
      <w:bookmarkStart w:id="43" w:name="_Toc59893273"/>
      <w:bookmarkStart w:id="44" w:name="_Toc33462164"/>
      <w:r>
        <w:rPr>
          <w:rFonts w:hint="eastAsia" w:hAnsi="宋体" w:cs="宋体"/>
          <w:b/>
          <w:color w:val="auto"/>
          <w:sz w:val="28"/>
          <w:szCs w:val="28"/>
          <w:highlight w:val="none"/>
        </w:rPr>
        <w:t>3.1平台架构</w:t>
      </w:r>
      <w:bookmarkEnd w:id="38"/>
      <w:bookmarkEnd w:id="39"/>
      <w:bookmarkEnd w:id="40"/>
      <w:bookmarkEnd w:id="41"/>
      <w:bookmarkEnd w:id="42"/>
      <w:bookmarkEnd w:id="43"/>
      <w:bookmarkEnd w:id="44"/>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大数据反诈平台系统稳定性强大，数据推送策略优秀，与</w:t>
      </w:r>
      <w:r>
        <w:rPr>
          <w:rFonts w:hint="eastAsia" w:ascii="宋体" w:hAnsi="宋体" w:cs="宋体"/>
          <w:color w:val="auto"/>
          <w:sz w:val="24"/>
          <w:highlight w:val="none"/>
          <w:lang w:eastAsia="zh-CN"/>
        </w:rPr>
        <w:t>警民联防平台</w:t>
      </w:r>
      <w:r>
        <w:rPr>
          <w:rFonts w:hint="eastAsia" w:ascii="宋体" w:hAnsi="宋体" w:cs="宋体"/>
          <w:color w:val="auto"/>
          <w:sz w:val="24"/>
          <w:highlight w:val="none"/>
        </w:rPr>
        <w:t>数据互通，避免预警重复处置，支持预警任务的跨区域流转，市局任务的自动分配，提供多维度的统计报表，数据可视化体验更好。</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全新数据接口针对</w:t>
      </w:r>
      <w:r>
        <w:rPr>
          <w:rFonts w:hint="eastAsia" w:ascii="宋体" w:hAnsi="宋体" w:cs="宋体"/>
          <w:color w:val="auto"/>
          <w:sz w:val="24"/>
          <w:highlight w:val="none"/>
          <w:lang w:eastAsia="zh-CN"/>
        </w:rPr>
        <w:t>警民联防平台</w:t>
      </w:r>
      <w:r>
        <w:rPr>
          <w:rFonts w:hint="eastAsia" w:ascii="宋体" w:hAnsi="宋体" w:cs="宋体"/>
          <w:color w:val="auto"/>
          <w:sz w:val="24"/>
          <w:highlight w:val="none"/>
        </w:rPr>
        <w:t>的劝阻状态进行双向同步，避免劝阻警力浪费，宣传预警凭条劝阻过的记录，系统会标识已处理，具体是否再继续处理由反诈中心自行决定，也可以根据任务状态调整话术，避免警民之间不必要的矛盾。</w:t>
      </w:r>
    </w:p>
    <w:p>
      <w:pPr>
        <w:pStyle w:val="4"/>
        <w:spacing w:line="240" w:lineRule="auto"/>
        <w:ind w:firstLine="562" w:firstLineChars="200"/>
        <w:outlineLvl w:val="3"/>
        <w:rPr>
          <w:rFonts w:hint="eastAsia" w:hAnsi="宋体" w:cs="宋体"/>
          <w:b/>
          <w:color w:val="auto"/>
          <w:sz w:val="28"/>
          <w:szCs w:val="28"/>
          <w:highlight w:val="none"/>
        </w:rPr>
      </w:pPr>
      <w:bookmarkStart w:id="45" w:name="_Toc63452211"/>
      <w:r>
        <w:rPr>
          <w:rFonts w:hint="eastAsia" w:hAnsi="宋体" w:cs="宋体"/>
          <w:b/>
          <w:color w:val="auto"/>
          <w:sz w:val="28"/>
          <w:szCs w:val="28"/>
          <w:highlight w:val="none"/>
        </w:rPr>
        <w:t>3.2基础预警数据推送</w:t>
      </w:r>
      <w:bookmarkEnd w:id="45"/>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整个反诈服务方案围绕“诈骗数据”为核心，通过运用大数据资源结合技术手段深度挖掘QQ、微信、电话、短信、网站、APP等诈骗通联工具項,在互联网侧获取其后台海量诈骗预警数据,以其中涉及的准受害人数据为黑库基础。</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在大数据反诈平台以号码归属、公安大数据、运营商等多种白名单建立方式为比对数据源，精准命中归属于对应辖区的易受骗人群，推送被骗实例的的诈骗手段和诈骗类型，便于反诈中心进行及时有效劝阻。</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在</w:t>
      </w:r>
      <w:r>
        <w:rPr>
          <w:rFonts w:hint="eastAsia" w:ascii="宋体" w:hAnsi="宋体" w:cs="宋体"/>
          <w:color w:val="auto"/>
          <w:sz w:val="24"/>
          <w:highlight w:val="none"/>
          <w:lang w:eastAsia="zh-CN"/>
        </w:rPr>
        <w:t>警民联防平台</w:t>
      </w:r>
      <w:r>
        <w:rPr>
          <w:rFonts w:hint="eastAsia" w:ascii="宋体" w:hAnsi="宋体" w:cs="宋体"/>
          <w:color w:val="auto"/>
          <w:sz w:val="24"/>
          <w:highlight w:val="none"/>
        </w:rPr>
        <w:t>以“服务号”为依托，结合注册简易的小程序建立群众保护"白名单”，对群众进行诈骗人物画像。对易受骗人群进行精准预警,精准宣传,降低被骗风险。</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通过互联网+公安数据融合应用,实现对刷单、贷款、公检法、杀猪盘仿冒他人、网购订单等各类新型诈骗的预警、反制、宣传。</w:t>
      </w:r>
    </w:p>
    <w:p>
      <w:pPr>
        <w:spacing w:line="240" w:lineRule="auto"/>
        <w:jc w:val="center"/>
        <w:rPr>
          <w:rFonts w:hint="eastAsia" w:ascii="宋体" w:hAnsi="宋体" w:cs="宋体"/>
          <w:color w:val="auto"/>
          <w:highlight w:val="none"/>
        </w:rPr>
      </w:pPr>
    </w:p>
    <w:p>
      <w:pPr>
        <w:spacing w:line="240" w:lineRule="auto"/>
        <w:ind w:firstLine="562" w:firstLineChars="200"/>
        <w:outlineLvl w:val="3"/>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3.3系统功能技术参数性能要求</w:t>
      </w:r>
    </w:p>
    <w:p>
      <w:pPr>
        <w:spacing w:line="240" w:lineRule="auto"/>
        <w:ind w:firstLine="562" w:firstLineChars="200"/>
        <w:jc w:val="left"/>
        <w:outlineLvl w:val="4"/>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lang w:val="en-US" w:eastAsia="zh-CN"/>
        </w:rPr>
        <w:t>3.3.1</w:t>
      </w:r>
      <w:r>
        <w:rPr>
          <w:rFonts w:hint="eastAsia" w:ascii="宋体" w:hAnsi="宋体" w:eastAsia="宋体" w:cs="宋体"/>
          <w:b/>
          <w:color w:val="auto"/>
          <w:kern w:val="0"/>
          <w:sz w:val="28"/>
          <w:szCs w:val="28"/>
          <w:highlight w:val="none"/>
        </w:rPr>
        <w:t>大数据反诈平台服务功能要求</w:t>
      </w:r>
    </w:p>
    <w:tbl>
      <w:tblPr>
        <w:tblStyle w:val="5"/>
        <w:tblW w:w="0" w:type="auto"/>
        <w:tblInd w:w="113" w:type="dxa"/>
        <w:tblLayout w:type="fixed"/>
        <w:tblCellMar>
          <w:top w:w="0" w:type="dxa"/>
          <w:left w:w="108" w:type="dxa"/>
          <w:bottom w:w="0" w:type="dxa"/>
          <w:right w:w="108" w:type="dxa"/>
        </w:tblCellMar>
      </w:tblPr>
      <w:tblGrid>
        <w:gridCol w:w="700"/>
        <w:gridCol w:w="1280"/>
        <w:gridCol w:w="1276"/>
        <w:gridCol w:w="1984"/>
        <w:gridCol w:w="4380"/>
      </w:tblGrid>
      <w:tr>
        <w:tblPrEx>
          <w:tblCellMar>
            <w:top w:w="0" w:type="dxa"/>
            <w:left w:w="108" w:type="dxa"/>
            <w:bottom w:w="0" w:type="dxa"/>
            <w:right w:w="108" w:type="dxa"/>
          </w:tblCellMar>
        </w:tblPrEx>
        <w:trPr>
          <w:trHeight w:val="330" w:hRule="atLeast"/>
        </w:trPr>
        <w:tc>
          <w:tcPr>
            <w:tcW w:w="700" w:type="dxa"/>
            <w:tcBorders>
              <w:top w:val="single" w:color="auto" w:sz="4" w:space="0"/>
              <w:left w:val="single" w:color="auto" w:sz="4" w:space="0"/>
              <w:bottom w:val="single" w:color="auto" w:sz="4" w:space="0"/>
              <w:right w:val="single" w:color="auto" w:sz="4" w:space="0"/>
            </w:tcBorders>
            <w:shd w:val="clear" w:color="000000" w:fill="DDEBF7"/>
            <w:noWrap/>
            <w:vAlign w:val="center"/>
          </w:tcPr>
          <w:p>
            <w:pPr>
              <w:widowControl/>
              <w:spacing w:line="240" w:lineRule="auto"/>
              <w:jc w:val="left"/>
              <w:rPr>
                <w:rFonts w:ascii="宋体" w:hAnsi="宋体" w:cs="宋体"/>
                <w:b/>
                <w:bCs/>
                <w:color w:val="auto"/>
                <w:kern w:val="0"/>
                <w:sz w:val="24"/>
                <w:highlight w:val="none"/>
              </w:rPr>
            </w:pPr>
            <w:r>
              <w:rPr>
                <w:rFonts w:hint="eastAsia" w:ascii="宋体" w:hAnsi="宋体" w:cs="宋体"/>
                <w:b/>
                <w:bCs/>
                <w:color w:val="auto"/>
                <w:kern w:val="0"/>
                <w:sz w:val="24"/>
                <w:highlight w:val="none"/>
              </w:rPr>
              <w:t>序号</w:t>
            </w:r>
          </w:p>
        </w:tc>
        <w:tc>
          <w:tcPr>
            <w:tcW w:w="1280" w:type="dxa"/>
            <w:tcBorders>
              <w:top w:val="single" w:color="auto" w:sz="4" w:space="0"/>
              <w:left w:val="nil"/>
              <w:bottom w:val="single" w:color="auto" w:sz="4" w:space="0"/>
              <w:right w:val="single" w:color="auto" w:sz="4" w:space="0"/>
            </w:tcBorders>
            <w:shd w:val="clear" w:color="000000" w:fill="DDEBF7"/>
            <w:noWrap w:val="0"/>
            <w:vAlign w:val="center"/>
          </w:tcPr>
          <w:p>
            <w:pPr>
              <w:widowControl/>
              <w:spacing w:line="240" w:lineRule="auto"/>
              <w:jc w:val="lef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服务模块</w:t>
            </w:r>
          </w:p>
        </w:tc>
        <w:tc>
          <w:tcPr>
            <w:tcW w:w="1276" w:type="dxa"/>
            <w:tcBorders>
              <w:top w:val="single" w:color="auto" w:sz="4" w:space="0"/>
              <w:left w:val="nil"/>
              <w:bottom w:val="single" w:color="auto" w:sz="4" w:space="0"/>
              <w:right w:val="single" w:color="auto" w:sz="4" w:space="0"/>
            </w:tcBorders>
            <w:shd w:val="clear" w:color="000000" w:fill="DDEBF7"/>
            <w:noWrap w:val="0"/>
            <w:vAlign w:val="center"/>
          </w:tcPr>
          <w:p>
            <w:pPr>
              <w:widowControl/>
              <w:spacing w:line="240" w:lineRule="auto"/>
              <w:jc w:val="lef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服务项目</w:t>
            </w:r>
          </w:p>
        </w:tc>
        <w:tc>
          <w:tcPr>
            <w:tcW w:w="1984" w:type="dxa"/>
            <w:tcBorders>
              <w:top w:val="single" w:color="auto" w:sz="4" w:space="0"/>
              <w:left w:val="nil"/>
              <w:bottom w:val="single" w:color="auto" w:sz="4" w:space="0"/>
              <w:right w:val="single" w:color="auto" w:sz="4" w:space="0"/>
            </w:tcBorders>
            <w:shd w:val="clear" w:color="000000" w:fill="DDEBF7"/>
            <w:noWrap w:val="0"/>
            <w:vAlign w:val="center"/>
          </w:tcPr>
          <w:p>
            <w:pPr>
              <w:widowControl/>
              <w:spacing w:line="240" w:lineRule="auto"/>
              <w:jc w:val="lef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服务要求</w:t>
            </w:r>
          </w:p>
        </w:tc>
        <w:tc>
          <w:tcPr>
            <w:tcW w:w="4380" w:type="dxa"/>
            <w:tcBorders>
              <w:top w:val="single" w:color="auto" w:sz="4" w:space="0"/>
              <w:left w:val="nil"/>
              <w:bottom w:val="single" w:color="auto" w:sz="4" w:space="0"/>
              <w:right w:val="single" w:color="auto" w:sz="4" w:space="0"/>
            </w:tcBorders>
            <w:shd w:val="clear" w:color="000000" w:fill="DDEBF7"/>
            <w:noWrap w:val="0"/>
            <w:vAlign w:val="center"/>
          </w:tcPr>
          <w:p>
            <w:pPr>
              <w:widowControl/>
              <w:spacing w:line="240" w:lineRule="auto"/>
              <w:jc w:val="lef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服务要求描述</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2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云平台访问权限控制</w:t>
            </w:r>
          </w:p>
        </w:tc>
        <w:tc>
          <w:tcPr>
            <w:tcW w:w="1276"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要求账号检测</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支持账号规则检测</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支持检测账号不包含空格、中文、特殊字符</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要求密码检测</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支持密码规则检测</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要求密码不包含空格、中文，必须包含字母、数字、特殊符号中至少两种，密码账号在6-16位，不包含账号信息</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3</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要求登录认证</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支持账号密码和微信双重认证</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▲要求系统支持账号密码+微信扫码双重身份认证</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4</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支持免扫码登录认证</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要求系统能针对特殊账号开启免微信扫码登录</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5</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支持密码爆破行为检测</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▲要求系统能够检测密码爆破行为，对于同一IP，10次以上错误密码登录行为锁定账号30分钟，后台可人为解除限制</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要求记住密码</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支持记住密码</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要求系统支持记住账号密码，自动回填账号密码登录</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要求找回密码</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支持找回密码</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要求系统支持当用户忘记密码时，在登录页面通过用户身份安全校验后，设置新密码以登录系统</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12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页面全局布局要求</w:t>
            </w:r>
          </w:p>
        </w:tc>
        <w:tc>
          <w:tcPr>
            <w:tcW w:w="1276"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具备导航栏</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支持展开和折叠导航栏</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要求导航栏展开带文本显示和折叠仅图表显示模式，导航菜单包含系统五大模块：大屏、预警处置、反制拦截、统计查询、系统管理；点击对应导航按钮进入相应的系统功能界面</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9</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允许全局控制</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允许预警提示音控制</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支持在系统的任何页面均可对预警提示音进行设置</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允许全屏显示控制</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要求在系统的任何页面均可支持全屏显示</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11</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允许系统数据权限切换</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▲支持在系统的任何页面选择要展示的数据范围，根据省市区级联选择控件的值显示相应的系统数据</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具备全局入口</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要求具备常见问题入口</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支持在系统的任何页面均能进入常见问题页面</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13</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要求具备下载管理器入口</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要求系统的文件导出功能汇聚在一个文件下载管理器中，系统所有的导出行为均在此管理器中实现</w:t>
            </w:r>
          </w:p>
        </w:tc>
      </w:tr>
      <w:tr>
        <w:tblPrEx>
          <w:tblCellMar>
            <w:top w:w="0" w:type="dxa"/>
            <w:left w:w="108" w:type="dxa"/>
            <w:bottom w:w="0" w:type="dxa"/>
            <w:right w:w="108" w:type="dxa"/>
          </w:tblCellMar>
        </w:tblPrEx>
        <w:trPr>
          <w:trHeight w:val="645"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14</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要求具备系统通知入口</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当系统有新的公告时，支持在任何系统页面弹窗显示公告，必须人为点击关闭，确保公告触达系统用户</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15</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要求具备个人中心入口</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要求在系统任何页面均可进入个人中心页面，查看和修改用户信息</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16</w:t>
            </w:r>
          </w:p>
        </w:tc>
        <w:tc>
          <w:tcPr>
            <w:tcW w:w="12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反诈大屏</w:t>
            </w:r>
          </w:p>
        </w:tc>
        <w:tc>
          <w:tcPr>
            <w:tcW w:w="1276"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规定缺省页面</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要求默认进入系统“预警处置”页面</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要求点击进入系统页面按钮，默认跳转到预警处置页面</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17</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具备今日预警</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支持具备今日预警数量指标</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要求在大屏以指标卡显示今日预警实时总量</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18</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具备实时预警</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要求具备实时预警列表</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要求在大屏上滚动显示今日最新预警，显示字段包括：预警时间、诈骗类型、归属地、事主号码、预警等级</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19</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具备3D地图</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要求具备3D地图显示预警空间分布</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▲要求系统支持在3D地图上投射今日预警实时空间分布，并以叠加柱状图热力的形式，展示各辖区的预警数量；地图支持拖拽，放大，翻转等操作，鼠标移入时高亮显示</w:t>
            </w:r>
          </w:p>
        </w:tc>
      </w:tr>
      <w:tr>
        <w:tblPrEx>
          <w:tblCellMar>
            <w:top w:w="0" w:type="dxa"/>
            <w:left w:w="108" w:type="dxa"/>
            <w:bottom w:w="0" w:type="dxa"/>
            <w:right w:w="108" w:type="dxa"/>
          </w:tblCellMar>
        </w:tblPrEx>
        <w:trPr>
          <w:trHeight w:val="2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20</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具备关键指标卡</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要求支持系统关键指标呈现</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要求以指标卡的形式展示系统关键数据，包括：累计预警、累计劝阻、累计劝阻金额、累计反制数量、累计拦截数量</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21</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具备预警类型分布</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支持预警类型分布直观呈现</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要求大屏以环形图或饼图的形式展示系统累计预警数据中不同诈骗类型的预警数量分布，并标明数量占比</w:t>
            </w:r>
          </w:p>
        </w:tc>
      </w:tr>
      <w:tr>
        <w:tblPrEx>
          <w:tblCellMar>
            <w:top w:w="0" w:type="dxa"/>
            <w:left w:w="108" w:type="dxa"/>
            <w:bottom w:w="0" w:type="dxa"/>
            <w:right w:w="108" w:type="dxa"/>
          </w:tblCellMar>
        </w:tblPrEx>
        <w:trPr>
          <w:trHeight w:val="132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22</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具备趋势概览</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要求用合适图表呈现系统数据时间纬度的趋势</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支持以复合折线图的图表形式呈现当天或最近30天的数据趋势，数据指标包括：预警总量，回访总量，反制总量，拦截总量。当选择当天时间范围时，以小时为时间粒度；当选择30天时间范围时，以天为时间粒度</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23</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支持数据范围控制</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要求大屏支持切换数据范围</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要求系统大屏支持显示不同辖区的数据概览，如贵港全市或贵港下的任何一个区县</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24</w:t>
            </w:r>
          </w:p>
        </w:tc>
        <w:tc>
          <w:tcPr>
            <w:tcW w:w="12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预警处置</w:t>
            </w: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具备预警提示音</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支持新预警声音提醒</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▲要求系统支持新预警声音提醒开关控制，开启声音提醒时，当系统有新的预警数据时，会及时触发预警提示音，关闭提示音时则有新预警时不触发声音提醒</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25</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支持持续响铃模式</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▲要求系统支持持续响铃和单次响铃模式切换，单次响铃即有新预警时仅触发一次预警提示音，持续响铃即当系统有未处理的新预警时不间断持续响铃，直到无待处理预警时停止响铃</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26</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要求预警分类展示</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支持今日/全部预警切换</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要求系统支持分类呈现今日预警和全部预警，以便回访员关注处理今日预警和查找历史预警</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27</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支持待处理预警/已处理预警切换</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要求系统支持分类呈现今日预警和全部预警，以便回访员关注处理今日预警和查找历史预警</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28</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要求数据指标统计</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要求呈现关键数据指标</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要求系统展示今日预警和全部预警中待处理和已处理的实时统计结果</w:t>
            </w:r>
          </w:p>
        </w:tc>
      </w:tr>
      <w:tr>
        <w:tblPrEx>
          <w:tblCellMar>
            <w:top w:w="0" w:type="dxa"/>
            <w:left w:w="108" w:type="dxa"/>
            <w:bottom w:w="0" w:type="dxa"/>
            <w:right w:w="108" w:type="dxa"/>
          </w:tblCellMar>
        </w:tblPrEx>
        <w:trPr>
          <w:trHeight w:val="20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29</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支持数据刷新控制</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要求支持自动刷新</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▲要求系统能够支持有新预警数据时自动刷新，要求可设置自动刷新时间间隔：间隔1分钟、3分钟、5分钟、10分钟</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30</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要求支持手动刷新</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要求系统支持手动刷新预警列表模式</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31</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要求支持显示新预警任务条数</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要求系统支持在手动刷新模式下，显示有几条待拉取的预警数据</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32</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要求支持带参数刷新</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▲要求列表自动或手动刷新时带筛选条件参数刷新，如仅刷新指定的诈骗手段和指定诈骗类型的预警数据</w:t>
            </w:r>
          </w:p>
        </w:tc>
      </w:tr>
      <w:tr>
        <w:tblPrEx>
          <w:tblCellMar>
            <w:top w:w="0" w:type="dxa"/>
            <w:left w:w="108" w:type="dxa"/>
            <w:bottom w:w="0" w:type="dxa"/>
            <w:right w:w="108" w:type="dxa"/>
          </w:tblCellMar>
        </w:tblPrEx>
        <w:trPr>
          <w:trHeight w:val="132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33</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支持数据列表展示</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支持列表呈现待处理预警</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▲要求系统能够支持以列表方式呈现待处理预警数据，列表表头包括：序号、诈骗类型、预警等级、推送时间、所属区域、受害人姓名、手机号码、身份证号码、诈骗手段、APP名称、通话时长、诈骗发生时间</w:t>
            </w:r>
          </w:p>
        </w:tc>
      </w:tr>
      <w:tr>
        <w:tblPrEx>
          <w:tblCellMar>
            <w:top w:w="0" w:type="dxa"/>
            <w:left w:w="108" w:type="dxa"/>
            <w:bottom w:w="0" w:type="dxa"/>
            <w:right w:w="108" w:type="dxa"/>
          </w:tblCellMar>
        </w:tblPrEx>
        <w:trPr>
          <w:trHeight w:val="132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34</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支持列表呈现已处理预警</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▲要求系统嫩够支持以列表方式呈现已处理预警数据，列表表头包括：序号、诈骗类型、预警等级、推送时间、所属区域、受害人姓名、诈骗手段、APP名称、通话时长、是否有效、处理结果、处理人、处理时间</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35</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支持数据分页显示</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要求列表数据支持分页显示，支持控制每页显示数据条数，支持统计列表数据总量，支持跳转到指定页面</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36</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支持在列表标记已推送至其他平台的预警数据</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要求预警列表支持标记出已同步推送至金钟罩警民联防平台的预警数据</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37</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支持列表数据脱敏显示</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▲要求预警列表脱敏显示事主信息，脱敏字段包括：受害人姓名、事主号码、身份证号码，当点击查看时，明文显示脱敏字段</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38</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支持列表自定义排序</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支持按预警等级排序</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▲要求预警列表按预警等级正序或倒序排列</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39</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支持按推送时间排序</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▲要求预警列表支持按推送时间正序或倒序排列</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40</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支持按通话时长排序</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▲要求预警列表支持按诈骗电话通话时长正序或倒序排列</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41</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支持按诈骗发生时间排序</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要求预警列表支持按诈骗电话诈骗发生时间正序或倒序排列</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42</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支持列表自定义筛选</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支持按预警归属地筛选</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▲允许用户根据预警归属的省市区进行数据筛选</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43</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支持级联筛选</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▲允许用户根据预警归属地的精确程度设置是否包含下级筛选</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44</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支持按推送时间筛选预警</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▲允许用户根据预警推送时间查询，时间控件精确到年月日时分</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45</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支持按诈骗发生时间筛选预警</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▲允许用户根据诈骗发生时间查询，时间控件精确到年月日时分</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46</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支持按标记状态筛选预警</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允许用户按预警标记状态筛选，如已标记、未标记或全部</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47</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支持按诈骗手段筛选预警</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▲允许用户按诈骗手段如：网络电话诈骗、网址诈骗、APP诈骗手段筛选预警数据，支持多选</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48</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支持按诈骗类型筛选预警</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▲允许用户按诈骗类型如：刷单诈骗、贷款诈骗、仿冒公检法诈骗、杀猪盘诈骗、冒充客服诈骗、冒充熟人诈骗、贷款/客服诈骗、通缉令诈骗、银行卡诈骗筛选预警数据，支持多选</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49</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支持按预警等级筛选预警</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允许用户按预警等级如：高、中、低筛选预警，支持多选</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50</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支持按最小最大预警次数筛选预警</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允许用户按最小最大预警次数筛选预警，最小和最大次数区间为3-8次</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51</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支持按推送情况筛选预警</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允许用户按预警推送情况筛选预警数据，可筛选仅推送到金钟罩警民联防平台或仅推送至东风大数据反诈平台的预警数据</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52</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支持列表自定义查找</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支持按通话时长查找</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▲允许用户按通话时长范围查找预警数据</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53</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支持按事主姓名查找</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允许用户按事主姓名模糊查找预警数据</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54</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支持按诈骗APP名称查找</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▲允许用户按诈骗APP名称模糊查找预警数据</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55</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支持按事主身份证号码查找</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允许用户按事主身份证号码模糊查找预警数据</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56</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支持按事主手机号码查找</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允许用户按事主手机号码模糊查找预警数据</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57</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具备数据操作同步控制机制</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支持处理中预警任务锁定</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▲要求系统支持同一时间仅允许一位回访员处置同一个预警任务，列表采用加锁的形式呈现，其他用户不可操作此预警数据，同时告知其他系统用户该任务是哪个地区的哪位回访员正在处理</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58</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支持软加锁机制</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▲要求系统支持在金钟罩警民联防平台被社区民警领取的任务采取软加锁的处理机制，当回访员处置此类预警任务时弹窗提示该任务已被领取</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59</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支持警情碰撞</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支持批量警情碰撞</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▲系统允许用户下载警情碰撞模板，按要求整理数据后倒入系统，与系统已有的预警数据碰撞，找出警情号码与预警号码相关联的预警数据</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60</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支持按时间段执行警情碰撞</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允许用户在执行批量警情碰撞时设置碰撞时间区间</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61</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支持以文件形式返回碰撞结果</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要求系统支持将警情碰撞结果已文件的形式返回给系统用户，并高亮显示匹配到的预警数据，且追加预警详情和处理详情信息</w:t>
            </w:r>
          </w:p>
        </w:tc>
      </w:tr>
      <w:tr>
        <w:tblPrEx>
          <w:tblCellMar>
            <w:top w:w="0" w:type="dxa"/>
            <w:left w:w="108" w:type="dxa"/>
            <w:bottom w:w="0" w:type="dxa"/>
            <w:right w:w="108" w:type="dxa"/>
          </w:tblCellMar>
        </w:tblPrEx>
        <w:trPr>
          <w:trHeight w:val="245"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62</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支持导出</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支持预警数据导出</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要求系统支持导出预警列表中的数据，导出为指定格式的Excel文件，导出字段包括全部的预警详情和处置详情</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63</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支持预警快捷处置</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支持批量处理预警任务</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▲要求系统支持批量处理已选择的预警数据，批量标记为已处理状态，批量备注处理记录和处理方式</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64</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支持发送预警短信</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▲要求系统支持给被预警号码发送电诈短信提醒</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65</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支持查看短信发送记录</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▲允许用户查看某个事主号码发送的短信记录</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66</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要求显示可发送短信数量</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要求直观显示当前系统可用短信数量</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67</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支持短信数量限制</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要求系统具备同一号码单日最多发送预警次数限制，同一号码单日最多发送3条短信</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68</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支持自定义预警短信模板</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▲要求系统支持自定义短信模板</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69</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支持查看预警处置日志</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要求系统具备完整的预警处理日志，包括预警推送时间，流转日志，处理日志</w:t>
            </w:r>
          </w:p>
        </w:tc>
      </w:tr>
      <w:tr>
        <w:tblPrEx>
          <w:tblCellMar>
            <w:top w:w="0" w:type="dxa"/>
            <w:left w:w="108" w:type="dxa"/>
            <w:bottom w:w="0" w:type="dxa"/>
            <w:right w:w="108" w:type="dxa"/>
          </w:tblCellMar>
        </w:tblPrEx>
        <w:trPr>
          <w:trHeight w:val="132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支持填写完整的回访记录</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▲要求系统具备完整的回访记录填写表单，包括：预警是否有效、受害人是否被骗、被骗金额、劝阻金额、实际诈骗类型、诈骗工具（QQ号码，电话号码，微信号码，APP名称，网址）、备注信息，处理方式</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71</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支持填写的诈骗工具自动反制</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▲要求系统支持在回访记录里填写的诈骗工具执行自动反制</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72</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支持预警流转</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▲要求系统支持预警数据的流转，即纠正不属于本辖区的预警数据，流转到事主所在的辖区单位</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73</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支持标记预警任务</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要求系统支持标记需特殊处理的预警任务，如事主不配合回访的，暂未接通电话的，标记后便于查找再次开展回访</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74</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支持标记预警号码为空号</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支持标记无效的空号预警，被标记的空号此后不会再次推送预警</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75</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支持自定义快捷备注</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支持一键快捷添加回访备注，支持自定义备注内容</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76</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支持一键切换下一条待处理任务</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支持一键快捷添加回访备注，支持自定义备注内容</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77</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支持记录预警处置回访时效</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要求系统支持记录预警回访时效，系统设置时效区间分为：10分钟内，10-30分钟，30-60分钟，1-6小时，6-12小时，12-24小时，24小时以上</w:t>
            </w:r>
          </w:p>
        </w:tc>
      </w:tr>
      <w:tr>
        <w:tblPrEx>
          <w:tblCellMar>
            <w:top w:w="0" w:type="dxa"/>
            <w:left w:w="108" w:type="dxa"/>
            <w:bottom w:w="0" w:type="dxa"/>
            <w:right w:w="108" w:type="dxa"/>
          </w:tblCellMar>
        </w:tblPrEx>
        <w:trPr>
          <w:trHeight w:val="2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78</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具备预警超时处理监控机制</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▲要求系统具备预警处置超时机制，避免同一预警任务被某系统用户长时间占有而导致预警时效下级，超时处置的预警能够自动释放，且可被其他系统用户处理</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79</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具备同步机制</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要求系统自动同步金钟罩警民联防平台中的预警处理记录</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▲要求系统能够实时同步经金钟罩警民联防平台民警处理的预警回访记录，以预警处理日志的形式呈现</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80</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具备人工一键同步机制</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▲要求系统支持人工一键同步警民联防平台同步的预警回访记录</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81</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具备机器人自动同步机制</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▲要求系统能够设置自动同步金钟罩警民联防平台的预警回访记录，且更新预警处理状态为已处理</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82</w:t>
            </w:r>
          </w:p>
        </w:tc>
        <w:tc>
          <w:tcPr>
            <w:tcW w:w="12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反制拦截</w:t>
            </w: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具备恶意号码技术反制能力</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要求支持恶意涉诈QQ号反制</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▲要求系统支持反制恶意QQ，对于反制成功的恶意QQ，在一定条件下不可被添加为好友</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83</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要求支持恶意涉诈微信号反制</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▲要求系统支持反制恶意微信号码，对于反制成功的微信号码，在微信中添加该对象为好友时不可被搜索出，且进行风险提示</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84</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要求支持恶意涉诈手机号反制</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▲要求系统支持反制手机号码或电话号码，对于反制成功的手机号码或电话号码，在被腾讯产品生态覆盖的终端设备或国产安卓手机，被此类号码呼叫时进行风险提示</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85</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要求支持恶意涉诈网址反制</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▲要求系统支持反制恶意网址，对于反制成功的网址，在被腾讯产品生态覆盖的终端设备或国产安卓手机上访问此类网址时，进行风险提示或无法访问</w:t>
            </w:r>
          </w:p>
        </w:tc>
      </w:tr>
      <w:tr>
        <w:tblPrEx>
          <w:tblCellMar>
            <w:top w:w="0" w:type="dxa"/>
            <w:left w:w="108" w:type="dxa"/>
            <w:bottom w:w="0" w:type="dxa"/>
            <w:right w:w="108" w:type="dxa"/>
          </w:tblCellMar>
        </w:tblPrEx>
        <w:trPr>
          <w:trHeight w:val="275"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86</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具备单个或批量反制操作模式</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要求支持单个或多个号码混合反制</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允许用户单个或多个混合模式提交不同涉诈类型的不同号码类型的反制</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87</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要求支持按模板批量反制</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▲允许用户按模板批量反制恶意号码或网址，支持下载导入模板，按要求完善表格后导入系统进行反制操作</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88</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要求能查看已反制号码</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要求列表展示已反制号码</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要求系统以列表的形式展示已提交反制的QQ号码、微信号码、手机或电话号码、网址</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89</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支持按反制时间筛选反制号码</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允许用户按提交反制的时间段筛选已提交反制的号码</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90</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支持按诈骗类型筛选反制号码</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允许用户按诈骗类型筛选已提交反制的号码</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91</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支持按反制状态筛选反制号码</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允许用户按反制状态筛选已提交反制的号码，反制状态包括：待审核，审核不通过，已反制，账号不存在等</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92</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支持按提交人所在用户组筛选</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允许用户按提交人所在用户组筛选已提交反制的号码</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93</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支持号码查找反制对象</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允许用户按号码关键词模糊查找已提交反制的号码</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94</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支持导出已提交的反制号码</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允许用户导出列表呈现的以提交反制的号码数据，导出为文件</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95</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支持反制拦截统计</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支持按不同号码类型统计已反制号码的数量</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▲要求系统支持实时统计手机号码、QQ号码、微信号码、网址的反制总量</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96</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支持按不同号码类型统计已反制号码的反制成功率</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要求系统支持实时统计手机号码、QQ号码、微信号码、网址的反制成功率</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97</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支持按号码类型统计拦截总量和昨日拦截量</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要求系统支持实时统计手机号码、QQ号码、网址的拦截总量和昨日拦截量</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98</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支持以图表形式展示反制趋势</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要求系统支持以包括但不限于多折线图的形式展示不同号码类型的反制量随时间纬度的变化趋势</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99</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支持以图表形式展示拦截趋势</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要求系统支持以包括但不限于多折线图的形式展示不同号码类型的拦截量随时间纬度的变化趋势</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100</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支持以表格形式展示反制拦截数量</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要求系统支持以表格的形式展示每日反制和拦截数据</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101</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支持按时间区间查看反制拦截数量</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允许用户按时间区间查看系统反制拦截数据量，以每日为纬度，统计QQ、微信、手机号码、网址的反制数量和QQ，手机号，网址的拦截数量</w:t>
            </w:r>
          </w:p>
        </w:tc>
      </w:tr>
      <w:tr>
        <w:tblPrEx>
          <w:tblCellMar>
            <w:top w:w="0" w:type="dxa"/>
            <w:left w:w="108" w:type="dxa"/>
            <w:bottom w:w="0" w:type="dxa"/>
            <w:right w:w="108" w:type="dxa"/>
          </w:tblCellMar>
        </w:tblPrEx>
        <w:trPr>
          <w:trHeight w:val="305"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102</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支持表格和图表的数据联动</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要求系统支持反制拦截数据量已图表的可视化形式和表格的精确数据呈现形式的联动</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103</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具备拦截成果展示</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支持查看QQ号码的拦截具体数据</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允许用户以列表形式查看QQ号码的具体拦截情况，表头字段包括：QQ号码、诈骗类型、区间拦截次数、拦截总数，最后一次拦截时间</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104</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支持按区间拦截次数排序</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允许用户按拦截次数正序和倒序排列已反制号码，便于查看高危号码</w:t>
            </w:r>
          </w:p>
        </w:tc>
      </w:tr>
      <w:tr>
        <w:tblPrEx>
          <w:tblCellMar>
            <w:top w:w="0" w:type="dxa"/>
            <w:left w:w="108" w:type="dxa"/>
            <w:bottom w:w="0" w:type="dxa"/>
            <w:right w:w="108" w:type="dxa"/>
          </w:tblCellMar>
        </w:tblPrEx>
        <w:trPr>
          <w:trHeight w:val="95"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105</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支持按时间区间查看QQ拦截详情</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允许用户按时间区间查看该时间段内已反制的QQ号码的每日拦截情况</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106</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支持查看某个QQ号码的拦截情况</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允许用户模糊查找并查看某个QQ号码的具体拦截情况</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107</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支持导出每日QQ拦截数据</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允许用户导出QQ拦截列表数据为Excel文件</w:t>
            </w:r>
          </w:p>
        </w:tc>
      </w:tr>
      <w:tr>
        <w:tblPrEx>
          <w:tblCellMar>
            <w:top w:w="0" w:type="dxa"/>
            <w:left w:w="108" w:type="dxa"/>
            <w:bottom w:w="0" w:type="dxa"/>
            <w:right w:w="108" w:type="dxa"/>
          </w:tblCellMar>
        </w:tblPrEx>
        <w:trPr>
          <w:trHeight w:val="605"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108</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支持查看手机或电话号码号码的拦截具体数据</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允许用户以列表形式查看手机或电话号码号码的具体拦截情况，表头字段包括：手机或电话号码号码、诈骗类型、区间拦截次数、拦截总数，最后一次拦截时间</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109</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支持按区间拦截次数排序</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允许用户按拦截次数正序和倒序排列已反制号码，便于查看高危号码</w:t>
            </w:r>
          </w:p>
        </w:tc>
      </w:tr>
      <w:tr>
        <w:tblPrEx>
          <w:tblCellMar>
            <w:top w:w="0" w:type="dxa"/>
            <w:left w:w="108" w:type="dxa"/>
            <w:bottom w:w="0" w:type="dxa"/>
            <w:right w:w="108" w:type="dxa"/>
          </w:tblCellMar>
        </w:tblPrEx>
        <w:trPr>
          <w:trHeight w:val="32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110</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支持按时间区间查看手机或电话号码拦截详情</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允许用户按时间区间查看该时间段内已反制的手机或电话号码号码的每日拦截情况</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111</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支持按时间区间查看手机或电话号码拦截详情</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允许用户模糊查找并查看某个手机或电话号码号码的具体拦截情况</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112</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支持导出每日手机或电话号码拦截数据</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允许用户导出手机或电话号码拦截列表数据为Excel文件</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113</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支持查看网址号码的拦截具体数据</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允许用户以列表形式查看网址号码的具体拦截情况，表头字段包括：网址号码、诈骗类型、区间拦截次数、拦截总数，最后一次拦截时间</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114</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支持按区间拦截次数排序</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允许用户按拦截次数正序和倒序排列已反制号码，便于查看高危号码</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115</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支持按区间拦截次数排序</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允许用户按时间区间查看该时间段内已反制的网址号码的每日拦截情况</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116</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支持查看某个网址号码的拦截情况</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允许用户模糊查找并查看某个网址号码的具体拦截情况</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117</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支持导出每日网址拦截数据</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允许用户导出网址拦截列表数据为Excel文件</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118</w:t>
            </w:r>
          </w:p>
        </w:tc>
        <w:tc>
          <w:tcPr>
            <w:tcW w:w="12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统计查询</w:t>
            </w: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具备预警统计功能</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具备可视化预警统计图表</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▲系统具备包括但不限于多折线图图表展示不同诈骗类型的预警数据</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119</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支持按类型查看每日预警数据统计</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▲具备列表展示每日预警数据详情，包括日期、总预警数、不同诈骗类型的预警数</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120</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支持图表和表格联动</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要求预警统计支持列表数据详情和可视化图表的联动</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121</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支持自定义时间区间查看预警统计</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允许用户按时间区间查看对应时间段内的总预警和不同类型的预警数量</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122</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支持按预警归属地查看预警统计</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允许用户按预警归属辖区查看每日预警总量和不同诈骗类型的预警数量</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123</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支持每日预警数据导出</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▲要求系统支持导出每日预警数据总量和不同诈骗类型的预警数量为表格文件</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124</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具备回访统计功能</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具备可视化回访统计图表</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系统具备包括但不限于柱状图图表展示每日预警回访情况</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125</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支持按日期查看每日预警处置情况</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具备列表展示每日预警回访处理情况，包括日期、总预警数、已处理数、未处理数、处理率、劝阻金额和不同时效内处理的预警数量</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126</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支持列表展开查看每日不同等级的预警的回访情况</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要求支持查看每日高级别、中级别和低级别的预警回访处理情况</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127</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支持自定义事件区间查看预警处置情况</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允许用户自定义起止时间查看对应日期内每日预警处理情况</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128</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支持按预警归属地查看回访统计</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允许用户按预警归属地查看每日预警处理情况</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129</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支持可视化图表和表格数据的联动</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要求每日回访统计数据列表和可视化图表的联动</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130</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支持回访统计数据的导出</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要求系统支持导出每日预警回访情况为表格文件</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131</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具备绩效统计功能</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支持按组查看每日每个用户组的回访绩效</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▲要求系统以展开多级列表形式按组统计每组的绩效，绩效包括每日的回预警次数，回访次数，预警处理率和劝阻金额</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132</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支持按个人查看每日个人回访绩效</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▲要求系统以回访员个人统计每日预警回访劝阻绩效，绩效包括每日的回预警次数，回访次数，预警处理率和劝阻金额</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133</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支持导出回访绩效统计结果</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要求系统支持导出按组或按个人统计的回访绩效数据，导出为表格文件</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134</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具备短信统计功能</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具备关键指标统计</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要求具备短信提醒的今日发送数、累计发送数和可用短信数的统计</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135</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支持可视化图表展示每日短信发送情况</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要求系统具备曲线图表展示每日短信发送数量</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136</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支持列表查看短信发送记录</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要求系统列表展示预警短信发送记录，展示字段包括：序号、手机号码、短信内容、发送时间、发送状态、发送人和发送人所属用户组</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137</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支持按时间段查看短信发送记录</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允许用户按起止时间段查看短信发送记录</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138</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支持按发送号码搜索预警短信发送记录</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允许用户按发送号码搜索发送记录</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139</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支持导出预警短信发送记录</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允许用户导出预警短信发送记录为表格文件</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140</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支持查看收到的短信回复</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支持列表呈现系统接收到的短信回复，列表字段包括：序号、手机号码、发送内容、回复内容、回复时间、发送时间、发送人、发送人所属用户组</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141</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支持按时间段查看短信回复记录</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允许用户按起止时间段查看短信回复记录</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142</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支持按发送号码查看短信回复记录</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允许用户按发送号码搜索回复记录</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143</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支持导出短信回复记录</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允许用户导出预警短信回复记录为表格文件</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144</w:t>
            </w:r>
          </w:p>
        </w:tc>
        <w:tc>
          <w:tcPr>
            <w:tcW w:w="12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系统管理</w:t>
            </w: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支持系统设置</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支持用户自定义系统值守时间</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▲允许系统管理设置系统值守时间，值守时间外推送的预警处理时效由此处设置的时间区间参与时效修复计算</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145</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支持用户自定义系统自动发送预警短信</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▲允许系统管理员设置是否自动发送预警短信提醒</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146</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支持系统用户管理</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支持列表查看系统用户</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允许用户列表查看系统用户，展示字段包括：用户姓名，手机号码，所属区域，归属单位，账号状态，登录状态，所属用户组，用户角色和账号到期时间</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147</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支持自定义搜索系统用户</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支持按用户姓名、手机号码、所在单位、所在区域搜索系统用户</w:t>
            </w:r>
          </w:p>
        </w:tc>
      </w:tr>
      <w:tr>
        <w:tblPrEx>
          <w:tblCellMar>
            <w:top w:w="0" w:type="dxa"/>
            <w:left w:w="108" w:type="dxa"/>
            <w:bottom w:w="0" w:type="dxa"/>
            <w:right w:w="108" w:type="dxa"/>
          </w:tblCellMar>
        </w:tblPrEx>
        <w:trPr>
          <w:trHeight w:val="99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148</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支持查看系统用户登录情况</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▲支持系统管理员查看本系统用户的系统使用过情况，可自定义起止时间，查看某个用户在该时间区间内的账号登录情况，统计每日登录时长，回访次数和在线时间段</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149</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具备用户个人中心</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支持换绑微信</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要求系统具备微信换绑功能</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150</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支持更换手机号码</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要求系统支持更换绑定的手机号码</w:t>
            </w:r>
          </w:p>
        </w:tc>
      </w:tr>
      <w:tr>
        <w:tblPrEx>
          <w:tblCellMar>
            <w:top w:w="0" w:type="dxa"/>
            <w:left w:w="108" w:type="dxa"/>
            <w:bottom w:w="0" w:type="dxa"/>
            <w:right w:w="108" w:type="dxa"/>
          </w:tblCellMar>
        </w:tblPrEx>
        <w:trPr>
          <w:trHeight w:val="33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151</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支持修改账号密码</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要求系统支持修改账号密码</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152</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支持查看个人账号登录日志</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要求系统支持按时间查看个人账号登录情况，包括登录时间，登录IP和操作描述</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153</w:t>
            </w:r>
          </w:p>
        </w:tc>
        <w:tc>
          <w:tcPr>
            <w:tcW w:w="12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其他功能</w:t>
            </w:r>
          </w:p>
        </w:tc>
        <w:tc>
          <w:tcPr>
            <w:tcW w:w="1276"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具备系统使用手册</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要求提供系统操作文档</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▲要求系统具备操作说明文档，支持按关键字查找常见问题；要求具备视频操作说明</w:t>
            </w:r>
          </w:p>
        </w:tc>
      </w:tr>
      <w:tr>
        <w:tblPrEx>
          <w:tblCellMar>
            <w:top w:w="0" w:type="dxa"/>
            <w:left w:w="108" w:type="dxa"/>
            <w:bottom w:w="0" w:type="dxa"/>
            <w:right w:w="108" w:type="dxa"/>
          </w:tblCellMar>
        </w:tblPrEx>
        <w:trPr>
          <w:trHeight w:val="66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154</w:t>
            </w:r>
          </w:p>
        </w:tc>
        <w:tc>
          <w:tcPr>
            <w:tcW w:w="12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rPr>
                <w:rFonts w:ascii="宋体" w:hAnsi="宋体" w:cs="宋体"/>
                <w:color w:val="auto"/>
                <w:kern w:val="0"/>
                <w:sz w:val="24"/>
                <w:highlight w:val="none"/>
              </w:rPr>
            </w:pPr>
          </w:p>
        </w:tc>
        <w:tc>
          <w:tcPr>
            <w:tcW w:w="1276"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具备文件下载管理器</w:t>
            </w:r>
          </w:p>
        </w:tc>
        <w:tc>
          <w:tcPr>
            <w:tcW w:w="1984"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要求具备同一的文件下载管理器</w:t>
            </w:r>
          </w:p>
        </w:tc>
        <w:tc>
          <w:tcPr>
            <w:tcW w:w="4380"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要求系统导出文件的操作统一管理，导出的历史文件，到期自动清理</w:t>
            </w:r>
          </w:p>
        </w:tc>
      </w:tr>
    </w:tbl>
    <w:p>
      <w:pPr>
        <w:spacing w:line="240" w:lineRule="auto"/>
        <w:rPr>
          <w:color w:val="auto"/>
          <w:highlight w:val="none"/>
        </w:rPr>
      </w:pPr>
    </w:p>
    <w:p>
      <w:pPr>
        <w:pStyle w:val="4"/>
        <w:spacing w:line="240" w:lineRule="auto"/>
        <w:outlineLvl w:val="4"/>
        <w:rPr>
          <w:rFonts w:hint="eastAsia"/>
          <w:color w:val="auto"/>
          <w:highlight w:val="none"/>
        </w:rPr>
      </w:pPr>
      <w:r>
        <w:rPr>
          <w:rFonts w:hint="eastAsia" w:ascii="宋体" w:hAnsi="宋体" w:eastAsia="宋体" w:cs="宋体"/>
          <w:b/>
          <w:color w:val="auto"/>
          <w:kern w:val="0"/>
          <w:sz w:val="28"/>
          <w:szCs w:val="28"/>
          <w:highlight w:val="none"/>
          <w:lang w:val="en-US" w:eastAsia="zh-CN"/>
        </w:rPr>
        <w:t>3.3.2警民联防平台服务功能要求</w:t>
      </w:r>
    </w:p>
    <w:tbl>
      <w:tblPr>
        <w:tblStyle w:val="5"/>
        <w:tblW w:w="0" w:type="auto"/>
        <w:tblInd w:w="-34" w:type="dxa"/>
        <w:tblLayout w:type="fixed"/>
        <w:tblCellMar>
          <w:top w:w="0" w:type="dxa"/>
          <w:left w:w="108" w:type="dxa"/>
          <w:bottom w:w="0" w:type="dxa"/>
          <w:right w:w="108" w:type="dxa"/>
        </w:tblCellMar>
      </w:tblPr>
      <w:tblGrid>
        <w:gridCol w:w="576"/>
        <w:gridCol w:w="820"/>
        <w:gridCol w:w="1274"/>
        <w:gridCol w:w="1699"/>
        <w:gridCol w:w="5554"/>
      </w:tblGrid>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shd w:val="clear" w:color="000000" w:fill="D9D9D9"/>
            <w:noWrap w:val="0"/>
            <w:vAlign w:val="center"/>
          </w:tcPr>
          <w:p>
            <w:pPr>
              <w:widowControl/>
              <w:spacing w:line="240" w:lineRule="auto"/>
              <w:jc w:val="center"/>
              <w:outlineLvl w:val="9"/>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序号</w:t>
            </w:r>
          </w:p>
        </w:tc>
        <w:tc>
          <w:tcPr>
            <w:tcW w:w="820" w:type="dxa"/>
            <w:tcBorders>
              <w:top w:val="nil"/>
              <w:left w:val="nil"/>
              <w:bottom w:val="single" w:color="auto" w:sz="4" w:space="0"/>
              <w:right w:val="single" w:color="auto" w:sz="4" w:space="0"/>
            </w:tcBorders>
            <w:shd w:val="clear" w:color="000000" w:fill="D9D9D9"/>
            <w:noWrap w:val="0"/>
            <w:vAlign w:val="center"/>
          </w:tcPr>
          <w:p>
            <w:pPr>
              <w:widowControl/>
              <w:spacing w:line="240" w:lineRule="auto"/>
              <w:jc w:val="center"/>
              <w:outlineLvl w:val="9"/>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服务模块</w:t>
            </w:r>
          </w:p>
        </w:tc>
        <w:tc>
          <w:tcPr>
            <w:tcW w:w="1274" w:type="dxa"/>
            <w:tcBorders>
              <w:top w:val="nil"/>
              <w:left w:val="nil"/>
              <w:bottom w:val="single" w:color="auto" w:sz="4" w:space="0"/>
              <w:right w:val="single" w:color="auto" w:sz="4" w:space="0"/>
            </w:tcBorders>
            <w:shd w:val="clear" w:color="000000" w:fill="D9D9D9"/>
            <w:noWrap w:val="0"/>
            <w:vAlign w:val="center"/>
          </w:tcPr>
          <w:p>
            <w:pPr>
              <w:widowControl/>
              <w:spacing w:line="240" w:lineRule="auto"/>
              <w:jc w:val="center"/>
              <w:outlineLvl w:val="9"/>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服务项目</w:t>
            </w:r>
          </w:p>
        </w:tc>
        <w:tc>
          <w:tcPr>
            <w:tcW w:w="1699" w:type="dxa"/>
            <w:tcBorders>
              <w:top w:val="nil"/>
              <w:left w:val="nil"/>
              <w:bottom w:val="single" w:color="auto" w:sz="4" w:space="0"/>
              <w:right w:val="single" w:color="auto" w:sz="4" w:space="0"/>
            </w:tcBorders>
            <w:shd w:val="clear" w:color="000000" w:fill="D9D9D9"/>
            <w:noWrap w:val="0"/>
            <w:vAlign w:val="center"/>
          </w:tcPr>
          <w:p>
            <w:pPr>
              <w:widowControl/>
              <w:spacing w:line="240" w:lineRule="auto"/>
              <w:jc w:val="center"/>
              <w:outlineLvl w:val="9"/>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服务内容</w:t>
            </w:r>
          </w:p>
        </w:tc>
        <w:tc>
          <w:tcPr>
            <w:tcW w:w="5554" w:type="dxa"/>
            <w:tcBorders>
              <w:top w:val="nil"/>
              <w:left w:val="nil"/>
              <w:bottom w:val="single" w:color="auto" w:sz="4" w:space="0"/>
              <w:right w:val="single" w:color="auto" w:sz="4" w:space="0"/>
            </w:tcBorders>
            <w:shd w:val="clear" w:color="000000" w:fill="D9D9D9"/>
            <w:noWrap w:val="0"/>
            <w:vAlign w:val="center"/>
          </w:tcPr>
          <w:p>
            <w:pPr>
              <w:widowControl/>
              <w:spacing w:line="240" w:lineRule="auto"/>
              <w:jc w:val="center"/>
              <w:outlineLvl w:val="9"/>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服务功能要求描述</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82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客户端（PC端）</w:t>
            </w:r>
          </w:p>
        </w:tc>
        <w:tc>
          <w:tcPr>
            <w:tcW w:w="1274" w:type="dxa"/>
            <w:tcBorders>
              <w:top w:val="nil"/>
              <w:left w:val="nil"/>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部署管理</w:t>
            </w: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支持灵活部署</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▲必须基于互联网方式部署，无需特殊网络配置，使用互联网即可访问。</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3</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系统管理</w:t>
            </w: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支持账号密码登录</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要求允许使用账号密码登录管理平台</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4</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支持安全性管理</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▲必须要求用户登录时，配合微信扫码登录二次验证，保证系统安全性。</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5</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支持区域切换</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要求允许自由切换市-县权限架构，灵活变动至对应级别架构</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支持系统公告</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要求允许移动推送的维护公告展现，当有新更新信息时，以红点方式显示</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支持用户管理</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要求允许点击用户，切换和退出当前登录用户。</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推广中心</w:t>
            </w: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支持组织架构管理</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要求允许以树形结构方式呈现以搭建的组织架构</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9</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支持新建子组织架构</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要求允许可以根据用户需要新建组织架构，删除组织架构和编辑组织架构</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要求新建子架构时，需显示上级单位，本级单位名称、单位类型化、是否公开、是否添加单位管理员等</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11</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▲必须支持无限级组织架构搭建（如市-区-派出所-警务室-社区-小区……）</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支持单位类型选择</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要求在单位类型选择时，允许公安单位与非公安单位的选择，并判断是否可以接收预警</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13</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支持是否公开选择</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要求在新建组织架构时，允许是否公开与非公开选择，并判断是否可以在小程序中呈现该单位</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14</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支持地图查询</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▲必须支持在选择公开单位时，允许自动百度地图检索对应单位，并添加地图标记，标记经纬度。</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15</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支持添加管理员选择</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要求允许用户选择是否添加管理员，在选择添加管理员时，自动弹出输入用户名密码选项以及角色权限项</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16</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支持角色权限定义</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要求允许用户选择已建觉得和新建角色</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17</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支持新增角色</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要求允许自定义角色名称</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18</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要求允许系统推介角色选择</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19</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要求允许角色启用与关闭</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20</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要求允许自定义选择系统角色</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21</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支持单位检索</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要求允许模糊查询对应的单位</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22</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支持宣传员添加</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要求允许单个和批量添加宣传员，允许对宣传的添加、删除、和编辑</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23</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要求允许自动生成宣传码，用户添加宣传员时，系统自动关联生成对应宣传员的宣传推广二维码，并且允许下载二维码</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24</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要求添加宣传员需要涵盖宣传员姓名、所属单位、对应的账号密码以及是否可以接收预警</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25</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要求允许批量添加宣传员时，需要添加对应宣传员姓名、账号、密码、所属单位和是否接收预警以及是否可以添加下级宣传员</w:t>
            </w:r>
          </w:p>
        </w:tc>
      </w:tr>
      <w:tr>
        <w:tblPrEx>
          <w:tblCellMar>
            <w:top w:w="0" w:type="dxa"/>
            <w:left w:w="108" w:type="dxa"/>
            <w:bottom w:w="0" w:type="dxa"/>
            <w:right w:w="108" w:type="dxa"/>
          </w:tblCellMar>
        </w:tblPrEx>
        <w:trPr>
          <w:trHeight w:val="85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26</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支持宣传员展现</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要求允许表单形式显示当前单位的所有宣传员信息，显示的信息包括姓名、所属单位、下级宣传员数量、是否绑定微信、是否可以在PC端接收预警、是否可以在民警端接收预警。</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27</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支持宣传员查询</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要求允许但宣传员姓名、宣传员账号、宣传员所属单位查询宣传员。</w:t>
            </w:r>
          </w:p>
        </w:tc>
      </w:tr>
      <w:tr>
        <w:tblPrEx>
          <w:tblCellMar>
            <w:top w:w="0" w:type="dxa"/>
            <w:left w:w="108" w:type="dxa"/>
            <w:bottom w:w="0" w:type="dxa"/>
            <w:right w:w="108" w:type="dxa"/>
          </w:tblCellMar>
        </w:tblPrEx>
        <w:trPr>
          <w:trHeight w:val="85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28</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支持粉丝管理-分析信息展现</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要求允许以列表方式展现所属单位的分析信息，粉丝信息包括分析昵称、居民电话、关注来源、关注时间、关注状态、守护单位、注册时间、家人数量并允许对相关粉丝进行操作。</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29</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支持粉丝管理-粉丝详细展现</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要求分析详细信息中需包含对应粉丝的微信名、性别、手机号码、标签、守护单位、关注来源、关注事件、关注状态、注册时间以及用户行为日志</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30</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支持粉丝管理-粉丝检索</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要求允许按关注来源、关注时间、守护单位、注册时间、家人数量、居民电话等字段检索粉丝。</w:t>
            </w:r>
          </w:p>
        </w:tc>
      </w:tr>
      <w:tr>
        <w:tblPrEx>
          <w:tblCellMar>
            <w:top w:w="0" w:type="dxa"/>
            <w:left w:w="108" w:type="dxa"/>
            <w:bottom w:w="0" w:type="dxa"/>
            <w:right w:w="108" w:type="dxa"/>
          </w:tblCellMar>
        </w:tblPrEx>
        <w:trPr>
          <w:trHeight w:val="114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31</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预警中心</w:t>
            </w: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支持预警展现</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与列表方式展现所属单位预警信息，其中预警信息需包括预警电话、诈骗类型、优先级、最后一次与诈骗分子接触时间、最后一次发现居民与诈骗分子接触时间、预警数据来源、预警单位、劝阻状态、处理时间、劝阻人以及相关预警操作</w:t>
            </w:r>
          </w:p>
        </w:tc>
      </w:tr>
      <w:tr>
        <w:tblPrEx>
          <w:tblCellMar>
            <w:top w:w="0" w:type="dxa"/>
            <w:left w:w="108" w:type="dxa"/>
            <w:bottom w:w="0" w:type="dxa"/>
            <w:right w:w="108" w:type="dxa"/>
          </w:tblCellMar>
        </w:tblPrEx>
        <w:trPr>
          <w:trHeight w:val="114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32</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支持预警领取</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在PC端后台直接领取预警数据，当领取该预警后，显示对应粉丝信息以及本次预警信息。本次预警信息需要包括对应的居民电话、诈骗类型、预警优先级、最后一次与诈骗分子接触时间、最后一次发现居民与诈骗分子接触时间、预警数据来源、劝阻状态、劝阻人、领取任务的时间、劝阻完成时间</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33</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支持预警劝阻</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要求允许对领取的预警信息添加劝阻记录，劝阻信息需包括是否被骗、劝阻金额、被骗金额、备注信息等，并允许显示劝阻记录。</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34</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支持预警检索</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要求允许按预警单位、预警时间、居民电话等字段检索预警。</w:t>
            </w:r>
          </w:p>
        </w:tc>
      </w:tr>
      <w:tr>
        <w:tblPrEx>
          <w:tblCellMar>
            <w:top w:w="0" w:type="dxa"/>
            <w:left w:w="108" w:type="dxa"/>
            <w:bottom w:w="0" w:type="dxa"/>
            <w:right w:w="108" w:type="dxa"/>
          </w:tblCellMar>
        </w:tblPrEx>
        <w:trPr>
          <w:trHeight w:val="23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35</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统计中心</w:t>
            </w: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支持单位统计-每日累计明细统计</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按单位、按时间统计当前时间类，粉丝发展数量，统计信息包括时间、新增关注粉丝数、取消关注粉丝数、净增关注粉丝数、新增注册用户数、流失注册用户数、净增注册用户数、累计关注粉丝数、累计注册用户数、累计受保护人数</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36</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支持单位统计-趋势图展现</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要求允许按粉丝数值实现趋势分析</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37</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支持单位统计-统计检索</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要求允许按时间、按单位筛选粉丝统计数量以及相关字段的详细解释</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38</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支持单位统计-统计结果导出</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要求允许按时间、按单位筛选和导出统计结果</w:t>
            </w:r>
          </w:p>
        </w:tc>
      </w:tr>
      <w:tr>
        <w:tblPrEx>
          <w:tblCellMar>
            <w:top w:w="0" w:type="dxa"/>
            <w:left w:w="108" w:type="dxa"/>
            <w:bottom w:w="0" w:type="dxa"/>
            <w:right w:w="108" w:type="dxa"/>
          </w:tblCellMar>
        </w:tblPrEx>
        <w:trPr>
          <w:trHeight w:val="114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39</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支持个人信息统计</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以列表的方式展现所属单位的推广员的粉丝发展统计数，其中包括宣传员姓名、所属单位、区间新增关注粉丝数、取消关注粉丝数、净增关注粉丝数、新增注册用户数、流失注册用户数、净增注册用户数、累计关注粉丝数、累计注册用户数等。</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40</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支持个人统计筛选</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要求允许按单位、按宣传员姓名、宣传员账号、时间范围等查询个人统计信息，并允许导出</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41</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应用中心</w:t>
            </w: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支持角色管理</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要求允许角色的创建、编辑和灵活定义和管理下级权限</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42</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支持宣传员单位变更</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要求允许后台添加的宣传员随着宣传员的单位变动，宣传员以及宣传员发展的粉丝可以变更单位。</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43</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支持粉丝转移</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要求允许同单位内粉丝相互转移功能。</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44</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支持守护单位转移</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要求允许注册用户守护单位的批量变更。</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45</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支持反诈等级</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要求允许更具发展的粉丝数、用户数等指标定义反诈推广等级</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46</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支持推广消息配置</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▲必须支持设置粉丝扫码关注后的自动回复消息的配置，允许消息模式的预览与自定义logo等</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47</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支持小程序身份标签</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要求允许对系统提供的年龄、职业等标签的自定义别名</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48</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支持添加管理员</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▲必须支持同一个单位添加多个管理员，新添加的管理员的功能需和主管理员功能保持一致</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49</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支持管理员编辑</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要求允许管理员的添加、删除、编辑功能</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50</w:t>
            </w:r>
          </w:p>
        </w:tc>
        <w:tc>
          <w:tcPr>
            <w:tcW w:w="82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民警端（微信端）</w:t>
            </w:r>
          </w:p>
        </w:tc>
        <w:tc>
          <w:tcPr>
            <w:tcW w:w="1274"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安全登录</w:t>
            </w: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支持服务号登录入口</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▲必须提供国内知名反诈服务号（粉丝超过1000万）或本地反诈服务号作为登录入口</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51</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支持小程序登录</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▲必须跳转至国内知名反诈小程序（用户超过1000万）或本地反诈小程序进行身份验证</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52</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支持账号检测</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要求帐号不可包含空格、中文、特殊字符，5-18位</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53</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支持密码检测</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要求不可包含空格、中文，必须包含字母、数字、符号中至少2种，6-16位，不能包含帐号</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54</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支持安全性检测</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要求3次密码错误禁止登录</w:t>
            </w:r>
          </w:p>
        </w:tc>
      </w:tr>
      <w:tr>
        <w:tblPrEx>
          <w:tblCellMar>
            <w:top w:w="0" w:type="dxa"/>
            <w:left w:w="108" w:type="dxa"/>
            <w:bottom w:w="0" w:type="dxa"/>
            <w:right w:w="108" w:type="dxa"/>
          </w:tblCellMar>
        </w:tblPrEx>
        <w:trPr>
          <w:trHeight w:val="85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55</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支持登录设备检测</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▲必须同一账号仅允许在一个微信内登录或关联</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账号被他人登录或关联时，给出弹窗提示(确定)：该帐号已经被他人登录或关联，请联系单位管理员处理</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56</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支持关联账号登录</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要求用于同一民警负责多单位时绑定账号</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57</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支持单位切换</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要求可在已关联账号间进行切换，展示不同所在单位的数据</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58</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支持扫码登录</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▲必须结合PC端扫码登录，关联多个帐号时，无论现在民警端关联哪个帐号，都可以扫码登录PC端</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59</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支持角色检测</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要求帐号在使用状态时，关联角色被禁用/删除，触发弹窗提示：该帐号登录状态已失效。</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60</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预警劝阻</w:t>
            </w: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支持待领取预警</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要求展示单位内全部待领取预警</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61</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支持待劝阻预警</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要求展示民警领取的劝阻中预警</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62</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支持已劝阻预警</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要求展示民警领取的已劝阻预警</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63</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支持预警字段</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要求展示诈骗预警的居民电话 </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64</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支持受害人手机号筛选</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要求输入手机号进行精确搜索</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65</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支持待劝阻居民电话</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要求展示潜在受害人手机号</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66</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支持发现时间</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要求允许表头正序倒序</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67</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支持预警优先级</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要求允许被骗风险可视化展现，包括高、中、低 风险等级</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68</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支持已劝阻居民电话</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要求展示已劝阻受害人手机号</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69</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支持劝阻时间</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要求展示民警劝阻记录保存时间</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70</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支持处理结果</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要求展示是否被骗可查看劝阻详情</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71</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支持受害人微信名</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要求展示潜在受害人微信昵称</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72</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支持受害人性别</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要求展示受害人微信提交的性别信息</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73</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支持受害人电话</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要求展示受害人注册时绑定手机号码</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74</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支持受害人职业标签</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要求展示受害人注册时选择的职业标签</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75</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支持受害人关注来源</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▲必须展示受害人注册之前扫描关注的单位推广二维码信息</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76</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支持受害人关注时间</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要求展示受害人关注反诈服务号（粉丝超过1000万）或本地反诈服务号的时间</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77</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支持受害人关注状态</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要求展示受害人是否关注反诈服务号（粉丝超过1000万）或本地反诈服务号</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78</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支持受害人守护单位</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要求展示受害人选择的守护单位</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79</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支持受害人注册时间</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要求展示受害人注册防诈小程序时间</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80</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支持诈骗发生时间</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要求展示居民与诈骗分子接触时间</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81</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支持诈骗预警时间</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要求展示发现居民与诈骗分子接触时间</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82</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支持诈骗类型查看</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▲必须展示预警诈骗类型，包括贷款诈骗、冒充客服诈骗、杀猪盘诈骗、冒充公检法诈骗、刷单诈骗、贷款/客服诈骗、冒充熟人诈骗、裸聊诈骗</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83</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支持优先级查看</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要求展示预警紧急程度，包括 高、中、低</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84</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支持劝阻完成时间查看</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要求展示本次预警劝阻的反馈保存时间</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85</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支持劝阻人查看</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要求展示本次预警劝阻任务的领取人</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86</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支持备注查看</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要求展示历史的劝阻记录</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87</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支持添加劝阻记录</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要求对劝阻结果进行反馈提交</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88</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支持领取劝阻任务提示</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要求提示领取后他人将无法领取此任务，如果确认领取，请及时劝阻。</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89</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支持任务被领取提醒</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要求提示该任务已被[单位-姓名]领取，请提醒他及时劝阻。</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90</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支持任务被大数据反诈平台领取提示</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要求▲提示该任务正在被[大数据反诈平台]劝阻，如果继续劝阻可能会造成重复回访</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91</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支持任务已被回收</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要求提示该任务已被系统回收，无需进行劝阻。</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92</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支持服务号预警推送</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要求作为强提醒，可在服务号消息接收预警推送。可快速链接至小程序处置页面</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93</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支持个人累计劝阻</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要求展示民警个人累计预警处置人数</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94</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支持单位累计劝阻</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要求展示民警所在单位累计预警处置人数</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95</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反诈工具</w:t>
            </w:r>
          </w:p>
        </w:tc>
        <w:tc>
          <w:tcPr>
            <w:tcW w:w="169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支持涉案内容举报</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要求涉诈内容快速举报提交，包括贷款诈骗涉及的微信、QQ、公众号ID；受害人微信、QQ；被骗经历描；聊天、支付截图</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96</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要求涉诈内容快速举报提交，包括冒充客服诈骗涉及的微信、QQ、公众号ID；受害人微信、QQ；被骗经历描；聊天、支付截图</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97</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要求涉诈内容快速举报提交，包括杀猪盘诈骗涉及的微信、QQ、公众号ID；受害人微信、QQ；被骗经历描；聊天、支付截图</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98</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要求涉诈内容快速举报提交，包括冒充公检法诈骗涉及的微信、QQ、公众号ID；受害人微信、QQ；被骗经历描；聊天、支付截图</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99</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要求涉诈内容快速举报提交，包括刷单诈骗涉及的微信、QQ、公众号ID；受害人微信、QQ；被骗经历描；聊天、支付截图</w:t>
            </w:r>
          </w:p>
        </w:tc>
      </w:tr>
      <w:tr>
        <w:tblPrEx>
          <w:tblCellMar>
            <w:top w:w="0" w:type="dxa"/>
            <w:left w:w="108" w:type="dxa"/>
            <w:bottom w:w="0" w:type="dxa"/>
            <w:right w:w="108" w:type="dxa"/>
          </w:tblCellMar>
        </w:tblPrEx>
        <w:trPr>
          <w:trHeight w:val="33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100</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要求涉诈内容快速举报提交，包括贷款/客服诈骗涉及的微信、QQ、公众号ID；受害人微信、QQ；被骗经历描；聊天、支付截图</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101</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要求涉诈内容快速举报提交，包括冒充熟人诈骗涉及的微信、QQ、公众号ID；受害人微信、QQ；被骗经历描；聊天、支付截图</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102</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排行榜</w:t>
            </w: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支持个人排行-日榜</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要求展示今日00:00分至访问页面时间内的个人推广数量</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103</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支持个人排行-周榜</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要求展示今日视为一天，往前取6天，为一周。一周内累计个人推广数据</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104</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支持个人排行-月榜</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要求展示今日视为一天，往前取30天，为一月。一月内累计个人推广数据</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105</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支持个人排行-总榜</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要求展示统计自推广起截至访问页面时间的个人推广数据</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106</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支持单位统计-日榜</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要求展示今日00:00分至访问页面时间内的单位推广数量</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107</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支持单位统计-周榜</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要求展示今日视为一天，往前取6天，为一周。一周内累计单位推广数据</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108</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支持单位统计-月榜</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要求展示今日视为一天，往前取30天，为一月。一月内累计单位推广数据</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109</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支持单位统计-总榜</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要求展示统计自推广起截至访问页面时间的单位推广数据</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110</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支持区级排行榜</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▲必须支持展示全区前300名、倒数300名宣传员</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111</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支持市级排行榜</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▲必须支持展示全市前300名、倒数300名宣传员</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112</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宣传推广</w:t>
            </w: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支持宣传码所在单位</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要求展示二维码所归属单位</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113</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支持宣传码宣传民警</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要求展示二维码所属宣传员</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114</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支持注册流程提醒</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要求展示二维码关注、注册流程</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115</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支持单位累计关注</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要求允许统计所在单位累计关注</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116</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支持单位累计注册</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▲必须支持统计所在单位累计注册，所有注册到本单位人数</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117</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支持个人今日关注</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要求可统计个人推广今日关注</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118</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支持个人今日注册</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要求可统计个人推广今日注册</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119</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支持个人累计关注</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要求可统计个人推广累计关注</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120</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支持个人累计注册</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▲必须支持统计个人推广累计注册，扫此二维码并注册到二维码所在单位的人数</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121</w:t>
            </w:r>
          </w:p>
        </w:tc>
        <w:tc>
          <w:tcPr>
            <w:tcW w:w="82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市民端（微信端）</w:t>
            </w:r>
          </w:p>
        </w:tc>
        <w:tc>
          <w:tcPr>
            <w:tcW w:w="1274"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注册流程</w:t>
            </w: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支持手机号码注册</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要求注册提交在微信绑定的常用手机号，对其进行防诈保护</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122</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支持验证码获取</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要求部分在微信侧未绑定手机号或长时间未使用小程序的用户</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123</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支持守护单位选择</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要求可在同区县内进行模糊查询、只查询与公众号和小程序绑定的省市区的单位</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124</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支持身份标签选择</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要求注册可选择职业、年龄标签。只查询与公众号和小程序绑定的省市区的标签，以便接收精准的反诈骗知识解读。</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125</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支持手机号重复检测</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要求如这个手机号已经被他人注册则提示错误</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126</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支持身份标签检测</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要求如未选择身份标签则提示错误</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127</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支持注册成功提示</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要求吐司提示-恭喜您注册成功</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128</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支持验证码错误检测</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要求吐司提示-验证码错误 请检查后重新输入</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129</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支持用户拒绝授权地理位置</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要求弹窗提示-拒绝授权获取地理位置，将会影响后续操作，并且无法进行精准保护</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130</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反诈文章</w:t>
            </w: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支持小程序宣传</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要求提供包括硬核反诈、手法解读等小程序宣传文章</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131</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支持诈骗文章搜索</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要求提供关键字搜索功能，快速定位指定诈骗文章</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132</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支持公众号宣传</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▲必须提供全局防诈推文（每月4次）包括图文、视频等形式，需具备5000万以上粉丝反诈公众号运营经验</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133</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支持消息推送宣传</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▲必须支持以消息形式针对职业标签、年龄标签、单位进行指定人群的文章推送</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134</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注册保护</w:t>
            </w: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支持快捷登陆</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要求引导使用微信绑定的微信昵称、手机号进行小程序注册</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135</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支持位置权限</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▲必须支持引导使用当前位置匹配最近的最多9个守护单位</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136</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支持家人保护</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要求开启家人保护功能，对家人号码进行防诈预警</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137</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支持添加家人</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▲必须支持添加家人姓名、电话、关系等信息进行家人添加</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138</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支持归属单位修改</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要求可对守护归属单位进行修改</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139</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支持单位搜索</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▲必须支持可搜索辖区内的“公开单位”进行修改</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140</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支持重新获取地理位置</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要求可重新获取当前位置匹配最近的守护单位进行修改</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141</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支持标签修改</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要求修改职业、年龄标签</w:t>
            </w:r>
          </w:p>
        </w:tc>
      </w:tr>
      <w:tr>
        <w:tblPrEx>
          <w:tblCellMar>
            <w:top w:w="0" w:type="dxa"/>
            <w:left w:w="108" w:type="dxa"/>
            <w:bottom w:w="0" w:type="dxa"/>
            <w:right w:w="108" w:type="dxa"/>
          </w:tblCellMar>
        </w:tblPrEx>
        <w:trPr>
          <w:trHeight w:val="285"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142</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支持附近预警</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要求展示同单位的潜在受害人数量</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143</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支持诈骗举报</w:t>
            </w: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要求涉诈内容快速举报提交，包括贷款诈骗涉及的微信、QQ、公众号ID；受害人微信、QQ；被骗经历描；聊天、支付截图</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144</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要求涉诈内容快速举报提交，包括冒充客服诈骗涉及的微信、QQ、公众号ID；受害人微信、QQ；被骗经历描；聊天、支付截图</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145</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要求涉诈内容快速举报提交，包括杀猪盘诈骗涉及的微信、QQ、公众号ID；受害人微信、QQ；被骗经历描；聊天、支付截图</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146</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要求涉诈内容快速举报提交，包括冒充公检法诈骗涉及的微信、QQ、公众号ID；受害人微信、QQ；被骗经历描；聊天、支付截图</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147</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要求涉诈内容快速举报提交，包括刷单诈骗涉及的微信、QQ、公众号ID；受害人微信、QQ；被骗经历描；聊天、支付截图</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148</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要求涉诈内容快速举报提交，包括贷款/客服诈骗涉及的微信、QQ、公众号ID；受害人微信、QQ；被骗经历描；聊天、支付截图</w:t>
            </w:r>
          </w:p>
        </w:tc>
      </w:tr>
      <w:tr>
        <w:tblPrEx>
          <w:tblCellMar>
            <w:top w:w="0" w:type="dxa"/>
            <w:left w:w="108" w:type="dxa"/>
            <w:bottom w:w="0" w:type="dxa"/>
            <w:right w:w="108" w:type="dxa"/>
          </w:tblCellMar>
        </w:tblPrEx>
        <w:trPr>
          <w:trHeight w:val="570" w:hRule="atLeast"/>
        </w:trPr>
        <w:tc>
          <w:tcPr>
            <w:tcW w:w="576"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149</w:t>
            </w:r>
          </w:p>
        </w:tc>
        <w:tc>
          <w:tcPr>
            <w:tcW w:w="82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27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169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auto"/>
              <w:jc w:val="left"/>
              <w:outlineLvl w:val="9"/>
              <w:rPr>
                <w:rFonts w:ascii="宋体" w:hAnsi="宋体" w:cs="宋体"/>
                <w:color w:val="auto"/>
                <w:kern w:val="0"/>
                <w:sz w:val="24"/>
                <w:highlight w:val="none"/>
              </w:rPr>
            </w:pPr>
          </w:p>
        </w:tc>
        <w:tc>
          <w:tcPr>
            <w:tcW w:w="5554" w:type="dxa"/>
            <w:tcBorders>
              <w:top w:val="nil"/>
              <w:left w:val="nil"/>
              <w:bottom w:val="single" w:color="auto" w:sz="4" w:space="0"/>
              <w:right w:val="single" w:color="auto" w:sz="4" w:space="0"/>
            </w:tcBorders>
            <w:noWrap w:val="0"/>
            <w:vAlign w:val="center"/>
          </w:tcPr>
          <w:p>
            <w:pPr>
              <w:widowControl/>
              <w:spacing w:line="24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要求涉诈内容快速举报提交，包括冒充熟人诈骗涉及的微信、QQ、公众号ID；受害人微信、QQ；被骗经历描；聊天、支付截图</w:t>
            </w:r>
          </w:p>
        </w:tc>
      </w:tr>
    </w:tbl>
    <w:p>
      <w:pPr>
        <w:pStyle w:val="4"/>
        <w:spacing w:line="240" w:lineRule="auto"/>
        <w:rPr>
          <w:rFonts w:hint="eastAsia"/>
          <w:color w:val="auto"/>
          <w:highlight w:val="none"/>
        </w:rPr>
      </w:pPr>
    </w:p>
    <w:p>
      <w:pPr>
        <w:spacing w:line="240" w:lineRule="auto"/>
        <w:ind w:firstLine="562" w:firstLineChars="200"/>
        <w:outlineLvl w:val="3"/>
        <w:rPr>
          <w:rFonts w:hint="eastAsia" w:ascii="宋体" w:hAnsi="宋体" w:cs="宋体"/>
          <w:b/>
          <w:color w:val="auto"/>
          <w:kern w:val="0"/>
          <w:sz w:val="28"/>
          <w:szCs w:val="28"/>
          <w:highlight w:val="none"/>
        </w:rPr>
      </w:pPr>
      <w:r>
        <w:rPr>
          <w:rFonts w:hint="eastAsia" w:ascii="宋体" w:hAnsi="宋体" w:cs="宋体"/>
          <w:b/>
          <w:color w:val="auto"/>
          <w:kern w:val="0"/>
          <w:sz w:val="28"/>
          <w:szCs w:val="28"/>
          <w:highlight w:val="none"/>
        </w:rPr>
        <w:t>3.4实施部署服务要求</w:t>
      </w:r>
    </w:p>
    <w:p>
      <w:pPr>
        <w:spacing w:line="240" w:lineRule="auto"/>
        <w:ind w:firstLine="562" w:firstLineChars="200"/>
        <w:rPr>
          <w:rFonts w:hint="eastAsia" w:ascii="宋体" w:hAnsi="宋体" w:cs="宋体"/>
          <w:b/>
          <w:color w:val="auto"/>
          <w:kern w:val="0"/>
          <w:sz w:val="28"/>
          <w:szCs w:val="28"/>
          <w:highlight w:val="none"/>
        </w:rPr>
      </w:pPr>
      <w:r>
        <w:rPr>
          <w:rFonts w:hint="eastAsia" w:ascii="宋体" w:hAnsi="宋体" w:cs="宋体"/>
          <w:b/>
          <w:color w:val="auto"/>
          <w:kern w:val="0"/>
          <w:sz w:val="28"/>
          <w:szCs w:val="28"/>
          <w:highlight w:val="none"/>
        </w:rPr>
        <w:t>3.4.1 实施人员组织</w:t>
      </w:r>
    </w:p>
    <w:p>
      <w:pPr>
        <w:spacing w:line="240" w:lineRule="auto"/>
        <w:ind w:firstLine="480" w:firstLineChars="200"/>
        <w:rPr>
          <w:rFonts w:hint="eastAsia" w:ascii="宋体" w:hAnsi="宋体" w:cs="宋体"/>
          <w:color w:val="auto"/>
          <w:sz w:val="24"/>
          <w:highlight w:val="none"/>
        </w:rPr>
      </w:pPr>
      <w:bookmarkStart w:id="46" w:name="_Toc38014791"/>
      <w:r>
        <w:rPr>
          <w:rFonts w:hint="eastAsia" w:ascii="宋体" w:hAnsi="宋体" w:cs="宋体"/>
          <w:color w:val="auto"/>
          <w:sz w:val="24"/>
          <w:highlight w:val="none"/>
        </w:rPr>
        <w:t>本项目由贵港市公安局组织，中标单位进行实施。为保证项目的顺利建设和实施，</w:t>
      </w:r>
      <w:r>
        <w:rPr>
          <w:rFonts w:hint="eastAsia" w:ascii="宋体" w:hAnsi="宋体" w:cs="宋体"/>
          <w:color w:val="auto"/>
          <w:sz w:val="24"/>
          <w:highlight w:val="none"/>
          <w:lang w:eastAsia="zh-CN"/>
        </w:rPr>
        <w:t>中标单位需</w:t>
      </w:r>
      <w:r>
        <w:rPr>
          <w:rFonts w:hint="eastAsia" w:ascii="宋体" w:hAnsi="宋体" w:cs="宋体"/>
          <w:color w:val="auto"/>
          <w:sz w:val="24"/>
          <w:highlight w:val="none"/>
        </w:rPr>
        <w:t>成立如下工作小组：</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（一）商务小组</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负责项目中有关商务活动，如评审等手续的具体办理，并负责所有硬件、软件等保质保量到达项目现场，办理一切相应手续。</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（二）系统部署小组</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负责网络系统、服务器与系统软件、应用软件和安全系统等的安装调试，书写安装调试报告和项目系统的安装设计及配置手册；组织现场安装调试培训。</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（三）培训小组</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负责开展具体的培训工作，包括项目管理培训、系统管理及维护培训、系统使用操作培训等。</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（四）质量检验与验收小组</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负责对项目中各项建设内容的软、硬件产品的质量、性能检验及项目验收等工作；负责制定各阶段验收方案，填写相应的验收报告。</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（五）监察小组</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负责对项目中各个环节的纪检监察工作，加强日常监督，落实反腐倡廉工作，及时发现“小、微、早”问题，提出防范建议，降低项目建设过程中的潜在风险。</w:t>
      </w:r>
      <w:bookmarkEnd w:id="46"/>
    </w:p>
    <w:p>
      <w:pPr>
        <w:spacing w:line="240" w:lineRule="auto"/>
        <w:ind w:firstLine="562" w:firstLineChars="200"/>
        <w:rPr>
          <w:rFonts w:hint="eastAsia" w:ascii="宋体" w:hAnsi="宋体" w:cs="宋体"/>
          <w:b/>
          <w:color w:val="auto"/>
          <w:kern w:val="0"/>
          <w:sz w:val="28"/>
          <w:szCs w:val="28"/>
          <w:highlight w:val="none"/>
        </w:rPr>
      </w:pPr>
      <w:r>
        <w:rPr>
          <w:rFonts w:hint="eastAsia" w:ascii="宋体" w:hAnsi="宋体" w:cs="宋体"/>
          <w:b/>
          <w:color w:val="auto"/>
          <w:kern w:val="0"/>
          <w:sz w:val="28"/>
          <w:szCs w:val="28"/>
          <w:highlight w:val="none"/>
        </w:rPr>
        <w:t>3.4.2运行维护</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保障期间，负责项目建设服务的供应商应建立一套完整的运维管理服务体系。通过统一运维工作平台、运维管理制度以及运行维护技术具备队伍的建设，提高整体运行维护水平，实现运行维护工作的智能化和高效化。运维管理服务体系建设包括运维制度、运维队伍管理、运维服务方案、运维工作平台和保障体系等内容。</w:t>
      </w:r>
    </w:p>
    <w:p>
      <w:pPr>
        <w:spacing w:line="240" w:lineRule="auto"/>
        <w:ind w:firstLine="482" w:firstLineChars="200"/>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lang w:eastAsia="zh-CN"/>
        </w:rPr>
        <w:t>在投标文件中提供</w:t>
      </w:r>
      <w:r>
        <w:rPr>
          <w:rFonts w:hint="eastAsia" w:ascii="宋体" w:hAnsi="宋体" w:cs="宋体"/>
          <w:b/>
          <w:bCs/>
          <w:color w:val="auto"/>
          <w:sz w:val="24"/>
          <w:highlight w:val="none"/>
        </w:rPr>
        <w:t>本项目运维管理流程图</w:t>
      </w:r>
      <w:r>
        <w:rPr>
          <w:rFonts w:hint="eastAsia" w:ascii="宋体" w:hAnsi="宋体" w:cs="宋体"/>
          <w:b/>
          <w:bCs/>
          <w:color w:val="auto"/>
          <w:sz w:val="24"/>
          <w:highlight w:val="none"/>
          <w:lang w:eastAsia="zh-CN"/>
        </w:rPr>
        <w:t>。</w:t>
      </w:r>
    </w:p>
    <w:p>
      <w:pPr>
        <w:spacing w:line="240" w:lineRule="auto"/>
        <w:rPr>
          <w:rFonts w:hint="eastAsia" w:ascii="宋体" w:hAnsi="宋体" w:cs="宋体"/>
          <w:bCs/>
          <w:color w:val="auto"/>
          <w:szCs w:val="21"/>
          <w:highlight w:val="none"/>
        </w:rPr>
      </w:pPr>
    </w:p>
    <w:p>
      <w:pPr>
        <w:spacing w:line="240" w:lineRule="auto"/>
        <w:ind w:firstLine="562" w:firstLineChars="200"/>
        <w:outlineLvl w:val="3"/>
        <w:rPr>
          <w:rFonts w:hint="eastAsia" w:ascii="宋体" w:hAnsi="宋体" w:cs="宋体"/>
          <w:b/>
          <w:color w:val="auto"/>
          <w:kern w:val="0"/>
          <w:sz w:val="28"/>
          <w:szCs w:val="28"/>
          <w:highlight w:val="none"/>
        </w:rPr>
      </w:pPr>
      <w:r>
        <w:rPr>
          <w:rFonts w:hint="eastAsia" w:ascii="宋体" w:hAnsi="宋体" w:cs="宋体"/>
          <w:b/>
          <w:color w:val="auto"/>
          <w:kern w:val="0"/>
          <w:sz w:val="28"/>
          <w:szCs w:val="28"/>
          <w:highlight w:val="none"/>
        </w:rPr>
        <w:t>3.5培训服务要求</w:t>
      </w:r>
    </w:p>
    <w:p>
      <w:pPr>
        <w:spacing w:line="240" w:lineRule="auto"/>
        <w:ind w:firstLine="482" w:firstLineChars="200"/>
        <w:rPr>
          <w:rFonts w:hint="eastAsia" w:ascii="宋体" w:hAnsi="宋体" w:cs="宋体"/>
          <w:b/>
          <w:bCs/>
          <w:color w:val="auto"/>
          <w:sz w:val="24"/>
          <w:highlight w:val="none"/>
        </w:rPr>
      </w:pPr>
      <w:bookmarkStart w:id="47" w:name="_Toc21643"/>
      <w:bookmarkStart w:id="48" w:name="_Toc18801"/>
      <w:bookmarkStart w:id="49" w:name="_Toc57220867"/>
      <w:bookmarkStart w:id="50" w:name="_Toc57220976"/>
      <w:bookmarkStart w:id="51" w:name="_Toc14167"/>
      <w:bookmarkStart w:id="52" w:name="_Toc15379"/>
      <w:bookmarkStart w:id="53" w:name="_Toc57220914"/>
      <w:bookmarkStart w:id="54" w:name="_Toc17915"/>
      <w:bookmarkStart w:id="55" w:name="_Toc11304"/>
      <w:bookmarkStart w:id="56" w:name="_Toc18070"/>
      <w:bookmarkStart w:id="57" w:name="_Toc14439"/>
      <w:bookmarkStart w:id="58" w:name="_Toc63452238"/>
      <w:r>
        <w:rPr>
          <w:rFonts w:hint="eastAsia" w:ascii="宋体" w:hAnsi="宋体" w:cs="宋体"/>
          <w:b/>
          <w:bCs/>
          <w:color w:val="auto"/>
          <w:sz w:val="24"/>
          <w:highlight w:val="none"/>
        </w:rPr>
        <w:t>3.5.1 人员配置计划</w:t>
      </w:r>
      <w:bookmarkEnd w:id="47"/>
      <w:bookmarkEnd w:id="48"/>
      <w:bookmarkEnd w:id="49"/>
      <w:bookmarkEnd w:id="50"/>
      <w:bookmarkEnd w:id="51"/>
      <w:bookmarkEnd w:id="52"/>
      <w:bookmarkEnd w:id="53"/>
      <w:bookmarkEnd w:id="54"/>
      <w:bookmarkEnd w:id="55"/>
      <w:bookmarkEnd w:id="56"/>
      <w:bookmarkEnd w:id="57"/>
      <w:bookmarkEnd w:id="58"/>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本项目由贵港市公安局组织，中标单位进行实施。为保证项目的顺利建设和实施，</w:t>
      </w:r>
      <w:r>
        <w:rPr>
          <w:rFonts w:hint="eastAsia" w:ascii="宋体" w:hAnsi="宋体" w:cs="宋体"/>
          <w:color w:val="auto"/>
          <w:sz w:val="24"/>
          <w:highlight w:val="none"/>
          <w:lang w:eastAsia="zh-CN"/>
        </w:rPr>
        <w:t>中标单位需</w:t>
      </w:r>
      <w:r>
        <w:rPr>
          <w:rFonts w:hint="eastAsia" w:ascii="宋体" w:hAnsi="宋体" w:cs="宋体"/>
          <w:color w:val="auto"/>
          <w:sz w:val="24"/>
          <w:highlight w:val="none"/>
        </w:rPr>
        <w:t>定人员配置计划。</w:t>
      </w:r>
    </w:p>
    <w:p>
      <w:pPr>
        <w:spacing w:line="240" w:lineRule="auto"/>
        <w:ind w:firstLine="482" w:firstLineChars="200"/>
        <w:rPr>
          <w:rFonts w:hint="eastAsia" w:ascii="宋体" w:hAnsi="宋体" w:cs="宋体"/>
          <w:b/>
          <w:bCs/>
          <w:color w:val="auto"/>
          <w:sz w:val="24"/>
          <w:highlight w:val="none"/>
        </w:rPr>
      </w:pPr>
      <w:bookmarkStart w:id="59" w:name="_Toc4251"/>
      <w:bookmarkStart w:id="60" w:name="_Toc18541"/>
      <w:bookmarkStart w:id="61" w:name="_Toc26960"/>
      <w:bookmarkStart w:id="62" w:name="_Toc13702"/>
      <w:bookmarkStart w:id="63" w:name="_Toc57220916"/>
      <w:bookmarkStart w:id="64" w:name="_Toc57220869"/>
      <w:bookmarkStart w:id="65" w:name="_Toc57220978"/>
      <w:bookmarkStart w:id="66" w:name="_Toc63452240"/>
      <w:bookmarkStart w:id="67" w:name="_Toc30427"/>
      <w:r>
        <w:rPr>
          <w:rFonts w:hint="eastAsia" w:ascii="宋体" w:hAnsi="宋体" w:cs="宋体"/>
          <w:b/>
          <w:bCs/>
          <w:color w:val="auto"/>
          <w:sz w:val="24"/>
          <w:highlight w:val="none"/>
        </w:rPr>
        <w:t>3.5.2 培训范围、对象及预期效</w:t>
      </w:r>
      <w:bookmarkEnd w:id="59"/>
      <w:bookmarkEnd w:id="60"/>
      <w:bookmarkEnd w:id="61"/>
      <w:bookmarkEnd w:id="62"/>
      <w:r>
        <w:rPr>
          <w:rFonts w:hint="eastAsia" w:ascii="宋体" w:hAnsi="宋体" w:cs="宋体"/>
          <w:b/>
          <w:bCs/>
          <w:color w:val="auto"/>
          <w:sz w:val="24"/>
          <w:highlight w:val="none"/>
        </w:rPr>
        <w:t>果</w:t>
      </w:r>
      <w:bookmarkEnd w:id="63"/>
      <w:bookmarkEnd w:id="64"/>
      <w:bookmarkEnd w:id="65"/>
      <w:bookmarkEnd w:id="66"/>
      <w:bookmarkEnd w:id="67"/>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培训范围和对象为相关技术人员（系统管理员、网络管理人员、安全管理人员、系统维护人员等）和一线业务系统的使用人员。</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预期培训目标：</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（一）使技术人员掌握相关的专业技术，了解应用系统的设计思路，在开发、测试和维护过程中发挥作用。</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（二）使系统使用人员了解计算机基础知识、系统的工作原理，掌握应用系统的操作方法。</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（三）使业务人员能够在短时间内掌握指挥中心及业务系统的操作使用。</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（四）使参与业务系统开发的人员和业务应用人员按照标准要求，进行应用系统的开发及后续标准的使用。</w:t>
      </w:r>
    </w:p>
    <w:p>
      <w:pPr>
        <w:spacing w:line="240" w:lineRule="auto"/>
        <w:ind w:firstLine="482" w:firstLineChars="200"/>
        <w:rPr>
          <w:rFonts w:hint="eastAsia" w:ascii="宋体" w:hAnsi="宋体" w:cs="宋体"/>
          <w:b/>
          <w:bCs/>
          <w:color w:val="auto"/>
          <w:sz w:val="24"/>
          <w:highlight w:val="none"/>
        </w:rPr>
      </w:pPr>
      <w:bookmarkStart w:id="68" w:name="_Toc22750"/>
      <w:bookmarkStart w:id="69" w:name="_Toc57220917"/>
      <w:bookmarkStart w:id="70" w:name="_Toc1196"/>
      <w:bookmarkStart w:id="71" w:name="_Toc57220870"/>
      <w:bookmarkStart w:id="72" w:name="_Toc31253"/>
      <w:bookmarkStart w:id="73" w:name="_Toc63452241"/>
      <w:bookmarkStart w:id="74" w:name="_Toc24694"/>
      <w:bookmarkStart w:id="75" w:name="_Toc57220979"/>
      <w:bookmarkStart w:id="76" w:name="_Toc31194"/>
      <w:r>
        <w:rPr>
          <w:rFonts w:hint="eastAsia" w:ascii="宋体" w:hAnsi="宋体" w:cs="宋体"/>
          <w:b/>
          <w:bCs/>
          <w:color w:val="auto"/>
          <w:sz w:val="24"/>
          <w:highlight w:val="none"/>
        </w:rPr>
        <w:t>3.5.3 主要培训内容</w:t>
      </w:r>
      <w:bookmarkEnd w:id="68"/>
      <w:bookmarkEnd w:id="69"/>
      <w:bookmarkEnd w:id="70"/>
      <w:bookmarkEnd w:id="71"/>
      <w:bookmarkEnd w:id="72"/>
      <w:bookmarkEnd w:id="73"/>
      <w:bookmarkEnd w:id="74"/>
      <w:bookmarkEnd w:id="75"/>
      <w:bookmarkEnd w:id="76"/>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（一）项目管理培训</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对重要岗位的项目管理人员进行专业化的项目管理培训并进行必要的资格认证，对一般管理人员进行有关知识普及性培训，从总体上提高项目管理人员对有关工程项目的管理水平。培训内容包括项目管理的基本原理、项目集成管理、项目范围管理、项目时间管理、项目成本管理、项目质量、项目风险管理等。</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（二）系统管理及维护培训 </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以集中的形式，注重理论与实际相结合，由承建方提供技术人员对建设方（用户）进行操作培训，并对系统维护人员进行专题技术培训，以确保建成后的系统能稳定运行。培训内容包括：</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（1）各系统、平台相关基础知识。</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（2）相关设备使用、应用系统的使用、技术架构、常见故障排除等内容。</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（3）各项管理维护工具的运用，信息安全培训，数据库、中间件、虚拟化软件等支持软件平台的运行维护知识。</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（4）有关知识普及性培训。</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（三）系统使用操作培训</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在系统投入使用前需对相关使用人员进行技术培训，确保使用人员能够熟练掌握和使用系统、平台的各项业务功能。培训主要分为理论培训和实践培训两类。</w:t>
      </w:r>
    </w:p>
    <w:p>
      <w:pPr>
        <w:spacing w:line="24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（1）理论培训：安排在用户单位进行，由相关专业技术人员对使用人员进行系统理论及各系统功能和管理、设备的技术原理、平台功能操作使用说明等内容的培训。</w:t>
      </w:r>
    </w:p>
    <w:p>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（2）实践培训：由用户指派学员进行各岗位专项实际操作培训，也可以将所有学员集中起来到每个业务岗位进行相关系统功能操作培训。</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AB90D77"/>
    <w:rsid w:val="4C2A5445"/>
    <w:rsid w:val="64A658A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szCs w:val="44"/>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customStyle="1" w:styleId="2">
    <w:name w:val="BodyText"/>
    <w:basedOn w:val="1"/>
    <w:qFormat/>
    <w:uiPriority w:val="0"/>
    <w:pPr>
      <w:spacing w:line="380" w:lineRule="exact"/>
      <w:jc w:val="both"/>
      <w:textAlignment w:val="baseline"/>
    </w:pPr>
    <w:rPr>
      <w:rFonts w:ascii="Times New Roman" w:hAnsi="Times New Roman" w:eastAsia="宋体"/>
      <w:kern w:val="2"/>
      <w:sz w:val="24"/>
      <w:szCs w:val="24"/>
      <w:lang w:val="en-US" w:eastAsia="zh-CN" w:bidi="ar-SA"/>
    </w:rPr>
  </w:style>
  <w:style w:type="paragraph" w:styleId="4">
    <w:name w:val="Plain Text"/>
    <w:basedOn w:val="1"/>
    <w:next w:val="1"/>
    <w:qFormat/>
    <w:uiPriority w:val="0"/>
    <w:rPr>
      <w:rFonts w:ascii="宋体" w:hAnsi="Courier New"/>
    </w:rPr>
  </w:style>
  <w:style w:type="paragraph" w:customStyle="1" w:styleId="7">
    <w:name w:val="文档正文"/>
    <w:basedOn w:val="1"/>
    <w:qFormat/>
    <w:uiPriority w:val="0"/>
    <w:pPr>
      <w:adjustRightInd w:val="0"/>
      <w:spacing w:line="312" w:lineRule="auto"/>
      <w:ind w:left="980" w:hanging="420"/>
    </w:pPr>
    <w:rPr>
      <w:rFonts w:ascii="宋体" w:hAnsi="宋体" w:cs="Times New Roman"/>
      <w:color w:val="000000"/>
      <w:sz w:val="28"/>
    </w:rPr>
  </w:style>
  <w:style w:type="paragraph" w:customStyle="1" w:styleId="8">
    <w:name w:val="toc 12"/>
    <w:next w:val="1"/>
    <w:qFormat/>
    <w:uiPriority w:val="0"/>
    <w:pPr>
      <w:wordWrap w:val="0"/>
      <w:jc w:val="both"/>
    </w:pPr>
    <w:rPr>
      <w:rFonts w:ascii="宋体" w:hAnsi="宋体" w:eastAsia="宋体" w:cs="Times New Roman"/>
      <w:sz w:val="21"/>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秋。^</cp:lastModifiedBy>
  <dcterms:modified xsi:type="dcterms:W3CDTF">2021-06-17T10:20:21Z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043517D3E80A4D6B8CC145C5274BA8DF</vt:lpwstr>
  </property>
</Properties>
</file>