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广西中昱工程项目管理咨询有限公司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关于罗城仫佬族自治县怀群镇东安村肯才屯至拉力屯水坝修复项目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（项目编号：LCZC2020-J2-01568-001）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成交结果公告</w:t>
      </w:r>
      <w:bookmarkEnd w:id="0"/>
      <w:bookmarkEnd w:id="1"/>
    </w:p>
    <w:p>
      <w:pPr>
        <w:rPr>
          <w:rFonts w:hint="eastAsia" w:ascii="宋体" w:hAnsi="宋体" w:eastAsia="宋体" w:cs="宋体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LCZC2020-J2-01568-001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罗城仫佬族自治县怀群镇东安村肯才屯至拉力屯水坝修复项目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三、成交信息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广西河池水利电力建筑工程处</w:t>
      </w:r>
    </w:p>
    <w:p>
      <w:pPr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广西河池市金城江区文苑路36号</w:t>
      </w:r>
    </w:p>
    <w:p>
      <w:pPr>
        <w:snapToGrid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壹佰肆拾肆万玖仟捌佰叁拾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元整</w:t>
      </w:r>
      <w:r>
        <w:rPr>
          <w:rFonts w:hint="eastAsia" w:ascii="宋体" w:hAnsi="宋体" w:eastAsia="宋体" w:cs="宋体"/>
          <w:sz w:val="24"/>
          <w:szCs w:val="24"/>
        </w:rPr>
        <w:t>（￥1449830.00元）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四、主要标的信息</w:t>
      </w:r>
    </w:p>
    <w:tbl>
      <w:tblPr>
        <w:tblStyle w:val="19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48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名称：罗城仫佬族自治县怀群镇东安村肯才屯至拉力屯水坝修复项目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施工范围：新建拦水坝主坝（70m）,消力池1座，护岸100m，安装水轮泵（AT40-6）3台等工作（具体内容详见施工图及工程量清单）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施工工期：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日历天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韦家宇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注册建造师执业资格证书注册编号：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桂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145171809822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，安全生产考核合格证书（B类）证书编号：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桂水安B（201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）00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五、评审专家名单：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梁健生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（组长）、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丘胜（业主评委）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领取成交通知书前，成交人应向采购代理机构一次性付清采购代理服务费，否则，采购代理机构将视之为违约，取消该成交决定并对成交人已提交的全部</w:t>
      </w:r>
      <w:r>
        <w:rPr>
          <w:rFonts w:hint="eastAsia" w:hAnsi="宋体" w:eastAsia="宋体" w:cs="宋体"/>
          <w:color w:val="auto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保证金不予退还。采购代理服务费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参照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国家计委《招标代理机构服务收费管理暂行办法》计价格【2002】1980号及发改价格【2011】534号规定的费率计取，由成交人在领取成交通知书前一次性支付完毕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收费金额为：人民币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壹万叁仟壹佰肆拾捌元捌角壹分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13148.81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元）。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谈判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2020年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09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0分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2、公告媒体：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中国政府采购网（http://www.ccgp.gov.cn）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广西壮族自治区政府采购网（http://www.gxzfcg.gov.cn/）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、河池市公共资源交易中心网（http://www.hcjyxxw.com）。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  <w:t>罗城仫佬族自治县水利局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罗城仫佬族自治县东门镇解放路43号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0778-8215157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28359101"/>
      <w:bookmarkStart w:id="3" w:name="_Toc35393811"/>
      <w:bookmarkStart w:id="4" w:name="_Toc28359024"/>
      <w:bookmarkStart w:id="5" w:name="_Toc35393642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  <w:t>广西中昱工程项目管理咨询有限公司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　　　　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宜州市庆远镇万红路泰富现代城南征地安置区E栋1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0778-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3216626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 </w:t>
      </w:r>
    </w:p>
    <w:p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35393812"/>
      <w:bookmarkStart w:id="7" w:name="_Toc35393643"/>
      <w:bookmarkStart w:id="8" w:name="_Toc28359025"/>
      <w:bookmarkStart w:id="9" w:name="_Toc28359102"/>
      <w:r>
        <w:rPr>
          <w:rFonts w:hint="eastAsia" w:ascii="宋体" w:hAnsi="宋体" w:eastAsia="宋体" w:cs="宋体"/>
          <w:b w:val="0"/>
          <w:sz w:val="24"/>
          <w:szCs w:val="24"/>
        </w:rPr>
        <w:t>项目联系方式</w:t>
      </w:r>
      <w:bookmarkEnd w:id="6"/>
      <w:bookmarkEnd w:id="7"/>
      <w:bookmarkEnd w:id="8"/>
      <w:bookmarkEnd w:id="9"/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李留燕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0778-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3216626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1.采购文件</w:t>
      </w:r>
    </w:p>
    <w:p>
      <w:pPr>
        <w:pStyle w:val="2"/>
        <w:ind w:firstLine="480" w:firstLineChars="200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2.主要成交标的名称、规格型号、数量、单价、服务要求</w:t>
      </w:r>
    </w:p>
    <w:p>
      <w:pPr>
        <w:pStyle w:val="5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bookmarkStart w:id="10" w:name="_Toc28359026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广西中昱工程项目管理咨询有限公司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2020年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>19</w:t>
      </w:r>
      <w:bookmarkStart w:id="11" w:name="_GoBack"/>
      <w:bookmarkEnd w:id="11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>日</w:t>
      </w:r>
      <w:bookmarkEnd w:id="10"/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D81D"/>
    <w:multiLevelType w:val="singleLevel"/>
    <w:tmpl w:val="2693D8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8DE1290"/>
    <w:rsid w:val="096E0D53"/>
    <w:rsid w:val="0DBE4AAB"/>
    <w:rsid w:val="11430508"/>
    <w:rsid w:val="14A20171"/>
    <w:rsid w:val="14FF698C"/>
    <w:rsid w:val="168A1CF5"/>
    <w:rsid w:val="1A8E4A6D"/>
    <w:rsid w:val="1BDB61AA"/>
    <w:rsid w:val="1C0E7386"/>
    <w:rsid w:val="1D21187B"/>
    <w:rsid w:val="212D3494"/>
    <w:rsid w:val="217C6D52"/>
    <w:rsid w:val="22697F14"/>
    <w:rsid w:val="2C456D94"/>
    <w:rsid w:val="2F4B23A6"/>
    <w:rsid w:val="3779606E"/>
    <w:rsid w:val="388B7C0C"/>
    <w:rsid w:val="3CB6405F"/>
    <w:rsid w:val="3D822B7A"/>
    <w:rsid w:val="3EDD280A"/>
    <w:rsid w:val="402B53C2"/>
    <w:rsid w:val="444E3168"/>
    <w:rsid w:val="463970F5"/>
    <w:rsid w:val="465E45C7"/>
    <w:rsid w:val="46ED7935"/>
    <w:rsid w:val="472A2E04"/>
    <w:rsid w:val="47AE746E"/>
    <w:rsid w:val="48332122"/>
    <w:rsid w:val="4A363848"/>
    <w:rsid w:val="555D6A07"/>
    <w:rsid w:val="56C95218"/>
    <w:rsid w:val="57EC2109"/>
    <w:rsid w:val="609D5BEF"/>
    <w:rsid w:val="60F21533"/>
    <w:rsid w:val="60FE27B4"/>
    <w:rsid w:val="624F412E"/>
    <w:rsid w:val="669A0849"/>
    <w:rsid w:val="67167528"/>
    <w:rsid w:val="68E35A46"/>
    <w:rsid w:val="6E736EDF"/>
    <w:rsid w:val="745C1133"/>
    <w:rsid w:val="753A086B"/>
    <w:rsid w:val="759E1C86"/>
    <w:rsid w:val="7BDD51C3"/>
    <w:rsid w:val="7F4149A9"/>
    <w:rsid w:val="7FA56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120" w:after="120" w:line="360" w:lineRule="auto"/>
      <w:outlineLvl w:val="3"/>
    </w:pPr>
    <w:rPr>
      <w:b/>
      <w:bCs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20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20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20"/>
    <w:link w:val="8"/>
    <w:qFormat/>
    <w:uiPriority w:val="0"/>
    <w:rPr>
      <w:rFonts w:ascii="宋体" w:hAnsi="Courier New"/>
    </w:rPr>
  </w:style>
  <w:style w:type="character" w:customStyle="1" w:styleId="29">
    <w:name w:val="日期 Char"/>
    <w:basedOn w:val="20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20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7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30</Pages>
  <Words>1203</Words>
  <Characters>6858</Characters>
  <Lines>57</Lines>
  <Paragraphs>16</Paragraphs>
  <TotalTime>12</TotalTime>
  <ScaleCrop>false</ScaleCrop>
  <LinksUpToDate>false</LinksUpToDate>
  <CharactersWithSpaces>8045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My</cp:lastModifiedBy>
  <cp:lastPrinted>2020-07-13T08:01:00Z</cp:lastPrinted>
  <dcterms:modified xsi:type="dcterms:W3CDTF">2020-11-19T02:09:10Z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