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6"/>
          <w:lang w:val="en-US" w:eastAsia="zh-CN"/>
        </w:rPr>
        <w:t>广东展诚工程咨询有限公司关于贺州市八步区莲塘镇新莲村上湾片、信都镇平龙村耕地提质改造项目测绘、规划设计与预算编制（HZZC2020-C3-020007-GDZC）</w:t>
      </w:r>
      <w:bookmarkStart w:id="0" w:name="OLE_LINK16"/>
      <w:bookmarkEnd w:id="0"/>
      <w:bookmarkStart w:id="1" w:name="OLE_LINK21"/>
      <w:bookmarkEnd w:id="1"/>
      <w:bookmarkStart w:id="2" w:name="OLE_LINK2"/>
      <w:bookmarkEnd w:id="2"/>
      <w:bookmarkStart w:id="3" w:name="OLE_LINK12"/>
      <w:bookmarkEnd w:id="3"/>
      <w:bookmarkStart w:id="4" w:name="OLE_LINK1"/>
      <w:bookmarkEnd w:id="4"/>
      <w:bookmarkStart w:id="5" w:name="OLE_LINK14"/>
      <w:bookmarkEnd w:id="5"/>
      <w:bookmarkStart w:id="6" w:name="OLE_LINK20"/>
      <w:bookmarkEnd w:id="6"/>
      <w:bookmarkStart w:id="7" w:name="OLE_LINK3"/>
      <w:bookmarkEnd w:id="7"/>
      <w:bookmarkStart w:id="8" w:name="OLE_LINK17"/>
      <w:bookmarkEnd w:id="8"/>
      <w:bookmarkStart w:id="9" w:name="OLE_LINK18"/>
      <w:bookmarkEnd w:id="9"/>
      <w:bookmarkStart w:id="10" w:name="OLE_LINK11"/>
      <w:bookmarkEnd w:id="10"/>
      <w:bookmarkStart w:id="11" w:name="OLE_LINK13"/>
      <w:bookmarkEnd w:id="11"/>
      <w:bookmarkStart w:id="12" w:name="OLE_LINK15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6"/>
          <w:lang w:val="en-US" w:eastAsia="zh-CN"/>
        </w:rPr>
        <w:t>成交结果公告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广东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展诚工程咨询有限公司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受贺州市八步区自然资源局委托，根据《中华人民共和国政府采购法》等有关规定，于2020年05月11日就贺州市八步区莲塘镇新莲村上湾片、信都镇平龙村耕地提质改造项目测绘、规划设计与预算编制采用竞争性磋商方式进行采购，现就本次采购的成交结果公告如下：</w:t>
      </w:r>
      <w:bookmarkEnd w:id="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一、采购项目名称及编号：贺州市八步区莲塘镇新莲村上湾片、信都镇平龙村耕地提质改造项目测绘、规划设计与预算编制（项目编号：HZZC2020-C3-020007-GDZC）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二、采购项目简要说明：贺州市八步区莲塘镇新莲村上湾片、信都镇平龙村耕地提质改造项目测绘、规划设计与预算编制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如需进一步了解详细内容，详见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磋商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文件。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合同履行日期：按合同约定。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三、评标日期：2020年05月11日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评审地点：贺州市公共资源交易中心交易大厅（六）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 w:cs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评标委员会名单：黎秀机、左素珍、黄时军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成交信息：</w:t>
      </w:r>
    </w:p>
    <w:tbl>
      <w:tblPr>
        <w:tblStyle w:val="5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1"/>
        <w:gridCol w:w="905"/>
        <w:gridCol w:w="1315"/>
        <w:gridCol w:w="5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  <w:jc w:val="center"/>
        </w:trPr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成交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Ⅰ标段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成交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54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贺州市国土资源勘查测绘院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75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成交</w:t>
            </w:r>
            <w:r>
              <w:rPr>
                <w:rFonts w:hint="eastAsia"/>
                <w:sz w:val="24"/>
                <w:szCs w:val="24"/>
              </w:rPr>
              <w:t>价</w:t>
            </w:r>
          </w:p>
        </w:tc>
        <w:tc>
          <w:tcPr>
            <w:tcW w:w="5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按</w:t>
            </w:r>
            <w:r>
              <w:rPr>
                <w:rFonts w:ascii="宋体" w:hAnsi="宋体" w:cs="宋体"/>
                <w:spacing w:val="-2"/>
                <w:sz w:val="24"/>
                <w:szCs w:val="24"/>
              </w:rPr>
              <w:t>财政部国土资源部关于印发土地开发整理项目预算定额标准的通知(财综</w:t>
            </w: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[</w:t>
            </w:r>
            <w:r>
              <w:rPr>
                <w:rFonts w:ascii="宋体" w:hAnsi="宋体" w:cs="宋体"/>
                <w:spacing w:val="-2"/>
                <w:sz w:val="24"/>
                <w:szCs w:val="24"/>
              </w:rPr>
              <w:t>2011]128号)预算定额标准</w:t>
            </w: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的</w:t>
            </w:r>
            <w:r>
              <w:rPr>
                <w:rFonts w:hint="eastAsia" w:ascii="宋体" w:hAnsi="宋体" w:cs="宋体"/>
                <w:spacing w:val="-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pacing w:val="-2"/>
                <w:sz w:val="24"/>
                <w:szCs w:val="24"/>
                <w:u w:val="single"/>
                <w:lang w:val="en-US" w:eastAsia="zh-CN"/>
              </w:rPr>
              <w:t>98.3</w:t>
            </w:r>
            <w:r>
              <w:rPr>
                <w:rFonts w:hint="eastAsia" w:ascii="宋体" w:hAnsi="宋体" w:cs="宋体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％</w:t>
            </w:r>
            <w:r>
              <w:rPr>
                <w:rFonts w:ascii="宋体" w:hAnsi="宋体" w:cs="宋体"/>
                <w:spacing w:val="-2"/>
                <w:sz w:val="24"/>
                <w:szCs w:val="24"/>
              </w:rPr>
              <w:t>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  <w:jc w:val="center"/>
        </w:trPr>
        <w:tc>
          <w:tcPr>
            <w:tcW w:w="175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项目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5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郑宗林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职称证书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编号：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1582446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75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服务期</w:t>
            </w:r>
          </w:p>
        </w:tc>
        <w:tc>
          <w:tcPr>
            <w:tcW w:w="5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签订合同之日起：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日历天内出具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测量成果，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日历天内出具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规划设计成果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  <w:jc w:val="center"/>
        </w:trPr>
        <w:tc>
          <w:tcPr>
            <w:tcW w:w="175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Ⅱ标段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成交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5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广西荣城工程咨询有限公司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75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成交</w:t>
            </w:r>
            <w:r>
              <w:rPr>
                <w:rFonts w:hint="eastAsia"/>
                <w:sz w:val="24"/>
                <w:szCs w:val="24"/>
              </w:rPr>
              <w:t>价</w:t>
            </w:r>
          </w:p>
        </w:tc>
        <w:tc>
          <w:tcPr>
            <w:tcW w:w="54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按</w:t>
            </w:r>
            <w:r>
              <w:rPr>
                <w:rFonts w:ascii="宋体" w:hAnsi="宋体" w:cs="宋体"/>
                <w:spacing w:val="-2"/>
                <w:sz w:val="24"/>
                <w:szCs w:val="24"/>
              </w:rPr>
              <w:t>财政部国土资源部关于印发土地开发整理项目预算定额标准的通知(财综</w:t>
            </w: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[</w:t>
            </w:r>
            <w:r>
              <w:rPr>
                <w:rFonts w:ascii="宋体" w:hAnsi="宋体" w:cs="宋体"/>
                <w:spacing w:val="-2"/>
                <w:sz w:val="24"/>
                <w:szCs w:val="24"/>
              </w:rPr>
              <w:t>2011]128号)预算定额标准</w:t>
            </w: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的</w:t>
            </w:r>
            <w:r>
              <w:rPr>
                <w:rFonts w:hint="eastAsia" w:ascii="宋体" w:hAnsi="宋体" w:cs="宋体"/>
                <w:spacing w:val="-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pacing w:val="-2"/>
                <w:sz w:val="24"/>
                <w:szCs w:val="24"/>
                <w:u w:val="single"/>
                <w:lang w:val="en-US" w:eastAsia="zh-CN"/>
              </w:rPr>
              <w:t>96</w:t>
            </w:r>
            <w:r>
              <w:rPr>
                <w:rFonts w:hint="eastAsia" w:ascii="宋体" w:hAnsi="宋体" w:cs="宋体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％</w:t>
            </w:r>
            <w:r>
              <w:rPr>
                <w:rFonts w:ascii="宋体" w:hAnsi="宋体" w:cs="宋体"/>
                <w:spacing w:val="-2"/>
                <w:sz w:val="24"/>
                <w:szCs w:val="24"/>
              </w:rPr>
              <w:t>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  <w:jc w:val="center"/>
        </w:trPr>
        <w:tc>
          <w:tcPr>
            <w:tcW w:w="175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项目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54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杨熔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职称证书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编号：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1266496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7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服务期</w:t>
            </w:r>
          </w:p>
        </w:tc>
        <w:tc>
          <w:tcPr>
            <w:tcW w:w="54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签订合同之日起：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日历天内出具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测量成果，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日历天内出具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规划设计成果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六、联系事项</w:t>
      </w:r>
    </w:p>
    <w:p>
      <w:pPr>
        <w:spacing w:line="400" w:lineRule="exact"/>
        <w:rPr>
          <w:rFonts w:hint="eastAsia" w:ascii="宋体" w:hAnsi="宋体" w:eastAsia="宋体" w:cs="宋体"/>
          <w:color w:val="000000"/>
          <w:sz w:val="24"/>
          <w:szCs w:val="24"/>
          <w:u w:val="single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</w:rPr>
        <w:t>采购人：</w:t>
      </w:r>
      <w:r>
        <w:rPr>
          <w:rFonts w:hint="eastAsia" w:ascii="宋体" w:hAnsi="宋体" w:cs="宋体"/>
          <w:color w:val="000000"/>
          <w:sz w:val="24"/>
          <w:szCs w:val="24"/>
          <w:u w:val="single"/>
          <w:lang w:eastAsia="zh-CN"/>
        </w:rPr>
        <w:t>贺州市八步区自然资源局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sz w:val="24"/>
          <w:szCs w:val="24"/>
        </w:rPr>
        <w:t>采购代理机构：</w:t>
      </w:r>
      <w:r>
        <w:rPr>
          <w:rFonts w:hint="eastAsia" w:ascii="宋体" w:hAnsi="宋体" w:cs="宋体"/>
          <w:color w:val="000000"/>
          <w:sz w:val="24"/>
          <w:szCs w:val="24"/>
          <w:u w:val="single"/>
          <w:lang w:eastAsia="zh-CN"/>
        </w:rPr>
        <w:t>广东展诚工程咨询有限公司</w:t>
      </w:r>
    </w:p>
    <w:p>
      <w:pPr>
        <w:wordWrap w:val="0"/>
        <w:spacing w:line="400" w:lineRule="exact"/>
        <w:ind w:left="5670" w:hanging="6480" w:hangingChars="2700"/>
        <w:jc w:val="both"/>
        <w:rPr>
          <w:rFonts w:hint="eastAsia" w:ascii="宋体" w:hAnsi="宋体" w:cs="宋体"/>
          <w:color w:val="000000"/>
          <w:sz w:val="24"/>
          <w:szCs w:val="24"/>
          <w:u w:val="single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</w:rPr>
        <w:t>地址：</w:t>
      </w:r>
      <w:r>
        <w:rPr>
          <w:rFonts w:hint="eastAsia"/>
          <w:sz w:val="24"/>
          <w:szCs w:val="24"/>
          <w:u w:val="single"/>
        </w:rPr>
        <w:t>贺州市八步区贺州大道7号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000000"/>
          <w:sz w:val="24"/>
          <w:szCs w:val="24"/>
        </w:rPr>
        <w:t>地址：</w:t>
      </w:r>
      <w:r>
        <w:rPr>
          <w:rFonts w:hint="eastAsia" w:ascii="宋体" w:hAnsi="宋体" w:cs="宋体"/>
          <w:color w:val="000000"/>
          <w:sz w:val="24"/>
          <w:szCs w:val="24"/>
          <w:u w:val="single"/>
          <w:lang w:eastAsia="zh-CN"/>
        </w:rPr>
        <w:t>贺州市八步区城东街道灵凤村城东新区太安路B地</w:t>
      </w:r>
    </w:p>
    <w:p>
      <w:pPr>
        <w:wordWrap w:val="0"/>
        <w:spacing w:line="400" w:lineRule="exact"/>
        <w:ind w:left="5670" w:hanging="6480" w:hangingChars="2700"/>
        <w:jc w:val="both"/>
        <w:rPr>
          <w:rFonts w:hint="default" w:ascii="宋体" w:hAnsi="宋体" w:cs="宋体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u w:val="none"/>
          <w:lang w:val="en-US" w:eastAsia="zh-CN"/>
        </w:rPr>
        <w:t xml:space="preserve">                                           </w:t>
      </w:r>
      <w:r>
        <w:rPr>
          <w:rFonts w:hint="eastAsia" w:ascii="宋体" w:hAnsi="宋体" w:cs="宋体"/>
          <w:sz w:val="24"/>
          <w:szCs w:val="24"/>
          <w:u w:val="single"/>
        </w:rPr>
        <w:t>块128号4楼</w:t>
      </w:r>
    </w:p>
    <w:p>
      <w:pPr>
        <w:spacing w:line="400" w:lineRule="exact"/>
        <w:rPr>
          <w:rFonts w:hint="eastAsia" w:ascii="宋体" w:hAnsi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</w:rPr>
        <w:t>邮编：</w:t>
      </w:r>
      <w:r>
        <w:rPr>
          <w:rFonts w:hint="eastAsia" w:ascii="宋体" w:hAnsi="宋体" w:cs="宋体"/>
          <w:color w:val="000000"/>
          <w:sz w:val="24"/>
          <w:szCs w:val="24"/>
          <w:u w:val="single"/>
          <w:lang w:eastAsia="zh-CN"/>
        </w:rPr>
        <w:t>542899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                  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</w:rPr>
        <w:t>邮编：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>542899</w:t>
      </w:r>
    </w:p>
    <w:p>
      <w:pPr>
        <w:spacing w:line="400" w:lineRule="exact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联系人：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黄工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</w:rPr>
        <w:t>联系人：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eastAsia="zh-CN"/>
        </w:rPr>
        <w:t>莫辉</w:t>
      </w:r>
    </w:p>
    <w:p>
      <w:pPr>
        <w:spacing w:line="360" w:lineRule="exac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电话：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</w:rPr>
        <w:t>0774-5685163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电话：</w:t>
      </w:r>
      <w:r>
        <w:rPr>
          <w:rFonts w:hint="eastAsia" w:ascii="宋体" w:hAnsi="宋体" w:cs="宋体"/>
          <w:sz w:val="24"/>
          <w:szCs w:val="24"/>
          <w:u w:val="single"/>
        </w:rPr>
        <w:t>0774-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5200517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监督部门：贺州市八步区政府采购管理办公室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电话：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0774-5281873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七、成交结果公告期限：自成交结果公告发布之日起一个工作日。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竞标人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认为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结果使自己的权益受到损害的，可以在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结果公告期限届满之日起七个工作日内以书面形式向采购人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贺州市八步区自然资源局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或受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托代理机构广东展诚工程咨询有限公司提出质疑，逾期将不再受理。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附：1.竞争性磋商文件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960" w:firstLineChars="400"/>
        <w:jc w:val="both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bookmarkStart w:id="13" w:name="_GoBack"/>
      <w:bookmarkEnd w:id="13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成交标的的名称、规格型号、数量、单价、服务要求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采购单位：贺州市八步区自然资源局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rPr>
          <w:rFonts w:hint="eastAsia"/>
          <w:sz w:val="24"/>
          <w:szCs w:val="24"/>
          <w:lang w:val="en-US" w:eastAsia="zh-CN"/>
        </w:rPr>
      </w:pPr>
    </w:p>
    <w:p>
      <w:pPr>
        <w:pStyle w:val="4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采购代理机构：广东展诚工程咨询有限公司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440" w:firstLineChars="3100"/>
        <w:jc w:val="right"/>
        <w:textAlignment w:val="auto"/>
        <w:outlineLvl w:val="9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2020年05月12日</w:t>
      </w:r>
    </w:p>
    <w:p/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E894"/>
    <w:multiLevelType w:val="singleLevel"/>
    <w:tmpl w:val="68DEE89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61AD6"/>
    <w:rsid w:val="154F60E9"/>
    <w:rsid w:val="29C2577E"/>
    <w:rsid w:val="37F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2020-05-12T01:36:00Z</dcterms:created>
  <dc:creator>Administrator</dc:creator>
  <cp:lastModifiedBy>Administrator</cp:lastModifiedBy>
  <dcterms:modified xsi:type="dcterms:W3CDTF">2020-05-12T08:18:37Z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