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宋体" w:cs="宋体"/>
          <w:color w:val="auto"/>
          <w:kern w:val="0"/>
          <w:sz w:val="56"/>
          <w:szCs w:val="24"/>
          <w:highlight w:val="none"/>
        </w:rPr>
      </w:pPr>
      <w:bookmarkStart w:id="0" w:name="_Toc23046659"/>
      <w:bookmarkStart w:id="1" w:name="_Toc74156181"/>
      <w:bookmarkStart w:id="2" w:name="_Toc23152553"/>
      <w:bookmarkStart w:id="3" w:name="_Toc514238583"/>
      <w:r>
        <w:rPr>
          <w:rFonts w:hint="eastAsia" w:ascii="宋体" w:hAnsi="宋体" w:cs="宋体"/>
          <w:color w:val="auto"/>
          <w:sz w:val="32"/>
          <w:szCs w:val="32"/>
        </w:rPr>
        <w:drawing>
          <wp:inline distT="0" distB="0" distL="114300" distR="114300">
            <wp:extent cx="6210935" cy="951230"/>
            <wp:effectExtent l="0" t="0" r="18415" b="1270"/>
            <wp:docPr id="1" name="图片 1" descr="5734e743d9cbb71caf8ec41600c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734e743d9cbb71caf8ec41600c2776"/>
                    <pic:cNvPicPr>
                      <a:picLocks noChangeAspect="1"/>
                    </pic:cNvPicPr>
                  </pic:nvPicPr>
                  <pic:blipFill>
                    <a:blip r:embed="rId16"/>
                    <a:stretch>
                      <a:fillRect/>
                    </a:stretch>
                  </pic:blipFill>
                  <pic:spPr>
                    <a:xfrm>
                      <a:off x="0" y="0"/>
                      <a:ext cx="6210935" cy="951230"/>
                    </a:xfrm>
                    <a:prstGeom prst="rect">
                      <a:avLst/>
                    </a:prstGeom>
                    <a:noFill/>
                    <a:ln>
                      <a:noFill/>
                    </a:ln>
                  </pic:spPr>
                </pic:pic>
              </a:graphicData>
            </a:graphic>
          </wp:inline>
        </w:drawing>
      </w:r>
    </w:p>
    <w:p>
      <w:pPr>
        <w:autoSpaceDE w:val="0"/>
        <w:autoSpaceDN w:val="0"/>
        <w:adjustRightInd w:val="0"/>
        <w:spacing w:line="360" w:lineRule="auto"/>
        <w:jc w:val="center"/>
        <w:rPr>
          <w:rFonts w:ascii="宋体" w:cs="宋体"/>
          <w:color w:val="auto"/>
          <w:kern w:val="0"/>
          <w:sz w:val="56"/>
          <w:szCs w:val="24"/>
          <w:highlight w:val="none"/>
        </w:rPr>
      </w:pPr>
    </w:p>
    <w:p>
      <w:pPr>
        <w:pStyle w:val="2"/>
        <w:rPr>
          <w:rFonts w:ascii="宋体" w:cs="宋体"/>
          <w:color w:val="auto"/>
          <w:kern w:val="0"/>
          <w:sz w:val="56"/>
          <w:szCs w:val="24"/>
          <w:highlight w:val="none"/>
        </w:rPr>
      </w:pPr>
    </w:p>
    <w:p>
      <w:pPr>
        <w:pStyle w:val="2"/>
        <w:rPr>
          <w:rFonts w:ascii="宋体" w:cs="宋体"/>
          <w:color w:val="auto"/>
          <w:kern w:val="0"/>
          <w:sz w:val="56"/>
          <w:szCs w:val="24"/>
          <w:highlight w:val="none"/>
        </w:rPr>
      </w:pPr>
    </w:p>
    <w:p>
      <w:pPr>
        <w:pStyle w:val="2"/>
        <w:rPr>
          <w:rFonts w:ascii="宋体" w:cs="宋体"/>
          <w:color w:val="auto"/>
          <w:kern w:val="0"/>
          <w:sz w:val="56"/>
          <w:szCs w:val="24"/>
          <w:highlight w:val="none"/>
        </w:rPr>
      </w:pPr>
    </w:p>
    <w:p>
      <w:pPr>
        <w:pStyle w:val="2"/>
        <w:rPr>
          <w:color w:val="auto"/>
        </w:rPr>
      </w:pPr>
    </w:p>
    <w:p>
      <w:pPr>
        <w:autoSpaceDE w:val="0"/>
        <w:autoSpaceDN w:val="0"/>
        <w:adjustRightInd w:val="0"/>
        <w:spacing w:line="360" w:lineRule="auto"/>
        <w:jc w:val="center"/>
        <w:rPr>
          <w:rFonts w:ascii="宋体" w:cs="宋体"/>
          <w:b/>
          <w:color w:val="auto"/>
          <w:kern w:val="0"/>
          <w:sz w:val="72"/>
          <w:szCs w:val="72"/>
          <w:highlight w:val="none"/>
        </w:rPr>
      </w:pPr>
      <w:r>
        <w:rPr>
          <w:rFonts w:hint="eastAsia" w:ascii="宋体" w:hAnsi="宋体" w:cs="宋体"/>
          <w:b/>
          <w:color w:val="auto"/>
          <w:kern w:val="0"/>
          <w:sz w:val="76"/>
          <w:szCs w:val="76"/>
          <w:highlight w:val="none"/>
          <w:lang w:eastAsia="zh-CN"/>
        </w:rPr>
        <w:t>竞争性磋商</w:t>
      </w:r>
      <w:r>
        <w:rPr>
          <w:rFonts w:hint="eastAsia" w:ascii="宋体" w:hAnsi="宋体" w:cs="宋体"/>
          <w:b/>
          <w:color w:val="auto"/>
          <w:kern w:val="0"/>
          <w:sz w:val="76"/>
          <w:szCs w:val="76"/>
          <w:highlight w:val="none"/>
        </w:rPr>
        <w:t>采购文件</w:t>
      </w:r>
    </w:p>
    <w:p>
      <w:pPr>
        <w:autoSpaceDE w:val="0"/>
        <w:autoSpaceDN w:val="0"/>
        <w:adjustRightInd w:val="0"/>
        <w:spacing w:line="360" w:lineRule="auto"/>
        <w:ind w:left="1676" w:leftChars="798" w:firstLine="280" w:firstLineChars="100"/>
        <w:jc w:val="both"/>
        <w:rPr>
          <w:rFonts w:hint="eastAsia" w:ascii="宋体" w:hAnsi="宋体" w:cs="宋体"/>
          <w:b w:val="0"/>
          <w:bCs w:val="0"/>
          <w:color w:val="auto"/>
          <w:kern w:val="0"/>
          <w:sz w:val="28"/>
          <w:szCs w:val="21"/>
          <w:highlight w:val="none"/>
        </w:rPr>
      </w:pPr>
      <w:r>
        <w:rPr>
          <w:rFonts w:hint="eastAsia" w:ascii="宋体" w:hAnsi="宋体" w:cs="宋体"/>
          <w:b w:val="0"/>
          <w:bCs w:val="0"/>
          <w:color w:val="auto"/>
          <w:kern w:val="0"/>
          <w:sz w:val="28"/>
          <w:szCs w:val="21"/>
          <w:highlight w:val="none"/>
        </w:rPr>
        <w:t>项目名称：</w:t>
      </w:r>
      <w:r>
        <w:rPr>
          <w:rFonts w:hint="eastAsia" w:ascii="宋体" w:hAnsi="宋体" w:cs="宋体"/>
          <w:b w:val="0"/>
          <w:bCs w:val="0"/>
          <w:color w:val="auto"/>
          <w:kern w:val="0"/>
          <w:sz w:val="28"/>
          <w:szCs w:val="21"/>
          <w:highlight w:val="none"/>
          <w:lang w:eastAsia="zh-CN"/>
        </w:rPr>
        <w:t>天等县驮堪乡驮堪村净屯环境整治工程</w:t>
      </w:r>
    </w:p>
    <w:p>
      <w:pPr>
        <w:autoSpaceDE w:val="0"/>
        <w:autoSpaceDN w:val="0"/>
        <w:adjustRightInd w:val="0"/>
        <w:spacing w:line="360" w:lineRule="auto"/>
        <w:ind w:firstLine="1960" w:firstLineChars="700"/>
        <w:jc w:val="both"/>
        <w:rPr>
          <w:rFonts w:hint="eastAsia" w:ascii="宋体" w:hAnsi="宋体" w:cs="宋体"/>
          <w:b w:val="0"/>
          <w:bCs w:val="0"/>
          <w:color w:val="auto"/>
          <w:kern w:val="0"/>
          <w:sz w:val="28"/>
          <w:szCs w:val="21"/>
          <w:highlight w:val="none"/>
          <w:lang w:eastAsia="zh-CN"/>
        </w:rPr>
      </w:pPr>
      <w:r>
        <w:rPr>
          <w:rFonts w:hint="eastAsia" w:ascii="宋体" w:hAnsi="宋体" w:cs="宋体"/>
          <w:b w:val="0"/>
          <w:bCs w:val="0"/>
          <w:color w:val="auto"/>
          <w:kern w:val="0"/>
          <w:sz w:val="28"/>
          <w:szCs w:val="21"/>
          <w:highlight w:val="none"/>
        </w:rPr>
        <w:t>项目编号：</w:t>
      </w:r>
      <w:r>
        <w:rPr>
          <w:rFonts w:hint="eastAsia" w:ascii="宋体" w:hAnsi="宋体" w:cs="宋体"/>
          <w:b w:val="0"/>
          <w:bCs w:val="0"/>
          <w:color w:val="auto"/>
          <w:kern w:val="0"/>
          <w:sz w:val="28"/>
          <w:szCs w:val="21"/>
          <w:highlight w:val="none"/>
          <w:lang w:eastAsia="zh-CN"/>
        </w:rPr>
        <w:t>CZZC2021-C2-250221-GXYX</w:t>
      </w:r>
    </w:p>
    <w:p>
      <w:pPr>
        <w:spacing w:line="360" w:lineRule="auto"/>
        <w:rPr>
          <w:rFonts w:ascii="宋体" w:cs="宋体"/>
          <w:b w:val="0"/>
          <w:bCs w:val="0"/>
          <w:color w:val="auto"/>
          <w:sz w:val="18"/>
          <w:szCs w:val="20"/>
          <w:highlight w:val="none"/>
        </w:rPr>
      </w:pPr>
    </w:p>
    <w:p>
      <w:pPr>
        <w:pStyle w:val="2"/>
        <w:rPr>
          <w:rFonts w:ascii="宋体" w:cs="宋体"/>
          <w:b w:val="0"/>
          <w:bCs w:val="0"/>
          <w:color w:val="auto"/>
          <w:sz w:val="18"/>
          <w:szCs w:val="20"/>
          <w:highlight w:val="none"/>
        </w:rPr>
      </w:pPr>
    </w:p>
    <w:p>
      <w:pPr>
        <w:pStyle w:val="2"/>
        <w:rPr>
          <w:rFonts w:ascii="宋体" w:cs="宋体"/>
          <w:b w:val="0"/>
          <w:bCs w:val="0"/>
          <w:color w:val="auto"/>
          <w:sz w:val="18"/>
          <w:szCs w:val="20"/>
          <w:highlight w:val="none"/>
        </w:rPr>
      </w:pPr>
    </w:p>
    <w:p>
      <w:pPr>
        <w:pStyle w:val="2"/>
        <w:rPr>
          <w:rFonts w:ascii="宋体" w:cs="宋体"/>
          <w:b w:val="0"/>
          <w:bCs w:val="0"/>
          <w:color w:val="auto"/>
          <w:sz w:val="18"/>
          <w:szCs w:val="20"/>
          <w:highlight w:val="none"/>
        </w:rPr>
      </w:pPr>
    </w:p>
    <w:p>
      <w:pPr>
        <w:pStyle w:val="2"/>
        <w:rPr>
          <w:rFonts w:ascii="宋体" w:cs="宋体"/>
          <w:b w:val="0"/>
          <w:bCs w:val="0"/>
          <w:color w:val="auto"/>
          <w:sz w:val="18"/>
          <w:szCs w:val="20"/>
          <w:highlight w:val="none"/>
        </w:rPr>
      </w:pPr>
    </w:p>
    <w:p>
      <w:pPr>
        <w:pStyle w:val="2"/>
        <w:rPr>
          <w:rFonts w:ascii="宋体" w:cs="宋体"/>
          <w:color w:val="auto"/>
          <w:highlight w:val="none"/>
        </w:rPr>
      </w:pPr>
    </w:p>
    <w:p>
      <w:pPr>
        <w:pStyle w:val="2"/>
        <w:rPr>
          <w:rFonts w:ascii="宋体" w:cs="宋体"/>
          <w:color w:val="auto"/>
          <w:highlight w:val="none"/>
        </w:rPr>
      </w:pPr>
    </w:p>
    <w:p>
      <w:pPr>
        <w:pStyle w:val="2"/>
        <w:rPr>
          <w:rFonts w:ascii="宋体" w:cs="宋体"/>
          <w:color w:val="auto"/>
          <w:kern w:val="0"/>
          <w:sz w:val="36"/>
          <w:szCs w:val="24"/>
          <w:highlight w:val="none"/>
        </w:rPr>
      </w:pPr>
    </w:p>
    <w:p>
      <w:pPr>
        <w:pStyle w:val="2"/>
        <w:rPr>
          <w:rFonts w:ascii="宋体" w:cs="宋体"/>
          <w:color w:val="auto"/>
          <w:kern w:val="0"/>
          <w:sz w:val="36"/>
          <w:szCs w:val="24"/>
          <w:highlight w:val="none"/>
        </w:rPr>
      </w:pPr>
    </w:p>
    <w:p>
      <w:pPr>
        <w:spacing w:line="600" w:lineRule="auto"/>
        <w:ind w:firstLine="868" w:firstLineChars="300"/>
        <w:jc w:val="left"/>
        <w:rPr>
          <w:rFonts w:hint="eastAsia" w:ascii="宋体" w:eastAsia="宋体" w:cs="宋体"/>
          <w:b/>
          <w:color w:val="auto"/>
          <w:kern w:val="0"/>
          <w:sz w:val="30"/>
          <w:szCs w:val="30"/>
          <w:highlight w:val="none"/>
          <w:u w:val="none"/>
          <w:lang w:val="en-US" w:eastAsia="zh-CN"/>
        </w:rPr>
      </w:pPr>
      <w:r>
        <w:rPr>
          <w:rFonts w:hint="eastAsia" w:ascii="宋体" w:hAnsi="宋体" w:cs="宋体"/>
          <w:b/>
          <w:color w:val="auto"/>
          <w:spacing w:val="-6"/>
          <w:kern w:val="0"/>
          <w:sz w:val="30"/>
          <w:szCs w:val="30"/>
          <w:highlight w:val="none"/>
          <w:lang w:eastAsia="zh-CN"/>
        </w:rPr>
        <w:t>采购</w:t>
      </w:r>
      <w:r>
        <w:rPr>
          <w:rFonts w:hint="eastAsia" w:ascii="宋体" w:hAnsi="宋体" w:cs="宋体"/>
          <w:b/>
          <w:color w:val="auto"/>
          <w:spacing w:val="-6"/>
          <w:kern w:val="0"/>
          <w:sz w:val="30"/>
          <w:szCs w:val="30"/>
          <w:highlight w:val="none"/>
        </w:rPr>
        <w:t>单</w:t>
      </w:r>
      <w:r>
        <w:rPr>
          <w:rFonts w:hint="eastAsia" w:ascii="宋体" w:hAnsi="宋体" w:cs="宋体"/>
          <w:b/>
          <w:color w:val="auto"/>
          <w:spacing w:val="-6"/>
          <w:kern w:val="0"/>
          <w:sz w:val="30"/>
          <w:szCs w:val="30"/>
          <w:highlight w:val="none"/>
          <w:u w:val="none"/>
        </w:rPr>
        <w:t>位</w:t>
      </w:r>
      <w:r>
        <w:rPr>
          <w:rFonts w:hint="eastAsia" w:ascii="宋体" w:hAnsi="宋体" w:cs="宋体"/>
          <w:b/>
          <w:bCs/>
          <w:color w:val="auto"/>
          <w:sz w:val="30"/>
          <w:szCs w:val="30"/>
          <w:highlight w:val="none"/>
          <w:u w:val="none"/>
        </w:rPr>
        <w:t>：</w:t>
      </w:r>
      <w:r>
        <w:rPr>
          <w:rFonts w:hint="eastAsia" w:ascii="宋体" w:hAnsi="宋体" w:cs="宋体"/>
          <w:b/>
          <w:color w:val="auto"/>
          <w:kern w:val="0"/>
          <w:sz w:val="30"/>
          <w:szCs w:val="30"/>
          <w:highlight w:val="none"/>
          <w:u w:val="none"/>
          <w:lang w:eastAsia="zh-CN"/>
        </w:rPr>
        <w:t>天等县乡村振兴局</w:t>
      </w:r>
      <w:r>
        <w:rPr>
          <w:rFonts w:hint="eastAsia" w:ascii="宋体" w:hAnsi="宋体" w:cs="宋体"/>
          <w:b/>
          <w:color w:val="auto"/>
          <w:kern w:val="0"/>
          <w:sz w:val="30"/>
          <w:szCs w:val="30"/>
          <w:highlight w:val="none"/>
          <w:u w:val="none"/>
          <w:lang w:val="en-US" w:eastAsia="zh-CN"/>
        </w:rPr>
        <w:t xml:space="preserve">  </w:t>
      </w:r>
    </w:p>
    <w:p>
      <w:pPr>
        <w:autoSpaceDE w:val="0"/>
        <w:autoSpaceDN w:val="0"/>
        <w:adjustRightInd w:val="0"/>
        <w:spacing w:line="600" w:lineRule="auto"/>
        <w:ind w:firstLine="904" w:firstLineChars="300"/>
        <w:jc w:val="both"/>
        <w:outlineLvl w:val="0"/>
        <w:rPr>
          <w:rFonts w:hint="eastAsia" w:ascii="宋体" w:eastAsia="宋体" w:cs="宋体"/>
          <w:b/>
          <w:color w:val="auto"/>
          <w:kern w:val="0"/>
          <w:sz w:val="30"/>
          <w:szCs w:val="30"/>
          <w:highlight w:val="none"/>
          <w:u w:val="none"/>
          <w:lang w:eastAsia="zh-CN"/>
        </w:rPr>
      </w:pPr>
      <w:bookmarkStart w:id="4" w:name="_Toc243584221"/>
      <w:r>
        <w:rPr>
          <w:rFonts w:hint="eastAsia" w:ascii="宋体" w:hAnsi="宋体" w:cs="宋体"/>
          <w:b/>
          <w:color w:val="auto"/>
          <w:kern w:val="0"/>
          <w:sz w:val="30"/>
          <w:szCs w:val="30"/>
          <w:highlight w:val="none"/>
          <w:u w:val="none"/>
        </w:rPr>
        <w:t>采购代理机构：</w:t>
      </w:r>
      <w:bookmarkEnd w:id="4"/>
      <w:r>
        <w:rPr>
          <w:rFonts w:hint="eastAsia" w:ascii="宋体" w:hAnsi="宋体" w:cs="宋体"/>
          <w:b/>
          <w:color w:val="auto"/>
          <w:kern w:val="0"/>
          <w:sz w:val="30"/>
          <w:szCs w:val="30"/>
          <w:highlight w:val="none"/>
          <w:u w:val="none"/>
          <w:lang w:eastAsia="zh-CN"/>
        </w:rPr>
        <w:t>广西亿翔荣工程管理有限责任公司</w:t>
      </w:r>
      <w:r>
        <w:rPr>
          <w:rFonts w:hint="eastAsia" w:ascii="宋体" w:hAnsi="宋体" w:cs="宋体"/>
          <w:b/>
          <w:color w:val="auto"/>
          <w:kern w:val="0"/>
          <w:sz w:val="30"/>
          <w:szCs w:val="30"/>
          <w:highlight w:val="none"/>
          <w:u w:val="none"/>
          <w:lang w:val="en-US" w:eastAsia="zh-CN"/>
        </w:rPr>
        <w:t xml:space="preserve">  </w:t>
      </w:r>
    </w:p>
    <w:p>
      <w:pPr>
        <w:autoSpaceDE w:val="0"/>
        <w:autoSpaceDN w:val="0"/>
        <w:adjustRightInd w:val="0"/>
        <w:spacing w:line="600" w:lineRule="auto"/>
        <w:jc w:val="center"/>
        <w:outlineLvl w:val="0"/>
        <w:rPr>
          <w:rFonts w:ascii="宋体" w:cs="宋体"/>
          <w:b/>
          <w:color w:val="auto"/>
          <w:kern w:val="0"/>
          <w:sz w:val="30"/>
          <w:szCs w:val="30"/>
          <w:highlight w:val="none"/>
        </w:rPr>
        <w:sectPr>
          <w:headerReference r:id="rId4" w:type="first"/>
          <w:headerReference r:id="rId3" w:type="default"/>
          <w:footerReference r:id="rId5" w:type="default"/>
          <w:footerReference r:id="rId6" w:type="even"/>
          <w:endnotePr>
            <w:numFmt w:val="decimal"/>
          </w:endnotePr>
          <w:pgSz w:w="11906" w:h="16838"/>
          <w:pgMar w:top="1134" w:right="1028" w:bottom="1134" w:left="998" w:header="397" w:footer="680" w:gutter="0"/>
          <w:paperSrc w:first="7" w:other="7"/>
          <w:pgNumType w:fmt="chineseCounting" w:start="0"/>
          <w:cols w:space="720" w:num="1"/>
          <w:titlePg/>
          <w:docGrid w:type="lines" w:linePitch="312" w:charSpace="0"/>
        </w:sectPr>
      </w:pPr>
      <w:r>
        <w:rPr>
          <w:rFonts w:ascii="宋体" w:hAnsi="宋体" w:cs="宋体"/>
          <w:b/>
          <w:color w:val="auto"/>
          <w:kern w:val="0"/>
          <w:sz w:val="30"/>
          <w:szCs w:val="30"/>
          <w:highlight w:val="none"/>
        </w:rPr>
        <w:t>20</w:t>
      </w:r>
      <w:r>
        <w:rPr>
          <w:rFonts w:hint="eastAsia" w:ascii="宋体" w:hAnsi="宋体" w:cs="宋体"/>
          <w:b/>
          <w:color w:val="auto"/>
          <w:kern w:val="0"/>
          <w:sz w:val="30"/>
          <w:szCs w:val="30"/>
          <w:highlight w:val="none"/>
          <w:lang w:val="en-US" w:eastAsia="zh-CN"/>
        </w:rPr>
        <w:t>21</w:t>
      </w:r>
      <w:r>
        <w:rPr>
          <w:rFonts w:hint="eastAsia" w:ascii="宋体" w:hAnsi="宋体" w:cs="宋体"/>
          <w:b/>
          <w:color w:val="auto"/>
          <w:kern w:val="0"/>
          <w:sz w:val="30"/>
          <w:szCs w:val="30"/>
          <w:highlight w:val="none"/>
        </w:rPr>
        <w:t>年</w:t>
      </w:r>
      <w:r>
        <w:rPr>
          <w:rFonts w:hint="eastAsia" w:ascii="宋体" w:hAnsi="宋体" w:cs="宋体"/>
          <w:b/>
          <w:color w:val="auto"/>
          <w:kern w:val="0"/>
          <w:sz w:val="30"/>
          <w:szCs w:val="30"/>
          <w:highlight w:val="none"/>
          <w:lang w:val="en-US" w:eastAsia="zh-CN"/>
        </w:rPr>
        <w:t>9</w:t>
      </w:r>
      <w:r>
        <w:rPr>
          <w:rFonts w:hint="eastAsia" w:ascii="宋体" w:hAnsi="宋体" w:cs="宋体"/>
          <w:b/>
          <w:color w:val="auto"/>
          <w:kern w:val="0"/>
          <w:sz w:val="30"/>
          <w:szCs w:val="30"/>
          <w:highlight w:val="none"/>
        </w:rPr>
        <w:t>月</w:t>
      </w:r>
    </w:p>
    <w:p>
      <w:pPr>
        <w:pStyle w:val="42"/>
        <w:spacing w:line="360" w:lineRule="auto"/>
        <w:jc w:val="center"/>
        <w:rPr>
          <w:b w:val="0"/>
          <w:bCs w:val="0"/>
          <w:color w:val="auto"/>
          <w:sz w:val="16"/>
          <w:szCs w:val="21"/>
        </w:rPr>
      </w:pPr>
      <w:r>
        <w:rPr>
          <w:rFonts w:hint="eastAsia" w:ascii="宋体" w:hAnsi="宋体" w:cs="宋体"/>
          <w:b/>
          <w:color w:val="auto"/>
          <w:sz w:val="36"/>
          <w:szCs w:val="36"/>
        </w:rPr>
        <w:t>目</w:t>
      </w:r>
      <w:r>
        <w:rPr>
          <w:rFonts w:hint="eastAsia" w:ascii="宋体" w:hAnsi="宋体" w:cs="宋体"/>
          <w:b/>
          <w:color w:val="auto"/>
          <w:sz w:val="36"/>
          <w:szCs w:val="36"/>
          <w:lang w:val="en-US" w:eastAsia="zh-CN"/>
        </w:rPr>
        <w:t xml:space="preserve">  </w:t>
      </w:r>
      <w:r>
        <w:rPr>
          <w:rFonts w:hint="eastAsia" w:ascii="宋体" w:hAnsi="宋体" w:cs="宋体"/>
          <w:b/>
          <w:color w:val="auto"/>
          <w:sz w:val="36"/>
          <w:szCs w:val="36"/>
        </w:rPr>
        <w:t>录</w:t>
      </w:r>
      <w:r>
        <w:rPr>
          <w:rStyle w:val="29"/>
          <w:rFonts w:cs="宋体"/>
          <w:b w:val="0"/>
          <w:bCs w:val="0"/>
          <w:color w:val="auto"/>
          <w:sz w:val="16"/>
          <w:szCs w:val="21"/>
        </w:rPr>
        <w:fldChar w:fldCharType="begin"/>
      </w:r>
      <w:r>
        <w:rPr>
          <w:rStyle w:val="29"/>
          <w:rFonts w:ascii="宋体" w:hAnsi="宋体" w:cs="宋体"/>
          <w:b w:val="0"/>
          <w:bCs w:val="0"/>
          <w:color w:val="auto"/>
          <w:sz w:val="16"/>
          <w:szCs w:val="24"/>
        </w:rPr>
        <w:instrText xml:space="preserve"> TOC \o "1-3" \h \z </w:instrText>
      </w:r>
      <w:r>
        <w:rPr>
          <w:rStyle w:val="29"/>
          <w:rFonts w:cs="宋体"/>
          <w:b w:val="0"/>
          <w:bCs w:val="0"/>
          <w:color w:val="auto"/>
          <w:sz w:val="16"/>
          <w:szCs w:val="21"/>
        </w:rPr>
        <w:fldChar w:fldCharType="separate"/>
      </w:r>
    </w:p>
    <w:p>
      <w:pPr>
        <w:pStyle w:val="16"/>
        <w:tabs>
          <w:tab w:val="right" w:leader="dot" w:pos="9070"/>
          <w:tab w:val="clear" w:pos="9060"/>
        </w:tabs>
        <w:spacing w:line="600" w:lineRule="auto"/>
        <w:rPr>
          <w:b w:val="0"/>
          <w:bCs w:val="0"/>
          <w:color w:val="auto"/>
          <w:sz w:val="24"/>
          <w:szCs w:val="21"/>
        </w:rPr>
      </w:pPr>
      <w:r>
        <w:rPr>
          <w:rFonts w:cs="宋体"/>
          <w:b w:val="0"/>
          <w:bCs w:val="0"/>
          <w:color w:val="auto"/>
          <w:sz w:val="24"/>
          <w:szCs w:val="24"/>
        </w:rPr>
        <w:fldChar w:fldCharType="begin"/>
      </w:r>
      <w:r>
        <w:rPr>
          <w:rFonts w:cs="宋体"/>
          <w:b w:val="0"/>
          <w:bCs w:val="0"/>
          <w:color w:val="auto"/>
          <w:sz w:val="24"/>
          <w:szCs w:val="24"/>
        </w:rPr>
        <w:instrText xml:space="preserve"> HYPERLINK \l _Toc24127 </w:instrText>
      </w:r>
      <w:r>
        <w:rPr>
          <w:rFonts w:cs="宋体"/>
          <w:b w:val="0"/>
          <w:bCs w:val="0"/>
          <w:color w:val="auto"/>
          <w:sz w:val="24"/>
          <w:szCs w:val="24"/>
        </w:rPr>
        <w:fldChar w:fldCharType="separate"/>
      </w:r>
      <w:r>
        <w:rPr>
          <w:rFonts w:hint="eastAsia" w:ascii="宋体" w:hAnsi="宋体" w:cs="宋体"/>
          <w:b w:val="0"/>
          <w:bCs w:val="0"/>
          <w:color w:val="auto"/>
          <w:sz w:val="24"/>
          <w:szCs w:val="18"/>
          <w:lang w:eastAsia="zh-CN"/>
        </w:rPr>
        <w:t>竞争性磋商公告</w:t>
      </w:r>
      <w:r>
        <w:rPr>
          <w:b w:val="0"/>
          <w:bCs w:val="0"/>
          <w:color w:val="auto"/>
          <w:sz w:val="24"/>
          <w:szCs w:val="21"/>
        </w:rPr>
        <w:tab/>
      </w:r>
      <w:r>
        <w:rPr>
          <w:b w:val="0"/>
          <w:bCs w:val="0"/>
          <w:color w:val="auto"/>
          <w:sz w:val="24"/>
          <w:szCs w:val="21"/>
        </w:rPr>
        <w:fldChar w:fldCharType="begin"/>
      </w:r>
      <w:r>
        <w:rPr>
          <w:b w:val="0"/>
          <w:bCs w:val="0"/>
          <w:color w:val="auto"/>
          <w:sz w:val="24"/>
          <w:szCs w:val="21"/>
        </w:rPr>
        <w:instrText xml:space="preserve"> PAGEREF _Toc24127 </w:instrText>
      </w:r>
      <w:r>
        <w:rPr>
          <w:b w:val="0"/>
          <w:bCs w:val="0"/>
          <w:color w:val="auto"/>
          <w:sz w:val="24"/>
          <w:szCs w:val="21"/>
        </w:rPr>
        <w:fldChar w:fldCharType="separate"/>
      </w:r>
      <w:r>
        <w:rPr>
          <w:b w:val="0"/>
          <w:bCs w:val="0"/>
          <w:color w:val="auto"/>
          <w:sz w:val="24"/>
          <w:szCs w:val="21"/>
        </w:rPr>
        <w:t>1</w:t>
      </w:r>
      <w:r>
        <w:rPr>
          <w:b w:val="0"/>
          <w:bCs w:val="0"/>
          <w:color w:val="auto"/>
          <w:sz w:val="24"/>
          <w:szCs w:val="21"/>
        </w:rPr>
        <w:fldChar w:fldCharType="end"/>
      </w:r>
      <w:r>
        <w:rPr>
          <w:rFonts w:cs="宋体"/>
          <w:b w:val="0"/>
          <w:bCs w:val="0"/>
          <w:color w:val="auto"/>
          <w:sz w:val="24"/>
          <w:szCs w:val="24"/>
        </w:rPr>
        <w:fldChar w:fldCharType="end"/>
      </w:r>
    </w:p>
    <w:p>
      <w:pPr>
        <w:pStyle w:val="16"/>
        <w:tabs>
          <w:tab w:val="right" w:leader="dot" w:pos="9070"/>
          <w:tab w:val="clear" w:pos="9060"/>
        </w:tabs>
        <w:spacing w:line="600" w:lineRule="auto"/>
        <w:rPr>
          <w:b w:val="0"/>
          <w:bCs w:val="0"/>
          <w:color w:val="auto"/>
          <w:sz w:val="24"/>
          <w:szCs w:val="21"/>
        </w:rPr>
      </w:pPr>
      <w:r>
        <w:rPr>
          <w:rFonts w:cs="宋体"/>
          <w:b w:val="0"/>
          <w:bCs w:val="0"/>
          <w:color w:val="auto"/>
          <w:sz w:val="24"/>
          <w:szCs w:val="24"/>
        </w:rPr>
        <w:fldChar w:fldCharType="begin"/>
      </w:r>
      <w:r>
        <w:rPr>
          <w:rFonts w:cs="宋体"/>
          <w:b w:val="0"/>
          <w:bCs w:val="0"/>
          <w:color w:val="auto"/>
          <w:sz w:val="24"/>
          <w:szCs w:val="24"/>
        </w:rPr>
        <w:instrText xml:space="preserve"> HYPERLINK \l _Toc8901 </w:instrText>
      </w:r>
      <w:r>
        <w:rPr>
          <w:rFonts w:cs="宋体"/>
          <w:b w:val="0"/>
          <w:bCs w:val="0"/>
          <w:color w:val="auto"/>
          <w:sz w:val="24"/>
          <w:szCs w:val="24"/>
        </w:rPr>
        <w:fldChar w:fldCharType="separate"/>
      </w:r>
      <w:r>
        <w:rPr>
          <w:rFonts w:hint="eastAsia" w:ascii="宋体" w:hAnsi="宋体" w:cs="宋体"/>
          <w:b w:val="0"/>
          <w:bCs w:val="0"/>
          <w:color w:val="auto"/>
          <w:sz w:val="24"/>
          <w:szCs w:val="20"/>
        </w:rPr>
        <w:t>第一章</w:t>
      </w:r>
      <w:r>
        <w:rPr>
          <w:rFonts w:hint="eastAsia" w:ascii="宋体" w:hAnsi="宋体" w:cs="宋体"/>
          <w:b w:val="0"/>
          <w:bCs w:val="0"/>
          <w:color w:val="auto"/>
          <w:sz w:val="24"/>
          <w:szCs w:val="20"/>
          <w:lang w:val="en-US" w:eastAsia="zh-CN"/>
        </w:rPr>
        <w:t xml:space="preserve"> </w:t>
      </w:r>
      <w:r>
        <w:rPr>
          <w:rFonts w:hint="eastAsia" w:ascii="宋体" w:hAnsi="宋体" w:cs="宋体"/>
          <w:b w:val="0"/>
          <w:bCs w:val="0"/>
          <w:color w:val="auto"/>
          <w:sz w:val="24"/>
          <w:szCs w:val="20"/>
        </w:rPr>
        <w:t>磋商单位须知</w:t>
      </w:r>
      <w:r>
        <w:rPr>
          <w:b w:val="0"/>
          <w:bCs w:val="0"/>
          <w:color w:val="auto"/>
          <w:sz w:val="24"/>
          <w:szCs w:val="21"/>
        </w:rPr>
        <w:tab/>
      </w:r>
      <w:r>
        <w:rPr>
          <w:b w:val="0"/>
          <w:bCs w:val="0"/>
          <w:color w:val="auto"/>
          <w:sz w:val="24"/>
          <w:szCs w:val="21"/>
        </w:rPr>
        <w:fldChar w:fldCharType="begin"/>
      </w:r>
      <w:r>
        <w:rPr>
          <w:b w:val="0"/>
          <w:bCs w:val="0"/>
          <w:color w:val="auto"/>
          <w:sz w:val="24"/>
          <w:szCs w:val="21"/>
        </w:rPr>
        <w:instrText xml:space="preserve"> PAGEREF _Toc8901 </w:instrText>
      </w:r>
      <w:r>
        <w:rPr>
          <w:b w:val="0"/>
          <w:bCs w:val="0"/>
          <w:color w:val="auto"/>
          <w:sz w:val="24"/>
          <w:szCs w:val="21"/>
        </w:rPr>
        <w:fldChar w:fldCharType="separate"/>
      </w:r>
      <w:r>
        <w:rPr>
          <w:b w:val="0"/>
          <w:bCs w:val="0"/>
          <w:color w:val="auto"/>
          <w:sz w:val="24"/>
          <w:szCs w:val="21"/>
        </w:rPr>
        <w:t>3</w:t>
      </w:r>
      <w:r>
        <w:rPr>
          <w:b w:val="0"/>
          <w:bCs w:val="0"/>
          <w:color w:val="auto"/>
          <w:sz w:val="24"/>
          <w:szCs w:val="21"/>
        </w:rPr>
        <w:fldChar w:fldCharType="end"/>
      </w:r>
      <w:r>
        <w:rPr>
          <w:rFonts w:cs="宋体"/>
          <w:b w:val="0"/>
          <w:bCs w:val="0"/>
          <w:color w:val="auto"/>
          <w:sz w:val="24"/>
          <w:szCs w:val="24"/>
        </w:rPr>
        <w:fldChar w:fldCharType="end"/>
      </w:r>
    </w:p>
    <w:p>
      <w:pPr>
        <w:pStyle w:val="16"/>
        <w:tabs>
          <w:tab w:val="right" w:leader="dot" w:pos="9070"/>
          <w:tab w:val="clear" w:pos="9060"/>
        </w:tabs>
        <w:spacing w:line="600" w:lineRule="auto"/>
        <w:rPr>
          <w:b w:val="0"/>
          <w:bCs w:val="0"/>
          <w:color w:val="auto"/>
          <w:sz w:val="24"/>
          <w:szCs w:val="21"/>
        </w:rPr>
      </w:pPr>
      <w:r>
        <w:rPr>
          <w:rFonts w:cs="宋体"/>
          <w:b w:val="0"/>
          <w:bCs w:val="0"/>
          <w:color w:val="auto"/>
          <w:sz w:val="24"/>
          <w:szCs w:val="24"/>
        </w:rPr>
        <w:fldChar w:fldCharType="begin"/>
      </w:r>
      <w:r>
        <w:rPr>
          <w:rFonts w:cs="宋体"/>
          <w:b w:val="0"/>
          <w:bCs w:val="0"/>
          <w:color w:val="auto"/>
          <w:sz w:val="24"/>
          <w:szCs w:val="24"/>
        </w:rPr>
        <w:instrText xml:space="preserve"> HYPERLINK \l _Toc18663 </w:instrText>
      </w:r>
      <w:r>
        <w:rPr>
          <w:rFonts w:cs="宋体"/>
          <w:b w:val="0"/>
          <w:bCs w:val="0"/>
          <w:color w:val="auto"/>
          <w:sz w:val="24"/>
          <w:szCs w:val="24"/>
        </w:rPr>
        <w:fldChar w:fldCharType="separate"/>
      </w:r>
      <w:r>
        <w:rPr>
          <w:rFonts w:hint="eastAsia"/>
          <w:b w:val="0"/>
          <w:bCs w:val="0"/>
          <w:color w:val="auto"/>
          <w:sz w:val="24"/>
          <w:szCs w:val="28"/>
        </w:rPr>
        <w:t>第二章</w:t>
      </w:r>
      <w:r>
        <w:rPr>
          <w:rFonts w:hint="eastAsia"/>
          <w:b w:val="0"/>
          <w:bCs w:val="0"/>
          <w:color w:val="auto"/>
          <w:sz w:val="24"/>
          <w:szCs w:val="28"/>
          <w:lang w:val="en-US" w:eastAsia="zh-CN"/>
        </w:rPr>
        <w:t xml:space="preserve"> </w:t>
      </w:r>
      <w:r>
        <w:rPr>
          <w:rFonts w:hint="eastAsia"/>
          <w:b w:val="0"/>
          <w:bCs w:val="0"/>
          <w:color w:val="auto"/>
          <w:sz w:val="24"/>
          <w:szCs w:val="28"/>
        </w:rPr>
        <w:t>合同条款及格式</w:t>
      </w:r>
      <w:r>
        <w:rPr>
          <w:b w:val="0"/>
          <w:bCs w:val="0"/>
          <w:color w:val="auto"/>
          <w:sz w:val="24"/>
          <w:szCs w:val="21"/>
        </w:rPr>
        <w:tab/>
      </w:r>
      <w:r>
        <w:rPr>
          <w:b w:val="0"/>
          <w:bCs w:val="0"/>
          <w:color w:val="auto"/>
          <w:sz w:val="24"/>
          <w:szCs w:val="21"/>
        </w:rPr>
        <w:fldChar w:fldCharType="begin"/>
      </w:r>
      <w:r>
        <w:rPr>
          <w:b w:val="0"/>
          <w:bCs w:val="0"/>
          <w:color w:val="auto"/>
          <w:sz w:val="24"/>
          <w:szCs w:val="21"/>
        </w:rPr>
        <w:instrText xml:space="preserve"> PAGEREF _Toc18663 </w:instrText>
      </w:r>
      <w:r>
        <w:rPr>
          <w:b w:val="0"/>
          <w:bCs w:val="0"/>
          <w:color w:val="auto"/>
          <w:sz w:val="24"/>
          <w:szCs w:val="21"/>
        </w:rPr>
        <w:fldChar w:fldCharType="separate"/>
      </w:r>
      <w:r>
        <w:rPr>
          <w:b w:val="0"/>
          <w:bCs w:val="0"/>
          <w:color w:val="auto"/>
          <w:sz w:val="24"/>
          <w:szCs w:val="21"/>
        </w:rPr>
        <w:t>17</w:t>
      </w:r>
      <w:r>
        <w:rPr>
          <w:b w:val="0"/>
          <w:bCs w:val="0"/>
          <w:color w:val="auto"/>
          <w:sz w:val="24"/>
          <w:szCs w:val="21"/>
        </w:rPr>
        <w:fldChar w:fldCharType="end"/>
      </w:r>
      <w:r>
        <w:rPr>
          <w:rFonts w:cs="宋体"/>
          <w:b w:val="0"/>
          <w:bCs w:val="0"/>
          <w:color w:val="auto"/>
          <w:sz w:val="24"/>
          <w:szCs w:val="24"/>
        </w:rPr>
        <w:fldChar w:fldCharType="end"/>
      </w:r>
    </w:p>
    <w:p>
      <w:pPr>
        <w:pStyle w:val="16"/>
        <w:tabs>
          <w:tab w:val="right" w:leader="dot" w:pos="9070"/>
          <w:tab w:val="clear" w:pos="9060"/>
        </w:tabs>
        <w:spacing w:line="600" w:lineRule="auto"/>
        <w:rPr>
          <w:b w:val="0"/>
          <w:bCs w:val="0"/>
          <w:color w:val="auto"/>
          <w:sz w:val="24"/>
          <w:szCs w:val="21"/>
        </w:rPr>
      </w:pPr>
      <w:r>
        <w:rPr>
          <w:rFonts w:cs="宋体"/>
          <w:b w:val="0"/>
          <w:bCs w:val="0"/>
          <w:color w:val="auto"/>
          <w:sz w:val="24"/>
          <w:szCs w:val="24"/>
        </w:rPr>
        <w:fldChar w:fldCharType="begin"/>
      </w:r>
      <w:r>
        <w:rPr>
          <w:rFonts w:cs="宋体"/>
          <w:b w:val="0"/>
          <w:bCs w:val="0"/>
          <w:color w:val="auto"/>
          <w:sz w:val="24"/>
          <w:szCs w:val="24"/>
        </w:rPr>
        <w:instrText xml:space="preserve"> HYPERLINK \l _Toc20179 </w:instrText>
      </w:r>
      <w:r>
        <w:rPr>
          <w:rFonts w:cs="宋体"/>
          <w:b w:val="0"/>
          <w:bCs w:val="0"/>
          <w:color w:val="auto"/>
          <w:sz w:val="24"/>
          <w:szCs w:val="24"/>
        </w:rPr>
        <w:fldChar w:fldCharType="separate"/>
      </w:r>
      <w:r>
        <w:rPr>
          <w:rFonts w:hint="eastAsia" w:ascii="宋体" w:hAnsi="宋体" w:cs="宋体"/>
          <w:b w:val="0"/>
          <w:bCs w:val="0"/>
          <w:color w:val="auto"/>
          <w:sz w:val="24"/>
          <w:szCs w:val="21"/>
        </w:rPr>
        <w:t>第三章</w:t>
      </w:r>
      <w:r>
        <w:rPr>
          <w:rFonts w:hint="eastAsia" w:ascii="宋体" w:hAnsi="宋体" w:cs="宋体"/>
          <w:b w:val="0"/>
          <w:bCs w:val="0"/>
          <w:color w:val="auto"/>
          <w:sz w:val="24"/>
          <w:szCs w:val="21"/>
          <w:lang w:val="en-US" w:eastAsia="zh-CN"/>
        </w:rPr>
        <w:t xml:space="preserve"> </w:t>
      </w:r>
      <w:r>
        <w:rPr>
          <w:rFonts w:hint="eastAsia" w:ascii="宋体" w:hAnsi="宋体" w:cs="宋体"/>
          <w:b w:val="0"/>
          <w:bCs w:val="0"/>
          <w:color w:val="auto"/>
          <w:sz w:val="24"/>
          <w:szCs w:val="21"/>
        </w:rPr>
        <w:t>工程建设标准</w:t>
      </w:r>
      <w:r>
        <w:rPr>
          <w:b w:val="0"/>
          <w:bCs w:val="0"/>
          <w:color w:val="auto"/>
          <w:sz w:val="24"/>
          <w:szCs w:val="21"/>
        </w:rPr>
        <w:tab/>
      </w:r>
      <w:r>
        <w:rPr>
          <w:b w:val="0"/>
          <w:bCs w:val="0"/>
          <w:color w:val="auto"/>
          <w:sz w:val="24"/>
          <w:szCs w:val="21"/>
        </w:rPr>
        <w:fldChar w:fldCharType="begin"/>
      </w:r>
      <w:r>
        <w:rPr>
          <w:b w:val="0"/>
          <w:bCs w:val="0"/>
          <w:color w:val="auto"/>
          <w:sz w:val="24"/>
          <w:szCs w:val="21"/>
        </w:rPr>
        <w:instrText xml:space="preserve"> PAGEREF _Toc20179 </w:instrText>
      </w:r>
      <w:r>
        <w:rPr>
          <w:b w:val="0"/>
          <w:bCs w:val="0"/>
          <w:color w:val="auto"/>
          <w:sz w:val="24"/>
          <w:szCs w:val="21"/>
        </w:rPr>
        <w:fldChar w:fldCharType="separate"/>
      </w:r>
      <w:r>
        <w:rPr>
          <w:b w:val="0"/>
          <w:bCs w:val="0"/>
          <w:color w:val="auto"/>
          <w:sz w:val="24"/>
          <w:szCs w:val="21"/>
        </w:rPr>
        <w:t>29</w:t>
      </w:r>
      <w:r>
        <w:rPr>
          <w:b w:val="0"/>
          <w:bCs w:val="0"/>
          <w:color w:val="auto"/>
          <w:sz w:val="24"/>
          <w:szCs w:val="21"/>
        </w:rPr>
        <w:fldChar w:fldCharType="end"/>
      </w:r>
      <w:r>
        <w:rPr>
          <w:rFonts w:cs="宋体"/>
          <w:b w:val="0"/>
          <w:bCs w:val="0"/>
          <w:color w:val="auto"/>
          <w:sz w:val="24"/>
          <w:szCs w:val="24"/>
        </w:rPr>
        <w:fldChar w:fldCharType="end"/>
      </w:r>
    </w:p>
    <w:p>
      <w:pPr>
        <w:pStyle w:val="16"/>
        <w:tabs>
          <w:tab w:val="right" w:leader="dot" w:pos="9070"/>
          <w:tab w:val="clear" w:pos="9060"/>
        </w:tabs>
        <w:spacing w:line="600" w:lineRule="auto"/>
        <w:rPr>
          <w:b w:val="0"/>
          <w:bCs w:val="0"/>
          <w:color w:val="auto"/>
          <w:sz w:val="24"/>
          <w:szCs w:val="21"/>
        </w:rPr>
      </w:pPr>
      <w:r>
        <w:rPr>
          <w:rFonts w:cs="宋体"/>
          <w:b w:val="0"/>
          <w:bCs w:val="0"/>
          <w:color w:val="auto"/>
          <w:sz w:val="24"/>
          <w:szCs w:val="24"/>
        </w:rPr>
        <w:fldChar w:fldCharType="begin"/>
      </w:r>
      <w:r>
        <w:rPr>
          <w:rFonts w:cs="宋体"/>
          <w:b w:val="0"/>
          <w:bCs w:val="0"/>
          <w:color w:val="auto"/>
          <w:sz w:val="24"/>
          <w:szCs w:val="24"/>
        </w:rPr>
        <w:instrText xml:space="preserve"> HYPERLINK \l _Toc14346 </w:instrText>
      </w:r>
      <w:r>
        <w:rPr>
          <w:rFonts w:cs="宋体"/>
          <w:b w:val="0"/>
          <w:bCs w:val="0"/>
          <w:color w:val="auto"/>
          <w:sz w:val="24"/>
          <w:szCs w:val="24"/>
        </w:rPr>
        <w:fldChar w:fldCharType="separate"/>
      </w:r>
      <w:r>
        <w:rPr>
          <w:rFonts w:hint="eastAsia" w:ascii="宋体" w:hAnsi="宋体" w:cs="宋体"/>
          <w:b w:val="0"/>
          <w:bCs w:val="0"/>
          <w:color w:val="auto"/>
          <w:sz w:val="24"/>
          <w:szCs w:val="21"/>
        </w:rPr>
        <w:t>第四章</w:t>
      </w:r>
      <w:r>
        <w:rPr>
          <w:rFonts w:hint="eastAsia" w:ascii="宋体" w:hAnsi="宋体" w:cs="宋体"/>
          <w:b w:val="0"/>
          <w:bCs w:val="0"/>
          <w:color w:val="auto"/>
          <w:sz w:val="24"/>
          <w:szCs w:val="21"/>
          <w:lang w:val="en-US" w:eastAsia="zh-CN"/>
        </w:rPr>
        <w:t xml:space="preserve"> </w:t>
      </w:r>
      <w:r>
        <w:rPr>
          <w:rFonts w:hint="eastAsia" w:ascii="宋体" w:hAnsi="宋体" w:cs="宋体"/>
          <w:b w:val="0"/>
          <w:bCs w:val="0"/>
          <w:color w:val="auto"/>
          <w:sz w:val="24"/>
          <w:szCs w:val="21"/>
        </w:rPr>
        <w:t>图纸</w:t>
      </w:r>
      <w:r>
        <w:rPr>
          <w:b w:val="0"/>
          <w:bCs w:val="0"/>
          <w:color w:val="auto"/>
          <w:sz w:val="24"/>
          <w:szCs w:val="21"/>
        </w:rPr>
        <w:tab/>
      </w:r>
      <w:r>
        <w:rPr>
          <w:b w:val="0"/>
          <w:bCs w:val="0"/>
          <w:color w:val="auto"/>
          <w:sz w:val="24"/>
          <w:szCs w:val="21"/>
        </w:rPr>
        <w:fldChar w:fldCharType="begin"/>
      </w:r>
      <w:r>
        <w:rPr>
          <w:b w:val="0"/>
          <w:bCs w:val="0"/>
          <w:color w:val="auto"/>
          <w:sz w:val="24"/>
          <w:szCs w:val="21"/>
        </w:rPr>
        <w:instrText xml:space="preserve"> PAGEREF _Toc14346 </w:instrText>
      </w:r>
      <w:r>
        <w:rPr>
          <w:b w:val="0"/>
          <w:bCs w:val="0"/>
          <w:color w:val="auto"/>
          <w:sz w:val="24"/>
          <w:szCs w:val="21"/>
        </w:rPr>
        <w:fldChar w:fldCharType="separate"/>
      </w:r>
      <w:r>
        <w:rPr>
          <w:b w:val="0"/>
          <w:bCs w:val="0"/>
          <w:color w:val="auto"/>
          <w:sz w:val="24"/>
          <w:szCs w:val="21"/>
        </w:rPr>
        <w:t>29</w:t>
      </w:r>
      <w:r>
        <w:rPr>
          <w:b w:val="0"/>
          <w:bCs w:val="0"/>
          <w:color w:val="auto"/>
          <w:sz w:val="24"/>
          <w:szCs w:val="21"/>
        </w:rPr>
        <w:fldChar w:fldCharType="end"/>
      </w:r>
      <w:r>
        <w:rPr>
          <w:rFonts w:cs="宋体"/>
          <w:b w:val="0"/>
          <w:bCs w:val="0"/>
          <w:color w:val="auto"/>
          <w:sz w:val="24"/>
          <w:szCs w:val="24"/>
        </w:rPr>
        <w:fldChar w:fldCharType="end"/>
      </w:r>
    </w:p>
    <w:p>
      <w:pPr>
        <w:pStyle w:val="16"/>
        <w:tabs>
          <w:tab w:val="right" w:leader="dot" w:pos="9070"/>
          <w:tab w:val="clear" w:pos="9060"/>
        </w:tabs>
        <w:spacing w:line="600" w:lineRule="auto"/>
        <w:rPr>
          <w:b w:val="0"/>
          <w:bCs w:val="0"/>
          <w:color w:val="auto"/>
          <w:sz w:val="24"/>
          <w:szCs w:val="21"/>
        </w:rPr>
      </w:pPr>
      <w:r>
        <w:rPr>
          <w:rFonts w:cs="宋体"/>
          <w:b w:val="0"/>
          <w:bCs w:val="0"/>
          <w:color w:val="auto"/>
          <w:sz w:val="24"/>
          <w:szCs w:val="24"/>
        </w:rPr>
        <w:fldChar w:fldCharType="begin"/>
      </w:r>
      <w:r>
        <w:rPr>
          <w:rFonts w:cs="宋体"/>
          <w:b w:val="0"/>
          <w:bCs w:val="0"/>
          <w:color w:val="auto"/>
          <w:sz w:val="24"/>
          <w:szCs w:val="24"/>
        </w:rPr>
        <w:instrText xml:space="preserve"> HYPERLINK \l _Toc21918 </w:instrText>
      </w:r>
      <w:r>
        <w:rPr>
          <w:rFonts w:cs="宋体"/>
          <w:b w:val="0"/>
          <w:bCs w:val="0"/>
          <w:color w:val="auto"/>
          <w:sz w:val="24"/>
          <w:szCs w:val="24"/>
        </w:rPr>
        <w:fldChar w:fldCharType="separate"/>
      </w:r>
      <w:r>
        <w:rPr>
          <w:rFonts w:hint="eastAsia" w:ascii="宋体" w:hAnsi="宋体" w:cs="宋体"/>
          <w:b w:val="0"/>
          <w:bCs w:val="0"/>
          <w:color w:val="auto"/>
          <w:sz w:val="24"/>
          <w:szCs w:val="21"/>
        </w:rPr>
        <w:t>第五章</w:t>
      </w:r>
      <w:r>
        <w:rPr>
          <w:rFonts w:hint="eastAsia" w:ascii="宋体" w:hAnsi="宋体" w:cs="宋体"/>
          <w:b w:val="0"/>
          <w:bCs w:val="0"/>
          <w:color w:val="auto"/>
          <w:sz w:val="24"/>
          <w:szCs w:val="21"/>
          <w:lang w:val="en-US" w:eastAsia="zh-CN"/>
        </w:rPr>
        <w:t xml:space="preserve"> </w:t>
      </w:r>
      <w:r>
        <w:rPr>
          <w:rFonts w:hint="eastAsia" w:ascii="宋体" w:hAnsi="宋体" w:cs="宋体"/>
          <w:b w:val="0"/>
          <w:bCs w:val="0"/>
          <w:color w:val="auto"/>
          <w:sz w:val="24"/>
          <w:szCs w:val="21"/>
        </w:rPr>
        <w:t>工程量清单</w:t>
      </w:r>
      <w:r>
        <w:rPr>
          <w:b w:val="0"/>
          <w:bCs w:val="0"/>
          <w:color w:val="auto"/>
          <w:sz w:val="24"/>
          <w:szCs w:val="21"/>
        </w:rPr>
        <w:tab/>
      </w:r>
      <w:r>
        <w:rPr>
          <w:b w:val="0"/>
          <w:bCs w:val="0"/>
          <w:color w:val="auto"/>
          <w:sz w:val="24"/>
          <w:szCs w:val="21"/>
        </w:rPr>
        <w:fldChar w:fldCharType="begin"/>
      </w:r>
      <w:r>
        <w:rPr>
          <w:b w:val="0"/>
          <w:bCs w:val="0"/>
          <w:color w:val="auto"/>
          <w:sz w:val="24"/>
          <w:szCs w:val="21"/>
        </w:rPr>
        <w:instrText xml:space="preserve"> PAGEREF _Toc21918 </w:instrText>
      </w:r>
      <w:r>
        <w:rPr>
          <w:b w:val="0"/>
          <w:bCs w:val="0"/>
          <w:color w:val="auto"/>
          <w:sz w:val="24"/>
          <w:szCs w:val="21"/>
        </w:rPr>
        <w:fldChar w:fldCharType="separate"/>
      </w:r>
      <w:r>
        <w:rPr>
          <w:b w:val="0"/>
          <w:bCs w:val="0"/>
          <w:color w:val="auto"/>
          <w:sz w:val="24"/>
          <w:szCs w:val="21"/>
        </w:rPr>
        <w:t>29</w:t>
      </w:r>
      <w:r>
        <w:rPr>
          <w:b w:val="0"/>
          <w:bCs w:val="0"/>
          <w:color w:val="auto"/>
          <w:sz w:val="24"/>
          <w:szCs w:val="21"/>
        </w:rPr>
        <w:fldChar w:fldCharType="end"/>
      </w:r>
      <w:r>
        <w:rPr>
          <w:rFonts w:cs="宋体"/>
          <w:b w:val="0"/>
          <w:bCs w:val="0"/>
          <w:color w:val="auto"/>
          <w:sz w:val="24"/>
          <w:szCs w:val="24"/>
        </w:rPr>
        <w:fldChar w:fldCharType="end"/>
      </w:r>
    </w:p>
    <w:p>
      <w:pPr>
        <w:pStyle w:val="16"/>
        <w:tabs>
          <w:tab w:val="right" w:leader="dot" w:pos="9070"/>
          <w:tab w:val="clear" w:pos="9060"/>
        </w:tabs>
        <w:spacing w:line="600" w:lineRule="auto"/>
        <w:rPr>
          <w:b w:val="0"/>
          <w:bCs w:val="0"/>
          <w:color w:val="auto"/>
          <w:sz w:val="24"/>
          <w:szCs w:val="21"/>
        </w:rPr>
      </w:pPr>
      <w:r>
        <w:rPr>
          <w:rFonts w:cs="宋体"/>
          <w:b w:val="0"/>
          <w:bCs w:val="0"/>
          <w:color w:val="auto"/>
          <w:sz w:val="24"/>
          <w:szCs w:val="24"/>
        </w:rPr>
        <w:fldChar w:fldCharType="begin"/>
      </w:r>
      <w:r>
        <w:rPr>
          <w:rFonts w:cs="宋体"/>
          <w:b w:val="0"/>
          <w:bCs w:val="0"/>
          <w:color w:val="auto"/>
          <w:sz w:val="24"/>
          <w:szCs w:val="24"/>
        </w:rPr>
        <w:instrText xml:space="preserve"> HYPERLINK \l _Toc29339 </w:instrText>
      </w:r>
      <w:r>
        <w:rPr>
          <w:rFonts w:cs="宋体"/>
          <w:b w:val="0"/>
          <w:bCs w:val="0"/>
          <w:color w:val="auto"/>
          <w:sz w:val="24"/>
          <w:szCs w:val="24"/>
        </w:rPr>
        <w:fldChar w:fldCharType="separate"/>
      </w:r>
      <w:r>
        <w:rPr>
          <w:rFonts w:hint="eastAsia" w:ascii="宋体" w:hAnsi="宋体" w:cs="宋体"/>
          <w:b w:val="0"/>
          <w:bCs w:val="0"/>
          <w:color w:val="auto"/>
          <w:sz w:val="24"/>
          <w:szCs w:val="21"/>
        </w:rPr>
        <w:t>第六章</w:t>
      </w:r>
      <w:r>
        <w:rPr>
          <w:rFonts w:hint="eastAsia" w:ascii="宋体" w:hAnsi="宋体" w:cs="宋体"/>
          <w:b w:val="0"/>
          <w:bCs w:val="0"/>
          <w:color w:val="auto"/>
          <w:sz w:val="24"/>
          <w:szCs w:val="21"/>
          <w:lang w:val="en-US" w:eastAsia="zh-CN"/>
        </w:rPr>
        <w:t xml:space="preserve"> </w:t>
      </w:r>
      <w:r>
        <w:rPr>
          <w:rFonts w:hint="eastAsia" w:ascii="宋体" w:hAnsi="宋体" w:cs="宋体"/>
          <w:b w:val="0"/>
          <w:bCs w:val="0"/>
          <w:color w:val="auto"/>
          <w:sz w:val="24"/>
          <w:szCs w:val="21"/>
          <w:lang w:eastAsia="zh-CN"/>
        </w:rPr>
        <w:t>响应文件格式部分</w:t>
      </w:r>
      <w:r>
        <w:rPr>
          <w:b w:val="0"/>
          <w:bCs w:val="0"/>
          <w:color w:val="auto"/>
          <w:sz w:val="24"/>
          <w:szCs w:val="21"/>
        </w:rPr>
        <w:tab/>
      </w:r>
      <w:r>
        <w:rPr>
          <w:b w:val="0"/>
          <w:bCs w:val="0"/>
          <w:color w:val="auto"/>
          <w:sz w:val="24"/>
          <w:szCs w:val="21"/>
        </w:rPr>
        <w:fldChar w:fldCharType="begin"/>
      </w:r>
      <w:r>
        <w:rPr>
          <w:b w:val="0"/>
          <w:bCs w:val="0"/>
          <w:color w:val="auto"/>
          <w:sz w:val="24"/>
          <w:szCs w:val="21"/>
        </w:rPr>
        <w:instrText xml:space="preserve"> PAGEREF _Toc29339 </w:instrText>
      </w:r>
      <w:r>
        <w:rPr>
          <w:b w:val="0"/>
          <w:bCs w:val="0"/>
          <w:color w:val="auto"/>
          <w:sz w:val="24"/>
          <w:szCs w:val="21"/>
        </w:rPr>
        <w:fldChar w:fldCharType="separate"/>
      </w:r>
      <w:r>
        <w:rPr>
          <w:b w:val="0"/>
          <w:bCs w:val="0"/>
          <w:color w:val="auto"/>
          <w:sz w:val="24"/>
          <w:szCs w:val="21"/>
        </w:rPr>
        <w:t>30</w:t>
      </w:r>
      <w:r>
        <w:rPr>
          <w:b w:val="0"/>
          <w:bCs w:val="0"/>
          <w:color w:val="auto"/>
          <w:sz w:val="24"/>
          <w:szCs w:val="21"/>
        </w:rPr>
        <w:fldChar w:fldCharType="end"/>
      </w:r>
      <w:r>
        <w:rPr>
          <w:rFonts w:cs="宋体"/>
          <w:b w:val="0"/>
          <w:bCs w:val="0"/>
          <w:color w:val="auto"/>
          <w:sz w:val="24"/>
          <w:szCs w:val="24"/>
        </w:rPr>
        <w:fldChar w:fldCharType="end"/>
      </w:r>
    </w:p>
    <w:p>
      <w:pPr>
        <w:pStyle w:val="16"/>
        <w:tabs>
          <w:tab w:val="right" w:leader="dot" w:pos="9070"/>
          <w:tab w:val="clear" w:pos="9060"/>
        </w:tabs>
        <w:spacing w:line="600" w:lineRule="auto"/>
        <w:rPr>
          <w:b w:val="0"/>
          <w:bCs w:val="0"/>
          <w:color w:val="auto"/>
          <w:sz w:val="24"/>
          <w:szCs w:val="21"/>
        </w:rPr>
      </w:pPr>
      <w:r>
        <w:rPr>
          <w:rFonts w:cs="宋体"/>
          <w:b w:val="0"/>
          <w:bCs w:val="0"/>
          <w:color w:val="auto"/>
          <w:sz w:val="24"/>
          <w:szCs w:val="24"/>
        </w:rPr>
        <w:fldChar w:fldCharType="begin"/>
      </w:r>
      <w:r>
        <w:rPr>
          <w:rFonts w:cs="宋体"/>
          <w:b w:val="0"/>
          <w:bCs w:val="0"/>
          <w:color w:val="auto"/>
          <w:sz w:val="24"/>
          <w:szCs w:val="24"/>
        </w:rPr>
        <w:instrText xml:space="preserve"> HYPERLINK \l _Toc9913 </w:instrText>
      </w:r>
      <w:r>
        <w:rPr>
          <w:rFonts w:cs="宋体"/>
          <w:b w:val="0"/>
          <w:bCs w:val="0"/>
          <w:color w:val="auto"/>
          <w:sz w:val="24"/>
          <w:szCs w:val="24"/>
        </w:rPr>
        <w:fldChar w:fldCharType="separate"/>
      </w:r>
      <w:r>
        <w:rPr>
          <w:rFonts w:hint="eastAsia" w:ascii="宋体" w:hAnsi="宋体" w:cs="宋体"/>
          <w:b w:val="0"/>
          <w:bCs w:val="0"/>
          <w:color w:val="auto"/>
          <w:sz w:val="24"/>
          <w:szCs w:val="21"/>
        </w:rPr>
        <w:t>第七章</w:t>
      </w:r>
      <w:r>
        <w:rPr>
          <w:rFonts w:hint="eastAsia" w:ascii="宋体" w:hAnsi="宋体" w:cs="宋体"/>
          <w:b w:val="0"/>
          <w:bCs w:val="0"/>
          <w:color w:val="auto"/>
          <w:sz w:val="24"/>
          <w:szCs w:val="21"/>
          <w:lang w:val="en-US" w:eastAsia="zh-CN"/>
        </w:rPr>
        <w:t xml:space="preserve"> </w:t>
      </w:r>
      <w:r>
        <w:rPr>
          <w:rFonts w:hint="eastAsia" w:ascii="宋体" w:hAnsi="宋体" w:cs="宋体"/>
          <w:b w:val="0"/>
          <w:bCs w:val="0"/>
          <w:color w:val="auto"/>
          <w:sz w:val="24"/>
          <w:szCs w:val="21"/>
        </w:rPr>
        <w:t>评标办法（综合评估法）</w:t>
      </w:r>
      <w:r>
        <w:rPr>
          <w:b w:val="0"/>
          <w:bCs w:val="0"/>
          <w:color w:val="auto"/>
          <w:sz w:val="24"/>
          <w:szCs w:val="21"/>
        </w:rPr>
        <w:tab/>
      </w:r>
      <w:r>
        <w:rPr>
          <w:b w:val="0"/>
          <w:bCs w:val="0"/>
          <w:color w:val="auto"/>
          <w:sz w:val="24"/>
          <w:szCs w:val="21"/>
        </w:rPr>
        <w:fldChar w:fldCharType="begin"/>
      </w:r>
      <w:r>
        <w:rPr>
          <w:b w:val="0"/>
          <w:bCs w:val="0"/>
          <w:color w:val="auto"/>
          <w:sz w:val="24"/>
          <w:szCs w:val="21"/>
        </w:rPr>
        <w:instrText xml:space="preserve"> PAGEREF _Toc9913 </w:instrText>
      </w:r>
      <w:r>
        <w:rPr>
          <w:b w:val="0"/>
          <w:bCs w:val="0"/>
          <w:color w:val="auto"/>
          <w:sz w:val="24"/>
          <w:szCs w:val="21"/>
        </w:rPr>
        <w:fldChar w:fldCharType="separate"/>
      </w:r>
      <w:r>
        <w:rPr>
          <w:b w:val="0"/>
          <w:bCs w:val="0"/>
          <w:color w:val="auto"/>
          <w:sz w:val="24"/>
          <w:szCs w:val="21"/>
        </w:rPr>
        <w:t>50</w:t>
      </w:r>
      <w:r>
        <w:rPr>
          <w:b w:val="0"/>
          <w:bCs w:val="0"/>
          <w:color w:val="auto"/>
          <w:sz w:val="24"/>
          <w:szCs w:val="21"/>
        </w:rPr>
        <w:fldChar w:fldCharType="end"/>
      </w:r>
      <w:r>
        <w:rPr>
          <w:rFonts w:cs="宋体"/>
          <w:b w:val="0"/>
          <w:bCs w:val="0"/>
          <w:color w:val="auto"/>
          <w:sz w:val="24"/>
          <w:szCs w:val="24"/>
        </w:rPr>
        <w:fldChar w:fldCharType="end"/>
      </w:r>
    </w:p>
    <w:p>
      <w:pPr>
        <w:pStyle w:val="18"/>
        <w:spacing w:line="600" w:lineRule="auto"/>
        <w:ind w:left="0" w:firstLine="440" w:firstLineChars="200"/>
        <w:rPr>
          <w:rFonts w:cs="宋体"/>
          <w:b w:val="0"/>
          <w:bCs w:val="0"/>
          <w:color w:val="auto"/>
          <w:sz w:val="22"/>
          <w:szCs w:val="22"/>
        </w:rPr>
        <w:sectPr>
          <w:headerReference r:id="rId7" w:type="default"/>
          <w:footerReference r:id="rId8" w:type="default"/>
          <w:endnotePr>
            <w:numFmt w:val="decimal"/>
          </w:endnotePr>
          <w:pgSz w:w="11906" w:h="16838"/>
          <w:pgMar w:top="1134" w:right="1418" w:bottom="1134" w:left="1418" w:header="567" w:footer="567" w:gutter="0"/>
          <w:pgNumType w:start="1"/>
          <w:cols w:space="720" w:num="1"/>
          <w:docGrid w:type="lines" w:linePitch="312" w:charSpace="0"/>
        </w:sectPr>
      </w:pPr>
      <w:r>
        <w:rPr>
          <w:rFonts w:cs="宋体"/>
          <w:b w:val="0"/>
          <w:bCs w:val="0"/>
          <w:color w:val="auto"/>
          <w:sz w:val="22"/>
          <w:szCs w:val="24"/>
        </w:rPr>
        <w:fldChar w:fldCharType="end"/>
      </w:r>
      <w:bookmarkStart w:id="5" w:name="_Toc243584222"/>
    </w:p>
    <w:p>
      <w:pPr>
        <w:pStyle w:val="3"/>
        <w:spacing w:line="360" w:lineRule="auto"/>
        <w:jc w:val="center"/>
        <w:rPr>
          <w:rFonts w:hint="eastAsia" w:ascii="宋体" w:hAnsi="宋体" w:cs="宋体"/>
          <w:color w:val="auto"/>
          <w:sz w:val="28"/>
          <w:szCs w:val="20"/>
          <w:lang w:eastAsia="zh-CN"/>
        </w:rPr>
      </w:pPr>
      <w:bookmarkStart w:id="6" w:name="_Toc5613"/>
      <w:r>
        <w:rPr>
          <w:rFonts w:hint="eastAsia" w:ascii="宋体" w:hAnsi="宋体" w:cs="宋体"/>
          <w:color w:val="auto"/>
          <w:sz w:val="28"/>
          <w:szCs w:val="20"/>
          <w:lang w:eastAsia="zh-CN"/>
        </w:rPr>
        <w:t>广西亿翔荣工程管理有限责任公司</w:t>
      </w:r>
      <w:bookmarkEnd w:id="6"/>
    </w:p>
    <w:p>
      <w:pPr>
        <w:pStyle w:val="3"/>
        <w:spacing w:line="360" w:lineRule="auto"/>
        <w:jc w:val="center"/>
        <w:rPr>
          <w:rFonts w:hint="eastAsia" w:ascii="宋体" w:hAnsi="宋体" w:cs="宋体"/>
          <w:color w:val="auto"/>
          <w:sz w:val="28"/>
          <w:szCs w:val="20"/>
        </w:rPr>
      </w:pPr>
      <w:r>
        <w:rPr>
          <w:rFonts w:hint="eastAsia" w:ascii="宋体" w:hAnsi="宋体" w:cs="宋体"/>
          <w:color w:val="auto"/>
          <w:sz w:val="28"/>
          <w:szCs w:val="20"/>
          <w:lang w:eastAsia="zh-CN"/>
        </w:rPr>
        <w:t>关于</w:t>
      </w:r>
      <w:bookmarkStart w:id="7" w:name="_Toc24127"/>
      <w:r>
        <w:rPr>
          <w:rFonts w:hint="eastAsia" w:ascii="宋体" w:hAnsi="宋体" w:cs="宋体"/>
          <w:color w:val="auto"/>
          <w:sz w:val="28"/>
          <w:szCs w:val="20"/>
          <w:lang w:eastAsia="zh-CN"/>
        </w:rPr>
        <w:t>天等县驮堪乡驮堪村净屯环境整治工程（项目编号：CZZC2021-C2-250221-GXYX）</w:t>
      </w:r>
      <w:bookmarkStart w:id="8" w:name="_Toc22582_WPSOffice_Level1"/>
      <w:r>
        <w:rPr>
          <w:rFonts w:hint="eastAsia" w:ascii="宋体" w:hAnsi="宋体" w:cs="宋体"/>
          <w:color w:val="auto"/>
          <w:sz w:val="28"/>
          <w:szCs w:val="20"/>
          <w:lang w:eastAsia="zh-CN"/>
        </w:rPr>
        <w:t>竞争性磋商公告</w:t>
      </w:r>
      <w:bookmarkEnd w:id="7"/>
      <w:bookmarkEnd w:id="8"/>
    </w:p>
    <w:p>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Cs w:val="21"/>
        </w:rPr>
      </w:pPr>
      <w:r>
        <w:rPr>
          <w:rFonts w:hint="eastAsia" w:ascii="宋体" w:hAnsi="宋体" w:cs="宋体"/>
          <w:color w:val="auto"/>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rPr>
      </w:pPr>
      <w:r>
        <w:rPr>
          <w:rFonts w:hint="eastAsia" w:ascii="宋体" w:hAnsi="宋体" w:cs="宋体"/>
          <w:color w:val="auto"/>
          <w:szCs w:val="21"/>
          <w:u w:val="single"/>
          <w:lang w:eastAsia="zh-CN"/>
        </w:rPr>
        <w:t>天等县驮堪乡驮堪村净屯环境整治工程</w:t>
      </w:r>
      <w:r>
        <w:rPr>
          <w:rFonts w:hint="eastAsia" w:ascii="宋体" w:hAnsi="宋体" w:cs="宋体"/>
          <w:color w:val="auto"/>
          <w:szCs w:val="21"/>
        </w:rPr>
        <w:t>的潜在供应商</w:t>
      </w:r>
      <w:r>
        <w:rPr>
          <w:rFonts w:hint="eastAsia" w:ascii="宋体" w:hAnsi="宋体" w:cs="宋体"/>
          <w:color w:val="auto"/>
          <w:szCs w:val="21"/>
          <w:lang w:eastAsia="zh-CN"/>
        </w:rPr>
        <w:t>应登录</w:t>
      </w:r>
      <w:r>
        <w:rPr>
          <w:rFonts w:hint="eastAsia" w:ascii="宋体" w:hAnsi="宋体" w:cs="宋体"/>
          <w:color w:val="auto"/>
          <w:szCs w:val="21"/>
          <w:u w:val="single"/>
          <w:lang w:eastAsia="zh-CN"/>
        </w:rPr>
        <w:t>政采云平台“项目采购一获取采购文件”</w:t>
      </w:r>
      <w:r>
        <w:rPr>
          <w:rFonts w:hint="eastAsia" w:ascii="宋体" w:hAnsi="宋体" w:cs="宋体"/>
          <w:color w:val="auto"/>
          <w:szCs w:val="21"/>
          <w:lang w:eastAsia="zh-CN"/>
        </w:rPr>
        <w:t>模块实名获取采购文件</w:t>
      </w:r>
      <w:r>
        <w:rPr>
          <w:rFonts w:hint="eastAsia" w:ascii="宋体" w:hAnsi="宋体" w:cs="宋体"/>
          <w:color w:val="auto"/>
          <w:szCs w:val="21"/>
        </w:rPr>
        <w:t>，并于</w:t>
      </w:r>
      <w:r>
        <w:rPr>
          <w:rFonts w:hint="eastAsia" w:ascii="宋体" w:hAnsi="宋体" w:cs="宋体"/>
          <w:color w:val="auto"/>
          <w:szCs w:val="21"/>
          <w:lang w:val="en-US" w:eastAsia="zh-CN"/>
        </w:rPr>
        <w:t>2021年10月13日9时30分</w:t>
      </w:r>
      <w:r>
        <w:rPr>
          <w:rFonts w:hint="eastAsia" w:ascii="宋体" w:hAnsi="宋体" w:cs="宋体"/>
          <w:bCs/>
          <w:color w:val="auto"/>
          <w:szCs w:val="21"/>
        </w:rPr>
        <w:t>（北京时间）前提交响应文件</w:t>
      </w:r>
      <w:r>
        <w:rPr>
          <w:rFonts w:hint="eastAsia" w:ascii="宋体" w:hAnsi="宋体" w:cs="宋体"/>
          <w:color w:val="auto"/>
          <w:szCs w:val="21"/>
        </w:rPr>
        <w:t>。</w:t>
      </w:r>
    </w:p>
    <w:p>
      <w:pPr>
        <w:spacing w:line="360" w:lineRule="auto"/>
        <w:rPr>
          <w:b/>
          <w:bCs/>
          <w:color w:val="auto"/>
        </w:rPr>
      </w:pPr>
      <w:bookmarkStart w:id="9" w:name="_Toc28359089"/>
      <w:bookmarkStart w:id="10" w:name="_Toc35393798"/>
      <w:bookmarkStart w:id="11" w:name="_Toc28359012"/>
      <w:bookmarkStart w:id="12" w:name="_Toc35393629"/>
      <w:r>
        <w:rPr>
          <w:rFonts w:hint="eastAsia" w:ascii="宋体" w:hAnsi="宋体" w:cs="宋体"/>
          <w:b/>
          <w:bCs/>
          <w:color w:val="auto"/>
          <w:szCs w:val="21"/>
        </w:rPr>
        <w:t>一</w:t>
      </w:r>
      <w:r>
        <w:rPr>
          <w:rFonts w:hint="eastAsia"/>
          <w:b/>
          <w:bCs/>
          <w:color w:val="auto"/>
        </w:rPr>
        <w:t>、项目基本情况</w:t>
      </w:r>
      <w:bookmarkEnd w:id="9"/>
      <w:bookmarkEnd w:id="10"/>
      <w:bookmarkEnd w:id="11"/>
      <w:bookmarkEnd w:id="12"/>
      <w:r>
        <w:rPr>
          <w:rFonts w:hint="eastAsia"/>
          <w:b/>
          <w:bCs/>
          <w:color w:val="auto"/>
        </w:rPr>
        <w:t>：</w:t>
      </w:r>
    </w:p>
    <w:p>
      <w:pPr>
        <w:spacing w:line="360" w:lineRule="auto"/>
        <w:ind w:firstLine="420" w:firstLineChars="200"/>
        <w:rPr>
          <w:rFonts w:ascii="Times New Roman" w:hAnsi="Times New Roman"/>
          <w:color w:val="auto"/>
          <w:szCs w:val="24"/>
        </w:rPr>
      </w:pPr>
      <w:r>
        <w:rPr>
          <w:rFonts w:hint="eastAsia"/>
          <w:color w:val="auto"/>
        </w:rPr>
        <w:t>1.项目编号：</w:t>
      </w:r>
      <w:r>
        <w:rPr>
          <w:rFonts w:hint="eastAsia"/>
          <w:color w:val="auto"/>
          <w:szCs w:val="24"/>
          <w:lang w:eastAsia="zh-CN"/>
        </w:rPr>
        <w:t>CZZC2021-C2-250221-GXYX</w:t>
      </w:r>
      <w:r>
        <w:rPr>
          <w:rFonts w:hint="eastAsia" w:ascii="Times New Roman" w:hAnsi="Times New Roman"/>
          <w:color w:val="auto"/>
          <w:szCs w:val="24"/>
        </w:rPr>
        <w:t>。</w:t>
      </w:r>
    </w:p>
    <w:p>
      <w:pPr>
        <w:spacing w:line="360" w:lineRule="auto"/>
        <w:ind w:firstLine="420" w:firstLineChars="200"/>
        <w:rPr>
          <w:color w:val="auto"/>
        </w:rPr>
      </w:pPr>
      <w:r>
        <w:rPr>
          <w:rFonts w:hint="eastAsia"/>
          <w:color w:val="auto"/>
        </w:rPr>
        <w:t>2.项目名称：</w:t>
      </w:r>
      <w:r>
        <w:rPr>
          <w:rFonts w:hint="eastAsia"/>
          <w:color w:val="auto"/>
          <w:szCs w:val="24"/>
          <w:lang w:eastAsia="zh-CN"/>
        </w:rPr>
        <w:t>天等县驮堪乡驮堪村净屯环境整治工程</w:t>
      </w:r>
      <w:r>
        <w:rPr>
          <w:rFonts w:hint="eastAsia" w:ascii="Times New Roman" w:hAnsi="Times New Roman"/>
          <w:color w:val="auto"/>
          <w:szCs w:val="24"/>
        </w:rPr>
        <w:t>。</w:t>
      </w:r>
    </w:p>
    <w:p>
      <w:pPr>
        <w:spacing w:line="360" w:lineRule="auto"/>
        <w:ind w:firstLine="420" w:firstLineChars="200"/>
        <w:rPr>
          <w:color w:val="auto"/>
        </w:rPr>
      </w:pPr>
      <w:r>
        <w:rPr>
          <w:rFonts w:hint="eastAsia"/>
          <w:color w:val="auto"/>
        </w:rPr>
        <w:t>3.采购方式：竞争性磋商。</w:t>
      </w:r>
    </w:p>
    <w:p>
      <w:pPr>
        <w:spacing w:line="360" w:lineRule="auto"/>
        <w:ind w:firstLine="420" w:firstLineChars="200"/>
        <w:rPr>
          <w:color w:val="auto"/>
        </w:rPr>
      </w:pPr>
      <w:r>
        <w:rPr>
          <w:rFonts w:hint="eastAsia"/>
          <w:color w:val="auto"/>
        </w:rPr>
        <w:t>4.招标控制价：</w:t>
      </w:r>
      <w:r>
        <w:rPr>
          <w:rFonts w:hint="eastAsia" w:ascii="宋体" w:hAnsi="宋体" w:cs="宋体"/>
          <w:color w:val="auto"/>
          <w:szCs w:val="21"/>
          <w:lang w:eastAsia="zh-CN"/>
        </w:rPr>
        <w:t>121.786285万元</w:t>
      </w:r>
      <w:r>
        <w:rPr>
          <w:rFonts w:hint="eastAsia"/>
          <w:color w:val="auto"/>
          <w:szCs w:val="24"/>
        </w:rPr>
        <w:t>。</w:t>
      </w:r>
    </w:p>
    <w:p>
      <w:pPr>
        <w:spacing w:line="360" w:lineRule="auto"/>
        <w:ind w:firstLine="420" w:firstLineChars="200"/>
        <w:rPr>
          <w:rFonts w:ascii="Times New Roman" w:hAnsi="Times New Roman"/>
          <w:color w:val="auto"/>
          <w:szCs w:val="24"/>
        </w:rPr>
      </w:pPr>
      <w:r>
        <w:rPr>
          <w:rFonts w:hint="eastAsia"/>
          <w:color w:val="auto"/>
        </w:rPr>
        <w:t>5.最高限价：</w:t>
      </w:r>
      <w:r>
        <w:rPr>
          <w:rFonts w:hint="eastAsia" w:ascii="宋体" w:hAnsi="宋体" w:cs="宋体"/>
          <w:color w:val="auto"/>
          <w:szCs w:val="21"/>
          <w:lang w:eastAsia="zh-CN"/>
        </w:rPr>
        <w:t>121.786285万元</w:t>
      </w:r>
      <w:r>
        <w:rPr>
          <w:rFonts w:hint="eastAsia" w:ascii="Times New Roman" w:hAnsi="Times New Roman"/>
          <w:color w:val="auto"/>
          <w:szCs w:val="24"/>
        </w:rPr>
        <w:t>。</w:t>
      </w:r>
    </w:p>
    <w:p>
      <w:pPr>
        <w:widowControl/>
        <w:spacing w:line="360" w:lineRule="auto"/>
        <w:ind w:firstLine="420" w:firstLineChars="200"/>
        <w:rPr>
          <w:color w:val="auto"/>
        </w:rPr>
      </w:pPr>
      <w:r>
        <w:rPr>
          <w:rFonts w:hint="eastAsia"/>
          <w:color w:val="auto"/>
        </w:rPr>
        <w:t>6.采购需求：</w:t>
      </w:r>
      <w:r>
        <w:rPr>
          <w:rFonts w:hint="eastAsia" w:ascii="宋体" w:hAnsi="宋体" w:cs="宋体"/>
          <w:color w:val="auto"/>
          <w:szCs w:val="21"/>
          <w:lang w:eastAsia="zh-CN"/>
        </w:rPr>
        <w:t>天等县驮堪乡驮堪村净屯环境整治工程包含管网工程、污水处理池工程、设备房工程等（具体内容详见施工图和招标工程量清单）。</w:t>
      </w:r>
      <w:r>
        <w:rPr>
          <w:rFonts w:hint="eastAsia"/>
          <w:color w:val="auto"/>
        </w:rPr>
        <w:t xml:space="preserve"> </w:t>
      </w:r>
    </w:p>
    <w:p>
      <w:pPr>
        <w:spacing w:line="360" w:lineRule="auto"/>
        <w:ind w:firstLine="420" w:firstLineChars="200"/>
        <w:rPr>
          <w:color w:val="auto"/>
        </w:rPr>
      </w:pPr>
      <w:r>
        <w:rPr>
          <w:rFonts w:hint="eastAsia"/>
          <w:color w:val="auto"/>
        </w:rPr>
        <w:t>7.合同履行期限：</w:t>
      </w:r>
      <w:r>
        <w:rPr>
          <w:rFonts w:hint="eastAsia"/>
          <w:color w:val="auto"/>
          <w:lang w:val="en-US" w:eastAsia="zh-CN"/>
        </w:rPr>
        <w:t>60日历天</w:t>
      </w:r>
      <w:r>
        <w:rPr>
          <w:rFonts w:hint="eastAsia"/>
          <w:color w:val="auto"/>
        </w:rPr>
        <w:t>。</w:t>
      </w:r>
    </w:p>
    <w:p>
      <w:pPr>
        <w:spacing w:line="360" w:lineRule="auto"/>
        <w:ind w:firstLine="420" w:firstLineChars="200"/>
        <w:rPr>
          <w:color w:val="auto"/>
        </w:rPr>
      </w:pPr>
      <w:r>
        <w:rPr>
          <w:rFonts w:hint="eastAsia"/>
          <w:color w:val="auto"/>
        </w:rPr>
        <w:t>8.本项目不接受联合体。</w:t>
      </w:r>
    </w:p>
    <w:p>
      <w:pPr>
        <w:spacing w:line="360" w:lineRule="auto"/>
        <w:rPr>
          <w:b/>
          <w:bCs/>
          <w:color w:val="auto"/>
        </w:rPr>
      </w:pPr>
      <w:bookmarkStart w:id="13" w:name="_Toc35393630"/>
      <w:bookmarkStart w:id="14" w:name="_Toc28359013"/>
      <w:bookmarkStart w:id="15" w:name="_Toc35393799"/>
      <w:bookmarkStart w:id="16" w:name="_Toc28359090"/>
      <w:r>
        <w:rPr>
          <w:rFonts w:hint="eastAsia"/>
          <w:b/>
          <w:bCs/>
          <w:color w:val="auto"/>
        </w:rPr>
        <w:t>二、申请人的资格要求：</w:t>
      </w:r>
      <w:bookmarkEnd w:id="13"/>
      <w:bookmarkEnd w:id="14"/>
      <w:bookmarkEnd w:id="15"/>
      <w:bookmarkEnd w:id="16"/>
    </w:p>
    <w:p>
      <w:pPr>
        <w:spacing w:line="360" w:lineRule="auto"/>
        <w:ind w:firstLine="420" w:firstLineChars="200"/>
        <w:rPr>
          <w:rFonts w:hint="eastAsia"/>
          <w:color w:val="auto"/>
        </w:rPr>
      </w:pPr>
      <w:bookmarkStart w:id="17" w:name="_Toc28359014"/>
      <w:bookmarkStart w:id="18" w:name="_Toc28359091"/>
      <w:r>
        <w:rPr>
          <w:rFonts w:hint="eastAsia"/>
          <w:color w:val="auto"/>
        </w:rPr>
        <w:t>1.满足《中华人民共和国政府采购法》第二十二条规定；</w:t>
      </w:r>
    </w:p>
    <w:p>
      <w:pPr>
        <w:spacing w:line="360" w:lineRule="auto"/>
        <w:ind w:firstLine="420" w:firstLineChars="200"/>
        <w:rPr>
          <w:rFonts w:hint="eastAsia"/>
          <w:color w:val="auto"/>
        </w:rPr>
      </w:pPr>
      <w:r>
        <w:rPr>
          <w:rFonts w:hint="eastAsia"/>
          <w:color w:val="auto"/>
        </w:rPr>
        <w:t>2.落实政府采购政策需满足的资格要求：</w:t>
      </w:r>
      <w:r>
        <w:rPr>
          <w:rFonts w:hint="eastAsia"/>
          <w:color w:val="auto"/>
          <w:lang w:eastAsia="zh-CN"/>
        </w:rPr>
        <w:t>无</w:t>
      </w:r>
      <w:r>
        <w:rPr>
          <w:rFonts w:hint="eastAsia" w:ascii="宋体" w:hAnsi="宋体" w:cs="宋体"/>
          <w:color w:val="auto"/>
          <w:szCs w:val="21"/>
        </w:rPr>
        <w:t>。</w:t>
      </w:r>
    </w:p>
    <w:p>
      <w:pPr>
        <w:spacing w:line="360" w:lineRule="auto"/>
        <w:ind w:firstLine="420" w:firstLineChars="200"/>
        <w:rPr>
          <w:rFonts w:hint="eastAsia" w:eastAsia="宋体"/>
          <w:color w:val="auto"/>
          <w:lang w:eastAsia="zh-CN"/>
        </w:rPr>
      </w:pPr>
      <w:r>
        <w:rPr>
          <w:rFonts w:hint="eastAsia"/>
          <w:color w:val="auto"/>
          <w:lang w:val="en-US" w:eastAsia="zh-CN"/>
        </w:rPr>
        <w:t>3</w:t>
      </w:r>
      <w:r>
        <w:rPr>
          <w:rFonts w:hint="eastAsia"/>
          <w:color w:val="auto"/>
        </w:rPr>
        <w:t>.本项目的特定资格要求：</w:t>
      </w:r>
      <w:bookmarkStart w:id="19" w:name="_Toc35393800"/>
      <w:bookmarkStart w:id="20" w:name="_Toc35393631"/>
      <w:r>
        <w:rPr>
          <w:rFonts w:hint="eastAsia" w:ascii="宋体" w:hAnsi="宋体" w:cs="宋体"/>
          <w:color w:val="auto"/>
          <w:sz w:val="21"/>
          <w:szCs w:val="21"/>
          <w:lang w:eastAsia="zh-CN"/>
        </w:rPr>
        <w:t>具备市政公用工程施工总承包叁级(含叁级)及以上资质，并在人员、设备、资金等方面具有相应的施工能力</w:t>
      </w:r>
      <w:r>
        <w:rPr>
          <w:rFonts w:hint="eastAsia" w:ascii="宋体" w:hAnsi="宋体" w:cs="宋体"/>
          <w:color w:val="auto"/>
          <w:szCs w:val="21"/>
          <w:highlight w:val="none"/>
        </w:rPr>
        <w:t>；</w:t>
      </w:r>
      <w:r>
        <w:rPr>
          <w:rFonts w:hint="eastAsia" w:ascii="宋体" w:hAnsi="宋体" w:cs="宋体"/>
          <w:color w:val="auto"/>
          <w:sz w:val="21"/>
          <w:szCs w:val="21"/>
          <w:lang w:eastAsia="zh-CN"/>
        </w:rPr>
        <w:t>拟派驻的项目经理须具备市政公用工程专业贰级以上（含贰级）注册建造师执业资格，具备有效的安全生产考核合格证书（B类），且为本单位在职员工</w:t>
      </w:r>
      <w:r>
        <w:rPr>
          <w:rFonts w:hint="eastAsia"/>
          <w:color w:val="auto"/>
          <w:lang w:eastAsia="zh-CN"/>
        </w:rPr>
        <w:t>。</w:t>
      </w:r>
    </w:p>
    <w:p>
      <w:pPr>
        <w:spacing w:line="360" w:lineRule="auto"/>
        <w:rPr>
          <w:b/>
          <w:bCs/>
          <w:color w:val="auto"/>
        </w:rPr>
      </w:pPr>
      <w:r>
        <w:rPr>
          <w:rFonts w:hint="eastAsia"/>
          <w:b/>
          <w:bCs/>
          <w:color w:val="auto"/>
        </w:rPr>
        <w:t>三、获取采购文件</w:t>
      </w:r>
      <w:bookmarkEnd w:id="17"/>
      <w:bookmarkEnd w:id="18"/>
      <w:bookmarkEnd w:id="19"/>
      <w:bookmarkEnd w:id="20"/>
    </w:p>
    <w:p>
      <w:pPr>
        <w:spacing w:line="360" w:lineRule="auto"/>
        <w:ind w:firstLine="540"/>
        <w:rPr>
          <w:rFonts w:hint="eastAsia" w:ascii="宋体" w:hAnsi="宋体" w:eastAsia="宋体" w:cs="宋体"/>
          <w:color w:val="auto"/>
          <w:szCs w:val="21"/>
          <w:lang w:eastAsia="zh-CN"/>
        </w:rPr>
      </w:pPr>
      <w:r>
        <w:rPr>
          <w:rFonts w:hint="eastAsia" w:ascii="宋体" w:hAnsi="宋体" w:cs="宋体"/>
          <w:color w:val="auto"/>
          <w:szCs w:val="21"/>
        </w:rPr>
        <w:t>1.时间：</w:t>
      </w:r>
      <w:r>
        <w:rPr>
          <w:rFonts w:hint="eastAsia" w:ascii="宋体" w:hAnsi="宋体" w:cs="宋体"/>
          <w:color w:val="auto"/>
          <w:szCs w:val="21"/>
          <w:lang w:eastAsia="zh-CN"/>
        </w:rPr>
        <w:t>自公告发布之日起</w:t>
      </w:r>
      <w:r>
        <w:rPr>
          <w:rFonts w:hint="eastAsia" w:ascii="宋体" w:hAnsi="宋体" w:cs="宋体"/>
          <w:color w:val="auto"/>
          <w:szCs w:val="21"/>
        </w:rPr>
        <w:t>至</w:t>
      </w:r>
      <w:r>
        <w:rPr>
          <w:rFonts w:hint="eastAsia" w:ascii="宋体" w:hAnsi="宋体" w:cs="宋体"/>
          <w:color w:val="auto"/>
          <w:szCs w:val="21"/>
          <w:lang w:eastAsia="zh-CN"/>
        </w:rPr>
        <w:t>2021年</w:t>
      </w:r>
      <w:r>
        <w:rPr>
          <w:rFonts w:hint="eastAsia" w:ascii="宋体" w:hAnsi="宋体" w:cs="宋体"/>
          <w:color w:val="auto"/>
          <w:szCs w:val="21"/>
          <w:lang w:val="en-US" w:eastAsia="zh-CN"/>
        </w:rPr>
        <w:t>10</w:t>
      </w:r>
      <w:r>
        <w:rPr>
          <w:rFonts w:hint="eastAsia" w:ascii="宋体" w:hAnsi="宋体" w:cs="宋体"/>
          <w:color w:val="auto"/>
          <w:szCs w:val="21"/>
          <w:lang w:eastAsia="zh-CN"/>
        </w:rPr>
        <w:t>月</w:t>
      </w:r>
      <w:r>
        <w:rPr>
          <w:rFonts w:hint="eastAsia" w:ascii="宋体" w:hAnsi="宋体" w:cs="宋体"/>
          <w:color w:val="auto"/>
          <w:szCs w:val="21"/>
          <w:lang w:val="en-US" w:eastAsia="zh-CN"/>
        </w:rPr>
        <w:t>12</w:t>
      </w:r>
      <w:r>
        <w:rPr>
          <w:rFonts w:hint="eastAsia" w:ascii="宋体" w:hAnsi="宋体" w:cs="宋体"/>
          <w:color w:val="auto"/>
          <w:szCs w:val="21"/>
          <w:lang w:eastAsia="zh-CN"/>
        </w:rPr>
        <w:t>日。</w:t>
      </w:r>
    </w:p>
    <w:p>
      <w:pPr>
        <w:pageBreakBefore w:val="0"/>
        <w:kinsoku/>
        <w:wordWrap/>
        <w:overflowPunct/>
        <w:topLinePunct w:val="0"/>
        <w:autoSpaceDE/>
        <w:autoSpaceDN/>
        <w:bidi w:val="0"/>
        <w:adjustRightInd/>
        <w:spacing w:line="336" w:lineRule="auto"/>
        <w:ind w:firstLine="420" w:firstLineChars="200"/>
        <w:textAlignment w:val="auto"/>
        <w:rPr>
          <w:rFonts w:hint="eastAsia" w:ascii="宋体" w:hAnsi="宋体" w:eastAsia="宋体" w:cs="宋体"/>
          <w:color w:val="auto"/>
          <w:szCs w:val="21"/>
          <w:u w:val="single"/>
          <w:lang w:eastAsia="zh-CN"/>
        </w:rPr>
      </w:pPr>
      <w:r>
        <w:rPr>
          <w:rFonts w:hint="eastAsia" w:ascii="宋体" w:hAnsi="宋体" w:eastAsia="宋体" w:cs="宋体"/>
          <w:color w:val="auto"/>
          <w:szCs w:val="21"/>
        </w:rPr>
        <w:t>2.</w:t>
      </w:r>
      <w:r>
        <w:rPr>
          <w:rFonts w:hint="eastAsia" w:ascii="宋体" w:hAnsi="宋体" w:cs="宋体"/>
          <w:color w:val="auto"/>
          <w:szCs w:val="21"/>
          <w:lang w:eastAsia="zh-CN"/>
        </w:rPr>
        <w:t>地址：</w:t>
      </w:r>
      <w:r>
        <w:rPr>
          <w:rFonts w:hint="default" w:eastAsia="宋体"/>
          <w:color w:val="auto"/>
          <w:highlight w:val="none"/>
          <w:lang w:val="en-US" w:eastAsia="zh-CN"/>
        </w:rPr>
        <w:t>政采云平台（https://www.zcygov.cn/）</w:t>
      </w:r>
      <w:r>
        <w:rPr>
          <w:rFonts w:hint="eastAsia" w:ascii="宋体" w:hAnsi="宋体" w:eastAsia="宋体" w:cs="宋体"/>
          <w:color w:val="auto"/>
          <w:szCs w:val="21"/>
          <w:lang w:eastAsia="zh-CN"/>
        </w:rPr>
        <w:t>。</w:t>
      </w:r>
    </w:p>
    <w:p>
      <w:pPr>
        <w:pageBreakBefore w:val="0"/>
        <w:kinsoku/>
        <w:wordWrap/>
        <w:overflowPunct/>
        <w:topLinePunct w:val="0"/>
        <w:autoSpaceDE/>
        <w:autoSpaceDN/>
        <w:bidi w:val="0"/>
        <w:adjustRightInd/>
        <w:spacing w:line="336" w:lineRule="auto"/>
        <w:ind w:firstLine="420" w:firstLineChars="200"/>
        <w:textAlignment w:val="auto"/>
        <w:rPr>
          <w:rFonts w:hint="eastAsia" w:ascii="宋体" w:hAnsi="宋体" w:eastAsia="宋体" w:cs="宋体"/>
          <w:color w:val="auto"/>
          <w:szCs w:val="21"/>
          <w:u w:val="single"/>
          <w:lang w:eastAsia="zh-CN"/>
        </w:rPr>
      </w:pPr>
      <w:r>
        <w:rPr>
          <w:rFonts w:hint="eastAsia" w:ascii="宋体" w:hAnsi="宋体" w:eastAsia="宋体" w:cs="宋体"/>
          <w:color w:val="auto"/>
          <w:szCs w:val="21"/>
        </w:rPr>
        <w:t>3.</w:t>
      </w:r>
      <w:r>
        <w:rPr>
          <w:rFonts w:hint="eastAsia" w:ascii="宋体" w:hAnsi="宋体" w:cs="宋体"/>
          <w:color w:val="auto"/>
          <w:szCs w:val="21"/>
          <w:lang w:eastAsia="zh-CN"/>
        </w:rPr>
        <w:t>方式：登录政采云平台“项目采购一获取采购文件”模块实名申请获取采购文件。如在操作过程中遇到问题或者需要技术支持，请致电政采云客服热线：400-881-7190。</w:t>
      </w:r>
    </w:p>
    <w:p>
      <w:pPr>
        <w:spacing w:line="360" w:lineRule="auto"/>
        <w:rPr>
          <w:color w:val="auto"/>
        </w:rPr>
      </w:pPr>
      <w:bookmarkStart w:id="21" w:name="_Toc28359015"/>
      <w:bookmarkStart w:id="22" w:name="_Toc35393801"/>
      <w:bookmarkStart w:id="23" w:name="_Toc28359092"/>
      <w:bookmarkStart w:id="24" w:name="_Toc35393632"/>
      <w:r>
        <w:rPr>
          <w:rFonts w:hint="eastAsia"/>
          <w:b/>
          <w:bCs/>
          <w:color w:val="auto"/>
        </w:rPr>
        <w:t>四、响应文件提交</w:t>
      </w:r>
      <w:bookmarkEnd w:id="21"/>
      <w:bookmarkEnd w:id="22"/>
      <w:bookmarkEnd w:id="23"/>
      <w:bookmarkEnd w:id="24"/>
      <w:r>
        <w:rPr>
          <w:rFonts w:hint="eastAsia"/>
          <w:b/>
          <w:bCs/>
          <w:color w:val="auto"/>
        </w:rPr>
        <w:t>：</w:t>
      </w:r>
      <w:r>
        <w:rPr>
          <w:rFonts w:hint="eastAsia"/>
          <w:color w:val="auto"/>
        </w:rPr>
        <w:t>截止时间：</w:t>
      </w:r>
      <w:r>
        <w:rPr>
          <w:rFonts w:hint="eastAsia" w:ascii="宋体" w:hAnsi="宋体" w:cs="宋体"/>
          <w:color w:val="auto"/>
          <w:szCs w:val="21"/>
          <w:lang w:val="en-US" w:eastAsia="zh-CN"/>
        </w:rPr>
        <w:t>2021年10月13日9时30分</w:t>
      </w:r>
      <w:r>
        <w:rPr>
          <w:rFonts w:hint="eastAsia"/>
          <w:color w:val="auto"/>
        </w:rPr>
        <w:t>（北京时间）前在</w:t>
      </w:r>
      <w:r>
        <w:rPr>
          <w:rFonts w:hint="eastAsia" w:ascii="宋体" w:hAnsi="宋体" w:cs="宋体"/>
          <w:color w:val="auto"/>
          <w:szCs w:val="21"/>
          <w:lang w:eastAsia="zh-CN"/>
        </w:rPr>
        <w:t>广西亿翔荣工程管理有限责任公司崇左分公司【崇左市江州区新城路1号阳光名邸三期南面C4-103商铺】</w:t>
      </w:r>
      <w:r>
        <w:rPr>
          <w:rFonts w:hint="eastAsia" w:ascii="宋体" w:hAnsi="宋体" w:cs="宋体"/>
          <w:color w:val="auto"/>
          <w:szCs w:val="21"/>
        </w:rPr>
        <w:t>。</w:t>
      </w:r>
      <w:r>
        <w:rPr>
          <w:rFonts w:hint="eastAsia"/>
          <w:color w:val="auto"/>
        </w:rPr>
        <w:t xml:space="preserve"> </w:t>
      </w:r>
    </w:p>
    <w:p>
      <w:pPr>
        <w:spacing w:line="360" w:lineRule="auto"/>
        <w:rPr>
          <w:color w:val="auto"/>
        </w:rPr>
      </w:pPr>
      <w:bookmarkStart w:id="25" w:name="_Toc28359093"/>
      <w:bookmarkStart w:id="26" w:name="_Toc28359016"/>
      <w:bookmarkStart w:id="27" w:name="_Toc35393802"/>
      <w:bookmarkStart w:id="28" w:name="_Toc35393633"/>
      <w:r>
        <w:rPr>
          <w:rFonts w:hint="eastAsia"/>
          <w:b/>
          <w:bCs/>
          <w:color w:val="auto"/>
        </w:rPr>
        <w:t>五、开启</w:t>
      </w:r>
      <w:bookmarkEnd w:id="25"/>
      <w:bookmarkEnd w:id="26"/>
      <w:bookmarkEnd w:id="27"/>
      <w:bookmarkEnd w:id="28"/>
      <w:r>
        <w:rPr>
          <w:rFonts w:hint="eastAsia"/>
          <w:b/>
          <w:bCs/>
          <w:color w:val="auto"/>
        </w:rPr>
        <w:t>：</w:t>
      </w:r>
      <w:r>
        <w:rPr>
          <w:rFonts w:hint="eastAsia"/>
          <w:color w:val="auto"/>
        </w:rPr>
        <w:t>时间：</w:t>
      </w:r>
      <w:r>
        <w:rPr>
          <w:rFonts w:hint="eastAsia" w:ascii="宋体" w:hAnsi="宋体" w:cs="宋体"/>
          <w:color w:val="auto"/>
          <w:szCs w:val="21"/>
          <w:lang w:val="en-US" w:eastAsia="zh-CN"/>
        </w:rPr>
        <w:t>2021年10月13日9时30分</w:t>
      </w:r>
      <w:r>
        <w:rPr>
          <w:rFonts w:hint="eastAsia"/>
          <w:color w:val="auto"/>
        </w:rPr>
        <w:t>（北京时间）后在</w:t>
      </w:r>
      <w:r>
        <w:rPr>
          <w:rFonts w:hint="eastAsia" w:ascii="宋体" w:hAnsi="宋体" w:cs="宋体"/>
          <w:color w:val="auto"/>
          <w:szCs w:val="21"/>
          <w:lang w:eastAsia="zh-CN"/>
        </w:rPr>
        <w:t>广西亿翔荣工程管理有限责任公司崇左分公司【崇左市江州区新城路1号阳光名邸三期南面C4-103商铺】</w:t>
      </w:r>
      <w:r>
        <w:rPr>
          <w:rFonts w:hint="eastAsia" w:ascii="宋体" w:hAnsi="宋体" w:cs="宋体"/>
          <w:color w:val="auto"/>
          <w:szCs w:val="21"/>
        </w:rPr>
        <w:t>开启响应文件。</w:t>
      </w:r>
    </w:p>
    <w:p>
      <w:pPr>
        <w:spacing w:line="360" w:lineRule="auto"/>
        <w:rPr>
          <w:color w:val="auto"/>
        </w:rPr>
      </w:pPr>
      <w:bookmarkStart w:id="29" w:name="_Toc35393634"/>
      <w:bookmarkStart w:id="30" w:name="_Toc28359017"/>
      <w:bookmarkStart w:id="31" w:name="_Toc28359094"/>
      <w:bookmarkStart w:id="32" w:name="_Toc35393803"/>
      <w:r>
        <w:rPr>
          <w:rFonts w:hint="eastAsia"/>
          <w:b/>
          <w:bCs/>
          <w:color w:val="auto"/>
        </w:rPr>
        <w:t>六、公告期限</w:t>
      </w:r>
      <w:bookmarkEnd w:id="29"/>
      <w:bookmarkEnd w:id="30"/>
      <w:bookmarkEnd w:id="31"/>
      <w:bookmarkEnd w:id="32"/>
      <w:r>
        <w:rPr>
          <w:rFonts w:hint="eastAsia"/>
          <w:b/>
          <w:bCs/>
          <w:color w:val="auto"/>
        </w:rPr>
        <w:t>：</w:t>
      </w:r>
      <w:r>
        <w:rPr>
          <w:rFonts w:hint="eastAsia"/>
          <w:color w:val="auto"/>
        </w:rPr>
        <w:t>自本公告发布之日起</w:t>
      </w:r>
      <w:r>
        <w:rPr>
          <w:rFonts w:hint="eastAsia"/>
          <w:color w:val="auto"/>
          <w:lang w:val="en-US" w:eastAsia="zh-CN"/>
        </w:rPr>
        <w:t>3</w:t>
      </w:r>
      <w:r>
        <w:rPr>
          <w:rFonts w:hint="eastAsia"/>
          <w:color w:val="auto"/>
        </w:rPr>
        <w:t>个工作日。</w:t>
      </w:r>
    </w:p>
    <w:p>
      <w:pPr>
        <w:spacing w:line="360" w:lineRule="auto"/>
        <w:rPr>
          <w:rFonts w:hint="eastAsia"/>
          <w:b/>
          <w:bCs/>
          <w:color w:val="auto"/>
        </w:rPr>
      </w:pPr>
      <w:bookmarkStart w:id="33" w:name="_Toc35393635"/>
      <w:bookmarkStart w:id="34" w:name="_Toc35393804"/>
      <w:r>
        <w:rPr>
          <w:rFonts w:hint="eastAsia"/>
          <w:b/>
          <w:bCs/>
          <w:color w:val="auto"/>
        </w:rPr>
        <w:t>七、其他补充事宜</w:t>
      </w:r>
      <w:bookmarkEnd w:id="33"/>
      <w:bookmarkEnd w:id="34"/>
      <w:r>
        <w:rPr>
          <w:rFonts w:hint="eastAsia"/>
          <w:b/>
          <w:bCs/>
          <w:color w:val="auto"/>
        </w:rPr>
        <w:t>：</w:t>
      </w:r>
    </w:p>
    <w:p>
      <w:pPr>
        <w:spacing w:line="360" w:lineRule="auto"/>
        <w:ind w:firstLine="420" w:firstLineChars="200"/>
        <w:rPr>
          <w:color w:val="auto"/>
        </w:rPr>
      </w:pPr>
      <w:r>
        <w:rPr>
          <w:rFonts w:hint="eastAsia"/>
          <w:color w:val="auto"/>
          <w:lang w:val="en-US" w:eastAsia="zh-CN"/>
        </w:rPr>
        <w:t>1.</w:t>
      </w:r>
      <w:r>
        <w:rPr>
          <w:rFonts w:hint="eastAsia"/>
          <w:color w:val="auto"/>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spacing w:line="360" w:lineRule="auto"/>
        <w:ind w:firstLine="420" w:firstLineChars="200"/>
        <w:rPr>
          <w:color w:val="auto"/>
        </w:rPr>
      </w:pPr>
      <w:r>
        <w:rPr>
          <w:rFonts w:hint="eastAsia"/>
          <w:color w:val="auto"/>
          <w:lang w:val="en-US" w:eastAsia="zh-CN"/>
        </w:rPr>
        <w:t>2.</w:t>
      </w:r>
      <w:r>
        <w:rPr>
          <w:rFonts w:hint="eastAsia" w:ascii="宋体" w:hAnsi="宋体" w:cs="宋体"/>
          <w:color w:val="auto"/>
          <w:szCs w:val="21"/>
        </w:rPr>
        <w:t>对在“信用中国”网站</w:t>
      </w:r>
      <w:r>
        <w:rPr>
          <w:rFonts w:ascii="宋体" w:hAnsi="宋体" w:cs="宋体"/>
          <w:color w:val="auto"/>
          <w:szCs w:val="21"/>
        </w:rPr>
        <w:t>(www.creditchina.gov.cn)</w:t>
      </w:r>
      <w:r>
        <w:rPr>
          <w:rFonts w:hint="eastAsia" w:ascii="宋体" w:hAnsi="宋体" w:cs="宋体"/>
          <w:color w:val="auto"/>
          <w:szCs w:val="21"/>
        </w:rPr>
        <w:t>、中国政府采购网</w:t>
      </w:r>
      <w:r>
        <w:rPr>
          <w:rFonts w:ascii="宋体" w:hAnsi="宋体" w:cs="宋体"/>
          <w:color w:val="auto"/>
          <w:szCs w:val="21"/>
        </w:rPr>
        <w:t>(www.ccgp.gov.cn)</w:t>
      </w:r>
      <w:r>
        <w:rPr>
          <w:rFonts w:hint="eastAsia" w:ascii="宋体" w:hAnsi="宋体" w:cs="宋体"/>
          <w:color w:val="auto"/>
          <w:szCs w:val="21"/>
        </w:rPr>
        <w:t>等渠道列入失信被执行人、重大税收违法案件当事人名单、政府采购严重违法失信行为记录名单及其他不符合《中华人民共和国政府采购法》第二十二条规定条件的供应商，不得参与</w:t>
      </w:r>
      <w:r>
        <w:rPr>
          <w:rFonts w:hint="eastAsia" w:ascii="宋体" w:hAnsi="宋体" w:cs="宋体"/>
          <w:color w:val="auto"/>
          <w:szCs w:val="21"/>
          <w:lang w:eastAsia="zh-CN"/>
        </w:rPr>
        <w:t>采购活动</w:t>
      </w:r>
      <w:r>
        <w:rPr>
          <w:rFonts w:hint="eastAsia"/>
          <w:color w:val="auto"/>
        </w:rPr>
        <w:t>。</w:t>
      </w:r>
    </w:p>
    <w:p>
      <w:pPr>
        <w:snapToGrid w:val="0"/>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3.</w:t>
      </w:r>
      <w:r>
        <w:rPr>
          <w:rFonts w:hint="eastAsia" w:ascii="Times New Roman" w:hAnsi="Times New Roman" w:eastAsia="宋体" w:cs="Times New Roman"/>
          <w:color w:val="auto"/>
          <w:szCs w:val="21"/>
        </w:rPr>
        <w:t>落实政</w:t>
      </w:r>
      <w:r>
        <w:rPr>
          <w:rFonts w:hint="eastAsia"/>
          <w:color w:val="auto"/>
          <w:szCs w:val="21"/>
        </w:rPr>
        <w:t>府采购政策：</w:t>
      </w:r>
      <w:r>
        <w:rPr>
          <w:rFonts w:hint="eastAsia" w:ascii="宋体" w:hAnsi="宋体" w:cs="宋体"/>
          <w:color w:val="auto"/>
          <w:szCs w:val="21"/>
        </w:rPr>
        <w:t>政府采购促进中小企业发展；政府采购支持采用本国产品的政策；强制采购、优先采购环境标志产品、节能产品；政府采购促进残疾人就业政策；政府采购支持监狱企业发展；扶持不发达地区和少数民族地区政策</w:t>
      </w:r>
      <w:r>
        <w:rPr>
          <w:rFonts w:hint="eastAsia" w:ascii="宋体" w:hAnsi="宋体" w:cs="宋体"/>
          <w:color w:val="auto"/>
          <w:szCs w:val="21"/>
          <w:lang w:eastAsia="zh-CN"/>
        </w:rPr>
        <w:t>。</w:t>
      </w:r>
    </w:p>
    <w:p>
      <w:pPr>
        <w:snapToGrid w:val="0"/>
        <w:spacing w:line="360" w:lineRule="auto"/>
        <w:ind w:firstLine="420" w:firstLineChars="200"/>
        <w:rPr>
          <w:rFonts w:ascii="宋体" w:hAnsi="宋体" w:cs="宋体"/>
          <w:b/>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本次公告</w:t>
      </w:r>
      <w:r>
        <w:rPr>
          <w:rFonts w:hint="eastAsia"/>
          <w:color w:val="auto"/>
        </w:rPr>
        <w:t>同时在</w:t>
      </w:r>
      <w:r>
        <w:rPr>
          <w:rFonts w:hint="eastAsia"/>
          <w:color w:val="auto"/>
          <w:lang w:eastAsia="zh-CN"/>
        </w:rPr>
        <w:t>广西壮族自治区政府采购网、中国政府采购网</w:t>
      </w:r>
      <w:r>
        <w:rPr>
          <w:rFonts w:hint="eastAsia" w:ascii="宋体" w:hAnsi="宋体" w:cs="宋体"/>
          <w:color w:val="auto"/>
          <w:szCs w:val="21"/>
        </w:rPr>
        <w:t>上发布。</w:t>
      </w:r>
      <w:r>
        <w:rPr>
          <w:rFonts w:hint="eastAsia" w:ascii="宋体" w:hAnsi="宋体"/>
          <w:color w:val="auto"/>
          <w:szCs w:val="21"/>
        </w:rPr>
        <w:t xml:space="preserve">  </w:t>
      </w:r>
    </w:p>
    <w:p>
      <w:pPr>
        <w:spacing w:line="360" w:lineRule="auto"/>
        <w:rPr>
          <w:b/>
          <w:bCs/>
          <w:color w:val="auto"/>
        </w:rPr>
      </w:pPr>
      <w:bookmarkStart w:id="35" w:name="_Toc28359095"/>
      <w:bookmarkStart w:id="36" w:name="_Toc35393636"/>
      <w:bookmarkStart w:id="37" w:name="_Toc35393805"/>
      <w:bookmarkStart w:id="38" w:name="_Toc28359018"/>
      <w:r>
        <w:rPr>
          <w:rFonts w:hint="eastAsia"/>
          <w:b/>
          <w:bCs/>
          <w:color w:val="auto"/>
          <w:lang w:eastAsia="zh-CN"/>
        </w:rPr>
        <w:t>八</w:t>
      </w:r>
      <w:r>
        <w:rPr>
          <w:rFonts w:hint="eastAsia"/>
          <w:b/>
          <w:bCs/>
          <w:color w:val="auto"/>
        </w:rPr>
        <w:t>、凡对本次采购提出询问，请按以下方式联系。</w:t>
      </w:r>
      <w:bookmarkEnd w:id="35"/>
      <w:bookmarkEnd w:id="36"/>
      <w:bookmarkEnd w:id="37"/>
      <w:bookmarkEnd w:id="38"/>
    </w:p>
    <w:p>
      <w:pPr>
        <w:spacing w:line="324" w:lineRule="auto"/>
        <w:outlineLvl w:val="0"/>
        <w:rPr>
          <w:rFonts w:hint="eastAsia" w:ascii="宋体" w:hAnsi="宋体" w:cs="宋体"/>
          <w:color w:val="auto"/>
          <w:szCs w:val="21"/>
          <w:highlight w:val="none"/>
        </w:rPr>
      </w:pPr>
      <w:bookmarkStart w:id="39" w:name="_Toc543"/>
      <w:r>
        <w:rPr>
          <w:rFonts w:hint="eastAsia" w:ascii="宋体" w:hAnsi="宋体" w:cs="宋体"/>
          <w:color w:val="auto"/>
          <w:szCs w:val="21"/>
          <w:highlight w:val="none"/>
        </w:rPr>
        <w:t>1.采购人信息</w:t>
      </w:r>
      <w:bookmarkEnd w:id="39"/>
    </w:p>
    <w:p>
      <w:pPr>
        <w:spacing w:line="324"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天等县乡村振兴局</w:t>
      </w:r>
      <w:r>
        <w:rPr>
          <w:rFonts w:hint="eastAsia" w:ascii="宋体" w:hAnsi="宋体" w:eastAsia="宋体" w:cs="宋体"/>
          <w:color w:val="auto"/>
          <w:szCs w:val="21"/>
          <w:highlight w:val="none"/>
          <w:lang w:eastAsia="zh-CN"/>
        </w:rPr>
        <w:t>　　　　　　　　　　　　</w:t>
      </w:r>
    </w:p>
    <w:p>
      <w:pPr>
        <w:spacing w:line="324"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地址：</w:t>
      </w:r>
      <w:r>
        <w:rPr>
          <w:rFonts w:hint="eastAsia" w:ascii="宋体" w:hAnsi="宋体" w:cs="宋体"/>
          <w:color w:val="auto"/>
          <w:szCs w:val="21"/>
          <w:highlight w:val="none"/>
          <w:lang w:eastAsia="zh-CN"/>
        </w:rPr>
        <w:t>天等县天等镇和平路9号</w:t>
      </w:r>
    </w:p>
    <w:p>
      <w:pPr>
        <w:spacing w:line="324" w:lineRule="auto"/>
        <w:rPr>
          <w:rFonts w:hint="eastAsia" w:ascii="宋体" w:hAnsi="宋体" w:cs="宋体"/>
          <w:color w:val="auto"/>
          <w:szCs w:val="21"/>
          <w:highlight w:val="none"/>
        </w:rPr>
      </w:pPr>
      <w:r>
        <w:rPr>
          <w:rFonts w:hint="eastAsia" w:ascii="宋体" w:hAnsi="宋体" w:eastAsia="宋体" w:cs="宋体"/>
          <w:color w:val="auto"/>
          <w:szCs w:val="21"/>
          <w:highlight w:val="none"/>
          <w:lang w:eastAsia="zh-CN"/>
        </w:rPr>
        <w:t xml:space="preserve">联系人及电话: </w:t>
      </w:r>
      <w:r>
        <w:rPr>
          <w:rFonts w:hint="eastAsia" w:ascii="宋体" w:hAnsi="宋体" w:cs="宋体"/>
          <w:color w:val="auto"/>
          <w:szCs w:val="21"/>
          <w:highlight w:val="none"/>
          <w:lang w:eastAsia="zh-CN"/>
        </w:rPr>
        <w:t>赵淑</w:t>
      </w:r>
      <w:r>
        <w:rPr>
          <w:rFonts w:hint="eastAsia" w:ascii="宋体" w:hAnsi="宋体" w:cs="宋体"/>
          <w:color w:val="auto"/>
          <w:szCs w:val="21"/>
          <w:highlight w:val="none"/>
          <w:lang w:val="en-US" w:eastAsia="zh-CN"/>
        </w:rPr>
        <w:t>桢</w:t>
      </w:r>
      <w:r>
        <w:rPr>
          <w:rFonts w:hint="eastAsia" w:ascii="宋体" w:hAnsi="宋体" w:eastAsia="宋体" w:cs="宋体"/>
          <w:color w:val="auto"/>
          <w:szCs w:val="21"/>
          <w:highlight w:val="none"/>
          <w:lang w:eastAsia="zh-CN"/>
        </w:rPr>
        <w:t xml:space="preserve">   </w:t>
      </w:r>
      <w:r>
        <w:rPr>
          <w:rFonts w:hint="eastAsia" w:ascii="宋体" w:hAnsi="宋体" w:cs="宋体"/>
          <w:color w:val="auto"/>
          <w:szCs w:val="21"/>
          <w:highlight w:val="none"/>
          <w:lang w:eastAsia="zh-CN"/>
        </w:rPr>
        <w:t>0771-3534089</w:t>
      </w:r>
      <w:r>
        <w:rPr>
          <w:rFonts w:hint="eastAsia" w:ascii="宋体" w:hAnsi="宋体" w:cs="宋体"/>
          <w:color w:val="auto"/>
          <w:szCs w:val="21"/>
          <w:highlight w:val="none"/>
        </w:rPr>
        <w:t xml:space="preserve">　 </w:t>
      </w:r>
      <w:bookmarkStart w:id="40" w:name="_Toc28359086"/>
      <w:bookmarkStart w:id="41" w:name="_Toc28359009"/>
    </w:p>
    <w:p>
      <w:pPr>
        <w:spacing w:line="324" w:lineRule="auto"/>
        <w:rPr>
          <w:rFonts w:hint="eastAsia" w:ascii="宋体" w:hAnsi="宋体" w:cs="宋体"/>
          <w:color w:val="auto"/>
          <w:szCs w:val="21"/>
          <w:highlight w:val="none"/>
        </w:rPr>
      </w:pPr>
      <w:bookmarkStart w:id="42" w:name="_Toc32216"/>
      <w:r>
        <w:rPr>
          <w:rFonts w:hint="eastAsia" w:ascii="宋体" w:hAnsi="宋体" w:cs="宋体"/>
          <w:color w:val="auto"/>
          <w:szCs w:val="21"/>
          <w:highlight w:val="none"/>
        </w:rPr>
        <w:t>2.采购代理机构信息</w:t>
      </w:r>
      <w:bookmarkEnd w:id="40"/>
      <w:bookmarkEnd w:id="41"/>
      <w:bookmarkEnd w:id="42"/>
      <w:r>
        <w:rPr>
          <w:rFonts w:hint="eastAsia" w:ascii="宋体" w:hAnsi="宋体" w:cs="宋体"/>
          <w:color w:val="auto"/>
          <w:szCs w:val="21"/>
          <w:highlight w:val="none"/>
        </w:rPr>
        <w:t xml:space="preserve"> </w:t>
      </w:r>
    </w:p>
    <w:p>
      <w:pPr>
        <w:spacing w:line="324" w:lineRule="auto"/>
        <w:rPr>
          <w:rFonts w:hint="eastAsia" w:ascii="宋体" w:hAnsi="宋体" w:cs="宋体"/>
          <w:color w:val="auto"/>
          <w:szCs w:val="21"/>
          <w:highlight w:val="none"/>
        </w:rPr>
      </w:pPr>
      <w:r>
        <w:rPr>
          <w:rFonts w:hint="eastAsia" w:ascii="宋体" w:hAnsi="宋体" w:cs="宋体"/>
          <w:color w:val="auto"/>
          <w:szCs w:val="21"/>
          <w:highlight w:val="none"/>
        </w:rPr>
        <w:t>名 称：</w:t>
      </w:r>
      <w:bookmarkStart w:id="43" w:name="_Toc28359010"/>
      <w:bookmarkStart w:id="44" w:name="_Toc28359087"/>
      <w:r>
        <w:rPr>
          <w:rFonts w:hint="eastAsia" w:ascii="宋体" w:hAnsi="宋体" w:cs="宋体"/>
          <w:color w:val="auto"/>
          <w:szCs w:val="21"/>
          <w:highlight w:val="none"/>
        </w:rPr>
        <w:t>广西亿翔荣工程管理有限责任公司</w:t>
      </w:r>
    </w:p>
    <w:p>
      <w:pPr>
        <w:spacing w:line="324" w:lineRule="auto"/>
        <w:rPr>
          <w:rFonts w:hint="eastAsia" w:ascii="宋体" w:hAnsi="宋体" w:cs="宋体"/>
          <w:color w:val="auto"/>
          <w:szCs w:val="21"/>
          <w:highlight w:val="none"/>
        </w:rPr>
      </w:pPr>
      <w:r>
        <w:rPr>
          <w:rFonts w:hint="eastAsia" w:ascii="宋体" w:hAnsi="宋体" w:cs="宋体"/>
          <w:color w:val="auto"/>
          <w:szCs w:val="21"/>
          <w:highlight w:val="none"/>
        </w:rPr>
        <w:t>地址：崇左市江州区新城路1号阳光名邸三期南面C4-103商铺</w:t>
      </w:r>
    </w:p>
    <w:p>
      <w:pPr>
        <w:spacing w:line="324" w:lineRule="auto"/>
        <w:rPr>
          <w:rFonts w:hint="eastAsia" w:ascii="宋体" w:hAnsi="宋体" w:cs="宋体"/>
          <w:color w:val="auto"/>
          <w:szCs w:val="21"/>
          <w:highlight w:val="none"/>
        </w:rPr>
      </w:pPr>
      <w:r>
        <w:rPr>
          <w:rFonts w:hint="eastAsia" w:ascii="宋体" w:hAnsi="宋体" w:cs="宋体"/>
          <w:color w:val="auto"/>
          <w:szCs w:val="21"/>
          <w:highlight w:val="none"/>
        </w:rPr>
        <w:t>联系人及电话：</w:t>
      </w:r>
      <w:r>
        <w:rPr>
          <w:rFonts w:hint="eastAsia" w:ascii="宋体" w:hAnsi="宋体" w:cs="宋体"/>
          <w:color w:val="auto"/>
          <w:szCs w:val="21"/>
          <w:highlight w:val="none"/>
          <w:lang w:eastAsia="zh-CN"/>
        </w:rPr>
        <w:t>刘承志</w:t>
      </w:r>
      <w:r>
        <w:rPr>
          <w:rFonts w:hint="eastAsia" w:ascii="宋体" w:hAnsi="宋体" w:cs="宋体"/>
          <w:color w:val="auto"/>
          <w:szCs w:val="21"/>
          <w:highlight w:val="none"/>
        </w:rPr>
        <w:t xml:space="preserve">   0771-7988831　　　　　　　　　　　</w:t>
      </w:r>
    </w:p>
    <w:p>
      <w:pPr>
        <w:numPr>
          <w:ilvl w:val="0"/>
          <w:numId w:val="1"/>
        </w:numPr>
        <w:spacing w:line="324" w:lineRule="auto"/>
        <w:outlineLvl w:val="0"/>
        <w:rPr>
          <w:rFonts w:hint="eastAsia" w:ascii="宋体" w:hAnsi="宋体" w:cs="宋体"/>
          <w:color w:val="auto"/>
          <w:szCs w:val="21"/>
          <w:highlight w:val="none"/>
        </w:rPr>
      </w:pPr>
      <w:bookmarkStart w:id="45" w:name="_Toc17394"/>
      <w:r>
        <w:rPr>
          <w:rFonts w:hint="eastAsia" w:ascii="宋体" w:hAnsi="宋体" w:cs="宋体"/>
          <w:color w:val="auto"/>
          <w:szCs w:val="21"/>
          <w:highlight w:val="none"/>
        </w:rPr>
        <w:t>项目联系方式</w:t>
      </w:r>
      <w:bookmarkEnd w:id="43"/>
      <w:bookmarkEnd w:id="44"/>
      <w:r>
        <w:rPr>
          <w:rFonts w:hint="eastAsia" w:ascii="宋体" w:hAnsi="宋体" w:cs="宋体"/>
          <w:color w:val="auto"/>
          <w:szCs w:val="21"/>
          <w:highlight w:val="none"/>
        </w:rPr>
        <w:t>：</w:t>
      </w:r>
      <w:bookmarkEnd w:id="45"/>
    </w:p>
    <w:p>
      <w:pPr>
        <w:numPr>
          <w:ilvl w:val="0"/>
          <w:numId w:val="0"/>
        </w:numPr>
        <w:spacing w:line="324" w:lineRule="auto"/>
        <w:outlineLvl w:val="0"/>
        <w:rPr>
          <w:rFonts w:hint="eastAsia" w:ascii="宋体" w:hAnsi="宋体" w:cs="宋体"/>
          <w:color w:val="auto"/>
          <w:szCs w:val="21"/>
          <w:highlight w:val="none"/>
        </w:rPr>
      </w:pPr>
      <w:r>
        <w:rPr>
          <w:rFonts w:hint="eastAsia" w:ascii="宋体" w:hAnsi="宋体" w:cs="宋体"/>
          <w:color w:val="auto"/>
          <w:szCs w:val="21"/>
          <w:highlight w:val="none"/>
        </w:rPr>
        <w:t>项目联系人：</w:t>
      </w:r>
      <w:r>
        <w:rPr>
          <w:rFonts w:hint="eastAsia" w:ascii="宋体" w:hAnsi="宋体" w:cs="宋体"/>
          <w:color w:val="auto"/>
          <w:szCs w:val="21"/>
          <w:highlight w:val="none"/>
          <w:lang w:eastAsia="zh-CN"/>
        </w:rPr>
        <w:t>刘承志</w:t>
      </w:r>
      <w:r>
        <w:rPr>
          <w:rFonts w:hint="eastAsia" w:ascii="宋体" w:hAnsi="宋体" w:cs="宋体"/>
          <w:color w:val="auto"/>
          <w:szCs w:val="21"/>
          <w:highlight w:val="none"/>
        </w:rPr>
        <w:t xml:space="preserve">  　电　话： 0771-7988831　</w:t>
      </w:r>
    </w:p>
    <w:p>
      <w:pPr>
        <w:numPr>
          <w:ilvl w:val="0"/>
          <w:numId w:val="1"/>
        </w:numPr>
        <w:spacing w:line="324" w:lineRule="auto"/>
        <w:outlineLvl w:val="0"/>
        <w:rPr>
          <w:rFonts w:hint="eastAsia" w:ascii="宋体" w:hAnsi="宋体" w:cs="宋体"/>
          <w:color w:val="auto"/>
          <w:szCs w:val="21"/>
          <w:highlight w:val="none"/>
        </w:rPr>
      </w:pPr>
      <w:bookmarkStart w:id="46" w:name="_Toc17345"/>
      <w:r>
        <w:rPr>
          <w:rFonts w:hint="eastAsia" w:ascii="宋体" w:hAnsi="宋体" w:cs="宋体"/>
          <w:color w:val="auto"/>
          <w:szCs w:val="21"/>
          <w:highlight w:val="none"/>
        </w:rPr>
        <w:t>监督单位：</w:t>
      </w:r>
      <w:bookmarkEnd w:id="46"/>
      <w:r>
        <w:rPr>
          <w:rFonts w:hint="eastAsia" w:ascii="宋体" w:hAnsi="宋体" w:cs="宋体"/>
          <w:color w:val="auto"/>
          <w:sz w:val="21"/>
          <w:szCs w:val="21"/>
          <w:highlight w:val="none"/>
          <w:lang w:eastAsia="zh-CN"/>
        </w:rPr>
        <w:t>天等县财政局政府采购监督管理股</w:t>
      </w:r>
      <w:r>
        <w:rPr>
          <w:rFonts w:hint="eastAsia" w:ascii="宋体" w:hAnsi="宋体" w:cs="宋体"/>
          <w:color w:val="auto"/>
          <w:sz w:val="21"/>
          <w:szCs w:val="21"/>
          <w:highlight w:val="none"/>
          <w:lang w:val="en-US" w:eastAsia="zh-CN"/>
        </w:rPr>
        <w:t xml:space="preserve">     电话：</w:t>
      </w:r>
      <w:r>
        <w:rPr>
          <w:rFonts w:hint="eastAsia" w:ascii="宋体" w:hAnsi="宋体" w:cs="宋体"/>
          <w:color w:val="auto"/>
          <w:sz w:val="21"/>
          <w:szCs w:val="21"/>
          <w:highlight w:val="none"/>
          <w:lang w:eastAsia="zh-CN"/>
        </w:rPr>
        <w:t xml:space="preserve">0771-3530890 </w:t>
      </w:r>
    </w:p>
    <w:p>
      <w:pPr>
        <w:pStyle w:val="2"/>
        <w:rPr>
          <w:rFonts w:hint="eastAsia"/>
          <w:color w:val="auto"/>
        </w:rPr>
      </w:pPr>
    </w:p>
    <w:p>
      <w:pPr>
        <w:spacing w:line="360" w:lineRule="auto"/>
        <w:rPr>
          <w:rFonts w:ascii="宋体" w:hAnsi="宋体" w:cs="宋体"/>
          <w:color w:val="auto"/>
          <w:szCs w:val="21"/>
        </w:rPr>
      </w:pPr>
      <w:r>
        <w:rPr>
          <w:rFonts w:hint="eastAsia"/>
          <w:color w:val="auto"/>
        </w:rPr>
        <w:t xml:space="preserve">　　　　　　　   </w:t>
      </w:r>
      <w:r>
        <w:rPr>
          <w:rFonts w:hint="eastAsia"/>
          <w:color w:val="auto"/>
          <w:lang w:val="en-US" w:eastAsia="zh-CN"/>
        </w:rPr>
        <w:t xml:space="preserve">              </w:t>
      </w:r>
      <w:r>
        <w:rPr>
          <w:rFonts w:hint="eastAsia"/>
          <w:color w:val="auto"/>
          <w:lang w:eastAsia="zh-CN"/>
        </w:rPr>
        <w:t>采购</w:t>
      </w:r>
      <w:r>
        <w:rPr>
          <w:rFonts w:hint="eastAsia" w:ascii="宋体" w:hAnsi="宋体" w:cs="宋体"/>
          <w:color w:val="auto"/>
          <w:szCs w:val="21"/>
        </w:rPr>
        <w:t>单位：</w:t>
      </w:r>
      <w:r>
        <w:rPr>
          <w:rFonts w:hint="eastAsia" w:ascii="宋体" w:hAnsi="宋体" w:cs="宋体"/>
          <w:color w:val="auto"/>
          <w:sz w:val="21"/>
          <w:szCs w:val="21"/>
          <w:highlight w:val="none"/>
          <w:lang w:eastAsia="zh-CN"/>
        </w:rPr>
        <w:t>天等县乡村振兴局</w:t>
      </w:r>
    </w:p>
    <w:p>
      <w:pPr>
        <w:spacing w:line="360" w:lineRule="auto"/>
        <w:ind w:firstLine="3150" w:firstLineChars="1500"/>
        <w:jc w:val="both"/>
        <w:rPr>
          <w:rFonts w:hint="eastAsia" w:ascii="宋体" w:hAnsi="宋体" w:eastAsia="宋体" w:cs="宋体"/>
          <w:color w:val="auto"/>
          <w:szCs w:val="21"/>
          <w:lang w:eastAsia="zh-CN"/>
        </w:rPr>
      </w:pPr>
      <w:r>
        <w:rPr>
          <w:rFonts w:hint="eastAsia" w:ascii="宋体" w:hAnsi="宋体" w:cs="宋体"/>
          <w:color w:val="auto"/>
          <w:szCs w:val="21"/>
        </w:rPr>
        <w:t>采购代理机构：</w:t>
      </w:r>
      <w:r>
        <w:rPr>
          <w:rFonts w:hint="eastAsia" w:ascii="宋体" w:hAnsi="宋体" w:cs="宋体"/>
          <w:color w:val="auto"/>
          <w:szCs w:val="21"/>
          <w:lang w:eastAsia="zh-CN"/>
        </w:rPr>
        <w:t>广西亿翔荣工程管理有限责任公司</w:t>
      </w:r>
    </w:p>
    <w:p>
      <w:pPr>
        <w:spacing w:line="360" w:lineRule="auto"/>
        <w:rPr>
          <w:color w:val="auto"/>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日 期： </w:t>
      </w:r>
      <w:r>
        <w:rPr>
          <w:rFonts w:hint="eastAsia" w:ascii="宋体" w:hAnsi="宋体" w:cs="宋体"/>
          <w:color w:val="auto"/>
          <w:szCs w:val="21"/>
          <w:lang w:eastAsia="zh-CN"/>
        </w:rPr>
        <w:t>2021年</w:t>
      </w:r>
      <w:r>
        <w:rPr>
          <w:rFonts w:hint="eastAsia" w:ascii="宋体" w:hAnsi="宋体" w:cs="宋体"/>
          <w:color w:val="auto"/>
          <w:szCs w:val="21"/>
          <w:lang w:val="en-US" w:eastAsia="zh-CN"/>
        </w:rPr>
        <w:t>9</w:t>
      </w:r>
      <w:r>
        <w:rPr>
          <w:rFonts w:hint="eastAsia" w:ascii="宋体" w:hAnsi="宋体" w:cs="宋体"/>
          <w:color w:val="auto"/>
          <w:szCs w:val="21"/>
          <w:lang w:eastAsia="zh-CN"/>
        </w:rPr>
        <w:t>月</w:t>
      </w:r>
      <w:r>
        <w:rPr>
          <w:rFonts w:hint="eastAsia" w:ascii="宋体" w:hAnsi="宋体" w:cs="宋体"/>
          <w:color w:val="auto"/>
          <w:szCs w:val="21"/>
          <w:lang w:val="en-US" w:eastAsia="zh-CN"/>
        </w:rPr>
        <w:t xml:space="preserve">29 </w:t>
      </w:r>
      <w:r>
        <w:rPr>
          <w:rFonts w:hint="eastAsia" w:ascii="宋体" w:hAnsi="宋体" w:cs="宋体"/>
          <w:color w:val="auto"/>
          <w:szCs w:val="21"/>
          <w:lang w:eastAsia="zh-CN"/>
        </w:rPr>
        <w:t>日</w:t>
      </w:r>
    </w:p>
    <w:p>
      <w:pPr>
        <w:keepNext w:val="0"/>
        <w:keepLines w:val="0"/>
        <w:pageBreakBefore w:val="0"/>
        <w:kinsoku/>
        <w:wordWrap/>
        <w:overflowPunct/>
        <w:topLinePunct w:val="0"/>
        <w:autoSpaceDE/>
        <w:autoSpaceDN/>
        <w:bidi w:val="0"/>
        <w:adjustRightInd/>
        <w:snapToGrid/>
        <w:spacing w:line="360" w:lineRule="auto"/>
        <w:textAlignment w:val="auto"/>
        <w:rPr>
          <w:color w:val="auto"/>
        </w:rPr>
      </w:pPr>
      <w:r>
        <w:rPr>
          <w:rFonts w:hint="eastAsia"/>
          <w:color w:val="auto"/>
        </w:rPr>
        <w:br w:type="page"/>
      </w:r>
    </w:p>
    <w:p>
      <w:pPr>
        <w:pStyle w:val="3"/>
        <w:spacing w:line="360" w:lineRule="auto"/>
        <w:jc w:val="center"/>
        <w:rPr>
          <w:rFonts w:ascii="宋体" w:cs="宋体"/>
          <w:color w:val="auto"/>
          <w:sz w:val="40"/>
          <w:szCs w:val="21"/>
        </w:rPr>
      </w:pPr>
      <w:bookmarkStart w:id="47" w:name="_Toc8901"/>
      <w:r>
        <w:rPr>
          <w:rFonts w:hint="eastAsia" w:ascii="宋体" w:hAnsi="宋体" w:cs="宋体"/>
          <w:color w:val="auto"/>
          <w:sz w:val="32"/>
          <w:szCs w:val="21"/>
        </w:rPr>
        <w:t>第一章</w:t>
      </w:r>
      <w:bookmarkEnd w:id="0"/>
      <w:bookmarkEnd w:id="1"/>
      <w:bookmarkEnd w:id="2"/>
      <w:bookmarkEnd w:id="3"/>
      <w:bookmarkEnd w:id="5"/>
      <w:bookmarkStart w:id="48" w:name="_Toc23046660"/>
      <w:bookmarkStart w:id="49" w:name="_Toc514238584"/>
      <w:bookmarkStart w:id="50" w:name="_Toc23152554"/>
      <w:r>
        <w:rPr>
          <w:rFonts w:hint="eastAsia" w:ascii="宋体" w:hAnsi="宋体" w:cs="宋体"/>
          <w:color w:val="auto"/>
          <w:sz w:val="32"/>
          <w:szCs w:val="21"/>
          <w:lang w:val="en-US" w:eastAsia="zh-CN"/>
        </w:rPr>
        <w:t xml:space="preserve"> </w:t>
      </w:r>
      <w:r>
        <w:rPr>
          <w:rFonts w:hint="eastAsia" w:ascii="宋体" w:hAnsi="宋体" w:cs="宋体"/>
          <w:color w:val="auto"/>
          <w:sz w:val="32"/>
          <w:szCs w:val="21"/>
        </w:rPr>
        <w:t>磋商单位须知</w:t>
      </w:r>
      <w:bookmarkEnd w:id="47"/>
    </w:p>
    <w:p>
      <w:pPr>
        <w:pStyle w:val="4"/>
        <w:spacing w:line="360" w:lineRule="auto"/>
        <w:ind w:firstLine="3373" w:firstLineChars="1200"/>
        <w:rPr>
          <w:rFonts w:ascii="宋体" w:hAnsi="宋体" w:eastAsia="宋体" w:cs="宋体"/>
          <w:color w:val="auto"/>
          <w:kern w:val="0"/>
          <w:sz w:val="28"/>
          <w:szCs w:val="21"/>
        </w:rPr>
      </w:pPr>
      <w:bookmarkStart w:id="51" w:name="_Toc16327"/>
      <w:bookmarkStart w:id="52" w:name="_Toc22897"/>
      <w:bookmarkStart w:id="53" w:name="_Toc21496"/>
      <w:bookmarkStart w:id="54" w:name="_Toc243584223"/>
      <w:bookmarkStart w:id="55" w:name="_Toc74156182"/>
      <w:r>
        <w:rPr>
          <w:rFonts w:hint="eastAsia" w:ascii="宋体" w:hAnsi="宋体" w:eastAsia="宋体" w:cs="宋体"/>
          <w:color w:val="auto"/>
          <w:kern w:val="0"/>
          <w:sz w:val="28"/>
          <w:szCs w:val="21"/>
        </w:rPr>
        <w:t>一、</w:t>
      </w:r>
      <w:r>
        <w:rPr>
          <w:rFonts w:hint="eastAsia" w:ascii="宋体" w:hAnsi="宋体" w:eastAsia="宋体" w:cs="宋体"/>
          <w:color w:val="auto"/>
          <w:kern w:val="0"/>
          <w:sz w:val="28"/>
          <w:szCs w:val="21"/>
          <w:lang w:eastAsia="zh-CN"/>
        </w:rPr>
        <w:t>竞标</w:t>
      </w:r>
      <w:r>
        <w:rPr>
          <w:rFonts w:hint="eastAsia" w:ascii="宋体" w:hAnsi="宋体" w:eastAsia="宋体" w:cs="宋体"/>
          <w:color w:val="auto"/>
          <w:kern w:val="0"/>
          <w:sz w:val="28"/>
          <w:szCs w:val="21"/>
        </w:rPr>
        <w:t>须知前附表</w:t>
      </w:r>
      <w:bookmarkEnd w:id="48"/>
      <w:bookmarkEnd w:id="49"/>
      <w:bookmarkEnd w:id="50"/>
      <w:bookmarkEnd w:id="51"/>
      <w:bookmarkEnd w:id="52"/>
      <w:bookmarkEnd w:id="53"/>
      <w:bookmarkEnd w:id="54"/>
      <w:bookmarkEnd w:id="55"/>
    </w:p>
    <w:tbl>
      <w:tblPr>
        <w:tblStyle w:val="24"/>
        <w:tblW w:w="9614"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4"/>
        <w:gridCol w:w="796"/>
        <w:gridCol w:w="11"/>
        <w:gridCol w:w="1822"/>
        <w:gridCol w:w="6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44" w:type="dxa"/>
            <w:vAlign w:val="center"/>
          </w:tcPr>
          <w:p>
            <w:pPr>
              <w:keepNext w:val="0"/>
              <w:keepLines w:val="0"/>
              <w:pageBreakBefore w:val="0"/>
              <w:kinsoku/>
              <w:wordWrap/>
              <w:overflowPunct/>
              <w:topLinePunct w:val="0"/>
              <w:autoSpaceDE w:val="0"/>
              <w:autoSpaceDN w:val="0"/>
              <w:bidi w:val="0"/>
              <w:spacing w:line="336" w:lineRule="auto"/>
              <w:jc w:val="center"/>
              <w:rPr>
                <w:rFonts w:ascii="宋体" w:cs="宋体"/>
                <w:b/>
                <w:color w:val="auto"/>
                <w:kern w:val="0"/>
                <w:szCs w:val="21"/>
              </w:rPr>
            </w:pPr>
            <w:r>
              <w:rPr>
                <w:rFonts w:hint="eastAsia" w:ascii="宋体" w:hAnsi="宋体" w:cs="宋体"/>
                <w:b/>
                <w:color w:val="auto"/>
                <w:kern w:val="0"/>
                <w:szCs w:val="21"/>
              </w:rPr>
              <w:t>项号</w:t>
            </w:r>
          </w:p>
        </w:tc>
        <w:tc>
          <w:tcPr>
            <w:tcW w:w="796" w:type="dxa"/>
            <w:vAlign w:val="center"/>
          </w:tcPr>
          <w:p>
            <w:pPr>
              <w:keepNext w:val="0"/>
              <w:keepLines w:val="0"/>
              <w:pageBreakBefore w:val="0"/>
              <w:kinsoku/>
              <w:wordWrap/>
              <w:overflowPunct/>
              <w:topLinePunct w:val="0"/>
              <w:autoSpaceDE w:val="0"/>
              <w:autoSpaceDN w:val="0"/>
              <w:bidi w:val="0"/>
              <w:spacing w:line="336" w:lineRule="auto"/>
              <w:jc w:val="center"/>
              <w:rPr>
                <w:rFonts w:ascii="宋体" w:cs="宋体"/>
                <w:b/>
                <w:color w:val="auto"/>
                <w:kern w:val="0"/>
                <w:szCs w:val="21"/>
              </w:rPr>
            </w:pPr>
            <w:r>
              <w:rPr>
                <w:rFonts w:hint="eastAsia" w:ascii="宋体" w:hAnsi="宋体" w:cs="宋体"/>
                <w:b/>
                <w:color w:val="auto"/>
                <w:kern w:val="0"/>
                <w:szCs w:val="21"/>
              </w:rPr>
              <w:t>条款号</w:t>
            </w:r>
          </w:p>
        </w:tc>
        <w:tc>
          <w:tcPr>
            <w:tcW w:w="1833" w:type="dxa"/>
            <w:gridSpan w:val="2"/>
            <w:vAlign w:val="center"/>
          </w:tcPr>
          <w:p>
            <w:pPr>
              <w:keepNext w:val="0"/>
              <w:keepLines w:val="0"/>
              <w:pageBreakBefore w:val="0"/>
              <w:kinsoku/>
              <w:wordWrap/>
              <w:overflowPunct/>
              <w:topLinePunct w:val="0"/>
              <w:autoSpaceDE w:val="0"/>
              <w:autoSpaceDN w:val="0"/>
              <w:bidi w:val="0"/>
              <w:spacing w:line="336" w:lineRule="auto"/>
              <w:jc w:val="center"/>
              <w:rPr>
                <w:rFonts w:ascii="宋体" w:cs="宋体"/>
                <w:b/>
                <w:color w:val="auto"/>
                <w:kern w:val="0"/>
                <w:szCs w:val="21"/>
              </w:rPr>
            </w:pPr>
            <w:r>
              <w:rPr>
                <w:rFonts w:hint="eastAsia" w:ascii="宋体" w:hAnsi="宋体" w:cs="宋体"/>
                <w:b/>
                <w:color w:val="auto"/>
                <w:kern w:val="0"/>
                <w:szCs w:val="21"/>
              </w:rPr>
              <w:t>内容</w:t>
            </w:r>
          </w:p>
        </w:tc>
        <w:tc>
          <w:tcPr>
            <w:tcW w:w="6341" w:type="dxa"/>
            <w:vAlign w:val="center"/>
          </w:tcPr>
          <w:p>
            <w:pPr>
              <w:keepNext w:val="0"/>
              <w:keepLines w:val="0"/>
              <w:pageBreakBefore w:val="0"/>
              <w:kinsoku/>
              <w:wordWrap/>
              <w:overflowPunct/>
              <w:topLinePunct w:val="0"/>
              <w:autoSpaceDE w:val="0"/>
              <w:autoSpaceDN w:val="0"/>
              <w:bidi w:val="0"/>
              <w:spacing w:line="336" w:lineRule="auto"/>
              <w:jc w:val="center"/>
              <w:rPr>
                <w:rFonts w:ascii="宋体" w:cs="宋体"/>
                <w:b/>
                <w:color w:val="auto"/>
                <w:kern w:val="0"/>
                <w:szCs w:val="21"/>
              </w:rPr>
            </w:pPr>
            <w:r>
              <w:rPr>
                <w:rFonts w:hint="eastAsia" w:ascii="宋体" w:hAnsi="宋体" w:cs="宋体"/>
                <w:b/>
                <w:color w:val="auto"/>
                <w:kern w:val="0"/>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0" w:hRule="exact"/>
        </w:trPr>
        <w:tc>
          <w:tcPr>
            <w:tcW w:w="644"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1</w:t>
            </w:r>
          </w:p>
        </w:tc>
        <w:tc>
          <w:tcPr>
            <w:tcW w:w="796"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1.1</w:t>
            </w:r>
          </w:p>
        </w:tc>
        <w:tc>
          <w:tcPr>
            <w:tcW w:w="1833" w:type="dxa"/>
            <w:gridSpan w:val="2"/>
            <w:vAlign w:val="center"/>
          </w:tcPr>
          <w:p>
            <w:pPr>
              <w:keepNext w:val="0"/>
              <w:keepLines w:val="0"/>
              <w:pageBreakBefore w:val="0"/>
              <w:kinsoku/>
              <w:wordWrap/>
              <w:overflowPunct/>
              <w:topLinePunct w:val="0"/>
              <w:autoSpaceDE w:val="0"/>
              <w:autoSpaceDN w:val="0"/>
              <w:bidi w:val="0"/>
              <w:spacing w:line="336" w:lineRule="auto"/>
              <w:ind w:left="1054" w:hanging="1054" w:hangingChars="500"/>
              <w:jc w:val="center"/>
              <w:rPr>
                <w:rFonts w:ascii="宋体" w:cs="宋体"/>
                <w:b/>
                <w:bCs/>
                <w:color w:val="auto"/>
                <w:kern w:val="0"/>
                <w:szCs w:val="21"/>
              </w:rPr>
            </w:pPr>
            <w:r>
              <w:rPr>
                <w:rFonts w:hint="eastAsia" w:ascii="宋体" w:hAnsi="宋体" w:cs="宋体"/>
                <w:b/>
                <w:bCs/>
                <w:color w:val="auto"/>
                <w:kern w:val="0"/>
                <w:szCs w:val="21"/>
              </w:rPr>
              <w:t>工程名称及</w:t>
            </w:r>
          </w:p>
          <w:p>
            <w:pPr>
              <w:keepNext w:val="0"/>
              <w:keepLines w:val="0"/>
              <w:pageBreakBefore w:val="0"/>
              <w:kinsoku/>
              <w:wordWrap/>
              <w:overflowPunct/>
              <w:topLinePunct w:val="0"/>
              <w:autoSpaceDE w:val="0"/>
              <w:autoSpaceDN w:val="0"/>
              <w:bidi w:val="0"/>
              <w:spacing w:line="336" w:lineRule="auto"/>
              <w:ind w:left="1054" w:hanging="1054" w:hangingChars="500"/>
              <w:jc w:val="center"/>
              <w:rPr>
                <w:rFonts w:ascii="宋体" w:cs="宋体"/>
                <w:b/>
                <w:bCs/>
                <w:color w:val="auto"/>
                <w:kern w:val="0"/>
                <w:szCs w:val="21"/>
              </w:rPr>
            </w:pPr>
            <w:r>
              <w:rPr>
                <w:rFonts w:hint="eastAsia" w:ascii="宋体" w:hAnsi="宋体" w:cs="宋体"/>
                <w:b/>
                <w:bCs/>
                <w:color w:val="auto"/>
                <w:kern w:val="0"/>
                <w:szCs w:val="21"/>
              </w:rPr>
              <w:t>采购编号</w:t>
            </w:r>
          </w:p>
        </w:tc>
        <w:tc>
          <w:tcPr>
            <w:tcW w:w="6341" w:type="dxa"/>
            <w:vAlign w:val="center"/>
          </w:tcPr>
          <w:p>
            <w:pPr>
              <w:keepNext w:val="0"/>
              <w:keepLines w:val="0"/>
              <w:pageBreakBefore w:val="0"/>
              <w:kinsoku/>
              <w:wordWrap/>
              <w:overflowPunct/>
              <w:topLinePunct w:val="0"/>
              <w:autoSpaceDE w:val="0"/>
              <w:autoSpaceDN w:val="0"/>
              <w:bidi w:val="0"/>
              <w:spacing w:line="336" w:lineRule="auto"/>
              <w:rPr>
                <w:rFonts w:hint="eastAsia" w:ascii="宋体" w:hAnsi="宋体" w:cs="宋体"/>
                <w:bCs/>
                <w:color w:val="auto"/>
                <w:szCs w:val="21"/>
              </w:rPr>
            </w:pPr>
            <w:r>
              <w:rPr>
                <w:rFonts w:hint="eastAsia" w:ascii="宋体" w:hAnsi="宋体" w:cs="宋体"/>
                <w:bCs/>
                <w:color w:val="auto"/>
                <w:szCs w:val="21"/>
              </w:rPr>
              <w:t>工程名称：</w:t>
            </w:r>
            <w:r>
              <w:rPr>
                <w:rFonts w:hint="eastAsia" w:ascii="宋体" w:hAnsi="宋体" w:cs="宋体"/>
                <w:color w:val="auto"/>
                <w:szCs w:val="21"/>
                <w:lang w:eastAsia="zh-CN"/>
              </w:rPr>
              <w:t>天等县驮堪乡驮堪村净屯环境整治工程</w:t>
            </w:r>
          </w:p>
          <w:p>
            <w:pPr>
              <w:keepNext w:val="0"/>
              <w:keepLines w:val="0"/>
              <w:pageBreakBefore w:val="0"/>
              <w:kinsoku/>
              <w:wordWrap/>
              <w:overflowPunct/>
              <w:topLinePunct w:val="0"/>
              <w:autoSpaceDE w:val="0"/>
              <w:autoSpaceDN w:val="0"/>
              <w:bidi w:val="0"/>
              <w:spacing w:line="336" w:lineRule="auto"/>
              <w:rPr>
                <w:rFonts w:hint="eastAsia" w:ascii="宋体" w:hAnsi="宋体" w:eastAsia="宋体" w:cs="宋体"/>
                <w:bCs/>
                <w:color w:val="auto"/>
                <w:szCs w:val="21"/>
                <w:lang w:eastAsia="zh-CN"/>
              </w:rPr>
            </w:pPr>
            <w:r>
              <w:rPr>
                <w:rFonts w:hint="eastAsia" w:ascii="宋体" w:hAnsi="宋体" w:cs="宋体"/>
                <w:bCs/>
                <w:color w:val="auto"/>
                <w:szCs w:val="21"/>
              </w:rPr>
              <w:t>项目编号：</w:t>
            </w:r>
            <w:r>
              <w:rPr>
                <w:rFonts w:hint="eastAsia" w:ascii="宋体" w:hAnsi="宋体" w:cs="宋体"/>
                <w:bCs/>
                <w:color w:val="auto"/>
                <w:szCs w:val="21"/>
                <w:lang w:eastAsia="zh-CN"/>
              </w:rPr>
              <w:t>CZZC2021-C2-250221-GXYX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644"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2</w:t>
            </w:r>
          </w:p>
        </w:tc>
        <w:tc>
          <w:tcPr>
            <w:tcW w:w="796"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1.1</w:t>
            </w:r>
          </w:p>
        </w:tc>
        <w:tc>
          <w:tcPr>
            <w:tcW w:w="1833" w:type="dxa"/>
            <w:gridSpan w:val="2"/>
            <w:vAlign w:val="center"/>
          </w:tcPr>
          <w:p>
            <w:pPr>
              <w:keepNext w:val="0"/>
              <w:keepLines w:val="0"/>
              <w:pageBreakBefore w:val="0"/>
              <w:kinsoku/>
              <w:wordWrap/>
              <w:overflowPunct/>
              <w:topLinePunct w:val="0"/>
              <w:autoSpaceDE w:val="0"/>
              <w:autoSpaceDN w:val="0"/>
              <w:bidi w:val="0"/>
              <w:spacing w:line="336" w:lineRule="auto"/>
              <w:jc w:val="center"/>
              <w:rPr>
                <w:rFonts w:ascii="宋体" w:cs="宋体"/>
                <w:b/>
                <w:bCs/>
                <w:color w:val="auto"/>
                <w:kern w:val="0"/>
                <w:szCs w:val="21"/>
              </w:rPr>
            </w:pPr>
            <w:r>
              <w:rPr>
                <w:rFonts w:hint="eastAsia" w:ascii="宋体" w:hAnsi="宋体" w:cs="宋体"/>
                <w:b/>
                <w:bCs/>
                <w:color w:val="auto"/>
                <w:kern w:val="0"/>
                <w:szCs w:val="21"/>
              </w:rPr>
              <w:t>建设地点</w:t>
            </w:r>
          </w:p>
        </w:tc>
        <w:tc>
          <w:tcPr>
            <w:tcW w:w="6341" w:type="dxa"/>
            <w:vAlign w:val="center"/>
          </w:tcPr>
          <w:p>
            <w:pPr>
              <w:keepNext w:val="0"/>
              <w:keepLines w:val="0"/>
              <w:pageBreakBefore w:val="0"/>
              <w:kinsoku/>
              <w:wordWrap/>
              <w:overflowPunct/>
              <w:topLinePunct w:val="0"/>
              <w:autoSpaceDE w:val="0"/>
              <w:autoSpaceDN w:val="0"/>
              <w:bidi w:val="0"/>
              <w:spacing w:line="336" w:lineRule="auto"/>
              <w:rPr>
                <w:rFonts w:hint="default" w:ascii="宋体" w:eastAsia="宋体" w:cs="宋体"/>
                <w:bCs/>
                <w:color w:val="auto"/>
                <w:szCs w:val="21"/>
                <w:lang w:val="en-US" w:eastAsia="zh-CN"/>
              </w:rPr>
            </w:pPr>
            <w:r>
              <w:rPr>
                <w:rFonts w:hint="eastAsia" w:ascii="宋体" w:cs="宋体"/>
                <w:bCs/>
                <w:color w:val="auto"/>
                <w:szCs w:val="21"/>
                <w:lang w:val="en-US" w:eastAsia="zh-CN"/>
              </w:rPr>
              <w:t>崇左</w:t>
            </w:r>
            <w:r>
              <w:rPr>
                <w:rFonts w:hint="eastAsia" w:ascii="宋体" w:cs="宋体"/>
                <w:bCs/>
                <w:color w:val="auto"/>
                <w:szCs w:val="21"/>
                <w:lang w:eastAsia="zh-CN"/>
              </w:rPr>
              <w:t>市</w:t>
            </w:r>
            <w:r>
              <w:rPr>
                <w:rFonts w:hint="eastAsia" w:ascii="宋体" w:hAnsi="宋体" w:cs="宋体"/>
                <w:color w:val="auto"/>
                <w:szCs w:val="21"/>
                <w:lang w:eastAsia="zh-CN"/>
              </w:rPr>
              <w:t>天等县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exact"/>
        </w:trPr>
        <w:tc>
          <w:tcPr>
            <w:tcW w:w="644"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3</w:t>
            </w:r>
          </w:p>
        </w:tc>
        <w:tc>
          <w:tcPr>
            <w:tcW w:w="796"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1.1</w:t>
            </w:r>
          </w:p>
        </w:tc>
        <w:tc>
          <w:tcPr>
            <w:tcW w:w="1833" w:type="dxa"/>
            <w:gridSpan w:val="2"/>
            <w:vAlign w:val="center"/>
          </w:tcPr>
          <w:p>
            <w:pPr>
              <w:keepNext w:val="0"/>
              <w:keepLines w:val="0"/>
              <w:pageBreakBefore w:val="0"/>
              <w:kinsoku/>
              <w:wordWrap/>
              <w:overflowPunct/>
              <w:topLinePunct w:val="0"/>
              <w:autoSpaceDE w:val="0"/>
              <w:autoSpaceDN w:val="0"/>
              <w:bidi w:val="0"/>
              <w:spacing w:line="336" w:lineRule="auto"/>
              <w:jc w:val="center"/>
              <w:rPr>
                <w:rFonts w:ascii="宋体" w:cs="宋体"/>
                <w:b/>
                <w:bCs/>
                <w:color w:val="auto"/>
                <w:kern w:val="0"/>
                <w:szCs w:val="21"/>
              </w:rPr>
            </w:pPr>
            <w:r>
              <w:rPr>
                <w:rFonts w:hint="eastAsia" w:ascii="宋体" w:hAnsi="宋体" w:cs="宋体"/>
                <w:b/>
                <w:color w:val="auto"/>
                <w:kern w:val="0"/>
                <w:szCs w:val="21"/>
              </w:rPr>
              <w:t>招标控制价</w:t>
            </w:r>
          </w:p>
        </w:tc>
        <w:tc>
          <w:tcPr>
            <w:tcW w:w="6341" w:type="dxa"/>
            <w:vAlign w:val="center"/>
          </w:tcPr>
          <w:p>
            <w:pPr>
              <w:keepNext w:val="0"/>
              <w:keepLines w:val="0"/>
              <w:pageBreakBefore w:val="0"/>
              <w:kinsoku/>
              <w:wordWrap/>
              <w:overflowPunct/>
              <w:topLinePunct w:val="0"/>
              <w:autoSpaceDE w:val="0"/>
              <w:autoSpaceDN w:val="0"/>
              <w:bidi w:val="0"/>
              <w:spacing w:line="336" w:lineRule="auto"/>
              <w:jc w:val="left"/>
              <w:rPr>
                <w:rFonts w:ascii="宋体" w:cs="宋体"/>
                <w:bCs/>
                <w:color w:val="auto"/>
                <w:szCs w:val="21"/>
              </w:rPr>
            </w:pPr>
            <w:r>
              <w:rPr>
                <w:rFonts w:hint="eastAsia" w:ascii="宋体" w:hAnsi="宋体" w:cs="宋体"/>
                <w:color w:val="auto"/>
                <w:szCs w:val="21"/>
                <w:lang w:eastAsia="zh-CN"/>
              </w:rPr>
              <w:t>121.786285万元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44"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4</w:t>
            </w:r>
          </w:p>
        </w:tc>
        <w:tc>
          <w:tcPr>
            <w:tcW w:w="796"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1.1</w:t>
            </w:r>
          </w:p>
        </w:tc>
        <w:tc>
          <w:tcPr>
            <w:tcW w:w="1833" w:type="dxa"/>
            <w:gridSpan w:val="2"/>
            <w:vAlign w:val="center"/>
          </w:tcPr>
          <w:p>
            <w:pPr>
              <w:keepNext w:val="0"/>
              <w:keepLines w:val="0"/>
              <w:pageBreakBefore w:val="0"/>
              <w:kinsoku/>
              <w:wordWrap/>
              <w:overflowPunct/>
              <w:topLinePunct w:val="0"/>
              <w:autoSpaceDE w:val="0"/>
              <w:autoSpaceDN w:val="0"/>
              <w:bidi w:val="0"/>
              <w:spacing w:line="336" w:lineRule="auto"/>
              <w:jc w:val="center"/>
              <w:rPr>
                <w:rFonts w:ascii="宋体" w:cs="宋体"/>
                <w:b/>
                <w:bCs/>
                <w:color w:val="auto"/>
                <w:kern w:val="0"/>
                <w:szCs w:val="21"/>
              </w:rPr>
            </w:pPr>
            <w:r>
              <w:rPr>
                <w:rFonts w:hint="eastAsia" w:ascii="宋体" w:hAnsi="宋体" w:cs="宋体"/>
                <w:b/>
                <w:bCs/>
                <w:color w:val="auto"/>
                <w:kern w:val="0"/>
                <w:szCs w:val="21"/>
              </w:rPr>
              <w:t>承包方式</w:t>
            </w:r>
          </w:p>
        </w:tc>
        <w:tc>
          <w:tcPr>
            <w:tcW w:w="6341" w:type="dxa"/>
            <w:vAlign w:val="center"/>
          </w:tcPr>
          <w:p>
            <w:pPr>
              <w:keepNext w:val="0"/>
              <w:keepLines w:val="0"/>
              <w:pageBreakBefore w:val="0"/>
              <w:kinsoku/>
              <w:wordWrap/>
              <w:overflowPunct/>
              <w:topLinePunct w:val="0"/>
              <w:autoSpaceDE w:val="0"/>
              <w:autoSpaceDN w:val="0"/>
              <w:bidi w:val="0"/>
              <w:spacing w:line="336" w:lineRule="auto"/>
              <w:rPr>
                <w:rFonts w:ascii="宋体" w:cs="宋体"/>
                <w:bCs/>
                <w:color w:val="auto"/>
                <w:szCs w:val="21"/>
              </w:rPr>
            </w:pPr>
            <w:r>
              <w:rPr>
                <w:rFonts w:hint="eastAsia" w:ascii="宋体" w:hAnsi="宋体" w:cs="宋体"/>
                <w:bCs/>
                <w:color w:val="auto"/>
                <w:szCs w:val="21"/>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trPr>
        <w:tc>
          <w:tcPr>
            <w:tcW w:w="644"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5</w:t>
            </w:r>
          </w:p>
        </w:tc>
        <w:tc>
          <w:tcPr>
            <w:tcW w:w="796"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1.1</w:t>
            </w:r>
          </w:p>
        </w:tc>
        <w:tc>
          <w:tcPr>
            <w:tcW w:w="1833" w:type="dxa"/>
            <w:gridSpan w:val="2"/>
            <w:vAlign w:val="center"/>
          </w:tcPr>
          <w:p>
            <w:pPr>
              <w:keepNext w:val="0"/>
              <w:keepLines w:val="0"/>
              <w:pageBreakBefore w:val="0"/>
              <w:kinsoku/>
              <w:wordWrap/>
              <w:overflowPunct/>
              <w:topLinePunct w:val="0"/>
              <w:autoSpaceDE w:val="0"/>
              <w:autoSpaceDN w:val="0"/>
              <w:bidi w:val="0"/>
              <w:spacing w:line="336" w:lineRule="auto"/>
              <w:jc w:val="center"/>
              <w:rPr>
                <w:rFonts w:ascii="宋体" w:cs="宋体"/>
                <w:b/>
                <w:bCs/>
                <w:color w:val="auto"/>
                <w:kern w:val="0"/>
                <w:szCs w:val="21"/>
              </w:rPr>
            </w:pPr>
            <w:r>
              <w:rPr>
                <w:rFonts w:hint="eastAsia" w:ascii="宋体" w:hAnsi="宋体" w:cs="宋体"/>
                <w:b/>
                <w:bCs/>
                <w:color w:val="auto"/>
                <w:kern w:val="0"/>
                <w:szCs w:val="21"/>
              </w:rPr>
              <w:t>质量标准</w:t>
            </w:r>
          </w:p>
        </w:tc>
        <w:tc>
          <w:tcPr>
            <w:tcW w:w="6341" w:type="dxa"/>
            <w:vAlign w:val="center"/>
          </w:tcPr>
          <w:p>
            <w:pPr>
              <w:keepNext w:val="0"/>
              <w:keepLines w:val="0"/>
              <w:pageBreakBefore w:val="0"/>
              <w:kinsoku/>
              <w:wordWrap/>
              <w:overflowPunct/>
              <w:topLinePunct w:val="0"/>
              <w:autoSpaceDE w:val="0"/>
              <w:autoSpaceDN w:val="0"/>
              <w:bidi w:val="0"/>
              <w:spacing w:line="336" w:lineRule="auto"/>
              <w:rPr>
                <w:rFonts w:ascii="宋体" w:hAnsi="宋体" w:cs="宋体"/>
                <w:bCs/>
                <w:color w:val="auto"/>
                <w:szCs w:val="21"/>
              </w:rPr>
            </w:pPr>
            <w:r>
              <w:rPr>
                <w:rFonts w:hint="eastAsia" w:ascii="宋体" w:hAnsi="宋体" w:cs="宋体"/>
                <w:bCs/>
                <w:color w:val="auto"/>
                <w:szCs w:val="21"/>
              </w:rPr>
              <w:t>达到国家竣工验收规范合格标准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3" w:hRule="exact"/>
        </w:trPr>
        <w:tc>
          <w:tcPr>
            <w:tcW w:w="644"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6</w:t>
            </w:r>
          </w:p>
        </w:tc>
        <w:tc>
          <w:tcPr>
            <w:tcW w:w="796"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2.1</w:t>
            </w:r>
          </w:p>
        </w:tc>
        <w:tc>
          <w:tcPr>
            <w:tcW w:w="1833" w:type="dxa"/>
            <w:gridSpan w:val="2"/>
            <w:vAlign w:val="center"/>
          </w:tcPr>
          <w:p>
            <w:pPr>
              <w:keepNext w:val="0"/>
              <w:keepLines w:val="0"/>
              <w:pageBreakBefore w:val="0"/>
              <w:kinsoku/>
              <w:wordWrap/>
              <w:overflowPunct/>
              <w:topLinePunct w:val="0"/>
              <w:autoSpaceDE w:val="0"/>
              <w:autoSpaceDN w:val="0"/>
              <w:bidi w:val="0"/>
              <w:spacing w:line="336" w:lineRule="auto"/>
              <w:jc w:val="center"/>
              <w:rPr>
                <w:rFonts w:ascii="宋体" w:cs="宋体"/>
                <w:b/>
                <w:bCs/>
                <w:color w:val="auto"/>
                <w:kern w:val="0"/>
                <w:szCs w:val="21"/>
              </w:rPr>
            </w:pPr>
            <w:r>
              <w:rPr>
                <w:rFonts w:hint="eastAsia" w:ascii="宋体" w:hAnsi="宋体" w:cs="宋体"/>
                <w:b/>
                <w:bCs/>
                <w:color w:val="auto"/>
                <w:kern w:val="0"/>
                <w:szCs w:val="21"/>
              </w:rPr>
              <w:t>采购范围</w:t>
            </w:r>
          </w:p>
        </w:tc>
        <w:tc>
          <w:tcPr>
            <w:tcW w:w="6341" w:type="dxa"/>
            <w:vAlign w:val="center"/>
          </w:tcPr>
          <w:p>
            <w:pPr>
              <w:keepNext w:val="0"/>
              <w:keepLines w:val="0"/>
              <w:pageBreakBefore w:val="0"/>
              <w:kinsoku/>
              <w:wordWrap/>
              <w:overflowPunct/>
              <w:topLinePunct w:val="0"/>
              <w:bidi w:val="0"/>
              <w:spacing w:line="336" w:lineRule="auto"/>
              <w:ind w:firstLine="411" w:firstLineChars="196"/>
              <w:rPr>
                <w:rFonts w:ascii="宋体" w:hAnsi="宋体" w:cs="宋体"/>
                <w:bCs/>
                <w:color w:val="auto"/>
                <w:szCs w:val="21"/>
              </w:rPr>
            </w:pPr>
            <w:r>
              <w:rPr>
                <w:rFonts w:hint="eastAsia" w:ascii="宋体" w:hAnsi="宋体" w:cs="宋体"/>
                <w:color w:val="auto"/>
                <w:szCs w:val="21"/>
                <w:lang w:eastAsia="zh-CN"/>
              </w:rPr>
              <w:t>天等县驮堪乡驮堪村净屯环境整治工程包含管网工程、污水处理池工程、设备房工程等（具体内容详见施工图和招标工程量清单）。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exact"/>
        </w:trPr>
        <w:tc>
          <w:tcPr>
            <w:tcW w:w="644"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7</w:t>
            </w:r>
          </w:p>
        </w:tc>
        <w:tc>
          <w:tcPr>
            <w:tcW w:w="796"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2.2</w:t>
            </w:r>
          </w:p>
        </w:tc>
        <w:tc>
          <w:tcPr>
            <w:tcW w:w="1833" w:type="dxa"/>
            <w:gridSpan w:val="2"/>
            <w:vAlign w:val="center"/>
          </w:tcPr>
          <w:p>
            <w:pPr>
              <w:keepNext w:val="0"/>
              <w:keepLines w:val="0"/>
              <w:pageBreakBefore w:val="0"/>
              <w:kinsoku/>
              <w:wordWrap/>
              <w:overflowPunct/>
              <w:topLinePunct w:val="0"/>
              <w:bidi w:val="0"/>
              <w:spacing w:line="336" w:lineRule="auto"/>
              <w:ind w:firstLine="413" w:firstLineChars="196"/>
              <w:rPr>
                <w:rFonts w:hint="eastAsia" w:ascii="宋体" w:hAnsi="宋体" w:cs="宋体"/>
                <w:color w:val="auto"/>
                <w:szCs w:val="21"/>
                <w:lang w:eastAsia="zh-CN"/>
              </w:rPr>
            </w:pPr>
            <w:r>
              <w:rPr>
                <w:rFonts w:hint="eastAsia" w:ascii="宋体" w:hAnsi="宋体" w:cs="宋体"/>
                <w:b/>
                <w:bCs/>
                <w:color w:val="auto"/>
                <w:kern w:val="0"/>
                <w:szCs w:val="21"/>
                <w:lang w:eastAsia="zh-CN"/>
              </w:rPr>
              <w:t>工期要求</w:t>
            </w:r>
          </w:p>
        </w:tc>
        <w:tc>
          <w:tcPr>
            <w:tcW w:w="6341" w:type="dxa"/>
            <w:vAlign w:val="center"/>
          </w:tcPr>
          <w:p>
            <w:pPr>
              <w:keepNext w:val="0"/>
              <w:keepLines w:val="0"/>
              <w:pageBreakBefore w:val="0"/>
              <w:kinsoku/>
              <w:wordWrap/>
              <w:overflowPunct/>
              <w:topLinePunct w:val="0"/>
              <w:bidi w:val="0"/>
              <w:spacing w:line="336" w:lineRule="auto"/>
              <w:rPr>
                <w:rFonts w:hint="eastAsia" w:ascii="宋体" w:hAnsi="宋体" w:cs="宋体"/>
                <w:color w:val="auto"/>
                <w:szCs w:val="21"/>
                <w:lang w:val="en-US" w:eastAsia="zh-CN"/>
              </w:rPr>
            </w:pPr>
            <w:r>
              <w:rPr>
                <w:rFonts w:hint="eastAsia" w:ascii="宋体" w:hAnsi="宋体" w:cs="宋体"/>
                <w:color w:val="auto"/>
                <w:szCs w:val="21"/>
                <w:lang w:val="en-US" w:eastAsia="zh-CN"/>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exact"/>
        </w:trPr>
        <w:tc>
          <w:tcPr>
            <w:tcW w:w="644"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8</w:t>
            </w:r>
          </w:p>
        </w:tc>
        <w:tc>
          <w:tcPr>
            <w:tcW w:w="796"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3.1</w:t>
            </w:r>
          </w:p>
        </w:tc>
        <w:tc>
          <w:tcPr>
            <w:tcW w:w="1833" w:type="dxa"/>
            <w:gridSpan w:val="2"/>
            <w:vAlign w:val="center"/>
          </w:tcPr>
          <w:p>
            <w:pPr>
              <w:keepNext w:val="0"/>
              <w:keepLines w:val="0"/>
              <w:pageBreakBefore w:val="0"/>
              <w:widowControl/>
              <w:kinsoku/>
              <w:wordWrap/>
              <w:overflowPunct/>
              <w:topLinePunct w:val="0"/>
              <w:bidi w:val="0"/>
              <w:spacing w:line="336" w:lineRule="auto"/>
              <w:jc w:val="center"/>
              <w:rPr>
                <w:rFonts w:ascii="宋体" w:cs="宋体"/>
                <w:b/>
                <w:color w:val="auto"/>
                <w:kern w:val="0"/>
                <w:szCs w:val="21"/>
              </w:rPr>
            </w:pPr>
            <w:r>
              <w:rPr>
                <w:rFonts w:hint="eastAsia" w:ascii="宋体" w:hAnsi="宋体" w:cs="宋体"/>
                <w:b/>
                <w:color w:val="auto"/>
                <w:kern w:val="0"/>
                <w:szCs w:val="21"/>
              </w:rPr>
              <w:t>资金来源</w:t>
            </w:r>
          </w:p>
        </w:tc>
        <w:tc>
          <w:tcPr>
            <w:tcW w:w="6341" w:type="dxa"/>
            <w:vAlign w:val="center"/>
          </w:tcPr>
          <w:p>
            <w:pPr>
              <w:keepNext w:val="0"/>
              <w:keepLines w:val="0"/>
              <w:pageBreakBefore w:val="0"/>
              <w:kinsoku/>
              <w:wordWrap/>
              <w:overflowPunct/>
              <w:topLinePunct w:val="0"/>
              <w:bidi w:val="0"/>
              <w:spacing w:line="336" w:lineRule="auto"/>
              <w:rPr>
                <w:rFonts w:hint="eastAsia" w:ascii="宋体" w:hAnsi="宋体" w:cs="宋体"/>
                <w:color w:val="auto"/>
                <w:szCs w:val="21"/>
                <w:lang w:val="en-US" w:eastAsia="zh-CN"/>
              </w:rPr>
            </w:pPr>
            <w:r>
              <w:rPr>
                <w:rFonts w:hint="eastAsia" w:ascii="宋体" w:hAnsi="宋体" w:cs="宋体"/>
                <w:color w:val="auto"/>
                <w:szCs w:val="21"/>
                <w:lang w:val="en-US" w:eastAsia="zh-CN"/>
              </w:rPr>
              <w:t>天政函【2021】66号关于同意天等县2021年中央、自治区财政衔接推进乡村振兴补助资金项目的批复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644"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9</w:t>
            </w:r>
          </w:p>
        </w:tc>
        <w:tc>
          <w:tcPr>
            <w:tcW w:w="796"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4.1</w:t>
            </w:r>
          </w:p>
        </w:tc>
        <w:tc>
          <w:tcPr>
            <w:tcW w:w="1833" w:type="dxa"/>
            <w:gridSpan w:val="2"/>
            <w:vAlign w:val="center"/>
          </w:tcPr>
          <w:p>
            <w:pPr>
              <w:keepNext w:val="0"/>
              <w:keepLines w:val="0"/>
              <w:pageBreakBefore w:val="0"/>
              <w:widowControl/>
              <w:kinsoku/>
              <w:wordWrap/>
              <w:overflowPunct/>
              <w:topLinePunct w:val="0"/>
              <w:bidi w:val="0"/>
              <w:spacing w:line="336" w:lineRule="auto"/>
              <w:jc w:val="center"/>
              <w:rPr>
                <w:rFonts w:ascii="宋体" w:cs="宋体"/>
                <w:b/>
                <w:bCs/>
                <w:color w:val="auto"/>
                <w:kern w:val="0"/>
                <w:szCs w:val="21"/>
              </w:rPr>
            </w:pPr>
            <w:r>
              <w:rPr>
                <w:rFonts w:hint="eastAsia" w:ascii="宋体" w:hAnsi="宋体" w:cs="宋体"/>
                <w:b/>
                <w:bCs/>
                <w:color w:val="auto"/>
                <w:kern w:val="0"/>
                <w:szCs w:val="21"/>
              </w:rPr>
              <w:t>磋商单位资质</w:t>
            </w:r>
          </w:p>
          <w:p>
            <w:pPr>
              <w:keepNext w:val="0"/>
              <w:keepLines w:val="0"/>
              <w:pageBreakBefore w:val="0"/>
              <w:widowControl/>
              <w:kinsoku/>
              <w:wordWrap/>
              <w:overflowPunct/>
              <w:topLinePunct w:val="0"/>
              <w:bidi w:val="0"/>
              <w:spacing w:line="336" w:lineRule="auto"/>
              <w:jc w:val="center"/>
              <w:rPr>
                <w:rFonts w:ascii="宋体" w:cs="宋体"/>
                <w:color w:val="auto"/>
                <w:kern w:val="0"/>
                <w:szCs w:val="21"/>
              </w:rPr>
            </w:pPr>
            <w:r>
              <w:rPr>
                <w:rFonts w:hint="eastAsia" w:ascii="宋体" w:hAnsi="宋体" w:cs="宋体"/>
                <w:b/>
                <w:bCs/>
                <w:color w:val="auto"/>
                <w:kern w:val="0"/>
                <w:szCs w:val="21"/>
              </w:rPr>
              <w:t>等级要求</w:t>
            </w:r>
          </w:p>
        </w:tc>
        <w:tc>
          <w:tcPr>
            <w:tcW w:w="6341" w:type="dxa"/>
            <w:vAlign w:val="center"/>
          </w:tcPr>
          <w:p>
            <w:pPr>
              <w:keepNext w:val="0"/>
              <w:keepLines w:val="0"/>
              <w:pageBreakBefore w:val="0"/>
              <w:kinsoku/>
              <w:wordWrap/>
              <w:overflowPunct/>
              <w:topLinePunct w:val="0"/>
              <w:bidi w:val="0"/>
              <w:spacing w:line="336" w:lineRule="auto"/>
              <w:ind w:firstLine="420" w:firstLineChars="200"/>
              <w:rPr>
                <w:rFonts w:hint="eastAsia"/>
                <w:color w:val="auto"/>
              </w:rPr>
            </w:pPr>
            <w:r>
              <w:rPr>
                <w:rFonts w:hint="eastAsia"/>
                <w:color w:val="auto"/>
              </w:rPr>
              <w:t>1.满足《中华人民共和国政府采购法》第二十二条规定；</w:t>
            </w:r>
          </w:p>
          <w:p>
            <w:pPr>
              <w:keepNext w:val="0"/>
              <w:keepLines w:val="0"/>
              <w:pageBreakBefore w:val="0"/>
              <w:kinsoku/>
              <w:wordWrap/>
              <w:overflowPunct/>
              <w:topLinePunct w:val="0"/>
              <w:bidi w:val="0"/>
              <w:spacing w:line="336" w:lineRule="auto"/>
              <w:ind w:firstLine="420" w:firstLineChars="200"/>
              <w:rPr>
                <w:rFonts w:hint="eastAsia"/>
                <w:color w:val="auto"/>
              </w:rPr>
            </w:pPr>
            <w:r>
              <w:rPr>
                <w:rFonts w:hint="eastAsia"/>
                <w:color w:val="auto"/>
              </w:rPr>
              <w:t>2.落实政府采购政策需满足的资格要求：</w:t>
            </w:r>
            <w:r>
              <w:rPr>
                <w:rFonts w:hint="eastAsia"/>
                <w:color w:val="auto"/>
                <w:lang w:eastAsia="zh-CN"/>
              </w:rPr>
              <w:t>无</w:t>
            </w:r>
            <w:r>
              <w:rPr>
                <w:rFonts w:hint="eastAsia" w:ascii="宋体" w:hAnsi="宋体" w:cs="宋体"/>
                <w:color w:val="auto"/>
                <w:szCs w:val="21"/>
              </w:rPr>
              <w:t>。</w:t>
            </w:r>
          </w:p>
          <w:p>
            <w:pPr>
              <w:keepNext w:val="0"/>
              <w:keepLines w:val="0"/>
              <w:pageBreakBefore w:val="0"/>
              <w:kinsoku/>
              <w:wordWrap/>
              <w:overflowPunct/>
              <w:topLinePunct w:val="0"/>
              <w:bidi w:val="0"/>
              <w:spacing w:line="336" w:lineRule="auto"/>
              <w:ind w:firstLine="420" w:firstLineChars="200"/>
              <w:rPr>
                <w:rFonts w:ascii="宋体" w:cs="宋体"/>
                <w:bCs/>
                <w:color w:val="auto"/>
                <w:szCs w:val="21"/>
              </w:rPr>
            </w:pPr>
            <w:r>
              <w:rPr>
                <w:rFonts w:hint="eastAsia"/>
                <w:color w:val="auto"/>
                <w:lang w:val="en-US" w:eastAsia="zh-CN"/>
              </w:rPr>
              <w:t>3</w:t>
            </w:r>
            <w:r>
              <w:rPr>
                <w:rFonts w:hint="eastAsia"/>
                <w:color w:val="auto"/>
              </w:rPr>
              <w:t>.本项目的特定资格要求：</w:t>
            </w:r>
            <w:r>
              <w:rPr>
                <w:rFonts w:hint="eastAsia" w:ascii="宋体" w:hAnsi="宋体" w:cs="宋体"/>
                <w:color w:val="auto"/>
                <w:sz w:val="21"/>
                <w:szCs w:val="21"/>
                <w:lang w:eastAsia="zh-CN"/>
              </w:rPr>
              <w:t>具备市政公用工程施工总承包叁级(含叁级)及以上资质，并在人员、设备、资金等方面具有相应的施工能力</w:t>
            </w:r>
            <w:r>
              <w:rPr>
                <w:rFonts w:hint="eastAsia" w:ascii="宋体" w:hAnsi="宋体" w:cs="宋体"/>
                <w:color w:val="auto"/>
                <w:szCs w:val="21"/>
                <w:highlight w:val="none"/>
              </w:rPr>
              <w:t>；</w:t>
            </w:r>
            <w:r>
              <w:rPr>
                <w:rFonts w:hint="eastAsia" w:ascii="宋体" w:hAnsi="宋体" w:cs="宋体"/>
                <w:color w:val="auto"/>
                <w:sz w:val="21"/>
                <w:szCs w:val="21"/>
                <w:lang w:eastAsia="zh-CN"/>
              </w:rPr>
              <w:t>拟派驻的项目经理须具备市政公用工程专业贰级以上（含贰级）注册建造师执业资格，具备有效的安全生产考核合格证书（B类），且为本单位在职员工</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644"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10</w:t>
            </w:r>
          </w:p>
        </w:tc>
        <w:tc>
          <w:tcPr>
            <w:tcW w:w="796"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4.2</w:t>
            </w:r>
          </w:p>
        </w:tc>
        <w:tc>
          <w:tcPr>
            <w:tcW w:w="1833" w:type="dxa"/>
            <w:gridSpan w:val="2"/>
            <w:vAlign w:val="center"/>
          </w:tcPr>
          <w:p>
            <w:pPr>
              <w:keepNext w:val="0"/>
              <w:keepLines w:val="0"/>
              <w:pageBreakBefore w:val="0"/>
              <w:widowControl/>
              <w:kinsoku/>
              <w:wordWrap/>
              <w:overflowPunct/>
              <w:topLinePunct w:val="0"/>
              <w:bidi w:val="0"/>
              <w:spacing w:line="336" w:lineRule="auto"/>
              <w:jc w:val="center"/>
              <w:rPr>
                <w:rFonts w:ascii="宋体" w:cs="宋体"/>
                <w:b/>
                <w:bCs/>
                <w:color w:val="auto"/>
                <w:kern w:val="0"/>
                <w:szCs w:val="21"/>
              </w:rPr>
            </w:pPr>
            <w:r>
              <w:rPr>
                <w:rFonts w:hint="eastAsia" w:ascii="宋体" w:hAnsi="宋体" w:cs="宋体"/>
                <w:b/>
                <w:bCs/>
                <w:color w:val="auto"/>
                <w:kern w:val="0"/>
                <w:szCs w:val="21"/>
              </w:rPr>
              <w:t>资格审查方式</w:t>
            </w:r>
          </w:p>
        </w:tc>
        <w:tc>
          <w:tcPr>
            <w:tcW w:w="6341" w:type="dxa"/>
            <w:vAlign w:val="center"/>
          </w:tcPr>
          <w:p>
            <w:pPr>
              <w:keepNext w:val="0"/>
              <w:keepLines w:val="0"/>
              <w:pageBreakBefore w:val="0"/>
              <w:kinsoku/>
              <w:wordWrap/>
              <w:overflowPunct/>
              <w:topLinePunct w:val="0"/>
              <w:autoSpaceDE w:val="0"/>
              <w:autoSpaceDN w:val="0"/>
              <w:bidi w:val="0"/>
              <w:spacing w:line="336" w:lineRule="auto"/>
              <w:rPr>
                <w:rFonts w:ascii="宋体" w:cs="宋体"/>
                <w:bCs/>
                <w:color w:val="auto"/>
                <w:szCs w:val="21"/>
              </w:rPr>
            </w:pPr>
            <w:r>
              <w:rPr>
                <w:rFonts w:hint="eastAsia" w:ascii="宋体" w:hAnsi="宋体" w:cs="宋体"/>
                <w:bCs/>
                <w:color w:val="auto"/>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644"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11</w:t>
            </w:r>
          </w:p>
        </w:tc>
        <w:tc>
          <w:tcPr>
            <w:tcW w:w="796"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13.1</w:t>
            </w:r>
          </w:p>
        </w:tc>
        <w:tc>
          <w:tcPr>
            <w:tcW w:w="1833" w:type="dxa"/>
            <w:gridSpan w:val="2"/>
            <w:vAlign w:val="center"/>
          </w:tcPr>
          <w:p>
            <w:pPr>
              <w:keepNext w:val="0"/>
              <w:keepLines w:val="0"/>
              <w:pageBreakBefore w:val="0"/>
              <w:widowControl/>
              <w:kinsoku/>
              <w:wordWrap/>
              <w:overflowPunct/>
              <w:topLinePunct w:val="0"/>
              <w:bidi w:val="0"/>
              <w:spacing w:line="336" w:lineRule="auto"/>
              <w:jc w:val="center"/>
              <w:rPr>
                <w:rFonts w:ascii="宋体" w:cs="宋体"/>
                <w:b/>
                <w:bCs/>
                <w:color w:val="auto"/>
                <w:kern w:val="0"/>
                <w:szCs w:val="21"/>
              </w:rPr>
            </w:pPr>
            <w:r>
              <w:rPr>
                <w:rFonts w:hint="eastAsia" w:ascii="宋体" w:hAnsi="宋体" w:cs="宋体"/>
                <w:b/>
                <w:bCs/>
                <w:color w:val="auto"/>
                <w:kern w:val="0"/>
                <w:szCs w:val="21"/>
              </w:rPr>
              <w:t>工程报价方式</w:t>
            </w:r>
          </w:p>
        </w:tc>
        <w:tc>
          <w:tcPr>
            <w:tcW w:w="6341" w:type="dxa"/>
            <w:vAlign w:val="center"/>
          </w:tcPr>
          <w:p>
            <w:pPr>
              <w:keepNext w:val="0"/>
              <w:keepLines w:val="0"/>
              <w:pageBreakBefore w:val="0"/>
              <w:kinsoku/>
              <w:wordWrap/>
              <w:overflowPunct/>
              <w:topLinePunct w:val="0"/>
              <w:autoSpaceDE w:val="0"/>
              <w:autoSpaceDN w:val="0"/>
              <w:bidi w:val="0"/>
              <w:spacing w:line="336" w:lineRule="auto"/>
              <w:rPr>
                <w:rFonts w:ascii="宋体" w:cs="宋体"/>
                <w:bCs/>
                <w:color w:val="auto"/>
                <w:szCs w:val="21"/>
              </w:rPr>
            </w:pPr>
            <w:r>
              <w:rPr>
                <w:rFonts w:hint="eastAsia" w:ascii="宋体" w:hAnsi="宋体" w:cs="宋体"/>
                <w:bCs/>
                <w:color w:val="auto"/>
                <w:szCs w:val="21"/>
              </w:rPr>
              <w:t>工程量清单报价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644"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12</w:t>
            </w:r>
          </w:p>
        </w:tc>
        <w:tc>
          <w:tcPr>
            <w:tcW w:w="796"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15.1</w:t>
            </w:r>
          </w:p>
        </w:tc>
        <w:tc>
          <w:tcPr>
            <w:tcW w:w="1833" w:type="dxa"/>
            <w:gridSpan w:val="2"/>
            <w:vAlign w:val="center"/>
          </w:tcPr>
          <w:p>
            <w:pPr>
              <w:keepNext w:val="0"/>
              <w:keepLines w:val="0"/>
              <w:pageBreakBefore w:val="0"/>
              <w:widowControl/>
              <w:kinsoku/>
              <w:wordWrap/>
              <w:overflowPunct/>
              <w:topLinePunct w:val="0"/>
              <w:bidi w:val="0"/>
              <w:spacing w:line="336" w:lineRule="auto"/>
              <w:jc w:val="center"/>
              <w:rPr>
                <w:rFonts w:ascii="宋体" w:cs="宋体"/>
                <w:b/>
                <w:bCs/>
                <w:color w:val="auto"/>
                <w:kern w:val="0"/>
                <w:szCs w:val="21"/>
              </w:rPr>
            </w:pPr>
            <w:r>
              <w:rPr>
                <w:rFonts w:hint="eastAsia" w:ascii="宋体" w:hAnsi="宋体" w:cs="宋体"/>
                <w:b/>
                <w:bCs/>
                <w:color w:val="auto"/>
                <w:kern w:val="0"/>
                <w:szCs w:val="21"/>
              </w:rPr>
              <w:t>竞标有效期</w:t>
            </w:r>
          </w:p>
        </w:tc>
        <w:tc>
          <w:tcPr>
            <w:tcW w:w="6341" w:type="dxa"/>
            <w:vAlign w:val="center"/>
          </w:tcPr>
          <w:p>
            <w:pPr>
              <w:keepNext w:val="0"/>
              <w:keepLines w:val="0"/>
              <w:pageBreakBefore w:val="0"/>
              <w:widowControl/>
              <w:kinsoku/>
              <w:wordWrap/>
              <w:overflowPunct/>
              <w:topLinePunct w:val="0"/>
              <w:bidi w:val="0"/>
              <w:spacing w:line="336" w:lineRule="auto"/>
              <w:jc w:val="left"/>
              <w:rPr>
                <w:rFonts w:ascii="宋体" w:cs="宋体"/>
                <w:color w:val="auto"/>
                <w:kern w:val="0"/>
                <w:szCs w:val="21"/>
              </w:rPr>
            </w:pPr>
            <w:r>
              <w:rPr>
                <w:rFonts w:hint="eastAsia" w:ascii="宋体" w:hAnsi="宋体" w:cs="宋体"/>
                <w:color w:val="auto"/>
                <w:kern w:val="0"/>
                <w:szCs w:val="21"/>
              </w:rPr>
              <w:t>45日（自提交响应文件截止之日算起）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rPr>
        <w:tc>
          <w:tcPr>
            <w:tcW w:w="644"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13</w:t>
            </w:r>
          </w:p>
        </w:tc>
        <w:tc>
          <w:tcPr>
            <w:tcW w:w="807" w:type="dxa"/>
            <w:gridSpan w:val="2"/>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16.1</w:t>
            </w:r>
          </w:p>
        </w:tc>
        <w:tc>
          <w:tcPr>
            <w:tcW w:w="1822" w:type="dxa"/>
            <w:vAlign w:val="center"/>
          </w:tcPr>
          <w:p>
            <w:pPr>
              <w:keepNext w:val="0"/>
              <w:keepLines w:val="0"/>
              <w:pageBreakBefore w:val="0"/>
              <w:widowControl/>
              <w:kinsoku/>
              <w:wordWrap/>
              <w:overflowPunct/>
              <w:topLinePunct w:val="0"/>
              <w:bidi w:val="0"/>
              <w:spacing w:line="336" w:lineRule="auto"/>
              <w:jc w:val="center"/>
              <w:rPr>
                <w:rFonts w:ascii="宋体" w:cs="宋体"/>
                <w:b/>
                <w:bCs/>
                <w:color w:val="auto"/>
                <w:kern w:val="0"/>
                <w:szCs w:val="21"/>
              </w:rPr>
            </w:pPr>
            <w:r>
              <w:rPr>
                <w:rFonts w:hint="eastAsia" w:ascii="宋体" w:hAnsi="宋体" w:cs="宋体"/>
                <w:b/>
                <w:bCs/>
                <w:color w:val="auto"/>
                <w:kern w:val="0"/>
                <w:szCs w:val="21"/>
              </w:rPr>
              <w:t>磋商保证金</w:t>
            </w:r>
          </w:p>
        </w:tc>
        <w:tc>
          <w:tcPr>
            <w:tcW w:w="6341" w:type="dxa"/>
          </w:tcPr>
          <w:p>
            <w:pPr>
              <w:keepNext w:val="0"/>
              <w:keepLines w:val="0"/>
              <w:pageBreakBefore w:val="0"/>
              <w:kinsoku/>
              <w:wordWrap/>
              <w:overflowPunct/>
              <w:topLinePunct w:val="0"/>
              <w:bidi w:val="0"/>
              <w:spacing w:line="336" w:lineRule="auto"/>
              <w:rPr>
                <w:rFonts w:ascii="宋体" w:cs="宋体"/>
                <w:color w:val="auto"/>
                <w:kern w:val="0"/>
                <w:szCs w:val="21"/>
              </w:rPr>
            </w:pPr>
            <w:r>
              <w:rPr>
                <w:rFonts w:hint="eastAsia" w:ascii="宋体" w:hAnsi="宋体" w:cs="宋体"/>
                <w:color w:val="auto"/>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14</w:t>
            </w:r>
          </w:p>
        </w:tc>
        <w:tc>
          <w:tcPr>
            <w:tcW w:w="807" w:type="dxa"/>
            <w:gridSpan w:val="2"/>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5.1</w:t>
            </w:r>
          </w:p>
        </w:tc>
        <w:tc>
          <w:tcPr>
            <w:tcW w:w="1822" w:type="dxa"/>
            <w:vAlign w:val="center"/>
          </w:tcPr>
          <w:p>
            <w:pPr>
              <w:keepNext w:val="0"/>
              <w:keepLines w:val="0"/>
              <w:pageBreakBefore w:val="0"/>
              <w:widowControl/>
              <w:kinsoku/>
              <w:wordWrap/>
              <w:overflowPunct/>
              <w:topLinePunct w:val="0"/>
              <w:bidi w:val="0"/>
              <w:spacing w:line="336" w:lineRule="auto"/>
              <w:jc w:val="center"/>
              <w:rPr>
                <w:rFonts w:ascii="宋体" w:cs="宋体"/>
                <w:b/>
                <w:bCs/>
                <w:color w:val="auto"/>
                <w:kern w:val="0"/>
                <w:szCs w:val="21"/>
              </w:rPr>
            </w:pPr>
            <w:r>
              <w:rPr>
                <w:rFonts w:hint="eastAsia" w:ascii="宋体" w:hAnsi="宋体" w:cs="宋体"/>
                <w:b/>
                <w:bCs/>
                <w:color w:val="auto"/>
                <w:kern w:val="0"/>
                <w:szCs w:val="21"/>
              </w:rPr>
              <w:t>踏勘现场</w:t>
            </w:r>
          </w:p>
        </w:tc>
        <w:tc>
          <w:tcPr>
            <w:tcW w:w="6341" w:type="dxa"/>
            <w:vAlign w:val="center"/>
          </w:tcPr>
          <w:p>
            <w:pPr>
              <w:keepNext w:val="0"/>
              <w:keepLines w:val="0"/>
              <w:pageBreakBefore w:val="0"/>
              <w:kinsoku/>
              <w:wordWrap/>
              <w:overflowPunct/>
              <w:topLinePunct w:val="0"/>
              <w:bidi w:val="0"/>
              <w:spacing w:line="336" w:lineRule="auto"/>
              <w:rPr>
                <w:rFonts w:hint="eastAsia" w:ascii="宋体" w:hAnsi="宋体" w:cs="宋体"/>
                <w:color w:val="auto"/>
                <w:kern w:val="0"/>
                <w:szCs w:val="21"/>
              </w:rPr>
            </w:pPr>
            <w:r>
              <w:rPr>
                <w:rFonts w:hint="eastAsia" w:ascii="宋体" w:hAnsi="宋体" w:cs="宋体"/>
                <w:color w:val="auto"/>
                <w:kern w:val="0"/>
                <w:szCs w:val="21"/>
              </w:rPr>
              <w:t>磋商单位自行对工程现场及周围环境进行踏勘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644"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15</w:t>
            </w:r>
          </w:p>
        </w:tc>
        <w:tc>
          <w:tcPr>
            <w:tcW w:w="807" w:type="dxa"/>
            <w:gridSpan w:val="2"/>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18.1</w:t>
            </w:r>
          </w:p>
        </w:tc>
        <w:tc>
          <w:tcPr>
            <w:tcW w:w="1822" w:type="dxa"/>
            <w:vAlign w:val="center"/>
          </w:tcPr>
          <w:p>
            <w:pPr>
              <w:keepNext w:val="0"/>
              <w:keepLines w:val="0"/>
              <w:pageBreakBefore w:val="0"/>
              <w:widowControl/>
              <w:kinsoku/>
              <w:wordWrap/>
              <w:overflowPunct/>
              <w:topLinePunct w:val="0"/>
              <w:bidi w:val="0"/>
              <w:spacing w:line="336" w:lineRule="auto"/>
              <w:jc w:val="center"/>
              <w:rPr>
                <w:rFonts w:ascii="宋体" w:cs="宋体"/>
                <w:b/>
                <w:bCs/>
                <w:color w:val="auto"/>
                <w:kern w:val="0"/>
                <w:szCs w:val="21"/>
              </w:rPr>
            </w:pPr>
            <w:r>
              <w:rPr>
                <w:rFonts w:hint="eastAsia" w:ascii="宋体" w:hAnsi="宋体" w:cs="宋体"/>
                <w:b/>
                <w:bCs/>
                <w:color w:val="auto"/>
                <w:kern w:val="0"/>
                <w:szCs w:val="21"/>
              </w:rPr>
              <w:t>响应文件份数</w:t>
            </w:r>
          </w:p>
        </w:tc>
        <w:tc>
          <w:tcPr>
            <w:tcW w:w="6341" w:type="dxa"/>
            <w:vAlign w:val="center"/>
          </w:tcPr>
          <w:p>
            <w:pPr>
              <w:keepNext w:val="0"/>
              <w:keepLines w:val="0"/>
              <w:pageBreakBefore w:val="0"/>
              <w:kinsoku/>
              <w:wordWrap/>
              <w:overflowPunct/>
              <w:topLinePunct w:val="0"/>
              <w:bidi w:val="0"/>
              <w:spacing w:line="336" w:lineRule="auto"/>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壹份正本，肆份副本，提供可编辑的U盘电子版文件（包含工程量清单报价和响应文件）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2" w:hRule="atLeast"/>
        </w:trPr>
        <w:tc>
          <w:tcPr>
            <w:tcW w:w="644"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16</w:t>
            </w:r>
          </w:p>
        </w:tc>
        <w:tc>
          <w:tcPr>
            <w:tcW w:w="807" w:type="dxa"/>
            <w:gridSpan w:val="2"/>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20.1</w:t>
            </w:r>
          </w:p>
        </w:tc>
        <w:tc>
          <w:tcPr>
            <w:tcW w:w="1822" w:type="dxa"/>
            <w:vAlign w:val="center"/>
          </w:tcPr>
          <w:p>
            <w:pPr>
              <w:keepNext w:val="0"/>
              <w:keepLines w:val="0"/>
              <w:pageBreakBefore w:val="0"/>
              <w:widowControl/>
              <w:kinsoku/>
              <w:wordWrap/>
              <w:overflowPunct/>
              <w:topLinePunct w:val="0"/>
              <w:bidi w:val="0"/>
              <w:spacing w:line="336" w:lineRule="auto"/>
              <w:jc w:val="center"/>
              <w:rPr>
                <w:rFonts w:ascii="宋体" w:cs="宋体"/>
                <w:b/>
                <w:bCs/>
                <w:color w:val="auto"/>
                <w:kern w:val="0"/>
                <w:szCs w:val="21"/>
              </w:rPr>
            </w:pPr>
            <w:r>
              <w:rPr>
                <w:rFonts w:hint="eastAsia" w:ascii="宋体" w:hAnsi="宋体" w:cs="宋体"/>
                <w:b/>
                <w:bCs/>
                <w:color w:val="auto"/>
                <w:kern w:val="0"/>
                <w:szCs w:val="21"/>
              </w:rPr>
              <w:t>响应文件提交</w:t>
            </w:r>
          </w:p>
          <w:p>
            <w:pPr>
              <w:keepNext w:val="0"/>
              <w:keepLines w:val="0"/>
              <w:pageBreakBefore w:val="0"/>
              <w:widowControl/>
              <w:kinsoku/>
              <w:wordWrap/>
              <w:overflowPunct/>
              <w:topLinePunct w:val="0"/>
              <w:bidi w:val="0"/>
              <w:spacing w:line="336" w:lineRule="auto"/>
              <w:jc w:val="center"/>
              <w:rPr>
                <w:rFonts w:ascii="宋体" w:cs="宋体"/>
                <w:b/>
                <w:bCs/>
                <w:color w:val="auto"/>
                <w:kern w:val="0"/>
                <w:szCs w:val="21"/>
                <w:u w:val="single"/>
              </w:rPr>
            </w:pPr>
            <w:r>
              <w:rPr>
                <w:rFonts w:hint="eastAsia" w:ascii="宋体" w:hAnsi="宋体" w:cs="宋体"/>
                <w:b/>
                <w:bCs/>
                <w:color w:val="auto"/>
                <w:kern w:val="0"/>
                <w:szCs w:val="21"/>
              </w:rPr>
              <w:t>地点及截止时间</w:t>
            </w:r>
          </w:p>
        </w:tc>
        <w:tc>
          <w:tcPr>
            <w:tcW w:w="6341" w:type="dxa"/>
            <w:vAlign w:val="center"/>
          </w:tcPr>
          <w:p>
            <w:pPr>
              <w:keepNext w:val="0"/>
              <w:keepLines w:val="0"/>
              <w:pageBreakBefore w:val="0"/>
              <w:widowControl/>
              <w:kinsoku/>
              <w:wordWrap/>
              <w:overflowPunct/>
              <w:topLinePunct w:val="0"/>
              <w:bidi w:val="0"/>
              <w:spacing w:line="336" w:lineRule="auto"/>
              <w:jc w:val="left"/>
              <w:rPr>
                <w:rFonts w:ascii="宋体" w:cs="宋体"/>
                <w:color w:val="auto"/>
                <w:kern w:val="0"/>
                <w:szCs w:val="21"/>
                <w:u w:val="single"/>
              </w:rPr>
            </w:pPr>
            <w:r>
              <w:rPr>
                <w:rFonts w:hint="eastAsia" w:ascii="宋体" w:hAnsi="宋体" w:cs="宋体"/>
                <w:color w:val="auto"/>
                <w:szCs w:val="21"/>
              </w:rPr>
              <w:t>地点</w:t>
            </w:r>
            <w:r>
              <w:rPr>
                <w:rFonts w:hint="eastAsia" w:ascii="宋体" w:hAnsi="宋体" w:cs="宋体"/>
                <w:color w:val="auto"/>
                <w:kern w:val="0"/>
                <w:szCs w:val="21"/>
              </w:rPr>
              <w:t>：</w:t>
            </w:r>
            <w:r>
              <w:rPr>
                <w:rFonts w:hint="eastAsia" w:ascii="宋体" w:hAnsi="宋体" w:cs="宋体"/>
                <w:color w:val="auto"/>
                <w:szCs w:val="21"/>
                <w:lang w:eastAsia="zh-CN"/>
              </w:rPr>
              <w:t>广西亿翔荣工程管理有限责任公司【崇左市江州区新城路1号阳光名邸三期南面C4-103商铺】</w:t>
            </w:r>
            <w:r>
              <w:rPr>
                <w:rFonts w:hint="eastAsia" w:ascii="宋体" w:hAnsi="宋体" w:cs="宋体"/>
                <w:b/>
                <w:color w:val="auto"/>
                <w:kern w:val="0"/>
                <w:szCs w:val="21"/>
              </w:rPr>
              <w:t>，</w:t>
            </w:r>
            <w:r>
              <w:rPr>
                <w:rFonts w:hint="eastAsia" w:ascii="宋体" w:hAnsi="宋体" w:cs="宋体"/>
                <w:color w:val="auto"/>
                <w:szCs w:val="21"/>
              </w:rPr>
              <w:t>时间：</w:t>
            </w:r>
            <w:r>
              <w:rPr>
                <w:rFonts w:hint="eastAsia" w:ascii="宋体" w:hAnsi="宋体" w:cs="宋体"/>
                <w:color w:val="auto"/>
                <w:szCs w:val="21"/>
                <w:lang w:val="en-US" w:eastAsia="zh-CN"/>
              </w:rPr>
              <w:t>2021年10月13日9时30分</w:t>
            </w:r>
            <w:r>
              <w:rPr>
                <w:rFonts w:hint="eastAsia" w:ascii="宋体" w:hAnsi="宋体" w:cs="宋体"/>
                <w:color w:val="auto"/>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rPr>
        <w:tc>
          <w:tcPr>
            <w:tcW w:w="644"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17</w:t>
            </w:r>
          </w:p>
        </w:tc>
        <w:tc>
          <w:tcPr>
            <w:tcW w:w="807" w:type="dxa"/>
            <w:gridSpan w:val="2"/>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24.1</w:t>
            </w:r>
          </w:p>
        </w:tc>
        <w:tc>
          <w:tcPr>
            <w:tcW w:w="1822" w:type="dxa"/>
            <w:vAlign w:val="center"/>
          </w:tcPr>
          <w:p>
            <w:pPr>
              <w:keepNext w:val="0"/>
              <w:keepLines w:val="0"/>
              <w:pageBreakBefore w:val="0"/>
              <w:widowControl/>
              <w:kinsoku/>
              <w:wordWrap/>
              <w:overflowPunct/>
              <w:topLinePunct w:val="0"/>
              <w:bidi w:val="0"/>
              <w:spacing w:line="336" w:lineRule="auto"/>
              <w:jc w:val="center"/>
              <w:rPr>
                <w:rFonts w:ascii="宋体" w:cs="宋体"/>
                <w:b/>
                <w:bCs/>
                <w:color w:val="auto"/>
                <w:kern w:val="0"/>
                <w:szCs w:val="21"/>
              </w:rPr>
            </w:pPr>
            <w:r>
              <w:rPr>
                <w:rFonts w:hint="eastAsia" w:ascii="宋体" w:hAnsi="宋体" w:cs="宋体"/>
                <w:b/>
                <w:bCs/>
                <w:color w:val="auto"/>
                <w:kern w:val="0"/>
                <w:szCs w:val="21"/>
              </w:rPr>
              <w:t>开标地点</w:t>
            </w:r>
          </w:p>
          <w:p>
            <w:pPr>
              <w:keepNext w:val="0"/>
              <w:keepLines w:val="0"/>
              <w:pageBreakBefore w:val="0"/>
              <w:widowControl/>
              <w:kinsoku/>
              <w:wordWrap/>
              <w:overflowPunct/>
              <w:topLinePunct w:val="0"/>
              <w:bidi w:val="0"/>
              <w:spacing w:line="336" w:lineRule="auto"/>
              <w:jc w:val="center"/>
              <w:rPr>
                <w:rFonts w:ascii="宋体" w:cs="宋体"/>
                <w:b/>
                <w:bCs/>
                <w:color w:val="auto"/>
                <w:kern w:val="0"/>
                <w:szCs w:val="21"/>
              </w:rPr>
            </w:pPr>
            <w:r>
              <w:rPr>
                <w:rFonts w:hint="eastAsia" w:ascii="宋体" w:hAnsi="宋体" w:cs="宋体"/>
                <w:b/>
                <w:bCs/>
                <w:color w:val="auto"/>
                <w:kern w:val="0"/>
                <w:szCs w:val="21"/>
              </w:rPr>
              <w:t>及时间</w:t>
            </w:r>
          </w:p>
        </w:tc>
        <w:tc>
          <w:tcPr>
            <w:tcW w:w="6341" w:type="dxa"/>
            <w:vAlign w:val="center"/>
          </w:tcPr>
          <w:p>
            <w:pPr>
              <w:keepNext w:val="0"/>
              <w:keepLines w:val="0"/>
              <w:pageBreakBefore w:val="0"/>
              <w:widowControl/>
              <w:kinsoku/>
              <w:wordWrap/>
              <w:overflowPunct/>
              <w:topLinePunct w:val="0"/>
              <w:bidi w:val="0"/>
              <w:spacing w:line="336" w:lineRule="auto"/>
              <w:jc w:val="left"/>
              <w:rPr>
                <w:rFonts w:ascii="宋体" w:cs="宋体"/>
                <w:color w:val="auto"/>
                <w:szCs w:val="21"/>
              </w:rPr>
            </w:pPr>
            <w:r>
              <w:rPr>
                <w:rFonts w:hint="eastAsia" w:ascii="宋体" w:hAnsi="宋体" w:cs="宋体"/>
                <w:color w:val="auto"/>
                <w:kern w:val="0"/>
                <w:szCs w:val="21"/>
              </w:rPr>
              <w:t>地点：</w:t>
            </w:r>
            <w:r>
              <w:rPr>
                <w:rFonts w:hint="eastAsia" w:ascii="宋体" w:hAnsi="宋体" w:cs="宋体"/>
                <w:color w:val="auto"/>
                <w:szCs w:val="21"/>
                <w:lang w:eastAsia="zh-CN"/>
              </w:rPr>
              <w:t>同截标地点</w:t>
            </w:r>
            <w:r>
              <w:rPr>
                <w:rFonts w:hint="eastAsia" w:ascii="宋体" w:hAnsi="宋体" w:cs="宋体"/>
                <w:b/>
                <w:color w:val="auto"/>
                <w:kern w:val="0"/>
                <w:szCs w:val="21"/>
              </w:rPr>
              <w:t>，</w:t>
            </w:r>
            <w:r>
              <w:rPr>
                <w:rFonts w:hint="eastAsia" w:ascii="宋体" w:hAnsi="宋体" w:cs="宋体"/>
                <w:bCs/>
                <w:color w:val="auto"/>
                <w:szCs w:val="21"/>
              </w:rPr>
              <w:t>时间</w:t>
            </w:r>
            <w:r>
              <w:rPr>
                <w:rFonts w:hint="eastAsia" w:ascii="宋体" w:hAnsi="宋体" w:cs="宋体"/>
                <w:color w:val="auto"/>
                <w:szCs w:val="21"/>
                <w:lang w:eastAsia="zh-CN"/>
              </w:rPr>
              <w:t>：</w:t>
            </w:r>
            <w:r>
              <w:rPr>
                <w:rFonts w:hint="eastAsia" w:ascii="宋体" w:hAnsi="宋体" w:cs="宋体"/>
                <w:color w:val="auto"/>
                <w:szCs w:val="21"/>
                <w:lang w:val="en-US" w:eastAsia="zh-CN"/>
              </w:rPr>
              <w:t>2021年10月13日9时30分</w:t>
            </w:r>
            <w:r>
              <w:rPr>
                <w:rFonts w:hint="eastAsia" w:ascii="宋体" w:hAnsi="宋体" w:cs="宋体"/>
                <w:color w:val="auto"/>
                <w:szCs w:val="21"/>
                <w:lang w:eastAsia="zh-CN"/>
              </w:rPr>
              <w:t>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trPr>
        <w:tc>
          <w:tcPr>
            <w:tcW w:w="644"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18</w:t>
            </w:r>
          </w:p>
        </w:tc>
        <w:tc>
          <w:tcPr>
            <w:tcW w:w="807" w:type="dxa"/>
            <w:gridSpan w:val="2"/>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32.4</w:t>
            </w:r>
          </w:p>
        </w:tc>
        <w:tc>
          <w:tcPr>
            <w:tcW w:w="1822" w:type="dxa"/>
            <w:vAlign w:val="center"/>
          </w:tcPr>
          <w:p>
            <w:pPr>
              <w:keepNext w:val="0"/>
              <w:keepLines w:val="0"/>
              <w:pageBreakBefore w:val="0"/>
              <w:kinsoku/>
              <w:wordWrap/>
              <w:overflowPunct/>
              <w:topLinePunct w:val="0"/>
              <w:autoSpaceDE w:val="0"/>
              <w:autoSpaceDN w:val="0"/>
              <w:bidi w:val="0"/>
              <w:spacing w:line="336" w:lineRule="auto"/>
              <w:jc w:val="center"/>
              <w:rPr>
                <w:rFonts w:ascii="宋体" w:cs="宋体"/>
                <w:b/>
                <w:bCs/>
                <w:color w:val="auto"/>
                <w:kern w:val="0"/>
                <w:szCs w:val="21"/>
              </w:rPr>
            </w:pPr>
            <w:r>
              <w:rPr>
                <w:rFonts w:hint="eastAsia" w:ascii="宋体" w:hAnsi="宋体" w:cs="宋体"/>
                <w:b/>
                <w:bCs/>
                <w:color w:val="auto"/>
                <w:kern w:val="0"/>
                <w:szCs w:val="21"/>
              </w:rPr>
              <w:t>评标方法</w:t>
            </w:r>
          </w:p>
        </w:tc>
        <w:tc>
          <w:tcPr>
            <w:tcW w:w="6341" w:type="dxa"/>
            <w:vAlign w:val="center"/>
          </w:tcPr>
          <w:p>
            <w:pPr>
              <w:keepNext w:val="0"/>
              <w:keepLines w:val="0"/>
              <w:pageBreakBefore w:val="0"/>
              <w:kinsoku/>
              <w:wordWrap/>
              <w:overflowPunct/>
              <w:topLinePunct w:val="0"/>
              <w:autoSpaceDE w:val="0"/>
              <w:autoSpaceDN w:val="0"/>
              <w:bidi w:val="0"/>
              <w:spacing w:line="336" w:lineRule="auto"/>
              <w:rPr>
                <w:rFonts w:ascii="宋体" w:cs="宋体"/>
                <w:color w:val="auto"/>
                <w:kern w:val="0"/>
                <w:szCs w:val="21"/>
              </w:rPr>
            </w:pPr>
            <w:r>
              <w:rPr>
                <w:rFonts w:hint="eastAsia" w:ascii="宋体" w:hAnsi="宋体" w:cs="宋体"/>
                <w:color w:val="auto"/>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trPr>
        <w:tc>
          <w:tcPr>
            <w:tcW w:w="644" w:type="dxa"/>
            <w:vAlign w:val="center"/>
          </w:tcPr>
          <w:p>
            <w:pPr>
              <w:keepNext w:val="0"/>
              <w:keepLines w:val="0"/>
              <w:pageBreakBefore w:val="0"/>
              <w:kinsoku/>
              <w:wordWrap/>
              <w:overflowPunct/>
              <w:topLinePunct w:val="0"/>
              <w:autoSpaceDE w:val="0"/>
              <w:autoSpaceDN w:val="0"/>
              <w:bidi w:val="0"/>
              <w:spacing w:line="336" w:lineRule="auto"/>
              <w:jc w:val="center"/>
              <w:rPr>
                <w:rFonts w:hint="eastAsia" w:ascii="宋体" w:hAnsi="宋体" w:cs="宋体"/>
                <w:b/>
                <w:color w:val="auto"/>
                <w:kern w:val="0"/>
                <w:szCs w:val="21"/>
                <w:lang w:val="en-US" w:eastAsia="zh-CN"/>
              </w:rPr>
            </w:pPr>
            <w:r>
              <w:rPr>
                <w:rFonts w:ascii="宋体" w:hAnsi="宋体" w:cs="宋体"/>
                <w:b/>
                <w:color w:val="auto"/>
                <w:kern w:val="0"/>
                <w:sz w:val="21"/>
                <w:szCs w:val="21"/>
              </w:rPr>
              <w:t>19</w:t>
            </w:r>
          </w:p>
        </w:tc>
        <w:tc>
          <w:tcPr>
            <w:tcW w:w="807" w:type="dxa"/>
            <w:gridSpan w:val="2"/>
            <w:vAlign w:val="center"/>
          </w:tcPr>
          <w:p>
            <w:pPr>
              <w:keepNext w:val="0"/>
              <w:keepLines w:val="0"/>
              <w:pageBreakBefore w:val="0"/>
              <w:kinsoku/>
              <w:wordWrap/>
              <w:overflowPunct/>
              <w:topLinePunct w:val="0"/>
              <w:autoSpaceDE w:val="0"/>
              <w:autoSpaceDN w:val="0"/>
              <w:bidi w:val="0"/>
              <w:spacing w:line="336" w:lineRule="auto"/>
              <w:jc w:val="center"/>
              <w:rPr>
                <w:rFonts w:hint="eastAsia" w:ascii="宋体" w:hAnsi="宋体" w:eastAsia="宋体" w:cs="宋体"/>
                <w:b/>
                <w:color w:val="auto"/>
                <w:kern w:val="0"/>
                <w:szCs w:val="21"/>
                <w:lang w:eastAsia="zh-CN"/>
              </w:rPr>
            </w:pPr>
            <w:r>
              <w:rPr>
                <w:rFonts w:ascii="宋体" w:hAnsi="宋体" w:cs="宋体"/>
                <w:b/>
                <w:color w:val="auto"/>
                <w:kern w:val="0"/>
                <w:sz w:val="21"/>
                <w:szCs w:val="21"/>
              </w:rPr>
              <w:t>3</w:t>
            </w:r>
            <w:r>
              <w:rPr>
                <w:rFonts w:hint="eastAsia" w:ascii="宋体" w:hAnsi="宋体" w:cs="宋体"/>
                <w:b/>
                <w:color w:val="auto"/>
                <w:kern w:val="0"/>
                <w:sz w:val="21"/>
                <w:szCs w:val="21"/>
                <w:lang w:val="en-US" w:eastAsia="zh-CN"/>
              </w:rPr>
              <w:t>2</w:t>
            </w:r>
          </w:p>
        </w:tc>
        <w:tc>
          <w:tcPr>
            <w:tcW w:w="1822" w:type="dxa"/>
            <w:vAlign w:val="center"/>
          </w:tcPr>
          <w:p>
            <w:pPr>
              <w:keepNext w:val="0"/>
              <w:keepLines w:val="0"/>
              <w:pageBreakBefore w:val="0"/>
              <w:kinsoku/>
              <w:wordWrap/>
              <w:overflowPunct/>
              <w:topLinePunct w:val="0"/>
              <w:autoSpaceDE w:val="0"/>
              <w:autoSpaceDN w:val="0"/>
              <w:bidi w:val="0"/>
              <w:spacing w:line="336" w:lineRule="auto"/>
              <w:jc w:val="center"/>
              <w:rPr>
                <w:rFonts w:ascii="宋体" w:cs="宋体"/>
                <w:b/>
                <w:color w:val="auto"/>
                <w:kern w:val="0"/>
                <w:sz w:val="21"/>
                <w:szCs w:val="21"/>
              </w:rPr>
            </w:pPr>
            <w:r>
              <w:rPr>
                <w:rFonts w:hint="eastAsia" w:ascii="宋体" w:hAnsi="宋体" w:cs="宋体"/>
                <w:b/>
                <w:color w:val="auto"/>
                <w:kern w:val="0"/>
                <w:sz w:val="21"/>
                <w:szCs w:val="21"/>
              </w:rPr>
              <w:t>农民工工资</w:t>
            </w:r>
          </w:p>
          <w:p>
            <w:pPr>
              <w:keepNext w:val="0"/>
              <w:keepLines w:val="0"/>
              <w:pageBreakBefore w:val="0"/>
              <w:kinsoku/>
              <w:wordWrap/>
              <w:overflowPunct/>
              <w:topLinePunct w:val="0"/>
              <w:autoSpaceDE w:val="0"/>
              <w:autoSpaceDN w:val="0"/>
              <w:bidi w:val="0"/>
              <w:spacing w:line="336" w:lineRule="auto"/>
              <w:jc w:val="center"/>
              <w:rPr>
                <w:rFonts w:hint="eastAsia" w:ascii="宋体" w:hAnsi="宋体" w:cs="宋体"/>
                <w:b/>
                <w:color w:val="auto"/>
                <w:kern w:val="0"/>
                <w:szCs w:val="21"/>
              </w:rPr>
            </w:pPr>
            <w:r>
              <w:rPr>
                <w:rFonts w:hint="eastAsia" w:ascii="宋体" w:hAnsi="宋体" w:cs="宋体"/>
                <w:b/>
                <w:color w:val="auto"/>
                <w:kern w:val="0"/>
                <w:sz w:val="21"/>
                <w:szCs w:val="21"/>
              </w:rPr>
              <w:t>保障金</w:t>
            </w:r>
          </w:p>
        </w:tc>
        <w:tc>
          <w:tcPr>
            <w:tcW w:w="6341" w:type="dxa"/>
            <w:vAlign w:val="center"/>
          </w:tcPr>
          <w:p>
            <w:pPr>
              <w:keepNext w:val="0"/>
              <w:keepLines w:val="0"/>
              <w:pageBreakBefore w:val="0"/>
              <w:kinsoku/>
              <w:wordWrap/>
              <w:overflowPunct/>
              <w:topLinePunct w:val="0"/>
              <w:bidi w:val="0"/>
              <w:spacing w:line="336" w:lineRule="auto"/>
              <w:rPr>
                <w:rFonts w:hint="eastAsia" w:eastAsia="宋体"/>
                <w:b/>
                <w:color w:val="auto"/>
                <w:highlight w:val="none"/>
                <w:lang w:eastAsia="zh-CN"/>
              </w:rPr>
            </w:pPr>
            <w:r>
              <w:rPr>
                <w:rFonts w:hint="eastAsia"/>
                <w:color w:val="auto"/>
                <w:highlight w:val="none"/>
                <w:lang w:eastAsia="zh-CN"/>
              </w:rPr>
              <w:t>缴纳</w:t>
            </w:r>
            <w:r>
              <w:rPr>
                <w:color w:val="auto"/>
                <w:highlight w:val="none"/>
              </w:rPr>
              <w:t>形式：</w:t>
            </w:r>
            <w:r>
              <w:rPr>
                <w:rFonts w:hint="eastAsia"/>
                <w:color w:val="auto"/>
                <w:highlight w:val="none"/>
              </w:rPr>
              <w:t>可以银行保函、现金、工程担保或保证保险等形式</w:t>
            </w:r>
            <w:r>
              <w:rPr>
                <w:rFonts w:hint="eastAsia"/>
                <w:color w:val="auto"/>
                <w:highlight w:val="none"/>
                <w:lang w:eastAsia="zh-CN"/>
              </w:rPr>
              <w:t>。</w:t>
            </w:r>
          </w:p>
          <w:p>
            <w:pPr>
              <w:keepNext w:val="0"/>
              <w:keepLines w:val="0"/>
              <w:pageBreakBefore w:val="0"/>
              <w:kinsoku/>
              <w:wordWrap/>
              <w:overflowPunct/>
              <w:topLinePunct w:val="0"/>
              <w:autoSpaceDE w:val="0"/>
              <w:autoSpaceDN w:val="0"/>
              <w:bidi w:val="0"/>
              <w:spacing w:line="336" w:lineRule="auto"/>
              <w:rPr>
                <w:rFonts w:hint="default"/>
                <w:color w:val="auto"/>
                <w:lang w:val="en-US" w:eastAsia="zh-CN"/>
              </w:rPr>
            </w:pPr>
            <w:r>
              <w:rPr>
                <w:rFonts w:hint="eastAsia" w:ascii="宋体" w:hAnsi="宋体" w:cs="宋体"/>
                <w:color w:val="auto"/>
                <w:sz w:val="21"/>
                <w:szCs w:val="21"/>
                <w:highlight w:val="none"/>
                <w:lang w:eastAsia="zh-CN"/>
              </w:rPr>
              <w:t>按成交价的</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%足额交纳农民工工资保障金</w:t>
            </w:r>
            <w:r>
              <w:rPr>
                <w:rFonts w:hint="eastAsia" w:ascii="宋体" w:hAnsi="宋体" w:cs="宋体"/>
                <w:color w:val="auto"/>
                <w:sz w:val="21"/>
                <w:szCs w:val="21"/>
                <w:highlight w:val="none"/>
              </w:rPr>
              <w:t>（最高限额为80</w:t>
            </w:r>
            <w:r>
              <w:rPr>
                <w:rFonts w:hint="eastAsia" w:ascii="宋体" w:hAnsi="宋体" w:cs="宋体"/>
                <w:color w:val="auto"/>
                <w:sz w:val="21"/>
                <w:szCs w:val="21"/>
                <w:highlight w:val="none"/>
                <w:lang w:val="en-US" w:eastAsia="zh-CN"/>
              </w:rPr>
              <w:t>万</w:t>
            </w:r>
            <w:r>
              <w:rPr>
                <w:rFonts w:hint="eastAsia" w:ascii="宋体" w:hAnsi="宋体" w:cs="宋体"/>
                <w:color w:val="auto"/>
                <w:sz w:val="21"/>
                <w:szCs w:val="21"/>
                <w:highlight w:val="none"/>
                <w:lang w:eastAsia="zh-CN"/>
              </w:rPr>
              <w:t>元</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eastAsia="zh-CN"/>
              </w:rPr>
              <w:t>，本项目</w:t>
            </w:r>
            <w:r>
              <w:rPr>
                <w:rFonts w:hint="eastAsia" w:ascii="宋体" w:hAnsi="宋体" w:cs="宋体"/>
                <w:color w:val="auto"/>
                <w:szCs w:val="21"/>
                <w:highlight w:val="none"/>
                <w:lang w:eastAsia="zh-CN"/>
              </w:rPr>
              <w:t>执行农民工工资保证金制度，缴纳农民工工资保证金，在劳动保证部门指定的账户足额存入农民工工资保证金</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644" w:type="dxa"/>
            <w:vAlign w:val="center"/>
          </w:tcPr>
          <w:p>
            <w:pPr>
              <w:keepNext w:val="0"/>
              <w:keepLines w:val="0"/>
              <w:pageBreakBefore w:val="0"/>
              <w:kinsoku/>
              <w:wordWrap/>
              <w:overflowPunct/>
              <w:topLinePunct w:val="0"/>
              <w:autoSpaceDE w:val="0"/>
              <w:autoSpaceDN w:val="0"/>
              <w:bidi w:val="0"/>
              <w:spacing w:line="336" w:lineRule="auto"/>
              <w:jc w:val="center"/>
              <w:rPr>
                <w:rFonts w:hint="default" w:ascii="宋体" w:hAnsi="宋体" w:cs="宋体"/>
                <w:b/>
                <w:color w:val="auto"/>
                <w:kern w:val="0"/>
                <w:szCs w:val="21"/>
                <w:lang w:val="en-US" w:eastAsia="zh-CN"/>
              </w:rPr>
            </w:pPr>
            <w:r>
              <w:rPr>
                <w:rFonts w:hint="eastAsia" w:ascii="宋体" w:hAnsi="宋体" w:cs="宋体"/>
                <w:b/>
                <w:color w:val="auto"/>
                <w:kern w:val="0"/>
                <w:szCs w:val="21"/>
                <w:lang w:val="en-US" w:eastAsia="zh-CN"/>
              </w:rPr>
              <w:t>20</w:t>
            </w:r>
          </w:p>
        </w:tc>
        <w:tc>
          <w:tcPr>
            <w:tcW w:w="807" w:type="dxa"/>
            <w:gridSpan w:val="2"/>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p>
        </w:tc>
        <w:tc>
          <w:tcPr>
            <w:tcW w:w="1822" w:type="dxa"/>
            <w:vAlign w:val="center"/>
          </w:tcPr>
          <w:p>
            <w:pPr>
              <w:keepNext w:val="0"/>
              <w:keepLines w:val="0"/>
              <w:pageBreakBefore w:val="0"/>
              <w:kinsoku/>
              <w:wordWrap/>
              <w:overflowPunct/>
              <w:topLinePunct w:val="0"/>
              <w:autoSpaceDE w:val="0"/>
              <w:autoSpaceDN w:val="0"/>
              <w:bidi w:val="0"/>
              <w:spacing w:line="336" w:lineRule="auto"/>
              <w:jc w:val="center"/>
              <w:rPr>
                <w:rFonts w:hint="eastAsia" w:ascii="宋体" w:hAnsi="宋体" w:eastAsia="宋体" w:cs="宋体"/>
                <w:b/>
                <w:color w:val="auto"/>
                <w:kern w:val="0"/>
                <w:szCs w:val="21"/>
                <w:lang w:eastAsia="zh-CN"/>
              </w:rPr>
            </w:pPr>
            <w:r>
              <w:rPr>
                <w:rFonts w:hint="eastAsia" w:ascii="宋体" w:hAnsi="宋体" w:cs="宋体"/>
                <w:b/>
                <w:color w:val="auto"/>
                <w:kern w:val="0"/>
                <w:szCs w:val="21"/>
                <w:lang w:eastAsia="zh-CN"/>
              </w:rPr>
              <w:t>履约保证金</w:t>
            </w:r>
          </w:p>
        </w:tc>
        <w:tc>
          <w:tcPr>
            <w:tcW w:w="6341" w:type="dxa"/>
            <w:vAlign w:val="center"/>
          </w:tcPr>
          <w:p>
            <w:pPr>
              <w:keepNext w:val="0"/>
              <w:keepLines w:val="0"/>
              <w:pageBreakBefore w:val="0"/>
              <w:kinsoku/>
              <w:wordWrap/>
              <w:overflowPunct/>
              <w:topLinePunct w:val="0"/>
              <w:bidi w:val="0"/>
              <w:spacing w:after="0" w:line="336" w:lineRule="auto"/>
              <w:rPr>
                <w:rFonts w:hint="eastAsia" w:ascii="宋体" w:hAnsi="宋体" w:eastAsia="宋体" w:cs="宋体"/>
                <w:color w:val="auto"/>
                <w:szCs w:val="21"/>
                <w:lang w:eastAsia="zh-CN"/>
              </w:rPr>
            </w:pPr>
            <w:r>
              <w:rPr>
                <w:rFonts w:hint="eastAsia"/>
                <w:color w:va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trPr>
        <w:tc>
          <w:tcPr>
            <w:tcW w:w="644" w:type="dxa"/>
            <w:vAlign w:val="center"/>
          </w:tcPr>
          <w:p>
            <w:pPr>
              <w:keepNext w:val="0"/>
              <w:keepLines w:val="0"/>
              <w:pageBreakBefore w:val="0"/>
              <w:kinsoku/>
              <w:wordWrap/>
              <w:overflowPunct/>
              <w:topLinePunct w:val="0"/>
              <w:autoSpaceDE w:val="0"/>
              <w:autoSpaceDN w:val="0"/>
              <w:bidi w:val="0"/>
              <w:spacing w:line="336" w:lineRule="auto"/>
              <w:jc w:val="center"/>
              <w:rPr>
                <w:rFonts w:hint="default" w:ascii="宋体" w:hAnsi="宋体" w:eastAsia="宋体" w:cs="宋体"/>
                <w:b/>
                <w:color w:val="auto"/>
                <w:kern w:val="0"/>
                <w:szCs w:val="21"/>
                <w:lang w:val="en-US" w:eastAsia="zh-CN"/>
              </w:rPr>
            </w:pPr>
            <w:r>
              <w:rPr>
                <w:rFonts w:hint="eastAsia" w:ascii="宋体" w:hAnsi="宋体" w:cs="宋体"/>
                <w:b/>
                <w:color w:val="auto"/>
                <w:kern w:val="0"/>
                <w:szCs w:val="21"/>
                <w:lang w:val="en-US" w:eastAsia="zh-CN"/>
              </w:rPr>
              <w:t>21</w:t>
            </w:r>
          </w:p>
        </w:tc>
        <w:tc>
          <w:tcPr>
            <w:tcW w:w="807" w:type="dxa"/>
            <w:gridSpan w:val="2"/>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p>
        </w:tc>
        <w:tc>
          <w:tcPr>
            <w:tcW w:w="1822" w:type="dxa"/>
            <w:vAlign w:val="center"/>
          </w:tcPr>
          <w:p>
            <w:pPr>
              <w:keepNext w:val="0"/>
              <w:keepLines w:val="0"/>
              <w:pageBreakBefore w:val="0"/>
              <w:kinsoku/>
              <w:wordWrap/>
              <w:overflowPunct/>
              <w:topLinePunct w:val="0"/>
              <w:autoSpaceDE w:val="0"/>
              <w:autoSpaceDN w:val="0"/>
              <w:bidi w:val="0"/>
              <w:spacing w:line="336" w:lineRule="auto"/>
              <w:jc w:val="center"/>
              <w:rPr>
                <w:rFonts w:ascii="宋体" w:cs="宋体"/>
                <w:b/>
                <w:color w:val="auto"/>
                <w:kern w:val="0"/>
                <w:szCs w:val="21"/>
              </w:rPr>
            </w:pPr>
            <w:r>
              <w:rPr>
                <w:rFonts w:hint="eastAsia" w:ascii="宋体" w:hAnsi="宋体" w:cs="宋体"/>
                <w:b/>
                <w:color w:val="auto"/>
                <w:kern w:val="0"/>
                <w:szCs w:val="21"/>
              </w:rPr>
              <w:t>采购代理服务费</w:t>
            </w:r>
          </w:p>
        </w:tc>
        <w:tc>
          <w:tcPr>
            <w:tcW w:w="6341" w:type="dxa"/>
            <w:vAlign w:val="center"/>
          </w:tcPr>
          <w:p>
            <w:pPr>
              <w:keepNext w:val="0"/>
              <w:keepLines w:val="0"/>
              <w:pageBreakBefore w:val="0"/>
              <w:kinsoku/>
              <w:wordWrap/>
              <w:overflowPunct/>
              <w:topLinePunct w:val="0"/>
              <w:autoSpaceDE w:val="0"/>
              <w:autoSpaceDN w:val="0"/>
              <w:bidi w:val="0"/>
              <w:spacing w:line="336" w:lineRule="auto"/>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eastAsia="zh-CN"/>
              </w:rPr>
              <w:t>采购代理服务费参照原国家发展计划委员会计价格[2002]1980号《招标代理服务费管理暂行办法》、原发改办价格[2003]857号、原发改价格[2011]534号按照标准进行收取。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trPr>
        <w:tc>
          <w:tcPr>
            <w:tcW w:w="644" w:type="dxa"/>
            <w:vAlign w:val="center"/>
          </w:tcPr>
          <w:p>
            <w:pPr>
              <w:keepNext w:val="0"/>
              <w:keepLines w:val="0"/>
              <w:pageBreakBefore w:val="0"/>
              <w:kinsoku/>
              <w:wordWrap/>
              <w:overflowPunct/>
              <w:topLinePunct w:val="0"/>
              <w:autoSpaceDE w:val="0"/>
              <w:autoSpaceDN w:val="0"/>
              <w:bidi w:val="0"/>
              <w:spacing w:line="336" w:lineRule="auto"/>
              <w:jc w:val="center"/>
              <w:rPr>
                <w:rFonts w:hint="default" w:ascii="宋体" w:hAnsi="宋体" w:cs="宋体"/>
                <w:b/>
                <w:color w:val="auto"/>
                <w:kern w:val="0"/>
                <w:szCs w:val="21"/>
                <w:lang w:val="en-US" w:eastAsia="zh-CN"/>
              </w:rPr>
            </w:pPr>
            <w:bookmarkStart w:id="56" w:name="_Toc29153311"/>
            <w:bookmarkStart w:id="57" w:name="_Toc23046661"/>
            <w:bookmarkStart w:id="58" w:name="_Toc74156183"/>
            <w:bookmarkStart w:id="59" w:name="_Toc23152555"/>
            <w:bookmarkStart w:id="60" w:name="_Toc514238585"/>
            <w:r>
              <w:rPr>
                <w:rFonts w:hint="eastAsia" w:ascii="宋体" w:hAnsi="宋体" w:cs="宋体"/>
                <w:b/>
                <w:color w:val="auto"/>
                <w:kern w:val="0"/>
                <w:szCs w:val="21"/>
                <w:lang w:val="en-US" w:eastAsia="zh-CN"/>
              </w:rPr>
              <w:t>22</w:t>
            </w:r>
          </w:p>
        </w:tc>
        <w:tc>
          <w:tcPr>
            <w:tcW w:w="807" w:type="dxa"/>
            <w:gridSpan w:val="2"/>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p>
        </w:tc>
        <w:tc>
          <w:tcPr>
            <w:tcW w:w="1822" w:type="dxa"/>
            <w:vAlign w:val="center"/>
          </w:tcPr>
          <w:p>
            <w:pPr>
              <w:keepNext w:val="0"/>
              <w:keepLines w:val="0"/>
              <w:pageBreakBefore w:val="0"/>
              <w:kinsoku/>
              <w:wordWrap/>
              <w:overflowPunct/>
              <w:topLinePunct w:val="0"/>
              <w:autoSpaceDE w:val="0"/>
              <w:autoSpaceDN w:val="0"/>
              <w:bidi w:val="0"/>
              <w:spacing w:line="336" w:lineRule="auto"/>
              <w:jc w:val="center"/>
              <w:rPr>
                <w:rFonts w:hint="eastAsia" w:ascii="宋体" w:hAnsi="宋体" w:eastAsia="宋体" w:cs="宋体"/>
                <w:b/>
                <w:color w:val="auto"/>
                <w:kern w:val="0"/>
                <w:szCs w:val="21"/>
                <w:lang w:eastAsia="zh-CN"/>
              </w:rPr>
            </w:pPr>
            <w:r>
              <w:rPr>
                <w:rFonts w:hint="eastAsia" w:ascii="宋体" w:hAnsi="宋体" w:cs="宋体"/>
                <w:b/>
                <w:color w:val="auto"/>
                <w:kern w:val="0"/>
                <w:szCs w:val="21"/>
                <w:lang w:eastAsia="zh-CN"/>
              </w:rPr>
              <w:t>其他</w:t>
            </w:r>
          </w:p>
        </w:tc>
        <w:tc>
          <w:tcPr>
            <w:tcW w:w="6341" w:type="dxa"/>
            <w:vAlign w:val="center"/>
          </w:tcPr>
          <w:p>
            <w:pPr>
              <w:pStyle w:val="12"/>
              <w:keepNext w:val="0"/>
              <w:keepLines w:val="0"/>
              <w:pageBreakBefore w:val="0"/>
              <w:kinsoku/>
              <w:wordWrap/>
              <w:overflowPunct/>
              <w:topLinePunct w:val="0"/>
              <w:bidi w:val="0"/>
              <w:snapToGrid w:val="0"/>
              <w:spacing w:line="336" w:lineRule="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pStyle w:val="12"/>
              <w:keepNext w:val="0"/>
              <w:keepLines w:val="0"/>
              <w:pageBreakBefore w:val="0"/>
              <w:kinsoku/>
              <w:wordWrap/>
              <w:overflowPunct/>
              <w:topLinePunct w:val="0"/>
              <w:bidi w:val="0"/>
              <w:snapToGrid w:val="0"/>
              <w:spacing w:line="336" w:lineRule="auto"/>
              <w:rPr>
                <w:rFonts w:hAnsi="宋体" w:cs="宋体"/>
                <w:color w:val="auto"/>
                <w:sz w:val="21"/>
                <w:szCs w:val="21"/>
                <w:highlight w:val="none"/>
                <w:lang w:val="en-US" w:eastAsia="zh-CN"/>
              </w:rPr>
            </w:pPr>
            <w:r>
              <w:rPr>
                <w:rFonts w:hint="eastAsia" w:hAnsi="宋体" w:cs="宋体"/>
                <w:color w:val="auto"/>
                <w:sz w:val="21"/>
                <w:szCs w:val="21"/>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pStyle w:val="12"/>
              <w:keepNext w:val="0"/>
              <w:keepLines w:val="0"/>
              <w:pageBreakBefore w:val="0"/>
              <w:kinsoku/>
              <w:wordWrap/>
              <w:overflowPunct/>
              <w:topLinePunct w:val="0"/>
              <w:bidi w:val="0"/>
              <w:snapToGrid w:val="0"/>
              <w:spacing w:line="336" w:lineRule="auto"/>
              <w:rPr>
                <w:rFonts w:hint="eastAsia" w:hAnsi="宋体" w:cs="宋体"/>
                <w:color w:val="auto"/>
                <w:sz w:val="21"/>
                <w:szCs w:val="21"/>
                <w:highlight w:val="none"/>
                <w:lang w:val="en-US" w:eastAsia="zh-CN"/>
              </w:rPr>
            </w:pPr>
            <w:r>
              <w:rPr>
                <w:rFonts w:hAnsi="宋体" w:cs="宋体"/>
                <w:color w:val="auto"/>
                <w:sz w:val="21"/>
                <w:szCs w:val="21"/>
                <w:highlight w:val="none"/>
                <w:lang w:val="en-US" w:eastAsia="zh-CN"/>
              </w:rPr>
              <w:t>3.</w:t>
            </w:r>
            <w:r>
              <w:rPr>
                <w:rFonts w:hint="eastAsia" w:hAnsi="宋体" w:cs="宋体"/>
                <w:color w:val="auto"/>
                <w:sz w:val="21"/>
                <w:szCs w:val="21"/>
                <w:highlight w:val="none"/>
                <w:lang w:val="en-US" w:eastAsia="zh-CN"/>
              </w:rPr>
              <w:t>本磋商文件中描述供应商的“签字”是指供应商的法定代表人或者委托代理人亲自在文件规定签署处亲笔写上个人的名字的行为，私章、签字章、印鉴、影印等其他形式均不能代替亲笔签字。</w:t>
            </w:r>
          </w:p>
          <w:p>
            <w:pPr>
              <w:pStyle w:val="12"/>
              <w:keepNext w:val="0"/>
              <w:keepLines w:val="0"/>
              <w:pageBreakBefore w:val="0"/>
              <w:kinsoku/>
              <w:wordWrap/>
              <w:overflowPunct/>
              <w:topLinePunct w:val="0"/>
              <w:bidi w:val="0"/>
              <w:snapToGrid w:val="0"/>
              <w:spacing w:line="336" w:lineRule="auto"/>
              <w:rPr>
                <w:rFonts w:hAnsi="宋体" w:cs="宋体"/>
                <w:color w:val="auto"/>
                <w:sz w:val="21"/>
                <w:szCs w:val="21"/>
                <w:highlight w:val="none"/>
                <w:lang w:val="en-US" w:eastAsia="zh-CN"/>
              </w:rPr>
            </w:pPr>
            <w:r>
              <w:rPr>
                <w:rFonts w:hAnsi="宋体" w:cs="宋体"/>
                <w:color w:val="auto"/>
                <w:sz w:val="21"/>
                <w:szCs w:val="21"/>
                <w:highlight w:val="none"/>
                <w:lang w:val="en-US" w:eastAsia="zh-CN"/>
              </w:rPr>
              <w:t>4.</w:t>
            </w:r>
            <w:r>
              <w:rPr>
                <w:rFonts w:hint="eastAsia" w:hAnsi="宋体" w:cs="宋体"/>
                <w:color w:val="auto"/>
                <w:sz w:val="21"/>
                <w:szCs w:val="21"/>
                <w:highlight w:val="none"/>
                <w:lang w:val="en-US" w:eastAsia="zh-CN"/>
              </w:rPr>
              <w:t>自然人竞标的，磋商文件规定盖公章处由自然人摁手指指印。</w:t>
            </w:r>
          </w:p>
          <w:p>
            <w:pPr>
              <w:keepNext w:val="0"/>
              <w:keepLines w:val="0"/>
              <w:pageBreakBefore w:val="0"/>
              <w:kinsoku/>
              <w:wordWrap/>
              <w:overflowPunct/>
              <w:topLinePunct w:val="0"/>
              <w:autoSpaceDE w:val="0"/>
              <w:autoSpaceDN w:val="0"/>
              <w:bidi w:val="0"/>
              <w:spacing w:line="336" w:lineRule="auto"/>
              <w:rPr>
                <w:rFonts w:hint="eastAsia" w:ascii="宋体" w:hAnsi="宋体" w:cs="宋体"/>
                <w:color w:val="auto"/>
                <w:szCs w:val="21"/>
              </w:rPr>
            </w:pPr>
            <w:r>
              <w:rPr>
                <w:rFonts w:hint="eastAsia" w:hAnsi="宋体" w:cs="宋体"/>
                <w:color w:val="auto"/>
                <w:sz w:val="21"/>
                <w:szCs w:val="21"/>
                <w:highlight w:val="none"/>
                <w:lang w:val="en-US" w:eastAsia="zh-CN"/>
              </w:rPr>
              <w:t>5</w:t>
            </w:r>
            <w:r>
              <w:rPr>
                <w:rFonts w:hAnsi="宋体" w:cs="宋体"/>
                <w:color w:val="auto"/>
                <w:sz w:val="21"/>
                <w:szCs w:val="21"/>
                <w:highlight w:val="none"/>
                <w:lang w:val="en-US" w:eastAsia="zh-CN"/>
              </w:rPr>
              <w:t>.</w:t>
            </w:r>
            <w:r>
              <w:rPr>
                <w:rFonts w:hint="eastAsia" w:hAnsi="宋体" w:cs="宋体"/>
                <w:color w:val="auto"/>
                <w:sz w:val="21"/>
                <w:szCs w:val="21"/>
                <w:highlight w:val="none"/>
                <w:lang w:val="en-US" w:eastAsia="zh-CN"/>
              </w:rPr>
              <w:t>本磋商文件所称的“以上”“以下”“以内”“届满”，包括本数；所称的“不满”“超过”“以外”，不包括本数。</w:t>
            </w:r>
          </w:p>
        </w:tc>
      </w:tr>
    </w:tbl>
    <w:p>
      <w:pPr>
        <w:spacing w:line="360" w:lineRule="auto"/>
        <w:rPr>
          <w:rFonts w:ascii="宋体" w:cs="宋体"/>
          <w:color w:val="auto"/>
          <w:sz w:val="22"/>
          <w:szCs w:val="24"/>
        </w:rPr>
        <w:sectPr>
          <w:headerReference r:id="rId9" w:type="default"/>
          <w:footerReference r:id="rId10" w:type="default"/>
          <w:endnotePr>
            <w:numFmt w:val="decimal"/>
          </w:endnotePr>
          <w:pgSz w:w="11906" w:h="16838"/>
          <w:pgMar w:top="1134" w:right="1228" w:bottom="851" w:left="1238" w:header="629" w:footer="680" w:gutter="0"/>
          <w:pgNumType w:fmt="decimal" w:start="1"/>
          <w:cols w:space="720" w:num="1"/>
          <w:docGrid w:type="lines" w:linePitch="312" w:charSpace="0"/>
        </w:sectPr>
      </w:pPr>
    </w:p>
    <w:bookmarkEnd w:id="56"/>
    <w:bookmarkEnd w:id="57"/>
    <w:bookmarkEnd w:id="58"/>
    <w:bookmarkEnd w:id="59"/>
    <w:bookmarkEnd w:id="60"/>
    <w:p>
      <w:pPr>
        <w:pStyle w:val="4"/>
        <w:spacing w:line="360" w:lineRule="auto"/>
        <w:jc w:val="center"/>
        <w:rPr>
          <w:rFonts w:ascii="宋体" w:hAnsi="宋体" w:eastAsia="宋体" w:cs="宋体"/>
          <w:color w:val="auto"/>
          <w:kern w:val="0"/>
          <w:sz w:val="36"/>
          <w:szCs w:val="24"/>
        </w:rPr>
      </w:pPr>
      <w:bookmarkStart w:id="61" w:name="_Toc29121"/>
      <w:bookmarkStart w:id="62" w:name="_Toc25884"/>
      <w:bookmarkStart w:id="63" w:name="_Toc9701"/>
      <w:bookmarkStart w:id="64" w:name="_Toc243584224"/>
      <w:r>
        <w:rPr>
          <w:rFonts w:hint="eastAsia" w:ascii="宋体" w:hAnsi="宋体" w:eastAsia="宋体" w:cs="宋体"/>
          <w:color w:val="auto"/>
          <w:kern w:val="0"/>
          <w:sz w:val="36"/>
          <w:szCs w:val="24"/>
        </w:rPr>
        <w:t>二、竞标须知</w:t>
      </w:r>
      <w:bookmarkEnd w:id="61"/>
      <w:bookmarkEnd w:id="62"/>
      <w:bookmarkEnd w:id="63"/>
      <w:bookmarkEnd w:id="64"/>
    </w:p>
    <w:p>
      <w:pPr>
        <w:pStyle w:val="6"/>
        <w:spacing w:line="360" w:lineRule="auto"/>
        <w:jc w:val="center"/>
        <w:rPr>
          <w:rFonts w:ascii="宋体" w:hAnsi="宋体" w:eastAsia="宋体" w:cs="宋体"/>
          <w:color w:val="auto"/>
          <w:kern w:val="0"/>
        </w:rPr>
      </w:pPr>
      <w:bookmarkStart w:id="65" w:name="_Toc31698"/>
      <w:bookmarkStart w:id="66" w:name="_Toc74156184"/>
      <w:bookmarkStart w:id="67" w:name="_Toc243584225"/>
      <w:bookmarkStart w:id="68" w:name="_Toc29153312"/>
      <w:bookmarkStart w:id="69" w:name="_Toc14278"/>
      <w:bookmarkStart w:id="70" w:name="_Toc14226"/>
      <w:r>
        <w:rPr>
          <w:rFonts w:hint="eastAsia" w:ascii="宋体" w:hAnsi="宋体" w:eastAsia="宋体" w:cs="宋体"/>
          <w:color w:val="auto"/>
          <w:kern w:val="0"/>
        </w:rPr>
        <w:t>（一）总则</w:t>
      </w:r>
      <w:bookmarkEnd w:id="65"/>
      <w:bookmarkEnd w:id="66"/>
      <w:bookmarkEnd w:id="67"/>
      <w:bookmarkEnd w:id="68"/>
      <w:bookmarkEnd w:id="69"/>
      <w:bookmarkEnd w:id="70"/>
    </w:p>
    <w:p>
      <w:pPr>
        <w:pStyle w:val="6"/>
        <w:spacing w:line="360" w:lineRule="auto"/>
        <w:ind w:firstLine="413" w:firstLineChars="196"/>
        <w:rPr>
          <w:rFonts w:ascii="宋体" w:hAnsi="宋体" w:eastAsia="宋体" w:cs="宋体"/>
          <w:color w:val="auto"/>
          <w:kern w:val="0"/>
          <w:sz w:val="21"/>
          <w:szCs w:val="21"/>
        </w:rPr>
      </w:pPr>
      <w:bookmarkStart w:id="71" w:name="_Toc29153313"/>
      <w:bookmarkStart w:id="72" w:name="_Toc23152556"/>
      <w:bookmarkStart w:id="73" w:name="_Toc23046662"/>
      <w:bookmarkStart w:id="74" w:name="_Toc74156185"/>
      <w:bookmarkStart w:id="75" w:name="_Toc1055"/>
      <w:bookmarkStart w:id="76" w:name="_Toc514238586"/>
      <w:bookmarkStart w:id="77" w:name="_Toc4751"/>
      <w:bookmarkStart w:id="78" w:name="_Toc27453"/>
      <w:bookmarkStart w:id="79" w:name="_Toc243584226"/>
      <w:r>
        <w:rPr>
          <w:rFonts w:ascii="宋体" w:hAnsi="宋体" w:eastAsia="宋体" w:cs="宋体"/>
          <w:color w:val="auto"/>
          <w:kern w:val="0"/>
          <w:sz w:val="21"/>
          <w:szCs w:val="21"/>
        </w:rPr>
        <w:t xml:space="preserve">1. </w:t>
      </w:r>
      <w:r>
        <w:rPr>
          <w:rFonts w:hint="eastAsia" w:ascii="宋体" w:hAnsi="宋体" w:eastAsia="宋体" w:cs="宋体"/>
          <w:color w:val="auto"/>
          <w:kern w:val="0"/>
          <w:sz w:val="21"/>
          <w:szCs w:val="21"/>
        </w:rPr>
        <w:t>工程说明</w:t>
      </w:r>
      <w:bookmarkEnd w:id="71"/>
      <w:bookmarkEnd w:id="72"/>
      <w:bookmarkEnd w:id="73"/>
      <w:bookmarkEnd w:id="74"/>
      <w:bookmarkEnd w:id="75"/>
      <w:bookmarkEnd w:id="76"/>
      <w:bookmarkEnd w:id="77"/>
      <w:bookmarkEnd w:id="78"/>
      <w:bookmarkEnd w:id="79"/>
    </w:p>
    <w:p>
      <w:pPr>
        <w:autoSpaceDE w:val="0"/>
        <w:autoSpaceDN w:val="0"/>
        <w:adjustRightInd w:val="0"/>
        <w:spacing w:line="360" w:lineRule="auto"/>
        <w:ind w:firstLine="396" w:firstLineChars="200"/>
        <w:jc w:val="left"/>
        <w:rPr>
          <w:rFonts w:ascii="宋体" w:cs="宋体"/>
          <w:color w:val="auto"/>
          <w:spacing w:val="-6"/>
          <w:kern w:val="0"/>
          <w:szCs w:val="21"/>
        </w:rPr>
      </w:pPr>
      <w:r>
        <w:rPr>
          <w:rFonts w:ascii="宋体" w:hAnsi="宋体" w:cs="宋体"/>
          <w:color w:val="auto"/>
          <w:spacing w:val="-6"/>
          <w:kern w:val="0"/>
          <w:szCs w:val="21"/>
        </w:rPr>
        <w:t xml:space="preserve">1.1  </w:t>
      </w:r>
      <w:r>
        <w:rPr>
          <w:rFonts w:hint="eastAsia" w:ascii="宋体" w:hAnsi="宋体" w:cs="宋体"/>
          <w:color w:val="auto"/>
          <w:spacing w:val="-6"/>
          <w:kern w:val="0"/>
          <w:szCs w:val="21"/>
        </w:rPr>
        <w:t>本工程项目说明详见竞标须知前附表（以下简称“前附表”）第</w:t>
      </w:r>
      <w:r>
        <w:rPr>
          <w:rFonts w:ascii="宋体" w:hAnsi="宋体" w:cs="宋体"/>
          <w:color w:val="auto"/>
          <w:spacing w:val="-6"/>
          <w:kern w:val="0"/>
          <w:szCs w:val="21"/>
        </w:rPr>
        <w:t>1</w:t>
      </w:r>
      <w:r>
        <w:rPr>
          <w:rFonts w:hint="eastAsia" w:ascii="宋体" w:hAnsi="宋体" w:cs="宋体"/>
          <w:color w:val="auto"/>
          <w:spacing w:val="-6"/>
          <w:kern w:val="0"/>
          <w:szCs w:val="21"/>
        </w:rPr>
        <w:t>项～第</w:t>
      </w:r>
      <w:r>
        <w:rPr>
          <w:rFonts w:ascii="宋体" w:hAnsi="宋体" w:cs="宋体"/>
          <w:color w:val="auto"/>
          <w:spacing w:val="-6"/>
          <w:kern w:val="0"/>
          <w:szCs w:val="21"/>
        </w:rPr>
        <w:t>5</w:t>
      </w:r>
      <w:r>
        <w:rPr>
          <w:rFonts w:hint="eastAsia" w:ascii="宋体" w:hAnsi="宋体" w:cs="宋体"/>
          <w:color w:val="auto"/>
          <w:spacing w:val="-6"/>
          <w:kern w:val="0"/>
          <w:szCs w:val="21"/>
        </w:rPr>
        <w:t>项。</w:t>
      </w:r>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1.2  </w:t>
      </w:r>
      <w:r>
        <w:rPr>
          <w:rFonts w:hint="eastAsia" w:ascii="宋体" w:hAnsi="宋体" w:cs="宋体"/>
          <w:color w:val="auto"/>
          <w:kern w:val="0"/>
          <w:szCs w:val="21"/>
        </w:rPr>
        <w:t>本工程按照采购竞标有关法律、法规及规章的规定，已办理采购申请，并经采购管理机构核准备案，现通过竞争性磋商方式选定承包人。</w:t>
      </w:r>
    </w:p>
    <w:p>
      <w:pPr>
        <w:pStyle w:val="6"/>
        <w:spacing w:line="360" w:lineRule="auto"/>
        <w:ind w:firstLine="422" w:firstLineChars="200"/>
        <w:rPr>
          <w:rFonts w:ascii="宋体" w:hAnsi="宋体" w:eastAsia="宋体" w:cs="宋体"/>
          <w:color w:val="auto"/>
          <w:kern w:val="0"/>
          <w:sz w:val="21"/>
          <w:szCs w:val="21"/>
        </w:rPr>
      </w:pPr>
      <w:bookmarkStart w:id="80" w:name="_Toc23152557"/>
      <w:bookmarkStart w:id="81" w:name="_Toc29153314"/>
      <w:bookmarkStart w:id="82" w:name="_Toc12476"/>
      <w:bookmarkStart w:id="83" w:name="_Toc514238587"/>
      <w:bookmarkStart w:id="84" w:name="_Toc243584227"/>
      <w:bookmarkStart w:id="85" w:name="_Toc21865"/>
      <w:bookmarkStart w:id="86" w:name="_Toc74156186"/>
      <w:bookmarkStart w:id="87" w:name="_Toc9649"/>
      <w:bookmarkStart w:id="88" w:name="_Toc23046663"/>
      <w:r>
        <w:rPr>
          <w:rFonts w:ascii="宋体" w:hAnsi="宋体" w:eastAsia="宋体" w:cs="宋体"/>
          <w:color w:val="auto"/>
          <w:kern w:val="0"/>
          <w:sz w:val="21"/>
          <w:szCs w:val="21"/>
        </w:rPr>
        <w:t xml:space="preserve">2. </w:t>
      </w:r>
      <w:r>
        <w:rPr>
          <w:rFonts w:hint="eastAsia" w:ascii="宋体" w:hAnsi="宋体" w:eastAsia="宋体" w:cs="宋体"/>
          <w:color w:val="auto"/>
          <w:kern w:val="0"/>
          <w:sz w:val="21"/>
          <w:szCs w:val="21"/>
        </w:rPr>
        <w:t>采购范围及工期</w:t>
      </w:r>
      <w:bookmarkEnd w:id="80"/>
      <w:bookmarkEnd w:id="81"/>
      <w:bookmarkEnd w:id="82"/>
      <w:bookmarkEnd w:id="83"/>
      <w:bookmarkEnd w:id="84"/>
      <w:bookmarkEnd w:id="85"/>
      <w:bookmarkEnd w:id="86"/>
      <w:bookmarkEnd w:id="87"/>
      <w:bookmarkEnd w:id="88"/>
    </w:p>
    <w:p>
      <w:pPr>
        <w:autoSpaceDE w:val="0"/>
        <w:autoSpaceDN w:val="0"/>
        <w:spacing w:line="360" w:lineRule="auto"/>
        <w:ind w:firstLine="420" w:firstLineChars="200"/>
        <w:jc w:val="left"/>
        <w:rPr>
          <w:rFonts w:ascii="宋体" w:cs="宋体"/>
          <w:color w:val="auto"/>
          <w:kern w:val="0"/>
          <w:szCs w:val="21"/>
        </w:rPr>
      </w:pPr>
      <w:r>
        <w:rPr>
          <w:rFonts w:ascii="宋体" w:hAnsi="宋体" w:cs="宋体"/>
          <w:color w:val="auto"/>
          <w:kern w:val="0"/>
          <w:szCs w:val="21"/>
        </w:rPr>
        <w:t xml:space="preserve">2.1  </w:t>
      </w:r>
      <w:r>
        <w:rPr>
          <w:rFonts w:hint="eastAsia" w:ascii="宋体" w:hAnsi="宋体" w:cs="宋体"/>
          <w:color w:val="auto"/>
          <w:kern w:val="0"/>
          <w:szCs w:val="21"/>
        </w:rPr>
        <w:t>本工程项目的范围详见前附表第</w:t>
      </w:r>
      <w:r>
        <w:rPr>
          <w:rFonts w:ascii="宋体" w:hAnsi="宋体" w:cs="宋体"/>
          <w:color w:val="auto"/>
          <w:kern w:val="0"/>
          <w:szCs w:val="21"/>
        </w:rPr>
        <w:t>6</w:t>
      </w:r>
      <w:r>
        <w:rPr>
          <w:rFonts w:hint="eastAsia" w:ascii="宋体" w:hAnsi="宋体" w:cs="宋体"/>
          <w:color w:val="auto"/>
          <w:kern w:val="0"/>
          <w:szCs w:val="21"/>
        </w:rPr>
        <w:t>项。</w:t>
      </w:r>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2.2  </w:t>
      </w:r>
      <w:r>
        <w:rPr>
          <w:rFonts w:hint="eastAsia" w:ascii="宋体" w:hAnsi="宋体" w:cs="宋体"/>
          <w:color w:val="auto"/>
          <w:kern w:val="0"/>
          <w:szCs w:val="21"/>
        </w:rPr>
        <w:t>本工程项目的工期要求详见前附表第</w:t>
      </w:r>
      <w:r>
        <w:rPr>
          <w:rFonts w:ascii="宋体" w:hAnsi="宋体" w:cs="宋体"/>
          <w:color w:val="auto"/>
          <w:kern w:val="0"/>
          <w:szCs w:val="21"/>
        </w:rPr>
        <w:t>7</w:t>
      </w:r>
      <w:r>
        <w:rPr>
          <w:rFonts w:hint="eastAsia" w:ascii="宋体" w:hAnsi="宋体" w:cs="宋体"/>
          <w:color w:val="auto"/>
          <w:kern w:val="0"/>
          <w:szCs w:val="21"/>
        </w:rPr>
        <w:t>项。</w:t>
      </w:r>
    </w:p>
    <w:p>
      <w:pPr>
        <w:pStyle w:val="6"/>
        <w:spacing w:line="360" w:lineRule="auto"/>
        <w:ind w:firstLine="422" w:firstLineChars="200"/>
        <w:rPr>
          <w:rFonts w:ascii="宋体" w:hAnsi="宋体" w:eastAsia="宋体" w:cs="宋体"/>
          <w:color w:val="auto"/>
          <w:kern w:val="0"/>
          <w:sz w:val="21"/>
          <w:szCs w:val="21"/>
        </w:rPr>
      </w:pPr>
      <w:bookmarkStart w:id="89" w:name="_Toc18302"/>
      <w:bookmarkStart w:id="90" w:name="_Toc27513"/>
      <w:bookmarkStart w:id="91" w:name="_Toc29153315"/>
      <w:bookmarkStart w:id="92" w:name="_Toc243584228"/>
      <w:bookmarkStart w:id="93" w:name="_Toc13409"/>
      <w:bookmarkStart w:id="94" w:name="_Toc74156187"/>
      <w:bookmarkStart w:id="95" w:name="_Toc23046664"/>
      <w:bookmarkStart w:id="96" w:name="_Toc23152558"/>
      <w:r>
        <w:rPr>
          <w:rFonts w:ascii="宋体" w:hAnsi="宋体" w:eastAsia="宋体" w:cs="宋体"/>
          <w:color w:val="auto"/>
          <w:kern w:val="0"/>
          <w:sz w:val="21"/>
          <w:szCs w:val="21"/>
        </w:rPr>
        <w:t xml:space="preserve">3. </w:t>
      </w:r>
      <w:bookmarkStart w:id="97" w:name="_Toc74156188"/>
      <w:r>
        <w:rPr>
          <w:rFonts w:hint="eastAsia" w:ascii="宋体" w:hAnsi="宋体" w:eastAsia="宋体" w:cs="宋体"/>
          <w:color w:val="auto"/>
          <w:kern w:val="0"/>
          <w:sz w:val="21"/>
          <w:szCs w:val="21"/>
        </w:rPr>
        <w:t>资金来源</w:t>
      </w:r>
      <w:bookmarkEnd w:id="89"/>
      <w:bookmarkEnd w:id="90"/>
      <w:bookmarkEnd w:id="91"/>
      <w:bookmarkEnd w:id="92"/>
      <w:bookmarkEnd w:id="93"/>
      <w:bookmarkEnd w:id="97"/>
    </w:p>
    <w:p>
      <w:pPr>
        <w:spacing w:line="360" w:lineRule="auto"/>
        <w:ind w:firstLine="420" w:firstLineChars="200"/>
        <w:rPr>
          <w:rFonts w:ascii="宋体" w:cs="宋体"/>
          <w:color w:val="auto"/>
          <w:szCs w:val="21"/>
        </w:rPr>
      </w:pPr>
      <w:r>
        <w:rPr>
          <w:rFonts w:ascii="宋体" w:hAnsi="宋体" w:cs="宋体"/>
          <w:color w:val="auto"/>
          <w:kern w:val="0"/>
          <w:szCs w:val="21"/>
        </w:rPr>
        <w:t xml:space="preserve">3.1  </w:t>
      </w:r>
      <w:r>
        <w:rPr>
          <w:rFonts w:hint="eastAsia" w:ascii="宋体" w:hAnsi="宋体" w:cs="宋体"/>
          <w:color w:val="auto"/>
          <w:kern w:val="0"/>
          <w:szCs w:val="21"/>
        </w:rPr>
        <w:t>本工程项目资金来源详见前附表第</w:t>
      </w:r>
      <w:r>
        <w:rPr>
          <w:rFonts w:ascii="宋体" w:hAnsi="宋体" w:cs="宋体"/>
          <w:color w:val="auto"/>
          <w:kern w:val="0"/>
          <w:szCs w:val="21"/>
        </w:rPr>
        <w:t>8</w:t>
      </w:r>
      <w:r>
        <w:rPr>
          <w:rFonts w:hint="eastAsia" w:ascii="宋体" w:hAnsi="宋体" w:cs="宋体"/>
          <w:color w:val="auto"/>
          <w:kern w:val="0"/>
          <w:szCs w:val="21"/>
        </w:rPr>
        <w:t>项。</w:t>
      </w:r>
    </w:p>
    <w:p>
      <w:pPr>
        <w:pStyle w:val="6"/>
        <w:spacing w:line="360" w:lineRule="auto"/>
        <w:ind w:firstLine="422" w:firstLineChars="200"/>
        <w:rPr>
          <w:rFonts w:ascii="宋体" w:hAnsi="宋体" w:eastAsia="宋体" w:cs="宋体"/>
          <w:color w:val="auto"/>
          <w:sz w:val="21"/>
          <w:szCs w:val="21"/>
        </w:rPr>
      </w:pPr>
      <w:bookmarkStart w:id="98" w:name="_Toc29153316"/>
      <w:bookmarkStart w:id="99" w:name="_Toc243584229"/>
      <w:bookmarkStart w:id="100" w:name="_Toc1578"/>
      <w:bookmarkStart w:id="101" w:name="_Toc14842"/>
      <w:bookmarkStart w:id="102" w:name="_Toc32113"/>
      <w:r>
        <w:rPr>
          <w:rFonts w:ascii="宋体" w:hAnsi="宋体" w:eastAsia="宋体" w:cs="宋体"/>
          <w:color w:val="auto"/>
          <w:kern w:val="0"/>
          <w:sz w:val="21"/>
          <w:szCs w:val="21"/>
        </w:rPr>
        <w:t xml:space="preserve">4. </w:t>
      </w:r>
      <w:r>
        <w:rPr>
          <w:rFonts w:hint="eastAsia" w:ascii="宋体" w:hAnsi="宋体" w:eastAsia="宋体" w:cs="宋体"/>
          <w:color w:val="auto"/>
          <w:sz w:val="21"/>
          <w:szCs w:val="21"/>
        </w:rPr>
        <w:t>合格的</w:t>
      </w:r>
      <w:bookmarkEnd w:id="94"/>
      <w:bookmarkEnd w:id="95"/>
      <w:bookmarkEnd w:id="96"/>
      <w:bookmarkEnd w:id="98"/>
      <w:bookmarkEnd w:id="99"/>
      <w:bookmarkEnd w:id="100"/>
      <w:r>
        <w:rPr>
          <w:rFonts w:hint="eastAsia" w:ascii="宋体" w:hAnsi="宋体" w:eastAsia="宋体" w:cs="宋体"/>
          <w:color w:val="auto"/>
          <w:sz w:val="21"/>
          <w:szCs w:val="21"/>
        </w:rPr>
        <w:t>磋商单位</w:t>
      </w:r>
      <w:bookmarkEnd w:id="101"/>
      <w:bookmarkEnd w:id="102"/>
    </w:p>
    <w:p>
      <w:pPr>
        <w:autoSpaceDE w:val="0"/>
        <w:autoSpaceDN w:val="0"/>
        <w:adjustRightInd w:val="0"/>
        <w:spacing w:line="360" w:lineRule="auto"/>
        <w:ind w:firstLine="420" w:firstLineChars="200"/>
        <w:jc w:val="left"/>
        <w:rPr>
          <w:rFonts w:ascii="宋体" w:cs="宋体"/>
          <w:color w:val="auto"/>
          <w:kern w:val="0"/>
          <w:szCs w:val="21"/>
        </w:rPr>
      </w:pPr>
      <w:r>
        <w:rPr>
          <w:rFonts w:ascii="宋体" w:hAnsi="宋体" w:cs="宋体"/>
          <w:color w:val="auto"/>
          <w:kern w:val="0"/>
          <w:szCs w:val="21"/>
        </w:rPr>
        <w:t xml:space="preserve">4.1  </w:t>
      </w:r>
      <w:r>
        <w:rPr>
          <w:rFonts w:hint="eastAsia" w:ascii="宋体" w:hAnsi="宋体" w:cs="宋体"/>
          <w:color w:val="auto"/>
          <w:kern w:val="0"/>
          <w:szCs w:val="21"/>
        </w:rPr>
        <w:t>磋商单位资质等级要求详见前附表第</w:t>
      </w:r>
      <w:r>
        <w:rPr>
          <w:rFonts w:ascii="宋体" w:hAnsi="宋体" w:cs="宋体"/>
          <w:color w:val="auto"/>
          <w:kern w:val="0"/>
          <w:szCs w:val="21"/>
        </w:rPr>
        <w:t>9</w:t>
      </w:r>
      <w:r>
        <w:rPr>
          <w:rFonts w:hint="eastAsia" w:ascii="宋体" w:hAnsi="宋体" w:cs="宋体"/>
          <w:color w:val="auto"/>
          <w:kern w:val="0"/>
          <w:szCs w:val="21"/>
        </w:rPr>
        <w:t>项。</w:t>
      </w:r>
    </w:p>
    <w:p>
      <w:pPr>
        <w:spacing w:line="360" w:lineRule="auto"/>
        <w:ind w:firstLine="420" w:firstLineChars="200"/>
        <w:rPr>
          <w:rFonts w:ascii="宋体" w:cs="宋体"/>
          <w:color w:val="auto"/>
          <w:kern w:val="0"/>
          <w:szCs w:val="21"/>
        </w:rPr>
      </w:pPr>
      <w:r>
        <w:rPr>
          <w:rFonts w:ascii="宋体" w:hAnsi="宋体" w:cs="宋体"/>
          <w:color w:val="auto"/>
          <w:kern w:val="0"/>
          <w:szCs w:val="21"/>
        </w:rPr>
        <w:t xml:space="preserve">4.2  </w:t>
      </w:r>
      <w:r>
        <w:rPr>
          <w:rFonts w:hint="eastAsia" w:ascii="宋体" w:hAnsi="宋体" w:cs="宋体"/>
          <w:color w:val="auto"/>
          <w:kern w:val="0"/>
          <w:szCs w:val="21"/>
        </w:rPr>
        <w:t>本工程项目采用前附表第</w:t>
      </w:r>
      <w:r>
        <w:rPr>
          <w:rFonts w:ascii="宋体" w:hAnsi="宋体" w:cs="宋体"/>
          <w:color w:val="auto"/>
          <w:kern w:val="0"/>
          <w:szCs w:val="21"/>
        </w:rPr>
        <w:t>10</w:t>
      </w:r>
      <w:r>
        <w:rPr>
          <w:rFonts w:hint="eastAsia" w:ascii="宋体" w:hAnsi="宋体" w:cs="宋体"/>
          <w:color w:val="auto"/>
          <w:kern w:val="0"/>
          <w:szCs w:val="21"/>
        </w:rPr>
        <w:t>项所述的资格审查方式确定合格的磋商单位。</w:t>
      </w:r>
    </w:p>
    <w:p>
      <w:pPr>
        <w:pStyle w:val="6"/>
        <w:spacing w:line="360" w:lineRule="auto"/>
        <w:ind w:firstLine="422" w:firstLineChars="200"/>
        <w:rPr>
          <w:rFonts w:ascii="宋体" w:hAnsi="宋体" w:eastAsia="宋体" w:cs="宋体"/>
          <w:color w:val="auto"/>
          <w:kern w:val="0"/>
          <w:sz w:val="21"/>
          <w:szCs w:val="21"/>
        </w:rPr>
      </w:pPr>
      <w:bookmarkStart w:id="103" w:name="_Toc29957"/>
      <w:bookmarkStart w:id="104" w:name="_Toc74156189"/>
      <w:bookmarkStart w:id="105" w:name="_Toc30033"/>
      <w:bookmarkStart w:id="106" w:name="_Toc243584230"/>
      <w:bookmarkStart w:id="107" w:name="_Toc22668"/>
      <w:bookmarkStart w:id="108" w:name="_Toc29153317"/>
      <w:r>
        <w:rPr>
          <w:rFonts w:ascii="宋体" w:hAnsi="宋体" w:eastAsia="宋体" w:cs="宋体"/>
          <w:color w:val="auto"/>
          <w:kern w:val="0"/>
          <w:sz w:val="21"/>
          <w:szCs w:val="21"/>
        </w:rPr>
        <w:t xml:space="preserve">5. </w:t>
      </w:r>
      <w:r>
        <w:rPr>
          <w:rFonts w:hint="eastAsia" w:ascii="宋体" w:hAnsi="宋体" w:eastAsia="宋体" w:cs="宋体"/>
          <w:color w:val="auto"/>
          <w:kern w:val="0"/>
          <w:sz w:val="21"/>
          <w:szCs w:val="21"/>
        </w:rPr>
        <w:t>踏勘现场</w:t>
      </w:r>
      <w:bookmarkEnd w:id="103"/>
      <w:bookmarkEnd w:id="104"/>
      <w:bookmarkEnd w:id="105"/>
      <w:bookmarkEnd w:id="106"/>
      <w:bookmarkEnd w:id="107"/>
      <w:bookmarkEnd w:id="108"/>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5.1  </w:t>
      </w:r>
      <w:r>
        <w:rPr>
          <w:rFonts w:hint="eastAsia" w:ascii="宋体" w:hAnsi="宋体" w:cs="宋体"/>
          <w:color w:val="auto"/>
          <w:kern w:val="0"/>
          <w:szCs w:val="21"/>
        </w:rPr>
        <w:t>磋商单位自行对工程现场及周围环境进行踏勘，以便磋商单位获取编制响应文件和签署合同所需的资料。磋商单位承担勘察现场所发生的自身费用。</w:t>
      </w:r>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5.2  </w:t>
      </w:r>
      <w:r>
        <w:rPr>
          <w:rFonts w:hint="eastAsia" w:ascii="宋体" w:hAnsi="宋体" w:cs="宋体"/>
          <w:color w:val="auto"/>
          <w:kern w:val="0"/>
          <w:szCs w:val="21"/>
        </w:rPr>
        <w:t>磋商单位经现场踏勘自行获取有关现场的资料和数据，采购人对磋商单位由此而作出的推论、理解和结论均不负责任。</w:t>
      </w:r>
    </w:p>
    <w:p>
      <w:pPr>
        <w:autoSpaceDE w:val="0"/>
        <w:autoSpaceDN w:val="0"/>
        <w:adjustRightInd w:val="0"/>
        <w:spacing w:line="360" w:lineRule="auto"/>
        <w:ind w:firstLine="420" w:firstLineChars="200"/>
        <w:jc w:val="left"/>
        <w:rPr>
          <w:rFonts w:ascii="宋体" w:cs="宋体"/>
          <w:color w:val="auto"/>
          <w:kern w:val="0"/>
          <w:szCs w:val="21"/>
        </w:rPr>
      </w:pPr>
      <w:r>
        <w:rPr>
          <w:rFonts w:ascii="宋体" w:hAnsi="宋体" w:cs="宋体"/>
          <w:color w:val="auto"/>
          <w:kern w:val="0"/>
          <w:szCs w:val="21"/>
        </w:rPr>
        <w:t xml:space="preserve">5.3  </w:t>
      </w:r>
      <w:r>
        <w:rPr>
          <w:rFonts w:hint="eastAsia" w:ascii="宋体" w:hAnsi="宋体" w:cs="宋体"/>
          <w:color w:val="auto"/>
          <w:kern w:val="0"/>
          <w:szCs w:val="21"/>
        </w:rPr>
        <w:t>经采购人允许，磋商单位可为踏勘目的进入采购人的项目现场，但磋商单位不得因此使采购人承担有关的责任和蒙受损失。磋商单位应承担踏勘现场的责任和风险。</w:t>
      </w:r>
    </w:p>
    <w:p>
      <w:pPr>
        <w:pStyle w:val="6"/>
        <w:spacing w:line="360" w:lineRule="auto"/>
        <w:ind w:firstLine="422" w:firstLineChars="200"/>
        <w:rPr>
          <w:rFonts w:ascii="宋体" w:hAnsi="宋体" w:eastAsia="宋体" w:cs="宋体"/>
          <w:color w:val="auto"/>
          <w:kern w:val="0"/>
          <w:sz w:val="21"/>
          <w:szCs w:val="21"/>
        </w:rPr>
      </w:pPr>
      <w:bookmarkStart w:id="109" w:name="_Toc243584231"/>
      <w:bookmarkStart w:id="110" w:name="_Toc18415"/>
      <w:bookmarkStart w:id="111" w:name="_Toc25013"/>
      <w:bookmarkStart w:id="112" w:name="_Toc514238592"/>
      <w:bookmarkStart w:id="113" w:name="_Toc74156190"/>
      <w:bookmarkStart w:id="114" w:name="_Toc19037"/>
      <w:bookmarkStart w:id="115" w:name="_Toc29153318"/>
      <w:bookmarkStart w:id="116" w:name="_Toc23046668"/>
      <w:bookmarkStart w:id="117" w:name="_Toc23152562"/>
      <w:r>
        <w:rPr>
          <w:rFonts w:ascii="宋体" w:hAnsi="宋体" w:eastAsia="宋体" w:cs="宋体"/>
          <w:color w:val="auto"/>
          <w:kern w:val="0"/>
          <w:sz w:val="21"/>
          <w:szCs w:val="21"/>
        </w:rPr>
        <w:t xml:space="preserve">6. </w:t>
      </w:r>
      <w:r>
        <w:rPr>
          <w:rFonts w:hint="eastAsia" w:ascii="宋体" w:hAnsi="宋体" w:eastAsia="宋体" w:cs="宋体"/>
          <w:color w:val="auto"/>
          <w:kern w:val="0"/>
          <w:sz w:val="21"/>
          <w:szCs w:val="21"/>
        </w:rPr>
        <w:t>竞标费用</w:t>
      </w:r>
      <w:bookmarkEnd w:id="109"/>
      <w:bookmarkEnd w:id="110"/>
      <w:bookmarkEnd w:id="111"/>
      <w:bookmarkEnd w:id="112"/>
      <w:bookmarkEnd w:id="113"/>
      <w:bookmarkEnd w:id="114"/>
      <w:bookmarkEnd w:id="115"/>
      <w:bookmarkEnd w:id="116"/>
      <w:bookmarkEnd w:id="117"/>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6.1  </w:t>
      </w:r>
      <w:r>
        <w:rPr>
          <w:rFonts w:hint="eastAsia" w:ascii="宋体" w:hAnsi="宋体" w:cs="宋体"/>
          <w:color w:val="auto"/>
          <w:kern w:val="0"/>
          <w:szCs w:val="21"/>
        </w:rPr>
        <w:t>磋商单位应承担其参加本采购活动自身发生的所有费用。</w:t>
      </w:r>
    </w:p>
    <w:p>
      <w:pPr>
        <w:pStyle w:val="6"/>
        <w:spacing w:line="360" w:lineRule="auto"/>
        <w:jc w:val="center"/>
        <w:rPr>
          <w:rFonts w:ascii="宋体" w:hAnsi="宋体" w:eastAsia="宋体" w:cs="宋体"/>
          <w:color w:val="auto"/>
          <w:kern w:val="0"/>
          <w:sz w:val="21"/>
          <w:szCs w:val="21"/>
        </w:rPr>
      </w:pPr>
      <w:bookmarkStart w:id="118" w:name="_Toc74156191"/>
      <w:bookmarkStart w:id="119" w:name="_Toc29153319"/>
      <w:bookmarkStart w:id="120" w:name="_Toc514238594"/>
      <w:bookmarkStart w:id="121" w:name="_Toc243584232"/>
      <w:bookmarkStart w:id="122" w:name="_Toc19571"/>
      <w:bookmarkStart w:id="123" w:name="_Toc23152564"/>
      <w:bookmarkStart w:id="124" w:name="_Toc23046670"/>
      <w:bookmarkStart w:id="125" w:name="_Toc712"/>
      <w:bookmarkStart w:id="126" w:name="_Toc806"/>
      <w:r>
        <w:rPr>
          <w:rFonts w:hint="eastAsia" w:ascii="宋体" w:hAnsi="宋体" w:eastAsia="宋体" w:cs="宋体"/>
          <w:color w:val="auto"/>
          <w:kern w:val="0"/>
          <w:sz w:val="21"/>
          <w:szCs w:val="21"/>
        </w:rPr>
        <w:t>（二）竞争性磋商采购文件</w:t>
      </w:r>
      <w:bookmarkEnd w:id="118"/>
      <w:bookmarkEnd w:id="119"/>
      <w:bookmarkEnd w:id="120"/>
      <w:bookmarkEnd w:id="121"/>
      <w:bookmarkEnd w:id="122"/>
      <w:bookmarkEnd w:id="123"/>
      <w:bookmarkEnd w:id="124"/>
      <w:bookmarkEnd w:id="125"/>
      <w:bookmarkEnd w:id="126"/>
    </w:p>
    <w:p>
      <w:pPr>
        <w:pStyle w:val="6"/>
        <w:spacing w:line="360" w:lineRule="auto"/>
        <w:ind w:firstLine="422" w:firstLineChars="200"/>
        <w:rPr>
          <w:rFonts w:ascii="宋体" w:hAnsi="宋体" w:eastAsia="宋体" w:cs="宋体"/>
          <w:color w:val="auto"/>
          <w:kern w:val="0"/>
          <w:sz w:val="21"/>
          <w:szCs w:val="21"/>
        </w:rPr>
      </w:pPr>
      <w:bookmarkStart w:id="127" w:name="_Toc2193"/>
      <w:bookmarkStart w:id="128" w:name="_Toc29153320"/>
      <w:bookmarkStart w:id="129" w:name="_Toc243584233"/>
      <w:bookmarkStart w:id="130" w:name="_Toc26713"/>
      <w:bookmarkStart w:id="131" w:name="_Toc4788"/>
      <w:r>
        <w:rPr>
          <w:rFonts w:ascii="宋体" w:hAnsi="宋体" w:eastAsia="宋体" w:cs="宋体"/>
          <w:color w:val="auto"/>
          <w:kern w:val="0"/>
          <w:sz w:val="21"/>
          <w:szCs w:val="21"/>
        </w:rPr>
        <w:t xml:space="preserve">7. </w:t>
      </w:r>
      <w:r>
        <w:rPr>
          <w:rFonts w:hint="eastAsia" w:ascii="宋体" w:hAnsi="宋体" w:eastAsia="宋体" w:cs="宋体"/>
          <w:color w:val="auto"/>
          <w:kern w:val="0"/>
          <w:sz w:val="21"/>
          <w:szCs w:val="21"/>
        </w:rPr>
        <w:t>竞争性磋商采购文件的组成</w:t>
      </w:r>
      <w:bookmarkEnd w:id="127"/>
      <w:bookmarkEnd w:id="128"/>
      <w:bookmarkEnd w:id="129"/>
      <w:bookmarkEnd w:id="130"/>
      <w:bookmarkEnd w:id="131"/>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7.1  </w:t>
      </w:r>
      <w:r>
        <w:rPr>
          <w:rFonts w:hint="eastAsia" w:ascii="宋体" w:hAnsi="宋体" w:cs="宋体"/>
          <w:color w:val="auto"/>
          <w:kern w:val="0"/>
          <w:szCs w:val="21"/>
        </w:rPr>
        <w:t>竞争性磋商采购文件包括下列内容</w:t>
      </w:r>
      <w:r>
        <w:rPr>
          <w:rFonts w:ascii="宋体" w:hAnsi="宋体" w:cs="宋体"/>
          <w:color w:val="auto"/>
          <w:kern w:val="0"/>
          <w:szCs w:val="21"/>
        </w:rPr>
        <w:t>:</w:t>
      </w:r>
    </w:p>
    <w:p>
      <w:pPr>
        <w:autoSpaceDE w:val="0"/>
        <w:autoSpaceDN w:val="0"/>
        <w:adjustRightInd w:val="0"/>
        <w:spacing w:line="360" w:lineRule="auto"/>
        <w:ind w:firstLine="420" w:firstLineChars="200"/>
        <w:jc w:val="left"/>
        <w:rPr>
          <w:rFonts w:ascii="宋体" w:cs="宋体"/>
          <w:color w:val="auto"/>
          <w:kern w:val="0"/>
          <w:szCs w:val="21"/>
        </w:rPr>
      </w:pPr>
      <w:r>
        <w:rPr>
          <w:rFonts w:hint="eastAsia" w:ascii="宋体" w:hAnsi="宋体" w:cs="宋体"/>
          <w:color w:val="auto"/>
          <w:kern w:val="0"/>
          <w:szCs w:val="21"/>
        </w:rPr>
        <w:t>第一章磋商单位须知前附表</w:t>
      </w:r>
    </w:p>
    <w:p>
      <w:pPr>
        <w:autoSpaceDE w:val="0"/>
        <w:autoSpaceDN w:val="0"/>
        <w:adjustRightInd w:val="0"/>
        <w:spacing w:line="360" w:lineRule="auto"/>
        <w:ind w:firstLine="420" w:firstLineChars="200"/>
        <w:jc w:val="left"/>
        <w:rPr>
          <w:rFonts w:ascii="宋体" w:cs="宋体"/>
          <w:color w:val="auto"/>
          <w:kern w:val="0"/>
          <w:szCs w:val="21"/>
        </w:rPr>
      </w:pPr>
      <w:r>
        <w:rPr>
          <w:rFonts w:hint="eastAsia" w:ascii="宋体" w:hAnsi="宋体" w:cs="宋体"/>
          <w:color w:val="auto"/>
          <w:kern w:val="0"/>
          <w:szCs w:val="21"/>
        </w:rPr>
        <w:t>第二章合同条款（协议书、通用条款、专用条款和市政公用工程质量保修书）</w:t>
      </w:r>
    </w:p>
    <w:p>
      <w:pPr>
        <w:autoSpaceDE w:val="0"/>
        <w:autoSpaceDN w:val="0"/>
        <w:adjustRightInd w:val="0"/>
        <w:spacing w:line="360" w:lineRule="auto"/>
        <w:ind w:firstLine="420" w:firstLineChars="200"/>
        <w:jc w:val="left"/>
        <w:rPr>
          <w:rFonts w:ascii="宋体" w:cs="宋体"/>
          <w:color w:val="auto"/>
          <w:kern w:val="0"/>
          <w:szCs w:val="21"/>
        </w:rPr>
      </w:pPr>
      <w:r>
        <w:rPr>
          <w:rFonts w:hint="eastAsia" w:ascii="宋体" w:hAnsi="宋体" w:cs="宋体"/>
          <w:color w:val="auto"/>
          <w:kern w:val="0"/>
          <w:szCs w:val="21"/>
        </w:rPr>
        <w:t>第三章工程建设标准</w:t>
      </w:r>
    </w:p>
    <w:p>
      <w:pPr>
        <w:autoSpaceDE w:val="0"/>
        <w:autoSpaceDN w:val="0"/>
        <w:adjustRightInd w:val="0"/>
        <w:spacing w:line="360" w:lineRule="auto"/>
        <w:ind w:firstLine="420" w:firstLineChars="200"/>
        <w:jc w:val="left"/>
        <w:rPr>
          <w:rFonts w:ascii="宋体" w:cs="宋体"/>
          <w:color w:val="auto"/>
          <w:kern w:val="0"/>
          <w:szCs w:val="21"/>
        </w:rPr>
      </w:pPr>
      <w:r>
        <w:rPr>
          <w:rFonts w:hint="eastAsia" w:ascii="宋体" w:hAnsi="宋体" w:cs="宋体"/>
          <w:color w:val="auto"/>
          <w:kern w:val="0"/>
          <w:szCs w:val="21"/>
        </w:rPr>
        <w:t>第四章</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图纸（另册）</w:t>
      </w:r>
    </w:p>
    <w:p>
      <w:pPr>
        <w:numPr>
          <w:ilvl w:val="0"/>
          <w:numId w:val="0"/>
        </w:numPr>
        <w:autoSpaceDE w:val="0"/>
        <w:autoSpaceDN w:val="0"/>
        <w:adjustRightInd w:val="0"/>
        <w:spacing w:line="360" w:lineRule="auto"/>
        <w:ind w:left="480" w:leftChars="0"/>
        <w:jc w:val="left"/>
        <w:rPr>
          <w:rFonts w:ascii="宋体" w:cs="宋体"/>
          <w:color w:val="auto"/>
          <w:kern w:val="0"/>
          <w:szCs w:val="21"/>
        </w:rPr>
      </w:pPr>
      <w:r>
        <w:rPr>
          <w:rFonts w:hint="eastAsia" w:ascii="宋体" w:hAnsi="宋体" w:cs="宋体"/>
          <w:color w:val="auto"/>
          <w:kern w:val="0"/>
          <w:szCs w:val="21"/>
          <w:lang w:eastAsia="zh-CN"/>
        </w:rPr>
        <w:t>第五章</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工程量清单（另册）</w:t>
      </w:r>
    </w:p>
    <w:p>
      <w:pPr>
        <w:autoSpaceDE w:val="0"/>
        <w:autoSpaceDN w:val="0"/>
        <w:adjustRightInd w:val="0"/>
        <w:spacing w:line="360" w:lineRule="auto"/>
        <w:ind w:left="480"/>
        <w:jc w:val="left"/>
        <w:rPr>
          <w:rFonts w:ascii="宋体" w:cs="宋体"/>
          <w:color w:val="auto"/>
          <w:kern w:val="0"/>
          <w:szCs w:val="21"/>
        </w:rPr>
      </w:pPr>
      <w:r>
        <w:rPr>
          <w:rFonts w:hint="eastAsia" w:ascii="宋体" w:hAnsi="宋体" w:cs="宋体"/>
          <w:color w:val="auto"/>
          <w:kern w:val="0"/>
          <w:szCs w:val="21"/>
        </w:rPr>
        <w:t>第六章</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响应文件部分格式</w:t>
      </w:r>
    </w:p>
    <w:p>
      <w:pPr>
        <w:autoSpaceDE w:val="0"/>
        <w:autoSpaceDN w:val="0"/>
        <w:adjustRightInd w:val="0"/>
        <w:spacing w:line="360" w:lineRule="auto"/>
        <w:ind w:firstLine="420" w:firstLineChars="200"/>
        <w:jc w:val="left"/>
        <w:rPr>
          <w:rFonts w:ascii="宋体" w:cs="宋体"/>
          <w:color w:val="auto"/>
          <w:kern w:val="0"/>
          <w:szCs w:val="21"/>
        </w:rPr>
      </w:pPr>
      <w:r>
        <w:rPr>
          <w:rFonts w:hint="eastAsia" w:ascii="宋体" w:hAnsi="宋体" w:cs="宋体"/>
          <w:color w:val="auto"/>
          <w:kern w:val="0"/>
          <w:szCs w:val="21"/>
        </w:rPr>
        <w:t>第七章</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评标办法及标准</w:t>
      </w:r>
    </w:p>
    <w:p>
      <w:pPr>
        <w:pStyle w:val="6"/>
        <w:spacing w:line="360" w:lineRule="auto"/>
        <w:ind w:firstLine="211" w:firstLineChars="100"/>
        <w:rPr>
          <w:rFonts w:ascii="宋体" w:hAnsi="宋体" w:eastAsia="宋体" w:cs="宋体"/>
          <w:bCs/>
          <w:color w:val="auto"/>
          <w:kern w:val="0"/>
          <w:sz w:val="21"/>
          <w:szCs w:val="21"/>
        </w:rPr>
      </w:pPr>
      <w:bookmarkStart w:id="132" w:name="_Toc514238596"/>
      <w:bookmarkStart w:id="133" w:name="_Toc23046672"/>
      <w:bookmarkStart w:id="134" w:name="_Toc23152566"/>
      <w:bookmarkStart w:id="135" w:name="_Toc74156193"/>
      <w:bookmarkStart w:id="136" w:name="_Toc243584234"/>
      <w:bookmarkStart w:id="137" w:name="_Toc20794"/>
      <w:bookmarkStart w:id="138" w:name="_Toc29153321"/>
      <w:bookmarkStart w:id="139" w:name="_Toc29412"/>
      <w:bookmarkStart w:id="140" w:name="_Toc8698"/>
      <w:r>
        <w:rPr>
          <w:rFonts w:ascii="宋体" w:hAnsi="宋体" w:eastAsia="宋体" w:cs="宋体"/>
          <w:bCs/>
          <w:color w:val="auto"/>
          <w:kern w:val="0"/>
          <w:sz w:val="21"/>
          <w:szCs w:val="21"/>
        </w:rPr>
        <w:t xml:space="preserve">8. </w:t>
      </w:r>
      <w:r>
        <w:rPr>
          <w:rFonts w:hint="eastAsia" w:ascii="宋体" w:hAnsi="宋体" w:eastAsia="宋体" w:cs="宋体"/>
          <w:bCs/>
          <w:color w:val="auto"/>
          <w:kern w:val="0"/>
          <w:sz w:val="21"/>
          <w:szCs w:val="21"/>
        </w:rPr>
        <w:t>文件的</w:t>
      </w:r>
      <w:bookmarkEnd w:id="132"/>
      <w:bookmarkEnd w:id="133"/>
      <w:bookmarkEnd w:id="134"/>
      <w:r>
        <w:rPr>
          <w:rFonts w:hint="eastAsia" w:ascii="宋体" w:hAnsi="宋体" w:eastAsia="宋体" w:cs="宋体"/>
          <w:bCs/>
          <w:color w:val="auto"/>
          <w:kern w:val="0"/>
          <w:sz w:val="21"/>
          <w:szCs w:val="21"/>
        </w:rPr>
        <w:t>澄清</w:t>
      </w:r>
      <w:bookmarkEnd w:id="135"/>
      <w:bookmarkEnd w:id="136"/>
      <w:bookmarkEnd w:id="137"/>
      <w:bookmarkEnd w:id="138"/>
      <w:r>
        <w:rPr>
          <w:rFonts w:hint="eastAsia" w:ascii="宋体" w:hAnsi="宋体" w:eastAsia="宋体" w:cs="宋体"/>
          <w:bCs/>
          <w:color w:val="auto"/>
          <w:kern w:val="0"/>
          <w:sz w:val="21"/>
          <w:szCs w:val="21"/>
        </w:rPr>
        <w:t>和修改</w:t>
      </w:r>
      <w:bookmarkEnd w:id="139"/>
      <w:bookmarkEnd w:id="140"/>
    </w:p>
    <w:p>
      <w:pPr>
        <w:autoSpaceDE w:val="0"/>
        <w:autoSpaceDN w:val="0"/>
        <w:adjustRightInd w:val="0"/>
        <w:spacing w:line="360" w:lineRule="auto"/>
        <w:ind w:firstLine="420" w:firstLineChars="200"/>
        <w:rPr>
          <w:rFonts w:ascii="宋体" w:hAnsi="宋体" w:cs="宋体"/>
          <w:color w:val="auto"/>
          <w:kern w:val="0"/>
          <w:szCs w:val="21"/>
        </w:rPr>
      </w:pPr>
      <w:bookmarkStart w:id="141" w:name="_Toc29153323"/>
      <w:bookmarkStart w:id="142" w:name="_Toc29901"/>
      <w:bookmarkStart w:id="143" w:name="_Toc243584236"/>
      <w:bookmarkStart w:id="144" w:name="_Toc74156195"/>
      <w:r>
        <w:rPr>
          <w:rFonts w:hint="eastAsia" w:ascii="宋体" w:hAnsi="宋体" w:cs="宋体"/>
          <w:color w:val="auto"/>
          <w:kern w:val="0"/>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autoSpaceDE w:val="0"/>
        <w:autoSpaceDN w:val="0"/>
        <w:adjustRightInd w:val="0"/>
        <w:spacing w:line="360" w:lineRule="auto"/>
        <w:rPr>
          <w:rFonts w:ascii="宋体" w:hAnsi="宋体" w:cs="宋体"/>
          <w:b/>
          <w:bCs/>
          <w:color w:val="auto"/>
          <w:kern w:val="0"/>
          <w:szCs w:val="21"/>
        </w:rPr>
      </w:pPr>
      <w:r>
        <w:rPr>
          <w:rFonts w:hint="eastAsia" w:ascii="宋体" w:hAnsi="宋体" w:cs="宋体"/>
          <w:b/>
          <w:bCs/>
          <w:color w:val="auto"/>
          <w:kern w:val="0"/>
          <w:szCs w:val="21"/>
        </w:rPr>
        <w:t>9.质疑与投诉</w:t>
      </w:r>
    </w:p>
    <w:p>
      <w:pPr>
        <w:autoSpaceDE w:val="0"/>
        <w:autoSpaceDN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有关质疑处理必须先经过质疑程序，依照相关规定执行。</w:t>
      </w:r>
    </w:p>
    <w:p>
      <w:pPr>
        <w:autoSpaceDE w:val="0"/>
        <w:autoSpaceDN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磋商单位认为竞争性磋商采购文件、竞标过程和成交结果使自己的权益受到损害的，可以在知道或者应知其权益受到损害之日起七个工作日内，以书面质疑形式向采购代理机构提交。</w:t>
      </w:r>
    </w:p>
    <w:p>
      <w:pPr>
        <w:autoSpaceDE w:val="0"/>
        <w:autoSpaceDN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磋商单位质疑实行实名制，其质疑应当有具体的质疑事项及事实根据，不得进行虚假、恶意质疑。</w:t>
      </w:r>
    </w:p>
    <w:p>
      <w:pPr>
        <w:autoSpaceDE w:val="0"/>
        <w:autoSpaceDN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磋商单位质疑时，应当提交质疑书原件，质疑书应当包括下列主要内容：</w:t>
      </w:r>
    </w:p>
    <w:p>
      <w:pPr>
        <w:autoSpaceDE w:val="0"/>
        <w:autoSpaceDN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（1）质疑磋商单位和被质疑的采购单位名称、地址、电话、邮编等；</w:t>
      </w:r>
    </w:p>
    <w:p>
      <w:pPr>
        <w:autoSpaceDE w:val="0"/>
        <w:autoSpaceDN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（2）质疑项目的名称、编号；</w:t>
      </w:r>
    </w:p>
    <w:p>
      <w:pPr>
        <w:autoSpaceDE w:val="0"/>
        <w:autoSpaceDN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（3）权益受到损害的事实和理由；</w:t>
      </w:r>
    </w:p>
    <w:p>
      <w:pPr>
        <w:autoSpaceDE w:val="0"/>
        <w:autoSpaceDN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（4）相关证明材料；</w:t>
      </w:r>
    </w:p>
    <w:p>
      <w:pPr>
        <w:autoSpaceDE w:val="0"/>
        <w:autoSpaceDN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（5）提起质疑的日期。</w:t>
      </w:r>
    </w:p>
    <w:p>
      <w:pPr>
        <w:autoSpaceDE w:val="0"/>
        <w:autoSpaceDN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质疑书应当署名。质疑磋商单位为法人或者其他组织的，应当由法定代表人或者主要负责人签字盖章并加盖公章。</w:t>
      </w:r>
    </w:p>
    <w:p>
      <w:pPr>
        <w:autoSpaceDE w:val="0"/>
        <w:autoSpaceDN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质疑磋商单位可以委托代理人办理质疑事务。代理人办理质疑事务时，除提交质疑书外，还应当提交质疑磋商单位的授权委托书，授权委托书应当载明委托代理的具体权限和事项。</w:t>
      </w:r>
    </w:p>
    <w:p>
      <w:pPr>
        <w:autoSpaceDE w:val="0"/>
        <w:autoSpaceDN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 xml:space="preserve"> 质疑磋商单位提起质疑应当符合下列条件：</w:t>
      </w:r>
    </w:p>
    <w:p>
      <w:pPr>
        <w:autoSpaceDE w:val="0"/>
        <w:autoSpaceDN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（1）质疑磋商单位是参与所质疑</w:t>
      </w:r>
      <w:r>
        <w:rPr>
          <w:rFonts w:hint="eastAsia" w:ascii="宋体" w:hAnsi="宋体" w:cs="宋体"/>
          <w:color w:val="auto"/>
          <w:kern w:val="0"/>
          <w:szCs w:val="21"/>
          <w:lang w:eastAsia="zh-CN"/>
        </w:rPr>
        <w:t>本次采购活动</w:t>
      </w:r>
      <w:r>
        <w:rPr>
          <w:rFonts w:hint="eastAsia" w:ascii="宋体" w:hAnsi="宋体" w:cs="宋体"/>
          <w:color w:val="auto"/>
          <w:kern w:val="0"/>
          <w:szCs w:val="21"/>
        </w:rPr>
        <w:t>的竞争单位；</w:t>
      </w:r>
    </w:p>
    <w:p>
      <w:pPr>
        <w:autoSpaceDE w:val="0"/>
        <w:autoSpaceDN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（2）质疑书内容符合本章第5.3项的规定；</w:t>
      </w:r>
    </w:p>
    <w:p>
      <w:pPr>
        <w:autoSpaceDE w:val="0"/>
        <w:autoSpaceDN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（3）在质疑有效期限内提起质疑；</w:t>
      </w:r>
    </w:p>
    <w:p>
      <w:pPr>
        <w:autoSpaceDE w:val="0"/>
        <w:autoSpaceDN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（4）属于所质疑的采购代理机构组织的采购活动；</w:t>
      </w:r>
    </w:p>
    <w:p>
      <w:pPr>
        <w:autoSpaceDE w:val="0"/>
        <w:autoSpaceDN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（5）同一质疑事项未经采购代理机构质疑处理；</w:t>
      </w:r>
    </w:p>
    <w:p>
      <w:pPr>
        <w:autoSpaceDE w:val="0"/>
        <w:autoSpaceDN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（6）财政部门规定的其他条件。</w:t>
      </w:r>
    </w:p>
    <w:p>
      <w:pPr>
        <w:autoSpaceDE w:val="0"/>
        <w:autoSpaceDN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采购代理机构应当在收到磋商单位的书面质疑后七个工作日内对质疑事项作出答复，并以书面形式通知质疑磋商单位及其他有关磋商单位。但答复的内容不得涉及商业秘密。</w:t>
      </w:r>
    </w:p>
    <w:p>
      <w:pPr>
        <w:autoSpaceDE w:val="0"/>
        <w:autoSpaceDN w:val="0"/>
        <w:adjustRightInd w:val="0"/>
        <w:spacing w:line="360" w:lineRule="auto"/>
        <w:ind w:firstLine="420" w:firstLineChars="200"/>
        <w:rPr>
          <w:color w:val="auto"/>
          <w:szCs w:val="21"/>
        </w:rPr>
      </w:pPr>
      <w:r>
        <w:rPr>
          <w:rFonts w:hint="eastAsia"/>
          <w:color w:val="auto"/>
          <w:szCs w:val="21"/>
        </w:rPr>
        <w:t>接收质疑函的方式、联系部门、联系电话和通讯地址：</w:t>
      </w:r>
    </w:p>
    <w:p>
      <w:pPr>
        <w:spacing w:line="360" w:lineRule="auto"/>
        <w:ind w:firstLine="420" w:firstLineChars="200"/>
        <w:rPr>
          <w:rFonts w:ascii="宋体" w:cs="宋体"/>
          <w:color w:val="auto"/>
          <w:szCs w:val="21"/>
        </w:rPr>
      </w:pPr>
      <w:r>
        <w:rPr>
          <w:rFonts w:hint="eastAsia" w:ascii="宋体" w:hAnsi="宋体" w:cs="宋体"/>
          <w:color w:val="auto"/>
          <w:szCs w:val="21"/>
        </w:rPr>
        <w:t>采购代理机构：</w:t>
      </w:r>
      <w:r>
        <w:rPr>
          <w:rFonts w:hint="eastAsia" w:ascii="宋体" w:hAnsi="宋体" w:cs="宋体"/>
          <w:color w:val="auto"/>
          <w:szCs w:val="21"/>
          <w:lang w:eastAsia="zh-CN"/>
        </w:rPr>
        <w:t>广西亿翔荣工程管理有限责任公司</w:t>
      </w:r>
    </w:p>
    <w:p>
      <w:pPr>
        <w:spacing w:line="360" w:lineRule="auto"/>
        <w:ind w:firstLine="420" w:firstLineChars="200"/>
        <w:rPr>
          <w:rFonts w:ascii="宋体" w:cs="宋体"/>
          <w:color w:val="auto"/>
          <w:szCs w:val="21"/>
        </w:rPr>
      </w:pPr>
      <w:r>
        <w:rPr>
          <w:rFonts w:hint="eastAsia" w:ascii="宋体" w:hAnsi="宋体" w:cs="宋体"/>
          <w:color w:val="auto"/>
          <w:szCs w:val="21"/>
        </w:rPr>
        <w:t>地址：</w:t>
      </w:r>
      <w:r>
        <w:rPr>
          <w:rFonts w:hint="eastAsia" w:ascii="宋体" w:hAnsi="宋体" w:cs="宋体"/>
          <w:color w:val="auto"/>
          <w:szCs w:val="21"/>
          <w:lang w:eastAsia="zh-CN"/>
        </w:rPr>
        <w:t>崇左市江州区新城路1号阳光名邸三期南面C4-103商铺</w:t>
      </w:r>
    </w:p>
    <w:p>
      <w:pPr>
        <w:spacing w:line="360" w:lineRule="auto"/>
        <w:ind w:firstLine="420" w:firstLineChars="200"/>
        <w:rPr>
          <w:color w:val="auto"/>
          <w:szCs w:val="21"/>
        </w:rPr>
      </w:pPr>
      <w:r>
        <w:rPr>
          <w:rFonts w:hint="eastAsia" w:ascii="宋体" w:hAnsi="宋体" w:cs="宋体"/>
          <w:color w:val="auto"/>
          <w:szCs w:val="21"/>
        </w:rPr>
        <w:t>联系人及电话：</w:t>
      </w:r>
      <w:r>
        <w:rPr>
          <w:rFonts w:hint="eastAsia" w:ascii="宋体" w:hAnsi="宋体" w:cs="宋体"/>
          <w:color w:val="auto"/>
          <w:sz w:val="21"/>
          <w:szCs w:val="21"/>
          <w:highlight w:val="none"/>
          <w:lang w:val="en-US" w:eastAsia="zh-CN"/>
        </w:rPr>
        <w:t>刘承志</w:t>
      </w:r>
      <w:r>
        <w:rPr>
          <w:rFonts w:hint="eastAsia" w:ascii="宋体" w:hAnsi="宋体" w:cs="宋体"/>
          <w:color w:val="auto"/>
          <w:sz w:val="21"/>
          <w:szCs w:val="21"/>
          <w:highlight w:val="none"/>
          <w:lang w:eastAsia="zh-CN"/>
        </w:rPr>
        <w:t xml:space="preserve">  </w:t>
      </w:r>
      <w:r>
        <w:rPr>
          <w:rFonts w:hint="eastAsia" w:ascii="宋体" w:hAnsi="宋体" w:cs="宋体"/>
          <w:color w:val="auto"/>
          <w:sz w:val="21"/>
          <w:szCs w:val="21"/>
          <w:highlight w:val="none"/>
          <w:lang w:val="en-US" w:eastAsia="zh-CN"/>
        </w:rPr>
        <w:t>0771-</w:t>
      </w:r>
      <w:r>
        <w:rPr>
          <w:rFonts w:hint="eastAsia" w:ascii="宋体" w:hAnsi="宋体" w:cs="宋体"/>
          <w:color w:val="auto"/>
          <w:sz w:val="21"/>
          <w:szCs w:val="21"/>
          <w:highlight w:val="none"/>
          <w:lang w:eastAsia="zh-CN"/>
        </w:rPr>
        <w:t xml:space="preserve">7988831 </w:t>
      </w:r>
    </w:p>
    <w:p>
      <w:pPr>
        <w:autoSpaceDE w:val="0"/>
        <w:autoSpaceDN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质疑磋商单位必须首先经过质疑程序，在对采购代理机构的答复不满意或者采购代理机构未在规定的时间内做出答复的，可以在答复期满后十五个工作日内书面向监督管理机构投诉。</w:t>
      </w:r>
    </w:p>
    <w:p>
      <w:pPr>
        <w:autoSpaceDE w:val="0"/>
        <w:autoSpaceDN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监督管理机构在处理投诉事项期间，可以视具体情况书面通知采购当事人暂停采购活动。</w:t>
      </w:r>
    </w:p>
    <w:p>
      <w:pPr>
        <w:autoSpaceDE w:val="0"/>
        <w:autoSpaceDN w:val="0"/>
        <w:adjustRightInd w:val="0"/>
        <w:spacing w:line="360" w:lineRule="auto"/>
        <w:ind w:firstLine="422" w:firstLineChars="200"/>
        <w:jc w:val="center"/>
        <w:rPr>
          <w:rFonts w:ascii="宋体" w:hAnsi="宋体" w:cs="宋体"/>
          <w:b/>
          <w:color w:val="auto"/>
          <w:kern w:val="0"/>
          <w:szCs w:val="21"/>
        </w:rPr>
      </w:pPr>
      <w:r>
        <w:rPr>
          <w:rFonts w:hint="eastAsia" w:ascii="宋体" w:hAnsi="宋体" w:cs="宋体"/>
          <w:b/>
          <w:color w:val="auto"/>
          <w:kern w:val="0"/>
          <w:szCs w:val="21"/>
        </w:rPr>
        <w:t>（三） 响应文件的编制</w:t>
      </w:r>
      <w:bookmarkEnd w:id="141"/>
      <w:bookmarkEnd w:id="142"/>
      <w:bookmarkEnd w:id="143"/>
      <w:bookmarkEnd w:id="144"/>
    </w:p>
    <w:p>
      <w:pPr>
        <w:pStyle w:val="6"/>
        <w:spacing w:line="360" w:lineRule="auto"/>
        <w:ind w:firstLine="422" w:firstLineChars="200"/>
        <w:rPr>
          <w:rFonts w:ascii="宋体" w:hAnsi="宋体" w:eastAsia="宋体" w:cs="宋体"/>
          <w:color w:val="auto"/>
          <w:kern w:val="0"/>
          <w:sz w:val="21"/>
          <w:szCs w:val="21"/>
        </w:rPr>
      </w:pPr>
      <w:bookmarkStart w:id="145" w:name="_Toc23152571"/>
      <w:bookmarkStart w:id="146" w:name="_Toc514238601"/>
      <w:bookmarkStart w:id="147" w:name="_Toc23046677"/>
      <w:bookmarkStart w:id="148" w:name="_Toc17397"/>
      <w:bookmarkStart w:id="149" w:name="_Toc74156196"/>
      <w:bookmarkStart w:id="150" w:name="_Toc29153324"/>
      <w:bookmarkStart w:id="151" w:name="_Toc9424"/>
      <w:bookmarkStart w:id="152" w:name="_Toc243584237"/>
      <w:bookmarkStart w:id="153" w:name="_Toc10250"/>
      <w:r>
        <w:rPr>
          <w:rFonts w:ascii="宋体" w:hAnsi="宋体" w:eastAsia="宋体" w:cs="宋体"/>
          <w:color w:val="auto"/>
          <w:kern w:val="0"/>
          <w:sz w:val="21"/>
          <w:szCs w:val="21"/>
        </w:rPr>
        <w:t xml:space="preserve">10. </w:t>
      </w:r>
      <w:r>
        <w:rPr>
          <w:rFonts w:hint="eastAsia" w:ascii="宋体" w:hAnsi="宋体" w:eastAsia="宋体" w:cs="宋体"/>
          <w:color w:val="auto"/>
          <w:kern w:val="0"/>
          <w:sz w:val="21"/>
          <w:szCs w:val="21"/>
        </w:rPr>
        <w:t>响应文件的语言</w:t>
      </w:r>
      <w:bookmarkEnd w:id="145"/>
      <w:bookmarkEnd w:id="146"/>
      <w:bookmarkEnd w:id="147"/>
      <w:r>
        <w:rPr>
          <w:rFonts w:hint="eastAsia" w:ascii="宋体" w:hAnsi="宋体" w:eastAsia="宋体" w:cs="宋体"/>
          <w:color w:val="auto"/>
          <w:kern w:val="0"/>
          <w:sz w:val="21"/>
          <w:szCs w:val="21"/>
        </w:rPr>
        <w:t>及计量单位</w:t>
      </w:r>
      <w:bookmarkEnd w:id="148"/>
      <w:bookmarkEnd w:id="149"/>
      <w:bookmarkEnd w:id="150"/>
      <w:bookmarkEnd w:id="151"/>
      <w:bookmarkEnd w:id="152"/>
      <w:bookmarkEnd w:id="153"/>
    </w:p>
    <w:p>
      <w:pPr>
        <w:pStyle w:val="6"/>
        <w:spacing w:line="360" w:lineRule="auto"/>
        <w:rPr>
          <w:rFonts w:ascii="宋体" w:hAnsi="宋体" w:eastAsia="宋体" w:cs="宋体"/>
          <w:b w:val="0"/>
          <w:color w:val="auto"/>
          <w:kern w:val="0"/>
          <w:sz w:val="21"/>
          <w:szCs w:val="21"/>
        </w:rPr>
      </w:pPr>
      <w:bookmarkStart w:id="154" w:name="_Toc5519"/>
      <w:bookmarkStart w:id="155" w:name="_Toc26413"/>
      <w:bookmarkStart w:id="156" w:name="_Toc31508"/>
      <w:r>
        <w:rPr>
          <w:rFonts w:ascii="宋体" w:hAnsi="宋体" w:eastAsia="宋体" w:cs="宋体"/>
          <w:b w:val="0"/>
          <w:color w:val="auto"/>
          <w:kern w:val="0"/>
          <w:sz w:val="21"/>
          <w:szCs w:val="21"/>
        </w:rPr>
        <w:t xml:space="preserve">10.1  </w:t>
      </w:r>
      <w:r>
        <w:rPr>
          <w:rFonts w:hint="eastAsia" w:ascii="宋体" w:hAnsi="宋体" w:eastAsia="宋体" w:cs="宋体"/>
          <w:b w:val="0"/>
          <w:color w:val="auto"/>
          <w:kern w:val="0"/>
          <w:sz w:val="21"/>
          <w:szCs w:val="21"/>
        </w:rPr>
        <w:t>响应文件和与竞标有关的所有文件均应使用中文。</w:t>
      </w:r>
      <w:bookmarkEnd w:id="154"/>
      <w:bookmarkEnd w:id="155"/>
      <w:bookmarkEnd w:id="156"/>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10.2  </w:t>
      </w:r>
      <w:r>
        <w:rPr>
          <w:rFonts w:hint="eastAsia" w:ascii="宋体" w:hAnsi="宋体" w:cs="宋体"/>
          <w:color w:val="auto"/>
          <w:kern w:val="0"/>
          <w:szCs w:val="21"/>
        </w:rPr>
        <w:t>除工程规范另有规定外，响应文件使用的计量单位，均采用中华人民共和国法定计量单位。</w:t>
      </w:r>
    </w:p>
    <w:p>
      <w:pPr>
        <w:pStyle w:val="6"/>
        <w:spacing w:line="360" w:lineRule="auto"/>
        <w:ind w:firstLine="422" w:firstLineChars="200"/>
        <w:rPr>
          <w:rFonts w:ascii="宋体" w:hAnsi="宋体" w:eastAsia="宋体" w:cs="宋体"/>
          <w:color w:val="auto"/>
          <w:kern w:val="0"/>
          <w:sz w:val="21"/>
          <w:szCs w:val="21"/>
        </w:rPr>
      </w:pPr>
      <w:bookmarkStart w:id="157" w:name="_Toc25658"/>
      <w:bookmarkStart w:id="158" w:name="_Toc29153325"/>
      <w:bookmarkStart w:id="159" w:name="_Toc243584238"/>
      <w:bookmarkStart w:id="160" w:name="_Toc5670"/>
      <w:bookmarkStart w:id="161" w:name="_Toc23046678"/>
      <w:bookmarkStart w:id="162" w:name="_Toc74156197"/>
      <w:bookmarkStart w:id="163" w:name="_Toc23152572"/>
      <w:bookmarkStart w:id="164" w:name="_Toc14143"/>
      <w:bookmarkStart w:id="165" w:name="_Toc514238602"/>
      <w:r>
        <w:rPr>
          <w:rFonts w:ascii="宋体" w:hAnsi="宋体" w:eastAsia="宋体" w:cs="宋体"/>
          <w:color w:val="auto"/>
          <w:kern w:val="0"/>
          <w:sz w:val="21"/>
          <w:szCs w:val="21"/>
        </w:rPr>
        <w:t xml:space="preserve">11. </w:t>
      </w:r>
      <w:r>
        <w:rPr>
          <w:rFonts w:hint="eastAsia" w:ascii="宋体" w:hAnsi="宋体" w:eastAsia="宋体" w:cs="宋体"/>
          <w:color w:val="auto"/>
          <w:kern w:val="0"/>
          <w:sz w:val="21"/>
          <w:szCs w:val="21"/>
        </w:rPr>
        <w:t>响应文件的组成</w:t>
      </w:r>
      <w:bookmarkEnd w:id="157"/>
      <w:bookmarkEnd w:id="158"/>
      <w:bookmarkEnd w:id="159"/>
      <w:bookmarkEnd w:id="160"/>
      <w:bookmarkEnd w:id="161"/>
      <w:bookmarkEnd w:id="162"/>
      <w:bookmarkEnd w:id="163"/>
      <w:bookmarkEnd w:id="164"/>
      <w:bookmarkEnd w:id="165"/>
    </w:p>
    <w:p>
      <w:pPr>
        <w:autoSpaceDE w:val="0"/>
        <w:autoSpaceDN w:val="0"/>
        <w:adjustRightInd w:val="0"/>
        <w:spacing w:line="360" w:lineRule="auto"/>
        <w:ind w:firstLine="422" w:firstLineChars="200"/>
        <w:jc w:val="left"/>
        <w:rPr>
          <w:rFonts w:ascii="宋体" w:cs="宋体"/>
          <w:b/>
          <w:color w:val="auto"/>
          <w:kern w:val="0"/>
          <w:szCs w:val="21"/>
        </w:rPr>
      </w:pPr>
      <w:bookmarkStart w:id="166" w:name="_Toc74156198"/>
      <w:bookmarkStart w:id="167" w:name="_Toc29153326"/>
      <w:r>
        <w:rPr>
          <w:rFonts w:ascii="宋体" w:hAnsi="宋体" w:cs="宋体"/>
          <w:b/>
          <w:color w:val="auto"/>
          <w:kern w:val="0"/>
          <w:szCs w:val="21"/>
        </w:rPr>
        <w:t xml:space="preserve">11.1  </w:t>
      </w:r>
      <w:r>
        <w:rPr>
          <w:rFonts w:hint="eastAsia" w:ascii="宋体" w:hAnsi="宋体" w:cs="宋体"/>
          <w:b/>
          <w:color w:val="auto"/>
          <w:kern w:val="0"/>
          <w:szCs w:val="21"/>
        </w:rPr>
        <w:t>响应文件由资格审查部分、商务标部分、技术标三个部分组成。</w:t>
      </w:r>
    </w:p>
    <w:p>
      <w:pPr>
        <w:autoSpaceDE w:val="0"/>
        <w:autoSpaceDN w:val="0"/>
        <w:adjustRightInd w:val="0"/>
        <w:spacing w:line="360" w:lineRule="auto"/>
        <w:ind w:firstLine="422" w:firstLineChars="200"/>
        <w:jc w:val="left"/>
        <w:rPr>
          <w:rFonts w:ascii="宋体" w:cs="宋体"/>
          <w:b/>
          <w:color w:val="auto"/>
          <w:kern w:val="0"/>
          <w:szCs w:val="21"/>
        </w:rPr>
      </w:pPr>
      <w:r>
        <w:rPr>
          <w:rFonts w:ascii="宋体" w:hAnsi="宋体" w:cs="宋体"/>
          <w:b/>
          <w:color w:val="auto"/>
          <w:kern w:val="0"/>
          <w:szCs w:val="21"/>
        </w:rPr>
        <w:t xml:space="preserve">11.2 </w:t>
      </w:r>
      <w:r>
        <w:rPr>
          <w:rFonts w:hint="eastAsia" w:ascii="宋体" w:hAnsi="宋体" w:cs="宋体"/>
          <w:b/>
          <w:color w:val="auto"/>
          <w:kern w:val="0"/>
          <w:szCs w:val="21"/>
        </w:rPr>
        <w:t>资格审查部分</w:t>
      </w:r>
      <w:r>
        <w:rPr>
          <w:rFonts w:hint="eastAsia" w:ascii="宋体" w:hAnsi="宋体" w:cs="宋体"/>
          <w:b/>
          <w:color w:val="auto"/>
          <w:kern w:val="0"/>
          <w:szCs w:val="21"/>
          <w:lang w:val="en-US" w:eastAsia="zh-CN"/>
        </w:rPr>
        <w:t>必须</w:t>
      </w:r>
      <w:r>
        <w:rPr>
          <w:rFonts w:hint="eastAsia" w:ascii="宋体" w:hAnsi="宋体" w:cs="宋体"/>
          <w:b/>
          <w:color w:val="auto"/>
          <w:kern w:val="0"/>
          <w:szCs w:val="21"/>
        </w:rPr>
        <w:t>包括下列内容：</w:t>
      </w:r>
    </w:p>
    <w:p>
      <w:pPr>
        <w:tabs>
          <w:tab w:val="left" w:pos="826"/>
        </w:tabs>
        <w:adjustRightInd w:val="0"/>
        <w:spacing w:line="360" w:lineRule="auto"/>
        <w:ind w:left="359" w:leftChars="171" w:firstLine="105" w:firstLineChars="50"/>
        <w:textAlignment w:val="baseline"/>
        <w:rPr>
          <w:rFonts w:asciiTheme="minorEastAsia" w:hAnsiTheme="minorEastAsia" w:cstheme="minorEastAsia"/>
          <w:color w:val="auto"/>
          <w:szCs w:val="21"/>
        </w:rPr>
      </w:pPr>
      <w:bookmarkStart w:id="168" w:name="_Toc243584246"/>
      <w:r>
        <w:rPr>
          <w:rFonts w:hint="eastAsia" w:asciiTheme="minorEastAsia" w:hAnsiTheme="minorEastAsia" w:cstheme="minorEastAsia"/>
          <w:color w:val="auto"/>
          <w:szCs w:val="21"/>
        </w:rPr>
        <w:t>（1）诚信声明；</w:t>
      </w:r>
      <w:r>
        <w:rPr>
          <w:rFonts w:hint="eastAsia" w:ascii="宋体" w:hAnsi="宋体" w:cs="宋体"/>
          <w:color w:val="auto"/>
          <w:szCs w:val="21"/>
          <w:highlight w:val="none"/>
          <w:lang w:eastAsia="zh-CN"/>
        </w:rPr>
        <w:t>（格式自拟。必须提供）</w:t>
      </w:r>
    </w:p>
    <w:p>
      <w:pPr>
        <w:tabs>
          <w:tab w:val="left" w:pos="826"/>
        </w:tabs>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（2）</w:t>
      </w:r>
      <w:r>
        <w:rPr>
          <w:rFonts w:hint="eastAsia" w:asciiTheme="minorEastAsia" w:hAnsiTheme="minorEastAsia" w:cstheme="minorEastAsia"/>
          <w:color w:val="auto"/>
          <w:kern w:val="0"/>
          <w:szCs w:val="21"/>
        </w:rPr>
        <w:t>法定代表人资格证明书；</w:t>
      </w:r>
      <w:r>
        <w:rPr>
          <w:rFonts w:hint="eastAsia" w:ascii="宋体" w:hAnsi="宋体" w:cs="宋体"/>
          <w:color w:val="auto"/>
          <w:szCs w:val="21"/>
          <w:highlight w:val="none"/>
          <w:lang w:eastAsia="zh-CN"/>
        </w:rPr>
        <w:t>（格式自拟。必须提供）</w:t>
      </w:r>
    </w:p>
    <w:p>
      <w:pPr>
        <w:tabs>
          <w:tab w:val="left" w:pos="826"/>
          <w:tab w:val="left" w:pos="900"/>
        </w:tabs>
        <w:adjustRightInd w:val="0"/>
        <w:spacing w:line="360" w:lineRule="auto"/>
        <w:ind w:left="359" w:leftChars="171" w:firstLine="105" w:firstLineChars="50"/>
        <w:textAlignment w:val="baseline"/>
        <w:rPr>
          <w:rFonts w:asciiTheme="minorEastAsia" w:hAnsiTheme="minorEastAsia" w:cstheme="minorEastAsia"/>
          <w:color w:val="auto"/>
          <w:szCs w:val="21"/>
        </w:rPr>
      </w:pPr>
      <w:r>
        <w:rPr>
          <w:rFonts w:hint="eastAsia" w:asciiTheme="minorEastAsia" w:hAnsiTheme="minorEastAsia" w:cstheme="minorEastAsia"/>
          <w:color w:val="auto"/>
          <w:szCs w:val="21"/>
        </w:rPr>
        <w:t xml:space="preserve">（3）授权书及授权代理人身份证复印件（如无授权时则不需提供）； </w:t>
      </w:r>
    </w:p>
    <w:p>
      <w:pPr>
        <w:tabs>
          <w:tab w:val="left" w:pos="826"/>
          <w:tab w:val="left" w:pos="900"/>
        </w:tabs>
        <w:adjustRightInd w:val="0"/>
        <w:spacing w:line="360" w:lineRule="auto"/>
        <w:ind w:left="359" w:leftChars="171" w:firstLine="105" w:firstLineChars="50"/>
        <w:textAlignment w:val="baseline"/>
        <w:rPr>
          <w:rFonts w:asciiTheme="minorEastAsia" w:hAnsiTheme="minorEastAsia" w:cstheme="minorEastAsia"/>
          <w:color w:val="auto"/>
          <w:szCs w:val="21"/>
        </w:rPr>
      </w:pPr>
      <w:r>
        <w:rPr>
          <w:rFonts w:hint="eastAsia" w:asciiTheme="minorEastAsia" w:hAnsiTheme="minorEastAsia" w:eastAsiaTheme="minorEastAsia" w:cstheme="minorEastAsia"/>
          <w:color w:val="auto"/>
          <w:szCs w:val="21"/>
        </w:rPr>
        <w:t>（4）</w:t>
      </w:r>
      <w:r>
        <w:rPr>
          <w:rFonts w:hint="eastAsia" w:asciiTheme="minorEastAsia" w:hAnsiTheme="minorEastAsia" w:cstheme="minorEastAsia"/>
          <w:color w:val="auto"/>
          <w:szCs w:val="21"/>
        </w:rPr>
        <w:t>有效的企业资质证书复印件</w:t>
      </w:r>
      <w:r>
        <w:rPr>
          <w:rFonts w:hint="eastAsia" w:asciiTheme="minorEastAsia" w:hAnsiTheme="minorEastAsia" w:eastAsiaTheme="minorEastAsia" w:cstheme="minorEastAsia"/>
          <w:color w:val="auto"/>
          <w:szCs w:val="21"/>
        </w:rPr>
        <w:t>；</w:t>
      </w:r>
      <w:r>
        <w:rPr>
          <w:rFonts w:hint="eastAsia" w:ascii="宋体" w:hAnsi="宋体" w:cs="宋体"/>
          <w:color w:val="auto"/>
          <w:szCs w:val="21"/>
          <w:highlight w:val="none"/>
          <w:lang w:eastAsia="zh-CN"/>
        </w:rPr>
        <w:t>（格式自拟。必须提供）</w:t>
      </w:r>
    </w:p>
    <w:p>
      <w:pPr>
        <w:tabs>
          <w:tab w:val="left" w:pos="826"/>
        </w:tabs>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（5）</w:t>
      </w:r>
      <w:r>
        <w:rPr>
          <w:rFonts w:hint="eastAsia" w:asciiTheme="minorEastAsia" w:hAnsiTheme="minorEastAsia" w:cstheme="minorEastAsia"/>
          <w:color w:val="auto"/>
          <w:szCs w:val="21"/>
          <w:lang w:eastAsia="zh-CN"/>
        </w:rPr>
        <w:t>有效的营业执照副本复印件</w:t>
      </w:r>
      <w:r>
        <w:rPr>
          <w:rFonts w:hint="eastAsia" w:asciiTheme="minorEastAsia" w:hAnsiTheme="minorEastAsia" w:cstheme="minorEastAsia"/>
          <w:color w:val="auto"/>
          <w:szCs w:val="21"/>
        </w:rPr>
        <w:t>；</w:t>
      </w:r>
      <w:r>
        <w:rPr>
          <w:rFonts w:hint="eastAsia" w:ascii="宋体" w:hAnsi="宋体" w:cs="宋体"/>
          <w:color w:val="auto"/>
          <w:szCs w:val="21"/>
          <w:highlight w:val="none"/>
          <w:lang w:eastAsia="zh-CN"/>
        </w:rPr>
        <w:t>（格式自拟。必须提供）</w:t>
      </w:r>
    </w:p>
    <w:p>
      <w:pPr>
        <w:spacing w:line="360" w:lineRule="auto"/>
        <w:ind w:left="126" w:leftChars="60" w:firstLine="315" w:firstLineChars="150"/>
        <w:rPr>
          <w:rFonts w:hint="eastAsia" w:eastAsia="宋体" w:asciiTheme="minorEastAsia" w:hAnsiTheme="minorEastAsia" w:cstheme="minorEastAsia"/>
          <w:color w:val="auto"/>
          <w:szCs w:val="21"/>
          <w:lang w:eastAsia="zh-CN"/>
        </w:rPr>
      </w:pPr>
      <w:r>
        <w:rPr>
          <w:rFonts w:hint="eastAsia" w:asciiTheme="minorEastAsia" w:hAnsiTheme="minorEastAsia" w:cstheme="minorEastAsia"/>
          <w:color w:val="auto"/>
          <w:szCs w:val="21"/>
        </w:rPr>
        <w:t>（</w:t>
      </w:r>
      <w:r>
        <w:rPr>
          <w:rFonts w:hint="eastAsia" w:asciiTheme="minorEastAsia" w:hAnsiTheme="minorEastAsia" w:cstheme="minorEastAsia"/>
          <w:color w:val="auto"/>
          <w:szCs w:val="21"/>
          <w:lang w:val="en-US" w:eastAsia="zh-CN"/>
        </w:rPr>
        <w:t>6</w:t>
      </w:r>
      <w:r>
        <w:rPr>
          <w:rFonts w:hint="eastAsia" w:asciiTheme="minorEastAsia" w:hAnsiTheme="minorEastAsia" w:cstheme="minorEastAsia"/>
          <w:color w:val="auto"/>
          <w:szCs w:val="21"/>
        </w:rPr>
        <w:t>）</w:t>
      </w:r>
      <w:r>
        <w:rPr>
          <w:rFonts w:hint="eastAsia" w:asciiTheme="minorEastAsia" w:hAnsiTheme="minorEastAsia" w:cstheme="minorEastAsia"/>
          <w:color w:val="auto"/>
          <w:szCs w:val="21"/>
          <w:lang w:eastAsia="zh-CN"/>
        </w:rPr>
        <w:t>有效的安全生产许可证副本复印件</w:t>
      </w:r>
      <w:r>
        <w:rPr>
          <w:rFonts w:hint="eastAsia" w:ascii="宋体" w:hAnsi="宋体" w:cs="宋体"/>
          <w:color w:val="auto"/>
          <w:szCs w:val="21"/>
          <w:highlight w:val="none"/>
          <w:lang w:eastAsia="zh-CN"/>
        </w:rPr>
        <w:t>（格式自拟。必须提供）</w:t>
      </w:r>
    </w:p>
    <w:p>
      <w:pPr>
        <w:spacing w:line="360" w:lineRule="auto"/>
        <w:ind w:left="126" w:leftChars="60" w:firstLine="315" w:firstLineChars="150"/>
        <w:rPr>
          <w:rFonts w:asciiTheme="minorEastAsia" w:hAnsiTheme="minorEastAsia" w:cstheme="minorEastAsia"/>
          <w:color w:val="auto"/>
          <w:szCs w:val="21"/>
        </w:rPr>
      </w:pPr>
      <w:r>
        <w:rPr>
          <w:rFonts w:hint="eastAsia" w:asciiTheme="minorEastAsia" w:hAnsiTheme="minorEastAsia" w:cstheme="minorEastAsia"/>
          <w:color w:val="auto"/>
          <w:szCs w:val="21"/>
        </w:rPr>
        <w:t>（</w:t>
      </w:r>
      <w:r>
        <w:rPr>
          <w:rFonts w:hint="eastAsia" w:asciiTheme="minorEastAsia" w:hAnsiTheme="minorEastAsia" w:cstheme="minorEastAsia"/>
          <w:color w:val="auto"/>
          <w:szCs w:val="21"/>
          <w:lang w:val="en-US" w:eastAsia="zh-CN"/>
        </w:rPr>
        <w:t>7</w:t>
      </w:r>
      <w:r>
        <w:rPr>
          <w:rFonts w:hint="eastAsia" w:asciiTheme="minorEastAsia" w:hAnsiTheme="minorEastAsia" w:cstheme="minorEastAsia"/>
          <w:color w:val="auto"/>
          <w:szCs w:val="21"/>
        </w:rPr>
        <w:t>）</w:t>
      </w:r>
      <w:r>
        <w:rPr>
          <w:rFonts w:hint="eastAsia" w:asciiTheme="minorEastAsia" w:hAnsiTheme="minorEastAsia" w:cstheme="minorEastAsia"/>
          <w:color w:val="auto"/>
          <w:szCs w:val="21"/>
          <w:lang w:eastAsia="zh-CN"/>
        </w:rPr>
        <w:t>本工程项目经理的注册建造师资格证复印件</w:t>
      </w:r>
      <w:r>
        <w:rPr>
          <w:rFonts w:hint="eastAsia" w:asciiTheme="minorEastAsia" w:hAnsiTheme="minorEastAsia" w:cstheme="minorEastAsia"/>
          <w:color w:val="auto"/>
          <w:szCs w:val="21"/>
        </w:rPr>
        <w:t>和安全生产考核合格证B证复印件；</w:t>
      </w:r>
      <w:r>
        <w:rPr>
          <w:rFonts w:hint="eastAsia" w:ascii="宋体" w:hAnsi="宋体" w:cs="宋体"/>
          <w:color w:val="auto"/>
          <w:szCs w:val="21"/>
          <w:highlight w:val="none"/>
          <w:lang w:eastAsia="zh-CN"/>
        </w:rPr>
        <w:t>（格式自拟。必须提供）</w:t>
      </w:r>
    </w:p>
    <w:p>
      <w:pPr>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w:t>
      </w:r>
      <w:r>
        <w:rPr>
          <w:rFonts w:hint="eastAsia" w:asciiTheme="minorEastAsia" w:hAnsiTheme="minorEastAsia" w:cstheme="minorEastAsia"/>
          <w:color w:val="auto"/>
          <w:szCs w:val="21"/>
          <w:lang w:val="en-US" w:eastAsia="zh-CN"/>
        </w:rPr>
        <w:t>8</w:t>
      </w:r>
      <w:r>
        <w:rPr>
          <w:rFonts w:hint="eastAsia" w:asciiTheme="minorEastAsia" w:hAnsiTheme="minorEastAsia" w:cstheme="minorEastAsia"/>
          <w:color w:val="auto"/>
          <w:szCs w:val="21"/>
        </w:rPr>
        <w:t>）</w:t>
      </w:r>
      <w:r>
        <w:rPr>
          <w:rFonts w:hint="eastAsia" w:asciiTheme="minorEastAsia" w:hAnsiTheme="minorEastAsia" w:cstheme="minorEastAsia"/>
          <w:color w:val="auto"/>
          <w:szCs w:val="21"/>
          <w:lang w:eastAsia="zh-CN"/>
        </w:rPr>
        <w:t>竞标截止前一年内磋商单位连续三个月依法缴纳社保证明复印件和依法缴纳税费或依法免缴税费的证明复印件</w:t>
      </w:r>
      <w:r>
        <w:rPr>
          <w:rFonts w:hint="eastAsia" w:asciiTheme="minorEastAsia" w:hAnsiTheme="minorEastAsia" w:cstheme="minorEastAsia"/>
          <w:color w:val="auto"/>
          <w:szCs w:val="21"/>
        </w:rPr>
        <w:t>；</w:t>
      </w:r>
      <w:r>
        <w:rPr>
          <w:rFonts w:hint="eastAsia" w:ascii="宋体" w:hAnsi="宋体" w:cs="宋体"/>
          <w:color w:val="auto"/>
          <w:szCs w:val="21"/>
          <w:highlight w:val="none"/>
          <w:lang w:eastAsia="zh-CN"/>
        </w:rPr>
        <w:t>（格式自拟。必须提供）</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Theme="minorEastAsia" w:hAnsiTheme="minorEastAsia" w:cstheme="minorEastAsia"/>
          <w:color w:val="auto"/>
          <w:szCs w:val="21"/>
        </w:rPr>
        <w:t>（</w:t>
      </w:r>
      <w:r>
        <w:rPr>
          <w:rFonts w:hint="eastAsia" w:asciiTheme="minorEastAsia" w:hAnsiTheme="minorEastAsia" w:cstheme="minorEastAsia"/>
          <w:color w:val="auto"/>
          <w:szCs w:val="21"/>
          <w:lang w:val="en-US" w:eastAsia="zh-CN"/>
        </w:rPr>
        <w:t>9</w:t>
      </w:r>
      <w:r>
        <w:rPr>
          <w:rFonts w:hint="eastAsia" w:ascii="宋体" w:hAnsi="宋体" w:cs="宋体"/>
          <w:color w:val="auto"/>
          <w:szCs w:val="21"/>
          <w:highlight w:val="none"/>
        </w:rPr>
        <w:t>）</w:t>
      </w:r>
      <w:r>
        <w:rPr>
          <w:rFonts w:hint="eastAsia" w:ascii="宋体" w:hAnsi="宋体" w:cs="宋体"/>
          <w:color w:val="auto"/>
          <w:szCs w:val="21"/>
          <w:highlight w:val="none"/>
          <w:lang w:eastAsia="zh-CN"/>
        </w:rPr>
        <w:t>投标人参加本次采购活动前三年内在经营活动中没有重大违法记录和不良信用记录的书面声明原件（格式自拟。必须提供）；</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0</w:t>
      </w:r>
      <w:r>
        <w:rPr>
          <w:rFonts w:hint="eastAsia" w:ascii="宋体" w:hAnsi="宋体" w:cs="宋体"/>
          <w:color w:val="auto"/>
          <w:szCs w:val="21"/>
        </w:rPr>
        <w:t>）</w:t>
      </w:r>
      <w:r>
        <w:rPr>
          <w:rFonts w:hint="eastAsia" w:ascii="宋体" w:hAnsi="宋体" w:cs="宋体"/>
          <w:color w:val="auto"/>
          <w:szCs w:val="21"/>
          <w:lang w:eastAsia="zh-CN"/>
        </w:rPr>
        <w:t>磋商单位2020年年度的财务报表复印件；（</w:t>
      </w:r>
      <w:r>
        <w:rPr>
          <w:rFonts w:hint="eastAsia" w:ascii="宋体" w:hAnsi="宋体" w:cs="宋体"/>
          <w:color w:val="auto"/>
          <w:szCs w:val="21"/>
          <w:highlight w:val="none"/>
          <w:lang w:eastAsia="zh-CN"/>
        </w:rPr>
        <w:t>必须提供，</w:t>
      </w:r>
      <w:r>
        <w:rPr>
          <w:rFonts w:hint="eastAsia" w:ascii="宋体" w:hAnsi="宋体" w:cs="宋体"/>
          <w:color w:val="auto"/>
          <w:szCs w:val="21"/>
          <w:lang w:eastAsia="zh-CN"/>
        </w:rPr>
        <w:t>若为新成立的企业，可根据实际情况提供成立之日起至投标截前一个月的财务报告）</w:t>
      </w:r>
    </w:p>
    <w:p>
      <w:pPr>
        <w:spacing w:line="360" w:lineRule="auto"/>
        <w:ind w:left="126" w:leftChars="60" w:firstLine="298" w:firstLineChars="142"/>
        <w:rPr>
          <w:rFonts w:asciiTheme="minorEastAsia" w:hAnsiTheme="minorEastAsia" w:cstheme="minorEastAsia"/>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11</w:t>
      </w:r>
      <w:r>
        <w:rPr>
          <w:rFonts w:hint="eastAsia" w:ascii="宋体" w:hAnsi="宋体" w:cs="宋体"/>
          <w:color w:val="auto"/>
          <w:szCs w:val="21"/>
          <w:lang w:eastAsia="zh-CN"/>
        </w:rPr>
        <w:t>）</w:t>
      </w:r>
      <w:r>
        <w:rPr>
          <w:rFonts w:hint="eastAsia" w:asciiTheme="minorEastAsia" w:hAnsiTheme="minorEastAsia" w:cstheme="minorEastAsia"/>
          <w:color w:val="auto"/>
          <w:szCs w:val="21"/>
        </w:rPr>
        <w:t>安全防护、文明施工措施方案的承诺书；</w:t>
      </w:r>
      <w:r>
        <w:rPr>
          <w:rFonts w:hint="eastAsia" w:ascii="宋体" w:hAnsi="宋体" w:cs="宋体"/>
          <w:color w:val="auto"/>
          <w:szCs w:val="21"/>
          <w:highlight w:val="none"/>
          <w:lang w:eastAsia="zh-CN"/>
        </w:rPr>
        <w:t>（格式自拟。必须提供）</w:t>
      </w:r>
    </w:p>
    <w:p>
      <w:pPr>
        <w:autoSpaceDE w:val="0"/>
        <w:autoSpaceDN w:val="0"/>
        <w:adjustRightInd w:val="0"/>
        <w:spacing w:line="360" w:lineRule="auto"/>
        <w:ind w:firstLine="420" w:firstLineChars="200"/>
        <w:jc w:val="left"/>
        <w:rPr>
          <w:rFonts w:hint="eastAsia" w:eastAsia="宋体" w:asciiTheme="minorEastAsia" w:hAnsiTheme="minorEastAsia" w:cstheme="minorEastAsia"/>
          <w:color w:val="auto"/>
          <w:szCs w:val="21"/>
          <w:lang w:eastAsia="zh-CN"/>
        </w:rPr>
      </w:pPr>
      <w:r>
        <w:rPr>
          <w:rFonts w:hint="eastAsia" w:asciiTheme="minorEastAsia" w:hAnsiTheme="minorEastAsia" w:cstheme="minorEastAsia"/>
          <w:color w:val="auto"/>
          <w:szCs w:val="21"/>
        </w:rPr>
        <w:t>（1</w:t>
      </w:r>
      <w:r>
        <w:rPr>
          <w:rFonts w:hint="eastAsia" w:asciiTheme="minorEastAsia" w:hAnsiTheme="minorEastAsia" w:cstheme="minorEastAsia"/>
          <w:color w:val="auto"/>
          <w:szCs w:val="21"/>
          <w:lang w:val="en-US" w:eastAsia="zh-CN"/>
        </w:rPr>
        <w:t>2</w:t>
      </w:r>
      <w:r>
        <w:rPr>
          <w:rFonts w:hint="eastAsia" w:asciiTheme="minorEastAsia" w:hAnsiTheme="minorEastAsia" w:cstheme="minorEastAsia"/>
          <w:color w:val="auto"/>
          <w:szCs w:val="21"/>
        </w:rPr>
        <w:t>）磋商采购文件要求其他必须提供的资料。</w:t>
      </w:r>
      <w:r>
        <w:rPr>
          <w:rFonts w:hint="eastAsia" w:asciiTheme="minorEastAsia" w:hAnsiTheme="minorEastAsia" w:cstheme="minorEastAsia"/>
          <w:color w:val="auto"/>
          <w:szCs w:val="21"/>
          <w:lang w:eastAsia="zh-CN"/>
        </w:rPr>
        <w:t>（如有要求必须提供）</w:t>
      </w:r>
    </w:p>
    <w:p>
      <w:pPr>
        <w:autoSpaceDE w:val="0"/>
        <w:autoSpaceDN w:val="0"/>
        <w:adjustRightInd w:val="0"/>
        <w:spacing w:line="360" w:lineRule="auto"/>
        <w:ind w:firstLine="422" w:firstLineChars="200"/>
        <w:jc w:val="left"/>
        <w:rPr>
          <w:rFonts w:ascii="宋体" w:cs="宋体"/>
          <w:b/>
          <w:color w:val="auto"/>
          <w:kern w:val="0"/>
          <w:szCs w:val="21"/>
        </w:rPr>
      </w:pPr>
      <w:r>
        <w:rPr>
          <w:rFonts w:ascii="宋体" w:hAnsi="宋体" w:cs="宋体"/>
          <w:b/>
          <w:color w:val="auto"/>
          <w:kern w:val="0"/>
          <w:szCs w:val="21"/>
        </w:rPr>
        <w:t xml:space="preserve">11.3  </w:t>
      </w:r>
      <w:r>
        <w:rPr>
          <w:rFonts w:hint="eastAsia" w:ascii="宋体" w:hAnsi="宋体" w:cs="宋体"/>
          <w:b/>
          <w:color w:val="auto"/>
          <w:kern w:val="0"/>
          <w:szCs w:val="21"/>
        </w:rPr>
        <w:t>商务标部分应包括下列内容：</w:t>
      </w:r>
    </w:p>
    <w:p>
      <w:pPr>
        <w:spacing w:line="360" w:lineRule="auto"/>
        <w:ind w:left="126" w:leftChars="60" w:firstLine="298" w:firstLineChars="142"/>
        <w:rPr>
          <w:rFonts w:ascii="宋体" w:cs="宋体"/>
          <w:color w:val="auto"/>
          <w:szCs w:val="21"/>
        </w:rPr>
      </w:pPr>
      <w:r>
        <w:rPr>
          <w:rFonts w:ascii="宋体" w:hAnsi="宋体" w:cs="宋体"/>
          <w:color w:val="auto"/>
          <w:szCs w:val="21"/>
        </w:rPr>
        <w:t xml:space="preserve">(1)  </w:t>
      </w:r>
      <w:r>
        <w:rPr>
          <w:rFonts w:hint="eastAsia" w:ascii="宋体" w:hAnsi="宋体" w:cs="宋体"/>
          <w:color w:val="auto"/>
          <w:szCs w:val="21"/>
          <w:lang w:eastAsia="zh-CN"/>
        </w:rPr>
        <w:t>磋商函</w:t>
      </w:r>
      <w:r>
        <w:rPr>
          <w:rFonts w:hint="eastAsia" w:ascii="宋体" w:hAnsi="宋体" w:cs="宋体"/>
          <w:color w:val="auto"/>
          <w:szCs w:val="21"/>
        </w:rPr>
        <w:t>；</w:t>
      </w:r>
    </w:p>
    <w:p>
      <w:pPr>
        <w:spacing w:line="360" w:lineRule="auto"/>
        <w:ind w:left="126" w:leftChars="60" w:firstLine="298" w:firstLineChars="142"/>
        <w:rPr>
          <w:rFonts w:ascii="宋体" w:cs="宋体"/>
          <w:color w:val="auto"/>
          <w:szCs w:val="21"/>
        </w:rPr>
      </w:pPr>
      <w:r>
        <w:rPr>
          <w:rFonts w:ascii="宋体" w:hAnsi="宋体" w:cs="宋体"/>
          <w:color w:val="auto"/>
          <w:szCs w:val="21"/>
        </w:rPr>
        <w:t xml:space="preserve">(2)  </w:t>
      </w:r>
      <w:r>
        <w:rPr>
          <w:rFonts w:hint="eastAsia" w:ascii="宋体" w:hAnsi="宋体" w:cs="宋体"/>
          <w:color w:val="auto"/>
          <w:szCs w:val="21"/>
          <w:lang w:eastAsia="zh-CN"/>
        </w:rPr>
        <w:t>磋商函</w:t>
      </w:r>
      <w:r>
        <w:rPr>
          <w:rFonts w:hint="eastAsia" w:ascii="宋体" w:hAnsi="宋体" w:cs="宋体"/>
          <w:color w:val="auto"/>
          <w:szCs w:val="21"/>
        </w:rPr>
        <w:t>附录；</w:t>
      </w:r>
    </w:p>
    <w:p>
      <w:pPr>
        <w:spacing w:line="360" w:lineRule="auto"/>
        <w:ind w:left="126" w:leftChars="60" w:firstLine="298" w:firstLineChars="142"/>
        <w:rPr>
          <w:rFonts w:ascii="宋体" w:cs="宋体"/>
          <w:color w:val="auto"/>
          <w:szCs w:val="21"/>
        </w:rPr>
      </w:pPr>
      <w:r>
        <w:rPr>
          <w:rFonts w:ascii="宋体" w:hAnsi="宋体" w:cs="宋体"/>
          <w:color w:val="auto"/>
          <w:szCs w:val="21"/>
        </w:rPr>
        <w:t xml:space="preserve">(3)  </w:t>
      </w:r>
      <w:r>
        <w:rPr>
          <w:rFonts w:hint="eastAsia" w:ascii="宋体" w:hAnsi="宋体" w:cs="宋体"/>
          <w:color w:val="auto"/>
          <w:szCs w:val="21"/>
          <w:lang w:eastAsia="zh-CN"/>
        </w:rPr>
        <w:t>磋商报价汇总表</w:t>
      </w:r>
      <w:r>
        <w:rPr>
          <w:rFonts w:hint="eastAsia" w:ascii="宋体" w:hAnsi="宋体" w:cs="宋体"/>
          <w:color w:val="auto"/>
          <w:szCs w:val="21"/>
        </w:rPr>
        <w:t>；</w:t>
      </w:r>
    </w:p>
    <w:p>
      <w:pPr>
        <w:spacing w:line="360" w:lineRule="auto"/>
        <w:ind w:left="126" w:leftChars="60" w:firstLine="298" w:firstLineChars="142"/>
        <w:rPr>
          <w:rFonts w:ascii="宋体" w:cs="宋体"/>
          <w:color w:val="auto"/>
          <w:szCs w:val="21"/>
        </w:rPr>
      </w:pPr>
      <w:r>
        <w:rPr>
          <w:rFonts w:ascii="宋体" w:hAnsi="宋体" w:cs="宋体"/>
          <w:color w:val="auto"/>
          <w:szCs w:val="21"/>
        </w:rPr>
        <w:t xml:space="preserve">(4)  </w:t>
      </w:r>
      <w:r>
        <w:rPr>
          <w:rFonts w:hint="eastAsia" w:ascii="宋体" w:hAnsi="宋体" w:cs="宋体"/>
          <w:color w:val="auto"/>
          <w:szCs w:val="21"/>
        </w:rPr>
        <w:t>已标价工程量清单；</w:t>
      </w:r>
    </w:p>
    <w:p>
      <w:pPr>
        <w:pStyle w:val="2"/>
        <w:ind w:firstLine="211" w:firstLineChars="100"/>
        <w:rPr>
          <w:rFonts w:ascii="宋体" w:hAnsi="宋体" w:cs="宋体"/>
          <w:b/>
          <w:bCs w:val="0"/>
          <w:color w:val="auto"/>
          <w:spacing w:val="0"/>
          <w:kern w:val="0"/>
          <w:sz w:val="21"/>
          <w:szCs w:val="21"/>
        </w:rPr>
      </w:pPr>
      <w:r>
        <w:rPr>
          <w:rFonts w:hint="eastAsia" w:ascii="宋体" w:hAnsi="宋体" w:cs="宋体"/>
          <w:b/>
          <w:bCs w:val="0"/>
          <w:color w:val="auto"/>
          <w:spacing w:val="0"/>
          <w:kern w:val="0"/>
          <w:sz w:val="21"/>
          <w:szCs w:val="21"/>
        </w:rPr>
        <w:t>11.4 技术标部分应包含以下内容：</w:t>
      </w:r>
    </w:p>
    <w:p>
      <w:pPr>
        <w:spacing w:line="360" w:lineRule="auto"/>
        <w:ind w:firstLine="210" w:firstLineChars="100"/>
        <w:rPr>
          <w:color w:val="auto"/>
        </w:rPr>
      </w:pPr>
      <w:r>
        <w:rPr>
          <w:color w:val="auto"/>
        </w:rPr>
        <w:t>（1）施工组织设计；</w:t>
      </w:r>
    </w:p>
    <w:p>
      <w:pPr>
        <w:spacing w:line="360" w:lineRule="auto"/>
        <w:ind w:firstLine="210" w:firstLineChars="100"/>
        <w:rPr>
          <w:rFonts w:ascii="宋体" w:hAnsi="宋体" w:cs="宋体"/>
          <w:b/>
          <w:color w:val="auto"/>
          <w:kern w:val="0"/>
          <w:szCs w:val="21"/>
        </w:rPr>
      </w:pPr>
      <w:r>
        <w:rPr>
          <w:color w:val="auto"/>
        </w:rPr>
        <w:t>（2）项目管理机构。</w:t>
      </w:r>
    </w:p>
    <w:p>
      <w:pPr>
        <w:pStyle w:val="6"/>
        <w:spacing w:line="360" w:lineRule="auto"/>
        <w:ind w:firstLine="422" w:firstLineChars="200"/>
        <w:rPr>
          <w:rFonts w:ascii="宋体" w:hAnsi="宋体" w:eastAsia="宋体" w:cs="宋体"/>
          <w:color w:val="auto"/>
          <w:kern w:val="0"/>
          <w:sz w:val="21"/>
          <w:szCs w:val="21"/>
        </w:rPr>
      </w:pPr>
      <w:bookmarkStart w:id="169" w:name="_Toc23111"/>
      <w:bookmarkStart w:id="170" w:name="_Toc14383"/>
      <w:bookmarkStart w:id="171" w:name="_Toc14611"/>
      <w:r>
        <w:rPr>
          <w:rFonts w:ascii="宋体" w:hAnsi="宋体" w:eastAsia="宋体" w:cs="宋体"/>
          <w:color w:val="auto"/>
          <w:kern w:val="0"/>
          <w:sz w:val="21"/>
          <w:szCs w:val="21"/>
        </w:rPr>
        <w:t xml:space="preserve">12. </w:t>
      </w:r>
      <w:r>
        <w:rPr>
          <w:rFonts w:hint="eastAsia" w:ascii="宋体" w:hAnsi="宋体" w:eastAsia="宋体" w:cs="宋体"/>
          <w:color w:val="auto"/>
          <w:kern w:val="0"/>
          <w:sz w:val="21"/>
          <w:szCs w:val="21"/>
        </w:rPr>
        <w:t>响应文件格式</w:t>
      </w:r>
      <w:bookmarkEnd w:id="166"/>
      <w:bookmarkEnd w:id="167"/>
      <w:bookmarkEnd w:id="168"/>
      <w:bookmarkEnd w:id="169"/>
      <w:bookmarkEnd w:id="170"/>
      <w:bookmarkEnd w:id="171"/>
    </w:p>
    <w:p>
      <w:pPr>
        <w:spacing w:line="360" w:lineRule="auto"/>
        <w:rPr>
          <w:rFonts w:ascii="宋体" w:cs="宋体"/>
          <w:color w:val="auto"/>
          <w:szCs w:val="21"/>
        </w:rPr>
      </w:pPr>
      <w:r>
        <w:rPr>
          <w:rFonts w:ascii="宋体" w:hAnsi="宋体" w:cs="宋体"/>
          <w:color w:val="auto"/>
          <w:szCs w:val="21"/>
        </w:rPr>
        <w:t xml:space="preserve">    12.1  </w:t>
      </w:r>
      <w:r>
        <w:rPr>
          <w:rFonts w:hint="eastAsia" w:ascii="宋体" w:hAnsi="宋体" w:cs="宋体"/>
          <w:color w:val="auto"/>
          <w:szCs w:val="21"/>
        </w:rPr>
        <w:t>响应文件包括本须知第</w:t>
      </w:r>
      <w:r>
        <w:rPr>
          <w:rFonts w:ascii="宋体" w:hAnsi="宋体" w:cs="宋体"/>
          <w:color w:val="auto"/>
          <w:szCs w:val="21"/>
        </w:rPr>
        <w:t>11</w:t>
      </w:r>
      <w:r>
        <w:rPr>
          <w:rFonts w:hint="eastAsia" w:ascii="宋体" w:hAnsi="宋体" w:cs="宋体"/>
          <w:color w:val="auto"/>
          <w:szCs w:val="21"/>
        </w:rPr>
        <w:t>条规定的内容，磋商单位提交的响应文件应当使用竞争性磋商采购文件所提供的全部格式（表格可以按同样格式扩展）。</w:t>
      </w:r>
    </w:p>
    <w:p>
      <w:pPr>
        <w:pStyle w:val="6"/>
        <w:spacing w:line="360" w:lineRule="auto"/>
        <w:ind w:firstLine="422" w:firstLineChars="200"/>
        <w:rPr>
          <w:rFonts w:ascii="宋体" w:hAnsi="宋体" w:eastAsia="宋体" w:cs="宋体"/>
          <w:color w:val="auto"/>
          <w:sz w:val="21"/>
          <w:szCs w:val="21"/>
        </w:rPr>
      </w:pPr>
      <w:bookmarkStart w:id="172" w:name="_Toc23582298"/>
      <w:bookmarkStart w:id="173" w:name="_Toc74156199"/>
      <w:bookmarkStart w:id="174" w:name="_Toc243584247"/>
      <w:bookmarkStart w:id="175" w:name="_Toc29153327"/>
      <w:bookmarkStart w:id="176" w:name="_Toc5008"/>
      <w:bookmarkStart w:id="177" w:name="_Toc142383021"/>
      <w:bookmarkStart w:id="178" w:name="_Toc21600"/>
      <w:bookmarkStart w:id="179" w:name="_Toc17509"/>
      <w:r>
        <w:rPr>
          <w:rFonts w:ascii="宋体" w:hAnsi="宋体" w:eastAsia="宋体" w:cs="宋体"/>
          <w:color w:val="auto"/>
          <w:sz w:val="21"/>
          <w:szCs w:val="21"/>
        </w:rPr>
        <w:t xml:space="preserve">13. </w:t>
      </w:r>
      <w:bookmarkEnd w:id="172"/>
      <w:r>
        <w:rPr>
          <w:rFonts w:hint="eastAsia" w:ascii="宋体" w:hAnsi="宋体" w:eastAsia="宋体" w:cs="宋体"/>
          <w:color w:val="auto"/>
          <w:sz w:val="21"/>
          <w:szCs w:val="21"/>
        </w:rPr>
        <w:t>磋商报价</w:t>
      </w:r>
      <w:bookmarkEnd w:id="173"/>
      <w:r>
        <w:rPr>
          <w:rFonts w:hint="eastAsia" w:ascii="宋体" w:hAnsi="宋体" w:eastAsia="宋体" w:cs="宋体"/>
          <w:color w:val="auto"/>
          <w:sz w:val="21"/>
          <w:szCs w:val="21"/>
        </w:rPr>
        <w:t>及工程</w:t>
      </w:r>
      <w:bookmarkEnd w:id="174"/>
      <w:bookmarkEnd w:id="175"/>
      <w:bookmarkEnd w:id="176"/>
      <w:bookmarkEnd w:id="177"/>
      <w:r>
        <w:rPr>
          <w:rFonts w:hint="eastAsia" w:ascii="宋体" w:hAnsi="宋体" w:eastAsia="宋体" w:cs="宋体"/>
          <w:color w:val="auto"/>
          <w:sz w:val="21"/>
          <w:szCs w:val="21"/>
        </w:rPr>
        <w:t>招标控制价</w:t>
      </w:r>
      <w:bookmarkEnd w:id="178"/>
      <w:bookmarkEnd w:id="179"/>
    </w:p>
    <w:p>
      <w:pPr>
        <w:tabs>
          <w:tab w:val="left" w:pos="2160"/>
        </w:tabs>
        <w:autoSpaceDE w:val="0"/>
        <w:autoSpaceDN w:val="0"/>
        <w:adjustRightInd w:val="0"/>
        <w:spacing w:line="360" w:lineRule="auto"/>
        <w:ind w:right="84" w:firstLine="414" w:firstLineChars="200"/>
        <w:rPr>
          <w:rFonts w:ascii="宋体" w:cs="宋体"/>
          <w:b/>
          <w:color w:val="auto"/>
          <w:spacing w:val="-2"/>
          <w:kern w:val="0"/>
          <w:szCs w:val="21"/>
        </w:rPr>
      </w:pPr>
      <w:r>
        <w:rPr>
          <w:rFonts w:ascii="宋体" w:hAnsi="宋体" w:cs="宋体"/>
          <w:b/>
          <w:color w:val="auto"/>
          <w:spacing w:val="-2"/>
          <w:kern w:val="0"/>
          <w:szCs w:val="21"/>
        </w:rPr>
        <w:t xml:space="preserve">13.1  </w:t>
      </w:r>
      <w:r>
        <w:rPr>
          <w:rFonts w:hint="eastAsia" w:ascii="宋体" w:hAnsi="宋体" w:cs="宋体"/>
          <w:b/>
          <w:color w:val="auto"/>
          <w:spacing w:val="-2"/>
          <w:kern w:val="0"/>
          <w:szCs w:val="21"/>
        </w:rPr>
        <w:t>磋商报价</w:t>
      </w:r>
    </w:p>
    <w:p>
      <w:pPr>
        <w:tabs>
          <w:tab w:val="left" w:pos="2160"/>
        </w:tabs>
        <w:autoSpaceDE w:val="0"/>
        <w:autoSpaceDN w:val="0"/>
        <w:adjustRightInd w:val="0"/>
        <w:spacing w:line="360" w:lineRule="auto"/>
        <w:ind w:right="84" w:firstLine="414" w:firstLineChars="200"/>
        <w:rPr>
          <w:rFonts w:ascii="宋体" w:cs="宋体"/>
          <w:color w:val="auto"/>
          <w:spacing w:val="-2"/>
          <w:kern w:val="0"/>
          <w:szCs w:val="21"/>
        </w:rPr>
      </w:pPr>
      <w:r>
        <w:rPr>
          <w:rFonts w:hint="eastAsia" w:ascii="宋体" w:hAnsi="宋体" w:cs="宋体"/>
          <w:b/>
          <w:color w:val="auto"/>
          <w:spacing w:val="-2"/>
          <w:kern w:val="0"/>
          <w:szCs w:val="21"/>
        </w:rPr>
        <w:t>本项目的报价要求为二次报价。</w:t>
      </w:r>
      <w:r>
        <w:rPr>
          <w:rFonts w:hint="eastAsia" w:ascii="宋体" w:hAnsi="宋体" w:cs="宋体"/>
          <w:color w:val="auto"/>
          <w:spacing w:val="-2"/>
          <w:kern w:val="0"/>
          <w:szCs w:val="21"/>
        </w:rPr>
        <w:t>磋商小组以磋商单位所提交的响应文件为依据，在各磋商单位的资格条件、响应文件均响应竞争性磋商采购文件的各项要求，竞标报价均在有效报价范围内的前提下，磋商小组将组织对报价进行谈判。</w:t>
      </w:r>
    </w:p>
    <w:p>
      <w:pPr>
        <w:tabs>
          <w:tab w:val="left" w:pos="2160"/>
        </w:tabs>
        <w:autoSpaceDE w:val="0"/>
        <w:autoSpaceDN w:val="0"/>
        <w:adjustRightInd w:val="0"/>
        <w:spacing w:line="360" w:lineRule="auto"/>
        <w:ind w:right="84" w:firstLine="412" w:firstLineChars="200"/>
        <w:rPr>
          <w:rFonts w:ascii="宋体" w:cs="宋体"/>
          <w:color w:val="auto"/>
          <w:spacing w:val="-2"/>
          <w:kern w:val="0"/>
          <w:szCs w:val="21"/>
        </w:rPr>
      </w:pPr>
      <w:r>
        <w:rPr>
          <w:rFonts w:ascii="宋体" w:hAnsi="宋体" w:cs="宋体"/>
          <w:color w:val="auto"/>
          <w:spacing w:val="-2"/>
          <w:kern w:val="0"/>
          <w:szCs w:val="21"/>
        </w:rPr>
        <w:t xml:space="preserve">13.1.1  </w:t>
      </w:r>
      <w:r>
        <w:rPr>
          <w:rFonts w:hint="eastAsia" w:ascii="宋体" w:hAnsi="宋体" w:cs="宋体"/>
          <w:color w:val="auto"/>
          <w:spacing w:val="-2"/>
          <w:kern w:val="0"/>
          <w:szCs w:val="21"/>
        </w:rPr>
        <w:t>本工程采用</w:t>
      </w:r>
      <w:r>
        <w:rPr>
          <w:rFonts w:hint="eastAsia" w:hAnsi="宋体"/>
          <w:b/>
          <w:color w:val="auto"/>
          <w:szCs w:val="21"/>
          <w:u w:val="single"/>
        </w:rPr>
        <w:t>固定综合单价</w:t>
      </w:r>
      <w:r>
        <w:rPr>
          <w:rFonts w:hint="eastAsia" w:ascii="宋体" w:hAnsi="宋体" w:cs="宋体"/>
          <w:color w:val="auto"/>
          <w:spacing w:val="-2"/>
          <w:kern w:val="0"/>
          <w:szCs w:val="21"/>
        </w:rPr>
        <w:t>合同方式</w:t>
      </w:r>
    </w:p>
    <w:p>
      <w:pPr>
        <w:tabs>
          <w:tab w:val="left" w:pos="2160"/>
        </w:tabs>
        <w:autoSpaceDE w:val="0"/>
        <w:autoSpaceDN w:val="0"/>
        <w:adjustRightInd w:val="0"/>
        <w:spacing w:line="360" w:lineRule="auto"/>
        <w:ind w:right="84" w:firstLine="412" w:firstLineChars="200"/>
        <w:rPr>
          <w:rFonts w:ascii="宋体" w:cs="宋体"/>
          <w:color w:val="auto"/>
          <w:spacing w:val="-2"/>
          <w:kern w:val="0"/>
          <w:szCs w:val="21"/>
        </w:rPr>
      </w:pPr>
      <w:r>
        <w:rPr>
          <w:rFonts w:ascii="宋体" w:hAnsi="宋体" w:cs="宋体"/>
          <w:color w:val="auto"/>
          <w:spacing w:val="-2"/>
          <w:kern w:val="0"/>
          <w:szCs w:val="21"/>
        </w:rPr>
        <w:t xml:space="preserve">13.1.2  </w:t>
      </w:r>
      <w:r>
        <w:rPr>
          <w:rFonts w:hint="eastAsia" w:ascii="宋体" w:hAnsi="宋体" w:cs="宋体"/>
          <w:color w:val="auto"/>
          <w:spacing w:val="-2"/>
          <w:kern w:val="0"/>
          <w:szCs w:val="21"/>
        </w:rPr>
        <w:t>竞标报价为磋商单位在响应文件中提出的各项支付金额的总和。</w:t>
      </w:r>
    </w:p>
    <w:p>
      <w:pPr>
        <w:tabs>
          <w:tab w:val="left" w:pos="2160"/>
        </w:tabs>
        <w:autoSpaceDE w:val="0"/>
        <w:autoSpaceDN w:val="0"/>
        <w:adjustRightInd w:val="0"/>
        <w:spacing w:line="360" w:lineRule="auto"/>
        <w:ind w:right="84" w:firstLine="412" w:firstLineChars="200"/>
        <w:rPr>
          <w:rFonts w:ascii="宋体" w:cs="宋体"/>
          <w:color w:val="auto"/>
          <w:spacing w:val="-2"/>
          <w:kern w:val="0"/>
          <w:szCs w:val="21"/>
        </w:rPr>
      </w:pPr>
      <w:r>
        <w:rPr>
          <w:rFonts w:ascii="宋体" w:hAnsi="宋体" w:cs="宋体"/>
          <w:color w:val="auto"/>
          <w:spacing w:val="-2"/>
          <w:kern w:val="0"/>
          <w:szCs w:val="21"/>
        </w:rPr>
        <w:t xml:space="preserve">13.1.3  </w:t>
      </w:r>
      <w:r>
        <w:rPr>
          <w:rFonts w:hint="eastAsia" w:ascii="宋体" w:hAnsi="宋体" w:cs="宋体"/>
          <w:color w:val="auto"/>
          <w:spacing w:val="-2"/>
          <w:kern w:val="0"/>
          <w:szCs w:val="21"/>
        </w:rPr>
        <w:t>磋商单位的竞标报价，应以在要求工期内完成本采购工程范围的全部内容为依据，不得以任何理由重复计算。</w:t>
      </w:r>
    </w:p>
    <w:p>
      <w:pPr>
        <w:tabs>
          <w:tab w:val="left" w:pos="2160"/>
        </w:tabs>
        <w:autoSpaceDE w:val="0"/>
        <w:autoSpaceDN w:val="0"/>
        <w:adjustRightInd w:val="0"/>
        <w:spacing w:line="360" w:lineRule="auto"/>
        <w:ind w:right="70" w:firstLine="412" w:firstLineChars="200"/>
        <w:rPr>
          <w:rFonts w:ascii="宋体" w:cs="宋体"/>
          <w:color w:val="auto"/>
          <w:spacing w:val="-2"/>
          <w:kern w:val="0"/>
          <w:szCs w:val="21"/>
        </w:rPr>
      </w:pPr>
      <w:r>
        <w:rPr>
          <w:rFonts w:ascii="宋体" w:hAnsi="宋体" w:cs="宋体"/>
          <w:color w:val="auto"/>
          <w:spacing w:val="-2"/>
          <w:kern w:val="0"/>
          <w:szCs w:val="21"/>
        </w:rPr>
        <w:t xml:space="preserve">13.1.4  </w:t>
      </w:r>
      <w:r>
        <w:rPr>
          <w:rFonts w:hint="eastAsia" w:ascii="宋体" w:hAnsi="宋体" w:cs="宋体"/>
          <w:color w:val="auto"/>
          <w:spacing w:val="-2"/>
          <w:kern w:val="0"/>
          <w:szCs w:val="21"/>
        </w:rPr>
        <w:t>除非采购人对竞争性磋商采购文件进行修改，磋商单位应按采购人提供的工程量清单中列出工程项目和工程量填报单价和合价。每一项目只允许有一个报价。任何有选择的报价将不予接受。磋商单位未填报单价或合价的工程项目，承包人必须实施且在实施后，采购人将不予支付，并视为该项费用已包括在其他有价款的单价或合价内。无工程量的项目不能报价，否则作无效标处理。</w:t>
      </w:r>
    </w:p>
    <w:p>
      <w:pPr>
        <w:tabs>
          <w:tab w:val="left" w:pos="2160"/>
        </w:tabs>
        <w:autoSpaceDE w:val="0"/>
        <w:autoSpaceDN w:val="0"/>
        <w:adjustRightInd w:val="0"/>
        <w:spacing w:line="360" w:lineRule="auto"/>
        <w:ind w:right="84" w:firstLine="469" w:firstLineChars="228"/>
        <w:rPr>
          <w:rFonts w:ascii="宋体" w:cs="宋体"/>
          <w:color w:val="auto"/>
          <w:spacing w:val="-2"/>
          <w:kern w:val="0"/>
          <w:szCs w:val="21"/>
        </w:rPr>
      </w:pPr>
      <w:r>
        <w:rPr>
          <w:rFonts w:ascii="宋体" w:hAnsi="宋体" w:cs="宋体"/>
          <w:color w:val="auto"/>
          <w:spacing w:val="-2"/>
          <w:kern w:val="0"/>
          <w:szCs w:val="21"/>
        </w:rPr>
        <w:t xml:space="preserve">13.1.5  </w:t>
      </w:r>
      <w:r>
        <w:rPr>
          <w:rFonts w:hint="eastAsia" w:ascii="宋体" w:hAnsi="宋体" w:cs="宋体"/>
          <w:color w:val="auto"/>
          <w:spacing w:val="-2"/>
          <w:kern w:val="0"/>
          <w:szCs w:val="21"/>
        </w:rPr>
        <w:t>磋商单位工程量清单总报价应包括完成该工程项目的成本、利润、税金、技术措施费、大型机械进出场费、风险费、一般性检测费、政策性文件规定费用等所有费用。磋商单位所填报的综合单价在合同实施期间不因市场价格变化因素而变动，磋商单位在报价时应考虑各种风险和承受能力。</w:t>
      </w:r>
    </w:p>
    <w:p>
      <w:pPr>
        <w:tabs>
          <w:tab w:val="left" w:pos="2160"/>
        </w:tabs>
        <w:autoSpaceDE w:val="0"/>
        <w:autoSpaceDN w:val="0"/>
        <w:adjustRightInd w:val="0"/>
        <w:spacing w:line="360" w:lineRule="auto"/>
        <w:ind w:right="84" w:firstLine="420" w:firstLineChars="200"/>
        <w:rPr>
          <w:rFonts w:ascii="宋体" w:cs="宋体"/>
          <w:color w:val="auto"/>
          <w:szCs w:val="21"/>
        </w:rPr>
      </w:pPr>
      <w:r>
        <w:rPr>
          <w:rFonts w:ascii="宋体" w:hAnsi="宋体" w:cs="宋体"/>
          <w:color w:val="auto"/>
          <w:szCs w:val="21"/>
        </w:rPr>
        <w:t xml:space="preserve">13.1.6  </w:t>
      </w:r>
      <w:r>
        <w:rPr>
          <w:rFonts w:hint="eastAsia" w:ascii="宋体" w:hAnsi="宋体" w:cs="宋体"/>
          <w:color w:val="auto"/>
          <w:szCs w:val="21"/>
        </w:rPr>
        <w:t>磋商单位应先到工地踏勘以充分了解工地位置、情况、道路、储存空间、装卸限制及任何其他足以影响承包价的情况，任何因忽视或误解工地情况而导致的索赔或工期延长申请将不获批准。</w:t>
      </w:r>
    </w:p>
    <w:p>
      <w:pPr>
        <w:spacing w:line="360" w:lineRule="auto"/>
        <w:ind w:firstLine="415" w:firstLineChars="198"/>
        <w:rPr>
          <w:rFonts w:ascii="宋体" w:cs="宋体"/>
          <w:b/>
          <w:color w:val="auto"/>
          <w:szCs w:val="21"/>
          <w:u w:val="single"/>
        </w:rPr>
      </w:pPr>
      <w:r>
        <w:rPr>
          <w:rFonts w:ascii="宋体" w:hAnsi="宋体" w:cs="宋体"/>
          <w:color w:val="auto"/>
          <w:szCs w:val="21"/>
        </w:rPr>
        <w:t xml:space="preserve">13.1.7  </w:t>
      </w:r>
      <w:r>
        <w:rPr>
          <w:rFonts w:hint="eastAsia" w:ascii="宋体" w:hAnsi="宋体" w:cs="宋体"/>
          <w:color w:val="auto"/>
          <w:szCs w:val="21"/>
        </w:rPr>
        <w:t>承包人的临时占地（含预制厂、料厂、拌和站、借弃土场、项目部驻地等）租用费（含拆迁补偿）、临时用地的环保、恢复及所有临时性占地的青苗补偿及地面附着物补偿发生的费用均由承包人负责；由于承包人原因引起工期延长造成承包人临时占地的租用费增加由承包人负责并在竞标报价中综合考虑。采购人不提供取土点、弃土点，有关土石方挖、填、弃的超运、场地恢复、道路修复、土石方平整、压实、检测等一切作业以及运输过程中所发生的一切费用均应考虑在相关单价中，以综合单价包干。土石方按市场报价，土石方运距由磋商单位按所能承受能力自行考虑。</w:t>
      </w:r>
    </w:p>
    <w:p>
      <w:pPr>
        <w:tabs>
          <w:tab w:val="left" w:pos="2160"/>
        </w:tabs>
        <w:autoSpaceDE w:val="0"/>
        <w:autoSpaceDN w:val="0"/>
        <w:adjustRightInd w:val="0"/>
        <w:spacing w:line="360" w:lineRule="auto"/>
        <w:ind w:right="84" w:firstLine="420" w:firstLineChars="200"/>
        <w:rPr>
          <w:rFonts w:ascii="宋体" w:cs="宋体"/>
          <w:color w:val="auto"/>
          <w:szCs w:val="21"/>
        </w:rPr>
      </w:pPr>
      <w:r>
        <w:rPr>
          <w:rFonts w:ascii="宋体" w:hAnsi="宋体" w:cs="宋体"/>
          <w:color w:val="auto"/>
          <w:szCs w:val="21"/>
        </w:rPr>
        <w:t xml:space="preserve">13.1.8  </w:t>
      </w:r>
      <w:r>
        <w:rPr>
          <w:rFonts w:hint="eastAsia" w:ascii="宋体" w:hAnsi="宋体" w:cs="宋体"/>
          <w:color w:val="auto"/>
          <w:szCs w:val="21"/>
        </w:rPr>
        <w:t>承包人承担本工程所需配备的水电设备（如变压器、电路等）及其使用（如施工用水电费用）、维护、拆除、修复等费用由承包人负责。以上费用在竞标报价中综合考虑。</w:t>
      </w:r>
    </w:p>
    <w:p>
      <w:pPr>
        <w:tabs>
          <w:tab w:val="left" w:pos="2160"/>
        </w:tabs>
        <w:autoSpaceDE w:val="0"/>
        <w:autoSpaceDN w:val="0"/>
        <w:adjustRightInd w:val="0"/>
        <w:spacing w:line="360" w:lineRule="auto"/>
        <w:ind w:right="84" w:firstLine="412" w:firstLineChars="200"/>
        <w:rPr>
          <w:rFonts w:ascii="宋体" w:cs="宋体"/>
          <w:color w:val="auto"/>
          <w:szCs w:val="21"/>
        </w:rPr>
      </w:pPr>
      <w:r>
        <w:rPr>
          <w:rFonts w:ascii="宋体" w:hAnsi="宋体" w:cs="宋体"/>
          <w:color w:val="auto"/>
          <w:spacing w:val="-2"/>
          <w:kern w:val="0"/>
          <w:szCs w:val="21"/>
        </w:rPr>
        <w:t xml:space="preserve">13.1.9  </w:t>
      </w:r>
      <w:r>
        <w:rPr>
          <w:rFonts w:hint="eastAsia" w:ascii="宋体" w:hAnsi="宋体" w:cs="宋体"/>
          <w:color w:val="auto"/>
          <w:szCs w:val="21"/>
        </w:rPr>
        <w:t>与本采购工程项目有关的技术规范要求的费用应包括在竞标报价中。</w:t>
      </w:r>
    </w:p>
    <w:p>
      <w:pPr>
        <w:tabs>
          <w:tab w:val="left" w:pos="2160"/>
        </w:tabs>
        <w:autoSpaceDE w:val="0"/>
        <w:autoSpaceDN w:val="0"/>
        <w:adjustRightInd w:val="0"/>
        <w:spacing w:line="360" w:lineRule="auto"/>
        <w:ind w:right="85" w:firstLine="420" w:firstLineChars="200"/>
        <w:rPr>
          <w:rFonts w:ascii="宋体" w:cs="宋体"/>
          <w:bCs/>
          <w:color w:val="auto"/>
          <w:szCs w:val="21"/>
        </w:rPr>
      </w:pPr>
      <w:r>
        <w:rPr>
          <w:rFonts w:ascii="宋体" w:hAnsi="宋体" w:cs="宋体"/>
          <w:color w:val="auto"/>
          <w:szCs w:val="21"/>
        </w:rPr>
        <w:t xml:space="preserve">13.1.10  </w:t>
      </w:r>
      <w:r>
        <w:rPr>
          <w:rFonts w:hint="eastAsia" w:ascii="宋体" w:hAnsi="宋体" w:cs="宋体"/>
          <w:bCs/>
          <w:color w:val="auto"/>
          <w:szCs w:val="21"/>
        </w:rPr>
        <w:t>磋商单位应按照采购人提供的工程量清单进行报价并对自己所填写的项目编号、项目名称、计量单位、工程数量负责。评标时，如项目编号与项目名称不一致，以项目编号为准；如项目编号与计量单位、工程数量无法一一对应，该清单项目作废，该清单项目的费用视为包含在其它清单项目中；如作废的清单项目达到</w:t>
      </w:r>
      <w:r>
        <w:rPr>
          <w:rFonts w:ascii="宋体" w:hAnsi="宋体" w:cs="宋体"/>
          <w:bCs/>
          <w:color w:val="auto"/>
          <w:szCs w:val="21"/>
        </w:rPr>
        <w:t>3</w:t>
      </w:r>
      <w:r>
        <w:rPr>
          <w:rFonts w:hint="eastAsia" w:ascii="宋体" w:hAnsi="宋体" w:cs="宋体"/>
          <w:bCs/>
          <w:color w:val="auto"/>
          <w:szCs w:val="21"/>
        </w:rPr>
        <w:t>项以上（含</w:t>
      </w:r>
      <w:r>
        <w:rPr>
          <w:rFonts w:ascii="宋体" w:hAnsi="宋体" w:cs="宋体"/>
          <w:bCs/>
          <w:color w:val="auto"/>
          <w:szCs w:val="21"/>
        </w:rPr>
        <w:t>3</w:t>
      </w:r>
      <w:r>
        <w:rPr>
          <w:rFonts w:hint="eastAsia" w:ascii="宋体" w:hAnsi="宋体" w:cs="宋体"/>
          <w:bCs/>
          <w:color w:val="auto"/>
          <w:szCs w:val="21"/>
        </w:rPr>
        <w:t>项）或作废的清单项目造价累计超过单位工程竞标报价的</w:t>
      </w:r>
      <w:r>
        <w:rPr>
          <w:rFonts w:ascii="宋体" w:hAnsi="宋体" w:cs="宋体"/>
          <w:bCs/>
          <w:color w:val="auto"/>
          <w:szCs w:val="21"/>
        </w:rPr>
        <w:t>2%</w:t>
      </w:r>
      <w:r>
        <w:rPr>
          <w:rFonts w:hint="eastAsia" w:ascii="宋体" w:hAnsi="宋体" w:cs="宋体"/>
          <w:bCs/>
          <w:color w:val="auto"/>
          <w:szCs w:val="21"/>
        </w:rPr>
        <w:t>（含</w:t>
      </w:r>
      <w:r>
        <w:rPr>
          <w:rFonts w:ascii="宋体" w:hAnsi="宋体" w:cs="宋体"/>
          <w:bCs/>
          <w:color w:val="auto"/>
          <w:szCs w:val="21"/>
        </w:rPr>
        <w:t>2%</w:t>
      </w:r>
      <w:r>
        <w:rPr>
          <w:rFonts w:hint="eastAsia" w:ascii="宋体" w:hAnsi="宋体" w:cs="宋体"/>
          <w:bCs/>
          <w:color w:val="auto"/>
          <w:szCs w:val="21"/>
        </w:rPr>
        <w:t>）的，视为不响应竞争性磋商采购文件实质性内容，作无效标处理。</w:t>
      </w:r>
    </w:p>
    <w:p>
      <w:pPr>
        <w:tabs>
          <w:tab w:val="left" w:pos="2160"/>
        </w:tabs>
        <w:autoSpaceDE w:val="0"/>
        <w:autoSpaceDN w:val="0"/>
        <w:adjustRightInd w:val="0"/>
        <w:spacing w:line="360" w:lineRule="auto"/>
        <w:ind w:right="85" w:firstLine="469" w:firstLineChars="228"/>
        <w:rPr>
          <w:rFonts w:ascii="宋体" w:cs="宋体"/>
          <w:bCs/>
          <w:color w:val="auto"/>
          <w:szCs w:val="21"/>
        </w:rPr>
      </w:pPr>
      <w:r>
        <w:rPr>
          <w:rFonts w:ascii="宋体" w:hAnsi="宋体" w:cs="宋体"/>
          <w:bCs/>
          <w:color w:val="auto"/>
          <w:spacing w:val="-2"/>
          <w:kern w:val="0"/>
          <w:szCs w:val="21"/>
        </w:rPr>
        <w:t xml:space="preserve">13.1.11  </w:t>
      </w:r>
      <w:r>
        <w:rPr>
          <w:rFonts w:hint="eastAsia" w:ascii="宋体" w:hAnsi="宋体" w:cs="宋体"/>
          <w:bCs/>
          <w:color w:val="auto"/>
          <w:spacing w:val="-2"/>
          <w:kern w:val="0"/>
          <w:szCs w:val="21"/>
        </w:rPr>
        <w:t>磋商单位应采用综合单价进行工程量清单报价，不得采用总价让利或以百分比让利等形式报价。</w:t>
      </w:r>
      <w:r>
        <w:rPr>
          <w:rFonts w:hint="eastAsia" w:ascii="宋体" w:hAnsi="宋体" w:cs="宋体"/>
          <w:bCs/>
          <w:color w:val="auto"/>
          <w:szCs w:val="21"/>
        </w:rPr>
        <w:t>工程量清单总造价与</w:t>
      </w:r>
      <w:r>
        <w:rPr>
          <w:rFonts w:hint="eastAsia" w:ascii="宋体" w:hAnsi="宋体" w:cs="宋体"/>
          <w:bCs/>
          <w:color w:val="auto"/>
          <w:szCs w:val="21"/>
          <w:lang w:eastAsia="zh-CN"/>
        </w:rPr>
        <w:t>磋商函</w:t>
      </w:r>
      <w:r>
        <w:rPr>
          <w:rFonts w:hint="eastAsia" w:ascii="宋体" w:hAnsi="宋体" w:cs="宋体"/>
          <w:bCs/>
          <w:color w:val="auto"/>
          <w:szCs w:val="21"/>
        </w:rPr>
        <w:t>中文字表示的竞标报价不相符的，作无效标处理。如在谈判报价过程中，磋商单位最终报价发生变化时，须提供相应的工程量清单报价表，否则属无效报价处理。</w:t>
      </w:r>
    </w:p>
    <w:p>
      <w:pPr>
        <w:tabs>
          <w:tab w:val="left" w:pos="2160"/>
        </w:tabs>
        <w:autoSpaceDE w:val="0"/>
        <w:autoSpaceDN w:val="0"/>
        <w:adjustRightInd w:val="0"/>
        <w:spacing w:line="360" w:lineRule="auto"/>
        <w:ind w:right="85" w:firstLine="472" w:firstLineChars="228"/>
        <w:rPr>
          <w:rFonts w:ascii="宋体" w:hAnsi="宋体" w:cs="宋体"/>
          <w:bCs/>
          <w:color w:val="auto"/>
          <w:szCs w:val="21"/>
        </w:rPr>
      </w:pPr>
      <w:r>
        <w:rPr>
          <w:rFonts w:ascii="宋体" w:hAnsi="宋体" w:cs="宋体"/>
          <w:b/>
          <w:color w:val="auto"/>
          <w:spacing w:val="-2"/>
          <w:kern w:val="0"/>
          <w:szCs w:val="21"/>
        </w:rPr>
        <w:t xml:space="preserve">13.2 </w:t>
      </w:r>
      <w:r>
        <w:rPr>
          <w:rFonts w:hint="eastAsia" w:ascii="宋体" w:hAnsi="宋体" w:cs="宋体"/>
          <w:b/>
          <w:color w:val="auto"/>
          <w:spacing w:val="-2"/>
          <w:kern w:val="0"/>
          <w:szCs w:val="21"/>
        </w:rPr>
        <w:t>工程招标控制价及竞标报价计算参考依据：</w:t>
      </w:r>
      <w:r>
        <w:rPr>
          <w:rFonts w:hint="eastAsia" w:ascii="宋体" w:hAnsi="宋体" w:cs="宋体"/>
          <w:bCs/>
          <w:color w:val="auto"/>
          <w:szCs w:val="21"/>
        </w:rPr>
        <w:t>详见工程量清单。</w:t>
      </w:r>
    </w:p>
    <w:p>
      <w:pPr>
        <w:tabs>
          <w:tab w:val="left" w:pos="2160"/>
        </w:tabs>
        <w:autoSpaceDE w:val="0"/>
        <w:autoSpaceDN w:val="0"/>
        <w:adjustRightInd w:val="0"/>
        <w:spacing w:line="360" w:lineRule="auto"/>
        <w:ind w:right="85" w:firstLine="414" w:firstLineChars="200"/>
        <w:rPr>
          <w:rFonts w:ascii="宋体" w:cs="宋体"/>
          <w:bCs/>
          <w:color w:val="auto"/>
          <w:szCs w:val="21"/>
        </w:rPr>
      </w:pPr>
      <w:r>
        <w:rPr>
          <w:rFonts w:ascii="宋体" w:hAnsi="宋体" w:cs="宋体"/>
          <w:b/>
          <w:color w:val="auto"/>
          <w:spacing w:val="-2"/>
          <w:kern w:val="0"/>
          <w:szCs w:val="21"/>
        </w:rPr>
        <w:t>13.3</w:t>
      </w:r>
      <w:r>
        <w:rPr>
          <w:rFonts w:hint="eastAsia" w:ascii="宋体" w:hAnsi="宋体" w:cs="宋体"/>
          <w:b/>
          <w:color w:val="auto"/>
          <w:spacing w:val="-2"/>
          <w:kern w:val="0"/>
          <w:szCs w:val="21"/>
        </w:rPr>
        <w:t>工程招标控制价</w:t>
      </w:r>
    </w:p>
    <w:p>
      <w:pPr>
        <w:tabs>
          <w:tab w:val="left" w:pos="2160"/>
        </w:tabs>
        <w:autoSpaceDE w:val="0"/>
        <w:autoSpaceDN w:val="0"/>
        <w:adjustRightInd w:val="0"/>
        <w:spacing w:line="360" w:lineRule="auto"/>
        <w:ind w:left="210" w:leftChars="100" w:right="85" w:firstLine="262" w:firstLineChars="125"/>
        <w:rPr>
          <w:rFonts w:ascii="宋体" w:cs="宋体"/>
          <w:bCs/>
          <w:color w:val="auto"/>
          <w:spacing w:val="-2"/>
          <w:kern w:val="0"/>
          <w:szCs w:val="21"/>
        </w:rPr>
      </w:pPr>
      <w:r>
        <w:rPr>
          <w:rFonts w:ascii="宋体" w:hAnsi="宋体" w:cs="宋体"/>
          <w:color w:val="auto"/>
          <w:szCs w:val="21"/>
        </w:rPr>
        <w:t>13.3.1</w:t>
      </w:r>
      <w:r>
        <w:rPr>
          <w:rFonts w:hint="eastAsia" w:ascii="宋体" w:hAnsi="宋体" w:cs="宋体"/>
          <w:b/>
          <w:color w:val="auto"/>
          <w:szCs w:val="21"/>
        </w:rPr>
        <w:t>本项</w:t>
      </w:r>
      <w:r>
        <w:rPr>
          <w:rFonts w:hint="eastAsia" w:ascii="宋体" w:hAnsi="宋体" w:cs="宋体"/>
          <w:b/>
          <w:color w:val="auto"/>
          <w:spacing w:val="-2"/>
          <w:kern w:val="0"/>
          <w:szCs w:val="21"/>
        </w:rPr>
        <w:t>目招标控制价为：</w:t>
      </w:r>
      <w:r>
        <w:rPr>
          <w:rFonts w:hint="eastAsia" w:ascii="宋体" w:hAnsi="宋体" w:cs="宋体"/>
          <w:bCs/>
          <w:color w:val="auto"/>
          <w:spacing w:val="-2"/>
          <w:kern w:val="0"/>
          <w:szCs w:val="21"/>
          <w:lang w:eastAsia="zh-CN"/>
        </w:rPr>
        <w:t>详见竞标须知前附表</w:t>
      </w:r>
      <w:r>
        <w:rPr>
          <w:rFonts w:hint="eastAsia" w:ascii="宋体" w:hAnsi="宋体" w:cs="宋体"/>
          <w:bCs/>
          <w:color w:val="auto"/>
          <w:spacing w:val="-2"/>
          <w:kern w:val="0"/>
          <w:szCs w:val="21"/>
        </w:rPr>
        <w:t>，磋商单位应认真对照施工设计图纸等文件核对采购人公布的工程招标控制价，如发现工程招标控制价的计算存在误差或有遗漏的，必须在提交响应文件截止时间</w:t>
      </w:r>
      <w:r>
        <w:rPr>
          <w:rFonts w:hint="eastAsia" w:ascii="宋体" w:hAnsi="宋体" w:cs="宋体"/>
          <w:bCs/>
          <w:color w:val="auto"/>
          <w:spacing w:val="-2"/>
          <w:kern w:val="0"/>
          <w:szCs w:val="21"/>
          <w:lang w:val="en-US" w:eastAsia="zh-CN"/>
        </w:rPr>
        <w:t>5</w:t>
      </w:r>
      <w:r>
        <w:rPr>
          <w:rFonts w:hint="eastAsia" w:ascii="宋体" w:hAnsi="宋体" w:cs="宋体"/>
          <w:bCs/>
          <w:color w:val="auto"/>
          <w:spacing w:val="-2"/>
          <w:kern w:val="0"/>
          <w:szCs w:val="21"/>
        </w:rPr>
        <w:t>日前向采购人提出书面异议或修正要求。采购人将对磋商单位提出的书面异议或修正要求进行核实。如采购人认为有必要对工程招标控制价进行修正的，在提交响应文件截止时间5日前将重新公布修正后的工程招标控制价。</w:t>
      </w:r>
    </w:p>
    <w:p>
      <w:pPr>
        <w:tabs>
          <w:tab w:val="left" w:pos="2160"/>
        </w:tabs>
        <w:autoSpaceDE w:val="0"/>
        <w:autoSpaceDN w:val="0"/>
        <w:adjustRightInd w:val="0"/>
        <w:spacing w:line="360" w:lineRule="auto"/>
        <w:ind w:right="85" w:firstLine="463" w:firstLineChars="225"/>
        <w:rPr>
          <w:rFonts w:ascii="宋体" w:cs="宋体"/>
          <w:bCs/>
          <w:color w:val="auto"/>
          <w:spacing w:val="-2"/>
          <w:kern w:val="0"/>
          <w:szCs w:val="21"/>
        </w:rPr>
      </w:pPr>
      <w:r>
        <w:rPr>
          <w:rFonts w:ascii="宋体" w:hAnsi="宋体" w:cs="宋体"/>
          <w:bCs/>
          <w:color w:val="auto"/>
          <w:spacing w:val="-2"/>
          <w:kern w:val="0"/>
          <w:szCs w:val="21"/>
        </w:rPr>
        <w:t xml:space="preserve">13.3.2  </w:t>
      </w:r>
      <w:r>
        <w:rPr>
          <w:rFonts w:hint="eastAsia" w:ascii="宋体" w:hAnsi="宋体" w:cs="宋体"/>
          <w:bCs/>
          <w:color w:val="auto"/>
          <w:spacing w:val="-2"/>
          <w:kern w:val="0"/>
          <w:szCs w:val="21"/>
        </w:rPr>
        <w:t>采购人最多只对工程招标控制价进行一次修正。</w:t>
      </w:r>
    </w:p>
    <w:p>
      <w:pPr>
        <w:pStyle w:val="6"/>
        <w:spacing w:line="360" w:lineRule="auto"/>
        <w:ind w:firstLine="422" w:firstLineChars="200"/>
        <w:rPr>
          <w:rFonts w:ascii="宋体" w:hAnsi="宋体" w:eastAsia="宋体" w:cs="宋体"/>
          <w:color w:val="auto"/>
          <w:kern w:val="0"/>
          <w:sz w:val="21"/>
          <w:szCs w:val="21"/>
        </w:rPr>
      </w:pPr>
      <w:bookmarkStart w:id="180" w:name="_Toc74156200"/>
      <w:bookmarkStart w:id="181" w:name="_Toc9628"/>
      <w:bookmarkStart w:id="182" w:name="_Toc28622"/>
      <w:bookmarkStart w:id="183" w:name="_Toc243584248"/>
      <w:bookmarkStart w:id="184" w:name="_Toc6973"/>
      <w:bookmarkStart w:id="185" w:name="_Toc29153328"/>
      <w:r>
        <w:rPr>
          <w:rFonts w:ascii="宋体" w:hAnsi="宋体" w:eastAsia="宋体" w:cs="宋体"/>
          <w:color w:val="auto"/>
          <w:kern w:val="0"/>
          <w:sz w:val="21"/>
          <w:szCs w:val="21"/>
        </w:rPr>
        <w:t xml:space="preserve">14. </w:t>
      </w:r>
      <w:r>
        <w:rPr>
          <w:rFonts w:hint="eastAsia" w:ascii="宋体" w:hAnsi="宋体" w:eastAsia="宋体" w:cs="宋体"/>
          <w:color w:val="auto"/>
          <w:kern w:val="0"/>
          <w:sz w:val="21"/>
          <w:szCs w:val="21"/>
        </w:rPr>
        <w:t>竞标货币</w:t>
      </w:r>
      <w:bookmarkEnd w:id="180"/>
      <w:bookmarkEnd w:id="181"/>
      <w:bookmarkEnd w:id="182"/>
      <w:bookmarkEnd w:id="183"/>
      <w:bookmarkEnd w:id="184"/>
      <w:bookmarkEnd w:id="185"/>
    </w:p>
    <w:p>
      <w:pPr>
        <w:pStyle w:val="8"/>
        <w:spacing w:line="360" w:lineRule="auto"/>
        <w:ind w:firstLine="420" w:firstLineChars="200"/>
        <w:rPr>
          <w:rFonts w:ascii="宋体" w:hAnsi="宋体" w:eastAsia="宋体" w:cs="宋体"/>
          <w:color w:val="auto"/>
          <w:sz w:val="21"/>
          <w:szCs w:val="21"/>
        </w:rPr>
      </w:pPr>
      <w:r>
        <w:rPr>
          <w:rFonts w:ascii="宋体" w:hAnsi="宋体" w:eastAsia="宋体" w:cs="宋体"/>
          <w:color w:val="auto"/>
          <w:sz w:val="21"/>
          <w:szCs w:val="21"/>
        </w:rPr>
        <w:t xml:space="preserve">14.1  </w:t>
      </w:r>
      <w:r>
        <w:rPr>
          <w:rFonts w:hint="eastAsia" w:ascii="宋体" w:hAnsi="宋体" w:eastAsia="宋体" w:cs="宋体"/>
          <w:color w:val="auto"/>
          <w:sz w:val="21"/>
          <w:szCs w:val="21"/>
        </w:rPr>
        <w:t>本工程竞标报价采用的币种为</w:t>
      </w:r>
      <w:r>
        <w:rPr>
          <w:rFonts w:ascii="宋体" w:hAnsi="宋体" w:eastAsia="宋体" w:cs="宋体"/>
          <w:color w:val="auto"/>
          <w:sz w:val="21"/>
          <w:szCs w:val="21"/>
        </w:rPr>
        <w:t>:</w:t>
      </w:r>
      <w:r>
        <w:rPr>
          <w:rFonts w:hint="eastAsia" w:ascii="宋体" w:hAnsi="宋体" w:eastAsia="宋体" w:cs="宋体"/>
          <w:color w:val="auto"/>
          <w:sz w:val="21"/>
          <w:szCs w:val="21"/>
        </w:rPr>
        <w:t>人民币</w:t>
      </w:r>
    </w:p>
    <w:p>
      <w:pPr>
        <w:pStyle w:val="6"/>
        <w:spacing w:line="360" w:lineRule="auto"/>
        <w:ind w:firstLine="422" w:firstLineChars="200"/>
        <w:rPr>
          <w:rFonts w:ascii="宋体" w:hAnsi="宋体" w:eastAsia="宋体" w:cs="宋体"/>
          <w:color w:val="auto"/>
          <w:kern w:val="0"/>
          <w:sz w:val="21"/>
          <w:szCs w:val="21"/>
        </w:rPr>
      </w:pPr>
      <w:bookmarkStart w:id="186" w:name="_Toc23152573"/>
      <w:bookmarkStart w:id="187" w:name="_Toc23542"/>
      <w:bookmarkStart w:id="188" w:name="_Toc25846"/>
      <w:bookmarkStart w:id="189" w:name="_Toc29153329"/>
      <w:bookmarkStart w:id="190" w:name="_Toc23046679"/>
      <w:bookmarkStart w:id="191" w:name="_Toc6065"/>
      <w:bookmarkStart w:id="192" w:name="_Toc243584249"/>
      <w:bookmarkStart w:id="193" w:name="_Toc514238603"/>
      <w:bookmarkStart w:id="194" w:name="_Toc74156201"/>
      <w:r>
        <w:rPr>
          <w:rFonts w:ascii="宋体" w:hAnsi="宋体" w:eastAsia="宋体" w:cs="宋体"/>
          <w:color w:val="auto"/>
          <w:kern w:val="0"/>
          <w:sz w:val="21"/>
          <w:szCs w:val="21"/>
        </w:rPr>
        <w:t xml:space="preserve">15. </w:t>
      </w:r>
      <w:r>
        <w:rPr>
          <w:rFonts w:hint="eastAsia" w:ascii="宋体" w:hAnsi="宋体" w:eastAsia="宋体" w:cs="宋体"/>
          <w:color w:val="auto"/>
          <w:kern w:val="0"/>
          <w:sz w:val="21"/>
          <w:szCs w:val="21"/>
        </w:rPr>
        <w:t>竞标有效期</w:t>
      </w:r>
      <w:bookmarkEnd w:id="186"/>
      <w:bookmarkEnd w:id="187"/>
      <w:bookmarkEnd w:id="188"/>
      <w:bookmarkEnd w:id="189"/>
      <w:bookmarkEnd w:id="190"/>
      <w:bookmarkEnd w:id="191"/>
      <w:bookmarkEnd w:id="192"/>
      <w:bookmarkEnd w:id="193"/>
      <w:bookmarkEnd w:id="194"/>
    </w:p>
    <w:p>
      <w:pPr>
        <w:autoSpaceDE w:val="0"/>
        <w:autoSpaceDN w:val="0"/>
        <w:adjustRightInd w:val="0"/>
        <w:spacing w:line="360" w:lineRule="auto"/>
        <w:ind w:firstLine="420" w:firstLineChars="200"/>
        <w:rPr>
          <w:rFonts w:ascii="宋体" w:hAnsi="宋体" w:cs="宋体"/>
          <w:color w:val="auto"/>
          <w:kern w:val="0"/>
          <w:szCs w:val="21"/>
        </w:rPr>
      </w:pPr>
      <w:r>
        <w:rPr>
          <w:rFonts w:ascii="宋体" w:hAnsi="宋体" w:cs="宋体"/>
          <w:color w:val="auto"/>
          <w:kern w:val="0"/>
          <w:szCs w:val="21"/>
        </w:rPr>
        <w:t xml:space="preserve">15.1  </w:t>
      </w:r>
      <w:r>
        <w:rPr>
          <w:rFonts w:hint="eastAsia" w:ascii="宋体" w:hAnsi="宋体" w:cs="宋体"/>
          <w:color w:val="auto"/>
          <w:kern w:val="0"/>
          <w:szCs w:val="21"/>
        </w:rPr>
        <w:t>竞标有效期为提交响应文件截止之日起45日内。在此期间，凡符合本竞争性磋商采购文件要求的响应文件均保持有效。</w:t>
      </w:r>
    </w:p>
    <w:p>
      <w:pPr>
        <w:autoSpaceDE w:val="0"/>
        <w:autoSpaceDN w:val="0"/>
        <w:adjustRightInd w:val="0"/>
        <w:spacing w:line="360" w:lineRule="auto"/>
        <w:ind w:firstLine="420" w:firstLineChars="200"/>
        <w:rPr>
          <w:rFonts w:ascii="宋体" w:cs="宋体"/>
          <w:color w:val="auto"/>
          <w:szCs w:val="21"/>
        </w:rPr>
      </w:pPr>
      <w:r>
        <w:rPr>
          <w:rFonts w:ascii="宋体" w:hAnsi="宋体" w:cs="宋体"/>
          <w:color w:val="auto"/>
          <w:kern w:val="0"/>
          <w:szCs w:val="21"/>
        </w:rPr>
        <w:t xml:space="preserve">15.2  </w:t>
      </w:r>
      <w:r>
        <w:rPr>
          <w:rFonts w:hint="eastAsia" w:ascii="宋体" w:hAnsi="宋体" w:cs="宋体"/>
          <w:color w:val="auto"/>
          <w:kern w:val="0"/>
          <w:szCs w:val="21"/>
        </w:rPr>
        <w:t>在特殊情况下，采购人在原定竞标有效期内，可以根据需要以书面形式向磋商单位提出延长竞标有效期的要求，对此要求磋商单位须以书面形式予以答复。磋商单位可以拒绝采购人这种要求，而不被没收磋商保证金。</w:t>
      </w:r>
      <w:r>
        <w:rPr>
          <w:rFonts w:hint="eastAsia" w:ascii="宋体" w:hAnsi="宋体" w:cs="宋体"/>
          <w:color w:val="auto"/>
          <w:szCs w:val="21"/>
        </w:rPr>
        <w:t>同意延长竞标有效期的磋商单位，不允许修改或撤回其响应文件。</w:t>
      </w:r>
      <w:r>
        <w:rPr>
          <w:rFonts w:hint="eastAsia" w:ascii="宋体" w:hAnsi="宋体" w:cs="宋体"/>
          <w:color w:val="auto"/>
          <w:kern w:val="0"/>
          <w:szCs w:val="21"/>
        </w:rPr>
        <w:t>磋商单位拒绝延长竞标有效期的，其竞标失效。</w:t>
      </w:r>
      <w:r>
        <w:rPr>
          <w:rFonts w:hint="eastAsia" w:ascii="宋体" w:hAnsi="宋体" w:cs="宋体"/>
          <w:color w:val="auto"/>
          <w:szCs w:val="21"/>
        </w:rPr>
        <w:t>在延长的竞标有效期内，本须知第</w:t>
      </w:r>
      <w:r>
        <w:rPr>
          <w:rFonts w:ascii="宋体" w:hAnsi="宋体" w:cs="宋体"/>
          <w:color w:val="auto"/>
          <w:szCs w:val="21"/>
        </w:rPr>
        <w:t>16</w:t>
      </w:r>
      <w:r>
        <w:rPr>
          <w:rFonts w:hint="eastAsia" w:ascii="宋体" w:hAnsi="宋体" w:cs="宋体"/>
          <w:color w:val="auto"/>
          <w:szCs w:val="21"/>
        </w:rPr>
        <w:t>条的规定仍然适用。</w:t>
      </w:r>
    </w:p>
    <w:p>
      <w:pPr>
        <w:pStyle w:val="6"/>
        <w:spacing w:line="360" w:lineRule="auto"/>
        <w:ind w:firstLine="422" w:firstLineChars="200"/>
        <w:rPr>
          <w:rFonts w:ascii="宋体" w:hAnsi="宋体" w:eastAsia="宋体" w:cs="宋体"/>
          <w:color w:val="auto"/>
          <w:sz w:val="21"/>
          <w:szCs w:val="21"/>
        </w:rPr>
      </w:pPr>
      <w:bookmarkStart w:id="195" w:name="_Toc23046680"/>
      <w:bookmarkStart w:id="196" w:name="_Toc23152574"/>
      <w:bookmarkStart w:id="197" w:name="_Toc243584250"/>
      <w:bookmarkStart w:id="198" w:name="_Toc74156202"/>
      <w:bookmarkStart w:id="199" w:name="_Toc29153330"/>
      <w:bookmarkStart w:id="200" w:name="_Toc514238604"/>
      <w:bookmarkStart w:id="201" w:name="_Toc31485"/>
      <w:bookmarkStart w:id="202" w:name="_Toc25333"/>
      <w:bookmarkStart w:id="203" w:name="_Toc10453"/>
      <w:r>
        <w:rPr>
          <w:rFonts w:ascii="宋体" w:hAnsi="宋体" w:eastAsia="宋体" w:cs="宋体"/>
          <w:color w:val="auto"/>
          <w:sz w:val="21"/>
          <w:szCs w:val="21"/>
        </w:rPr>
        <w:t xml:space="preserve">16. </w:t>
      </w:r>
      <w:bookmarkEnd w:id="195"/>
      <w:bookmarkEnd w:id="196"/>
      <w:bookmarkEnd w:id="197"/>
      <w:bookmarkEnd w:id="198"/>
      <w:bookmarkEnd w:id="199"/>
      <w:bookmarkEnd w:id="200"/>
      <w:bookmarkEnd w:id="201"/>
      <w:r>
        <w:rPr>
          <w:rFonts w:hint="eastAsia" w:ascii="宋体" w:hAnsi="宋体" w:eastAsia="宋体" w:cs="宋体"/>
          <w:color w:val="auto"/>
          <w:sz w:val="21"/>
          <w:szCs w:val="21"/>
        </w:rPr>
        <w:t>磋商保证金</w:t>
      </w:r>
      <w:bookmarkEnd w:id="202"/>
      <w:bookmarkEnd w:id="203"/>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16.1  </w:t>
      </w:r>
      <w:r>
        <w:rPr>
          <w:rFonts w:hint="eastAsia" w:ascii="宋体" w:hAnsi="宋体" w:cs="宋体"/>
          <w:color w:val="auto"/>
          <w:kern w:val="0"/>
          <w:szCs w:val="21"/>
        </w:rPr>
        <w:t>磋商单位应按前附表规定的数额、方式和地点在提交响应文件截止时间前提交磋商保证金，此磋商保证金是响应文件的一个组成部分。</w:t>
      </w:r>
    </w:p>
    <w:p>
      <w:pPr>
        <w:widowControl/>
        <w:spacing w:line="360" w:lineRule="auto"/>
        <w:ind w:firstLine="420" w:firstLineChars="200"/>
        <w:rPr>
          <w:rFonts w:ascii="宋体" w:cs="宋体"/>
          <w:bCs/>
          <w:color w:val="auto"/>
          <w:kern w:val="0"/>
          <w:szCs w:val="21"/>
        </w:rPr>
      </w:pPr>
      <w:r>
        <w:rPr>
          <w:rFonts w:ascii="宋体" w:hAnsi="宋体" w:cs="宋体"/>
          <w:color w:val="auto"/>
          <w:kern w:val="0"/>
          <w:szCs w:val="21"/>
        </w:rPr>
        <w:t xml:space="preserve">16.1.1 </w:t>
      </w:r>
      <w:r>
        <w:rPr>
          <w:rFonts w:hint="eastAsia" w:ascii="宋体" w:hAnsi="宋体" w:cs="宋体"/>
          <w:color w:val="auto"/>
          <w:kern w:val="0"/>
          <w:szCs w:val="21"/>
        </w:rPr>
        <w:t>磋商保证金以转账或电汇形式在截标时间前交到</w:t>
      </w:r>
      <w:r>
        <w:rPr>
          <w:rFonts w:hint="eastAsia" w:ascii="宋体" w:hAnsi="宋体" w:cs="宋体"/>
          <w:color w:val="auto"/>
          <w:kern w:val="0"/>
          <w:szCs w:val="21"/>
          <w:lang w:eastAsia="zh-CN"/>
        </w:rPr>
        <w:t>广西亿翔荣工程管理有限责任公司</w:t>
      </w:r>
      <w:r>
        <w:rPr>
          <w:rFonts w:hint="eastAsia" w:ascii="宋体" w:hAnsi="宋体" w:cs="宋体"/>
          <w:color w:val="auto"/>
          <w:kern w:val="0"/>
          <w:szCs w:val="21"/>
        </w:rPr>
        <w:t>指定账户，开标时核验底</w:t>
      </w:r>
      <w:r>
        <w:rPr>
          <w:rFonts w:hint="eastAsia" w:ascii="宋体" w:hAnsi="宋体" w:cs="宋体"/>
          <w:color w:val="auto"/>
          <w:kern w:val="0"/>
          <w:szCs w:val="21"/>
          <w:lang w:eastAsia="zh-CN"/>
        </w:rPr>
        <w:t>单复印件</w:t>
      </w:r>
      <w:r>
        <w:rPr>
          <w:rFonts w:hint="eastAsia" w:ascii="宋体" w:hAnsi="宋体" w:cs="宋体"/>
          <w:color w:val="auto"/>
          <w:kern w:val="0"/>
          <w:szCs w:val="21"/>
        </w:rPr>
        <w:t>。</w:t>
      </w:r>
    </w:p>
    <w:p>
      <w:pPr>
        <w:autoSpaceDE w:val="0"/>
        <w:autoSpaceDN w:val="0"/>
        <w:adjustRightInd w:val="0"/>
        <w:spacing w:line="360" w:lineRule="auto"/>
        <w:ind w:firstLine="420" w:firstLineChars="200"/>
        <w:rPr>
          <w:rFonts w:ascii="宋体" w:cs="宋体"/>
          <w:bCs/>
          <w:color w:val="auto"/>
          <w:szCs w:val="21"/>
        </w:rPr>
      </w:pPr>
      <w:r>
        <w:rPr>
          <w:rFonts w:ascii="宋体" w:hAnsi="宋体" w:cs="宋体"/>
          <w:color w:val="auto"/>
          <w:kern w:val="0"/>
          <w:szCs w:val="21"/>
        </w:rPr>
        <w:t xml:space="preserve">16.2 </w:t>
      </w:r>
      <w:r>
        <w:rPr>
          <w:rFonts w:hint="eastAsia" w:ascii="宋体" w:hAnsi="宋体" w:cs="宋体"/>
          <w:color w:val="auto"/>
          <w:kern w:val="0"/>
          <w:szCs w:val="21"/>
        </w:rPr>
        <w:t>对于未能按要求提交磋商保证金的磋商单位，采购人将视为不响应竞争性磋商采购文件而拒绝其竞标。</w:t>
      </w:r>
    </w:p>
    <w:p>
      <w:pPr>
        <w:autoSpaceDE w:val="0"/>
        <w:autoSpaceDN w:val="0"/>
        <w:adjustRightInd w:val="0"/>
        <w:spacing w:line="360" w:lineRule="auto"/>
        <w:ind w:left="1050" w:leftChars="200" w:hanging="630" w:hangingChars="300"/>
        <w:rPr>
          <w:rFonts w:ascii="宋体" w:cs="宋体"/>
          <w:color w:val="auto"/>
          <w:kern w:val="0"/>
          <w:szCs w:val="21"/>
        </w:rPr>
      </w:pPr>
      <w:r>
        <w:rPr>
          <w:rFonts w:ascii="宋体" w:hAnsi="宋体" w:cs="宋体"/>
          <w:color w:val="auto"/>
          <w:kern w:val="0"/>
          <w:szCs w:val="21"/>
        </w:rPr>
        <w:t xml:space="preserve">16.3 </w:t>
      </w:r>
      <w:r>
        <w:rPr>
          <w:rFonts w:hint="eastAsia" w:ascii="宋体" w:hAnsi="宋体" w:cs="宋体"/>
          <w:color w:val="auto"/>
          <w:kern w:val="0"/>
          <w:szCs w:val="21"/>
        </w:rPr>
        <w:t>成交人及成交候选人磋商保证金，在成交人与采购人签订合同协议之日起</w:t>
      </w:r>
      <w:r>
        <w:rPr>
          <w:rFonts w:ascii="宋体" w:hAnsi="宋体" w:cs="宋体"/>
          <w:color w:val="auto"/>
          <w:kern w:val="0"/>
          <w:szCs w:val="21"/>
        </w:rPr>
        <w:t>5</w:t>
      </w:r>
      <w:r>
        <w:rPr>
          <w:rFonts w:hint="eastAsia" w:ascii="宋体" w:hAnsi="宋体" w:cs="宋体"/>
          <w:color w:val="auto"/>
          <w:kern w:val="0"/>
          <w:szCs w:val="21"/>
        </w:rPr>
        <w:t>个工作日内退还（无息）。</w:t>
      </w:r>
    </w:p>
    <w:p>
      <w:pPr>
        <w:autoSpaceDE w:val="0"/>
        <w:autoSpaceDN w:val="0"/>
        <w:adjustRightInd w:val="0"/>
        <w:spacing w:line="360" w:lineRule="auto"/>
        <w:ind w:left="1050" w:leftChars="200" w:hanging="630" w:hangingChars="300"/>
        <w:rPr>
          <w:rFonts w:ascii="宋体" w:cs="宋体"/>
          <w:color w:val="auto"/>
          <w:kern w:val="0"/>
          <w:szCs w:val="21"/>
        </w:rPr>
      </w:pPr>
      <w:r>
        <w:rPr>
          <w:rFonts w:ascii="宋体" w:hAnsi="宋体" w:cs="宋体"/>
          <w:color w:val="auto"/>
          <w:kern w:val="0"/>
          <w:szCs w:val="21"/>
        </w:rPr>
        <w:t xml:space="preserve">16.4 </w:t>
      </w:r>
      <w:r>
        <w:rPr>
          <w:rFonts w:hint="eastAsia" w:ascii="宋体" w:hAnsi="宋体" w:cs="宋体"/>
          <w:color w:val="auto"/>
          <w:kern w:val="0"/>
          <w:szCs w:val="21"/>
        </w:rPr>
        <w:t>其他未成交供应商的磋商保证金将在采购人发出成交通知书之日起</w:t>
      </w:r>
      <w:r>
        <w:rPr>
          <w:rFonts w:ascii="宋体" w:hAnsi="宋体" w:cs="宋体"/>
          <w:color w:val="auto"/>
          <w:kern w:val="0"/>
          <w:szCs w:val="21"/>
        </w:rPr>
        <w:t>5</w:t>
      </w:r>
      <w:r>
        <w:rPr>
          <w:rFonts w:hint="eastAsia" w:ascii="宋体" w:hAnsi="宋体" w:cs="宋体"/>
          <w:color w:val="auto"/>
          <w:kern w:val="0"/>
          <w:szCs w:val="21"/>
        </w:rPr>
        <w:t>个工作日内退回（无息）。</w:t>
      </w:r>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16.5 </w:t>
      </w:r>
      <w:r>
        <w:rPr>
          <w:rFonts w:hint="eastAsia" w:ascii="宋体" w:hAnsi="宋体" w:cs="宋体"/>
          <w:color w:val="auto"/>
          <w:kern w:val="0"/>
          <w:szCs w:val="21"/>
        </w:rPr>
        <w:t>磋商单位有下列情况之一时，采购人将没收其磋商保证金。</w:t>
      </w:r>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16.5.1 </w:t>
      </w:r>
      <w:r>
        <w:rPr>
          <w:rFonts w:hint="eastAsia" w:ascii="宋体" w:hAnsi="宋体" w:cs="宋体"/>
          <w:color w:val="auto"/>
          <w:kern w:val="0"/>
          <w:szCs w:val="21"/>
        </w:rPr>
        <w:t>成交人未能在规定期限内签署合同协议；</w:t>
      </w:r>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16.5.2 </w:t>
      </w:r>
      <w:r>
        <w:rPr>
          <w:rFonts w:hint="eastAsia" w:ascii="宋体" w:hAnsi="宋体" w:cs="宋体"/>
          <w:color w:val="auto"/>
          <w:kern w:val="0"/>
          <w:szCs w:val="21"/>
        </w:rPr>
        <w:t>磋商单位在竞标有效期内撤回响应文件；</w:t>
      </w:r>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16.5.3 </w:t>
      </w:r>
      <w:r>
        <w:rPr>
          <w:rFonts w:hint="eastAsia" w:ascii="宋体" w:hAnsi="宋体" w:cs="宋体"/>
          <w:color w:val="auto"/>
          <w:kern w:val="0"/>
          <w:szCs w:val="21"/>
        </w:rPr>
        <w:t>磋商单位提供虚假证明和资料；</w:t>
      </w:r>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16.5.4 </w:t>
      </w:r>
      <w:r>
        <w:rPr>
          <w:rFonts w:hint="eastAsia" w:ascii="宋体" w:hAnsi="宋体" w:cs="宋体"/>
          <w:color w:val="auto"/>
          <w:kern w:val="0"/>
          <w:szCs w:val="21"/>
        </w:rPr>
        <w:t>成交人未按规定向采购代理机构支付采购代理服务费。</w:t>
      </w:r>
    </w:p>
    <w:p>
      <w:pPr>
        <w:pStyle w:val="6"/>
        <w:spacing w:line="360" w:lineRule="auto"/>
        <w:ind w:firstLine="422" w:firstLineChars="200"/>
        <w:rPr>
          <w:rFonts w:ascii="宋体" w:hAnsi="宋体" w:eastAsia="宋体" w:cs="宋体"/>
          <w:color w:val="auto"/>
          <w:kern w:val="0"/>
          <w:sz w:val="21"/>
          <w:szCs w:val="21"/>
        </w:rPr>
      </w:pPr>
      <w:bookmarkStart w:id="204" w:name="_Toc13450"/>
      <w:bookmarkStart w:id="205" w:name="_Toc29153331"/>
      <w:bookmarkStart w:id="206" w:name="_Toc258"/>
      <w:bookmarkStart w:id="207" w:name="_Toc17954"/>
      <w:bookmarkStart w:id="208" w:name="_Toc243584251"/>
      <w:bookmarkStart w:id="209" w:name="_Toc23152576"/>
      <w:bookmarkStart w:id="210" w:name="_Toc23046682"/>
      <w:bookmarkStart w:id="211" w:name="_Toc514238606"/>
      <w:bookmarkStart w:id="212" w:name="_Toc74156203"/>
      <w:r>
        <w:rPr>
          <w:rFonts w:ascii="宋体" w:hAnsi="宋体" w:eastAsia="宋体" w:cs="宋体"/>
          <w:color w:val="auto"/>
          <w:kern w:val="0"/>
          <w:sz w:val="21"/>
          <w:szCs w:val="21"/>
        </w:rPr>
        <w:t xml:space="preserve">17. </w:t>
      </w:r>
      <w:r>
        <w:rPr>
          <w:rFonts w:hint="eastAsia" w:ascii="宋体" w:hAnsi="宋体" w:eastAsia="宋体" w:cs="宋体"/>
          <w:color w:val="auto"/>
          <w:kern w:val="0"/>
          <w:sz w:val="21"/>
          <w:szCs w:val="21"/>
        </w:rPr>
        <w:t>磋商单位的替代方案</w:t>
      </w:r>
      <w:bookmarkEnd w:id="204"/>
      <w:bookmarkEnd w:id="205"/>
      <w:bookmarkEnd w:id="206"/>
      <w:bookmarkEnd w:id="207"/>
      <w:bookmarkEnd w:id="208"/>
    </w:p>
    <w:p>
      <w:pPr>
        <w:spacing w:line="360" w:lineRule="auto"/>
        <w:ind w:firstLine="420" w:firstLineChars="200"/>
        <w:rPr>
          <w:rFonts w:ascii="宋体" w:cs="宋体"/>
          <w:color w:val="auto"/>
          <w:szCs w:val="21"/>
        </w:rPr>
      </w:pPr>
      <w:r>
        <w:rPr>
          <w:rFonts w:ascii="宋体" w:hAnsi="宋体" w:cs="宋体"/>
          <w:color w:val="auto"/>
          <w:szCs w:val="21"/>
        </w:rPr>
        <w:t xml:space="preserve">17.1  </w:t>
      </w:r>
      <w:r>
        <w:rPr>
          <w:rFonts w:hint="eastAsia" w:ascii="宋体" w:hAnsi="宋体" w:cs="宋体"/>
          <w:color w:val="auto"/>
          <w:szCs w:val="21"/>
        </w:rPr>
        <w:t>本采购工程不允许磋商单位提交替代方案。</w:t>
      </w:r>
    </w:p>
    <w:p>
      <w:pPr>
        <w:pStyle w:val="6"/>
        <w:spacing w:line="360" w:lineRule="auto"/>
        <w:ind w:firstLine="422" w:firstLineChars="200"/>
        <w:rPr>
          <w:rFonts w:ascii="宋体" w:hAnsi="宋体" w:eastAsia="宋体" w:cs="宋体"/>
          <w:color w:val="auto"/>
          <w:kern w:val="0"/>
          <w:sz w:val="21"/>
          <w:szCs w:val="21"/>
        </w:rPr>
      </w:pPr>
      <w:bookmarkStart w:id="213" w:name="_Toc31409"/>
      <w:bookmarkStart w:id="214" w:name="_Toc29077"/>
      <w:bookmarkStart w:id="215" w:name="_Toc29153332"/>
      <w:bookmarkStart w:id="216" w:name="_Toc243584252"/>
      <w:bookmarkStart w:id="217" w:name="_Toc7643"/>
      <w:r>
        <w:rPr>
          <w:rFonts w:ascii="宋体" w:hAnsi="宋体" w:eastAsia="宋体" w:cs="宋体"/>
          <w:color w:val="auto"/>
          <w:kern w:val="0"/>
          <w:sz w:val="21"/>
          <w:szCs w:val="21"/>
        </w:rPr>
        <w:t xml:space="preserve">18. </w:t>
      </w:r>
      <w:r>
        <w:rPr>
          <w:rFonts w:hint="eastAsia" w:ascii="宋体" w:hAnsi="宋体" w:eastAsia="宋体" w:cs="宋体"/>
          <w:color w:val="auto"/>
          <w:kern w:val="0"/>
          <w:sz w:val="21"/>
          <w:szCs w:val="21"/>
        </w:rPr>
        <w:t>响应文件的份数和签署</w:t>
      </w:r>
      <w:bookmarkEnd w:id="209"/>
      <w:bookmarkEnd w:id="210"/>
      <w:bookmarkEnd w:id="211"/>
      <w:bookmarkEnd w:id="212"/>
      <w:bookmarkEnd w:id="213"/>
      <w:bookmarkEnd w:id="214"/>
      <w:bookmarkEnd w:id="215"/>
      <w:bookmarkEnd w:id="216"/>
      <w:bookmarkEnd w:id="217"/>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18.1  </w:t>
      </w:r>
      <w:r>
        <w:rPr>
          <w:rFonts w:hint="eastAsia" w:ascii="宋体" w:hAnsi="宋体" w:cs="宋体"/>
          <w:color w:val="auto"/>
          <w:kern w:val="0"/>
          <w:szCs w:val="21"/>
        </w:rPr>
        <w:t>磋商单位应按前附表第</w:t>
      </w:r>
      <w:r>
        <w:rPr>
          <w:rFonts w:ascii="宋体" w:hAnsi="宋体" w:cs="宋体"/>
          <w:bCs/>
          <w:color w:val="auto"/>
          <w:kern w:val="0"/>
          <w:szCs w:val="21"/>
        </w:rPr>
        <w:t>15</w:t>
      </w:r>
      <w:r>
        <w:rPr>
          <w:rFonts w:hint="eastAsia" w:ascii="宋体" w:hAnsi="宋体" w:cs="宋体"/>
          <w:color w:val="auto"/>
          <w:kern w:val="0"/>
          <w:szCs w:val="21"/>
        </w:rPr>
        <w:t>项规定的份数提交响应文件。</w:t>
      </w:r>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18.2  </w:t>
      </w:r>
      <w:r>
        <w:rPr>
          <w:rFonts w:hint="eastAsia" w:ascii="宋体" w:hAnsi="宋体" w:cs="宋体"/>
          <w:color w:val="auto"/>
          <w:kern w:val="0"/>
          <w:szCs w:val="21"/>
        </w:rPr>
        <w:t>响应文件正本与副本均需打印或使用不褪色的黑色墨水笔书写，字迹应清晰易于辨认，并应在响应文件封面清楚地注明“正本”或“副本”。</w:t>
      </w:r>
      <w:r>
        <w:rPr>
          <w:rFonts w:hint="eastAsia" w:ascii="宋体" w:hAnsi="宋体" w:cs="宋体"/>
          <w:color w:val="auto"/>
          <w:kern w:val="0"/>
          <w:szCs w:val="21"/>
          <w:lang w:eastAsia="zh-CN"/>
        </w:rPr>
        <w:t>副本可以是正本的复印件，</w:t>
      </w:r>
      <w:r>
        <w:rPr>
          <w:rFonts w:hint="eastAsia" w:ascii="宋体" w:hAnsi="宋体" w:cs="宋体"/>
          <w:color w:val="auto"/>
          <w:kern w:val="0"/>
          <w:szCs w:val="21"/>
        </w:rPr>
        <w:t>正本和副本如有不一致之处，以正本为准。</w:t>
      </w:r>
    </w:p>
    <w:p>
      <w:pPr>
        <w:autoSpaceDE w:val="0"/>
        <w:autoSpaceDN w:val="0"/>
        <w:adjustRightInd w:val="0"/>
        <w:spacing w:line="360" w:lineRule="auto"/>
        <w:ind w:firstLine="417" w:firstLineChars="199"/>
        <w:rPr>
          <w:rFonts w:ascii="宋体" w:cs="宋体"/>
          <w:color w:val="auto"/>
          <w:kern w:val="0"/>
          <w:szCs w:val="21"/>
        </w:rPr>
      </w:pPr>
      <w:r>
        <w:rPr>
          <w:rFonts w:ascii="宋体" w:hAnsi="宋体" w:cs="宋体"/>
          <w:color w:val="auto"/>
          <w:kern w:val="0"/>
          <w:szCs w:val="21"/>
        </w:rPr>
        <w:t xml:space="preserve">18.3  </w:t>
      </w:r>
      <w:r>
        <w:rPr>
          <w:rFonts w:hint="eastAsia" w:ascii="宋体" w:hAnsi="宋体" w:cs="宋体"/>
          <w:color w:val="auto"/>
          <w:kern w:val="0"/>
          <w:szCs w:val="21"/>
        </w:rPr>
        <w:t>响应文件必须加盖磋商单位法人公章并经法定代表人或其授权代理人在文件相应处签字或盖章，由授权代理人签字的，响应文件中须同时提交法定代表人授权书，法定代表人授权书格式、签字、盖章必须应符合文件要求，否则属于无效竞标。</w:t>
      </w:r>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18.4  </w:t>
      </w:r>
      <w:r>
        <w:rPr>
          <w:rFonts w:hint="eastAsia" w:ascii="宋体" w:hAnsi="宋体" w:cs="宋体"/>
          <w:color w:val="auto"/>
          <w:kern w:val="0"/>
          <w:szCs w:val="21"/>
        </w:rPr>
        <w:t>除磋商单位对错误处须修改外，全套响应文件应无涂改或行间插字和增删。如有修改，修改处应由响应文件签字人签字证明或加盖磋商单位法人公章，否则修改无效。</w:t>
      </w:r>
    </w:p>
    <w:p>
      <w:pPr>
        <w:pStyle w:val="4"/>
        <w:spacing w:line="360" w:lineRule="auto"/>
        <w:jc w:val="center"/>
        <w:rPr>
          <w:rFonts w:ascii="宋体" w:hAnsi="宋体" w:eastAsia="宋体" w:cs="宋体"/>
          <w:color w:val="auto"/>
          <w:kern w:val="0"/>
          <w:sz w:val="21"/>
          <w:szCs w:val="21"/>
        </w:rPr>
      </w:pPr>
      <w:bookmarkStart w:id="218" w:name="_Toc74156204"/>
      <w:bookmarkStart w:id="219" w:name="_Toc23046683"/>
      <w:bookmarkStart w:id="220" w:name="_Toc21544"/>
      <w:bookmarkStart w:id="221" w:name="_Toc7978"/>
      <w:bookmarkStart w:id="222" w:name="_Toc29153333"/>
      <w:bookmarkStart w:id="223" w:name="_Toc243584253"/>
      <w:bookmarkStart w:id="224" w:name="_Toc514238607"/>
      <w:bookmarkStart w:id="225" w:name="_Toc8717"/>
      <w:bookmarkStart w:id="226" w:name="_Toc23152577"/>
      <w:r>
        <w:rPr>
          <w:rFonts w:hint="eastAsia" w:ascii="宋体" w:hAnsi="宋体" w:eastAsia="宋体" w:cs="宋体"/>
          <w:color w:val="auto"/>
          <w:kern w:val="0"/>
          <w:sz w:val="21"/>
          <w:szCs w:val="21"/>
        </w:rPr>
        <w:t>（四）响应文件的提交</w:t>
      </w:r>
      <w:bookmarkEnd w:id="218"/>
      <w:bookmarkEnd w:id="219"/>
      <w:bookmarkEnd w:id="220"/>
      <w:bookmarkEnd w:id="221"/>
      <w:bookmarkEnd w:id="222"/>
      <w:bookmarkEnd w:id="223"/>
      <w:bookmarkEnd w:id="224"/>
      <w:bookmarkEnd w:id="225"/>
      <w:bookmarkEnd w:id="226"/>
    </w:p>
    <w:p>
      <w:pPr>
        <w:pStyle w:val="6"/>
        <w:spacing w:line="360" w:lineRule="auto"/>
        <w:ind w:firstLine="422" w:firstLineChars="200"/>
        <w:rPr>
          <w:rFonts w:ascii="宋体" w:hAnsi="宋体" w:eastAsia="宋体" w:cs="宋体"/>
          <w:color w:val="auto"/>
          <w:kern w:val="0"/>
          <w:sz w:val="21"/>
          <w:szCs w:val="21"/>
        </w:rPr>
      </w:pPr>
      <w:bookmarkStart w:id="227" w:name="_Toc514238608"/>
      <w:bookmarkStart w:id="228" w:name="_Toc23152578"/>
      <w:bookmarkStart w:id="229" w:name="_Toc23046684"/>
      <w:bookmarkStart w:id="230" w:name="_Toc74156205"/>
      <w:bookmarkStart w:id="231" w:name="_Toc7461"/>
      <w:bookmarkStart w:id="232" w:name="_Toc243584254"/>
      <w:bookmarkStart w:id="233" w:name="_Toc29153334"/>
      <w:bookmarkStart w:id="234" w:name="_Toc23953"/>
      <w:bookmarkStart w:id="235" w:name="_Toc6907"/>
      <w:r>
        <w:rPr>
          <w:rFonts w:ascii="宋体" w:hAnsi="宋体" w:eastAsia="宋体" w:cs="宋体"/>
          <w:color w:val="auto"/>
          <w:kern w:val="0"/>
          <w:sz w:val="21"/>
          <w:szCs w:val="21"/>
        </w:rPr>
        <w:t xml:space="preserve">19. </w:t>
      </w:r>
      <w:r>
        <w:rPr>
          <w:rFonts w:hint="eastAsia" w:ascii="宋体" w:hAnsi="宋体" w:eastAsia="宋体" w:cs="宋体"/>
          <w:color w:val="auto"/>
          <w:kern w:val="0"/>
          <w:sz w:val="21"/>
          <w:szCs w:val="21"/>
        </w:rPr>
        <w:t>响应文件的装订、密封和标</w:t>
      </w:r>
      <w:bookmarkEnd w:id="227"/>
      <w:bookmarkEnd w:id="228"/>
      <w:bookmarkEnd w:id="229"/>
      <w:r>
        <w:rPr>
          <w:rFonts w:hint="eastAsia" w:ascii="宋体" w:hAnsi="宋体" w:eastAsia="宋体" w:cs="宋体"/>
          <w:color w:val="auto"/>
          <w:kern w:val="0"/>
          <w:sz w:val="21"/>
          <w:szCs w:val="21"/>
        </w:rPr>
        <w:t>记</w:t>
      </w:r>
      <w:bookmarkEnd w:id="230"/>
      <w:bookmarkEnd w:id="231"/>
      <w:bookmarkEnd w:id="232"/>
      <w:bookmarkEnd w:id="233"/>
      <w:bookmarkEnd w:id="234"/>
      <w:bookmarkEnd w:id="235"/>
    </w:p>
    <w:p>
      <w:pPr>
        <w:autoSpaceDE w:val="0"/>
        <w:autoSpaceDN w:val="0"/>
        <w:adjustRightInd w:val="0"/>
        <w:spacing w:line="360" w:lineRule="auto"/>
        <w:ind w:firstLine="480"/>
        <w:rPr>
          <w:rFonts w:ascii="宋体" w:cs="宋体"/>
          <w:color w:val="auto"/>
          <w:kern w:val="0"/>
          <w:szCs w:val="21"/>
          <w:lang w:val="zh-CN"/>
        </w:rPr>
      </w:pPr>
      <w:r>
        <w:rPr>
          <w:rFonts w:ascii="宋体" w:hAnsi="宋体" w:cs="宋体"/>
          <w:color w:val="auto"/>
          <w:kern w:val="0"/>
          <w:szCs w:val="21"/>
          <w:lang w:val="zh-CN"/>
        </w:rPr>
        <w:t xml:space="preserve">19.1  </w:t>
      </w:r>
      <w:r>
        <w:rPr>
          <w:rFonts w:hint="eastAsia" w:ascii="宋体" w:hAnsi="宋体" w:cs="宋体"/>
          <w:color w:val="auto"/>
          <w:kern w:val="0"/>
          <w:szCs w:val="21"/>
        </w:rPr>
        <w:t>响应</w:t>
      </w:r>
      <w:r>
        <w:rPr>
          <w:rFonts w:hint="eastAsia" w:ascii="宋体" w:hAnsi="宋体" w:cs="宋体"/>
          <w:color w:val="auto"/>
          <w:kern w:val="0"/>
          <w:szCs w:val="21"/>
          <w:lang w:val="zh-CN"/>
        </w:rPr>
        <w:t>文件的装订要求：纸张规格</w:t>
      </w:r>
      <w:r>
        <w:rPr>
          <w:rFonts w:ascii="宋体" w:hAnsi="宋体" w:cs="宋体"/>
          <w:color w:val="auto"/>
          <w:kern w:val="0"/>
          <w:szCs w:val="21"/>
          <w:lang w:val="zh-CN"/>
        </w:rPr>
        <w:t>A4</w:t>
      </w:r>
      <w:r>
        <w:rPr>
          <w:rFonts w:hint="eastAsia" w:ascii="宋体" w:hAnsi="宋体" w:cs="宋体"/>
          <w:color w:val="auto"/>
          <w:kern w:val="0"/>
          <w:szCs w:val="21"/>
          <w:lang w:val="zh-CN"/>
        </w:rPr>
        <w:t>纸（扩展表格除外），按本须知第</w:t>
      </w:r>
      <w:r>
        <w:rPr>
          <w:rFonts w:ascii="宋体" w:hAnsi="宋体" w:cs="宋体"/>
          <w:color w:val="auto"/>
          <w:kern w:val="0"/>
          <w:szCs w:val="21"/>
          <w:lang w:val="zh-CN"/>
        </w:rPr>
        <w:t>11</w:t>
      </w:r>
      <w:r>
        <w:rPr>
          <w:rFonts w:hint="eastAsia" w:ascii="宋体" w:hAnsi="宋体" w:cs="宋体"/>
          <w:color w:val="auto"/>
          <w:kern w:val="0"/>
          <w:szCs w:val="21"/>
          <w:lang w:val="zh-CN"/>
        </w:rPr>
        <w:t>条规定的内容和顺序自编目录及页码，将资格审查部分、商务标部分、技术标部分分别装订成册</w:t>
      </w:r>
      <w:r>
        <w:rPr>
          <w:rFonts w:ascii="宋体" w:cs="宋体"/>
          <w:color w:val="auto"/>
          <w:kern w:val="0"/>
          <w:szCs w:val="21"/>
          <w:lang w:val="zh-CN"/>
        </w:rPr>
        <w:t>,</w:t>
      </w:r>
      <w:r>
        <w:rPr>
          <w:rFonts w:hint="eastAsia" w:ascii="宋体" w:hAnsi="宋体" w:cs="宋体"/>
          <w:color w:val="auto"/>
          <w:kern w:val="0"/>
          <w:szCs w:val="21"/>
          <w:lang w:val="zh-CN"/>
        </w:rPr>
        <w:t>并在资格审查部分、商务标部分、技术标部分封面上清楚地注明“正本”或“副本”。</w:t>
      </w:r>
    </w:p>
    <w:p>
      <w:pPr>
        <w:autoSpaceDE w:val="0"/>
        <w:autoSpaceDN w:val="0"/>
        <w:adjustRightInd w:val="0"/>
        <w:spacing w:line="360" w:lineRule="auto"/>
        <w:ind w:firstLine="480"/>
        <w:rPr>
          <w:rFonts w:ascii="宋体" w:cs="宋体"/>
          <w:color w:val="auto"/>
          <w:kern w:val="0"/>
          <w:szCs w:val="21"/>
          <w:lang w:val="zh-CN"/>
        </w:rPr>
      </w:pPr>
      <w:r>
        <w:rPr>
          <w:rFonts w:ascii="宋体" w:hAnsi="宋体" w:cs="宋体"/>
          <w:color w:val="auto"/>
          <w:kern w:val="0"/>
          <w:szCs w:val="21"/>
          <w:lang w:val="zh-CN"/>
        </w:rPr>
        <w:t xml:space="preserve">19.2  </w:t>
      </w:r>
      <w:r>
        <w:rPr>
          <w:rFonts w:hint="eastAsia" w:ascii="宋体" w:hAnsi="宋体" w:cs="宋体"/>
          <w:color w:val="auto"/>
          <w:kern w:val="0"/>
          <w:szCs w:val="21"/>
          <w:lang w:val="zh-CN"/>
        </w:rPr>
        <w:t>磋商单位应将响应文件的资格审查部分、商务标部分、技术标部分先行分别密封在</w:t>
      </w:r>
      <w:r>
        <w:rPr>
          <w:rFonts w:hint="eastAsia" w:ascii="宋体" w:hAnsi="宋体" w:cs="宋体"/>
          <w:color w:val="auto"/>
          <w:kern w:val="0"/>
          <w:szCs w:val="21"/>
        </w:rPr>
        <w:t>3</w:t>
      </w:r>
      <w:r>
        <w:rPr>
          <w:rFonts w:hint="eastAsia" w:ascii="宋体" w:hAnsi="宋体" w:cs="宋体"/>
          <w:color w:val="auto"/>
          <w:kern w:val="0"/>
          <w:szCs w:val="21"/>
          <w:lang w:val="zh-CN"/>
        </w:rPr>
        <w:t>个内层密封袋内，再合封在一个外层密封袋内（即采用双层包封法密封），并在内层密封袋上清楚地注明“资格审查部分”、“商务标部分”、“技术标部分”。</w:t>
      </w:r>
    </w:p>
    <w:p>
      <w:pPr>
        <w:pStyle w:val="8"/>
        <w:spacing w:line="360" w:lineRule="auto"/>
        <w:ind w:firstLine="420" w:firstLineChars="200"/>
        <w:rPr>
          <w:rFonts w:ascii="宋体" w:hAnsi="宋体" w:eastAsia="宋体" w:cs="宋体"/>
          <w:color w:val="auto"/>
          <w:sz w:val="21"/>
          <w:szCs w:val="21"/>
        </w:rPr>
      </w:pPr>
      <w:r>
        <w:rPr>
          <w:rFonts w:ascii="宋体" w:hAnsi="宋体" w:eastAsia="宋体" w:cs="宋体"/>
          <w:color w:val="auto"/>
          <w:sz w:val="21"/>
          <w:szCs w:val="21"/>
        </w:rPr>
        <w:t xml:space="preserve">19.3  </w:t>
      </w:r>
      <w:r>
        <w:rPr>
          <w:rFonts w:hint="eastAsia" w:ascii="宋体" w:hAnsi="宋体" w:eastAsia="宋体" w:cs="宋体"/>
          <w:color w:val="auto"/>
          <w:sz w:val="21"/>
          <w:szCs w:val="21"/>
        </w:rPr>
        <w:t>在内层和外层响应文件密封袋上均应：</w:t>
      </w:r>
    </w:p>
    <w:p>
      <w:pPr>
        <w:pStyle w:val="8"/>
        <w:spacing w:line="360" w:lineRule="auto"/>
        <w:ind w:firstLine="420" w:firstLineChars="200"/>
        <w:rPr>
          <w:rFonts w:ascii="宋体" w:hAnsi="宋体" w:eastAsia="宋体" w:cs="宋体"/>
          <w:color w:val="auto"/>
          <w:sz w:val="21"/>
          <w:szCs w:val="21"/>
        </w:rPr>
      </w:pPr>
      <w:r>
        <w:rPr>
          <w:rFonts w:ascii="宋体" w:hAnsi="宋体" w:eastAsia="宋体" w:cs="宋体"/>
          <w:color w:val="auto"/>
          <w:sz w:val="21"/>
          <w:szCs w:val="21"/>
        </w:rPr>
        <w:t xml:space="preserve">19.3.1  </w:t>
      </w:r>
      <w:r>
        <w:rPr>
          <w:rFonts w:hint="eastAsia" w:ascii="宋体" w:hAnsi="宋体" w:eastAsia="宋体" w:cs="宋体"/>
          <w:color w:val="auto"/>
          <w:sz w:val="21"/>
          <w:szCs w:val="21"/>
        </w:rPr>
        <w:t>写明采购人名称；</w:t>
      </w:r>
    </w:p>
    <w:p>
      <w:pPr>
        <w:spacing w:line="360" w:lineRule="auto"/>
        <w:ind w:right="69" w:rightChars="33" w:firstLine="420" w:firstLineChars="200"/>
        <w:rPr>
          <w:rFonts w:ascii="宋体" w:cs="宋体"/>
          <w:color w:val="auto"/>
          <w:szCs w:val="21"/>
        </w:rPr>
      </w:pPr>
      <w:r>
        <w:rPr>
          <w:rFonts w:ascii="宋体" w:hAnsi="宋体" w:cs="宋体"/>
          <w:color w:val="auto"/>
          <w:szCs w:val="21"/>
        </w:rPr>
        <w:t xml:space="preserve">19.3.2  </w:t>
      </w:r>
      <w:r>
        <w:rPr>
          <w:rFonts w:hint="eastAsia" w:ascii="宋体" w:hAnsi="宋体" w:cs="宋体"/>
          <w:color w:val="auto"/>
          <w:szCs w:val="21"/>
        </w:rPr>
        <w:t>注明下列识别标志：</w:t>
      </w:r>
    </w:p>
    <w:p>
      <w:pPr>
        <w:spacing w:line="360" w:lineRule="auto"/>
        <w:ind w:firstLine="411" w:firstLineChars="196"/>
        <w:rPr>
          <w:rFonts w:ascii="宋体" w:cs="宋体"/>
          <w:color w:val="auto"/>
          <w:szCs w:val="21"/>
        </w:rPr>
      </w:pPr>
      <w:r>
        <w:rPr>
          <w:rFonts w:hint="eastAsia" w:ascii="宋体" w:hAnsi="宋体" w:cs="宋体"/>
          <w:color w:val="auto"/>
          <w:szCs w:val="21"/>
        </w:rPr>
        <w:t>工程名称：</w:t>
      </w:r>
    </w:p>
    <w:p>
      <w:pPr>
        <w:spacing w:line="360" w:lineRule="auto"/>
        <w:ind w:firstLine="420" w:firstLineChars="200"/>
        <w:rPr>
          <w:rFonts w:ascii="宋体" w:hAnsi="宋体" w:cs="宋体"/>
          <w:color w:val="auto"/>
          <w:szCs w:val="21"/>
        </w:rPr>
      </w:pPr>
      <w:r>
        <w:rPr>
          <w:rFonts w:hint="eastAsia" w:ascii="宋体" w:hAnsi="宋体" w:cs="宋体"/>
          <w:color w:val="auto"/>
          <w:szCs w:val="21"/>
        </w:rPr>
        <w:t>项目编号：</w:t>
      </w:r>
    </w:p>
    <w:p>
      <w:pPr>
        <w:pStyle w:val="2"/>
        <w:spacing w:line="360" w:lineRule="auto"/>
        <w:rPr>
          <w:color w:val="auto"/>
        </w:rPr>
      </w:pPr>
      <w:r>
        <w:rPr>
          <w:rFonts w:hint="eastAsia" w:ascii="宋体" w:hAnsi="宋体" w:cs="宋体"/>
          <w:color w:val="auto"/>
          <w:sz w:val="21"/>
          <w:szCs w:val="21"/>
        </w:rPr>
        <w:t xml:space="preserve">   响应文件内容：</w:t>
      </w:r>
    </w:p>
    <w:p>
      <w:pPr>
        <w:pStyle w:val="2"/>
        <w:spacing w:line="360" w:lineRule="auto"/>
        <w:rPr>
          <w:color w:val="auto"/>
        </w:rPr>
      </w:pPr>
      <w:r>
        <w:rPr>
          <w:rFonts w:hint="eastAsia" w:ascii="宋体" w:hAnsi="宋体" w:cs="宋体"/>
          <w:color w:val="auto"/>
          <w:sz w:val="21"/>
          <w:szCs w:val="21"/>
        </w:rPr>
        <w:t xml:space="preserve">   法定代表人或授权委托人签字或盖章：</w:t>
      </w:r>
    </w:p>
    <w:p>
      <w:pPr>
        <w:pStyle w:val="8"/>
        <w:spacing w:line="360" w:lineRule="auto"/>
        <w:ind w:firstLine="422" w:firstLineChars="200"/>
        <w:rPr>
          <w:rFonts w:ascii="宋体" w:hAnsi="宋体" w:eastAsia="宋体" w:cs="宋体"/>
          <w:color w:val="auto"/>
          <w:sz w:val="21"/>
          <w:szCs w:val="21"/>
        </w:rPr>
      </w:pPr>
      <w:r>
        <w:rPr>
          <w:rFonts w:hint="eastAsia" w:ascii="宋体" w:hAnsi="宋体" w:eastAsia="宋体" w:cs="宋体"/>
          <w:b/>
          <w:bCs/>
          <w:color w:val="auto"/>
          <w:sz w:val="21"/>
          <w:szCs w:val="21"/>
        </w:rPr>
        <w:t>年月日时分</w:t>
      </w:r>
      <w:r>
        <w:rPr>
          <w:rFonts w:hint="eastAsia" w:ascii="宋体" w:hAnsi="宋体" w:eastAsia="宋体" w:cs="宋体"/>
          <w:color w:val="auto"/>
          <w:sz w:val="21"/>
          <w:szCs w:val="21"/>
        </w:rPr>
        <w:t>开标，此时间以前不得开封。</w:t>
      </w:r>
    </w:p>
    <w:p>
      <w:pPr>
        <w:pStyle w:val="8"/>
        <w:spacing w:line="360" w:lineRule="auto"/>
        <w:ind w:firstLine="420" w:firstLineChars="200"/>
        <w:rPr>
          <w:rFonts w:ascii="宋体" w:hAnsi="宋体" w:eastAsia="宋体" w:cs="宋体"/>
          <w:color w:val="auto"/>
          <w:sz w:val="21"/>
          <w:szCs w:val="21"/>
        </w:rPr>
      </w:pPr>
      <w:r>
        <w:rPr>
          <w:rFonts w:ascii="宋体" w:hAnsi="宋体" w:eastAsia="宋体" w:cs="宋体"/>
          <w:color w:val="auto"/>
          <w:sz w:val="21"/>
          <w:szCs w:val="21"/>
        </w:rPr>
        <w:t xml:space="preserve">19.4  </w:t>
      </w:r>
      <w:r>
        <w:rPr>
          <w:rFonts w:hint="eastAsia" w:ascii="宋体" w:hAnsi="宋体" w:eastAsia="宋体" w:cs="宋体"/>
          <w:color w:val="auto"/>
          <w:sz w:val="21"/>
          <w:szCs w:val="21"/>
        </w:rPr>
        <w:t>除了按本须知第</w:t>
      </w:r>
      <w:r>
        <w:rPr>
          <w:rFonts w:ascii="宋体" w:hAnsi="宋体" w:eastAsia="宋体" w:cs="宋体"/>
          <w:color w:val="auto"/>
          <w:sz w:val="21"/>
          <w:szCs w:val="21"/>
        </w:rPr>
        <w:t>19.2</w:t>
      </w:r>
      <w:r>
        <w:rPr>
          <w:rFonts w:hint="eastAsia" w:ascii="宋体" w:hAnsi="宋体" w:eastAsia="宋体" w:cs="宋体"/>
          <w:color w:val="auto"/>
          <w:sz w:val="21"/>
          <w:szCs w:val="21"/>
        </w:rPr>
        <w:t>款和第</w:t>
      </w:r>
      <w:r>
        <w:rPr>
          <w:rFonts w:ascii="宋体" w:hAnsi="宋体" w:eastAsia="宋体" w:cs="宋体"/>
          <w:color w:val="auto"/>
          <w:sz w:val="21"/>
          <w:szCs w:val="21"/>
        </w:rPr>
        <w:t>19.3</w:t>
      </w:r>
      <w:r>
        <w:rPr>
          <w:rFonts w:hint="eastAsia" w:ascii="宋体" w:hAnsi="宋体" w:eastAsia="宋体" w:cs="宋体"/>
          <w:color w:val="auto"/>
          <w:sz w:val="21"/>
          <w:szCs w:val="21"/>
        </w:rPr>
        <w:t>款所要求的识别字样外，在内层响应文件密封袋上还应写明磋商单位名称与地址、邮政编码、联系电话。</w:t>
      </w:r>
    </w:p>
    <w:p>
      <w:pPr>
        <w:pStyle w:val="8"/>
        <w:spacing w:line="360" w:lineRule="auto"/>
        <w:ind w:firstLine="420" w:firstLineChars="200"/>
        <w:rPr>
          <w:rFonts w:ascii="宋体" w:hAnsi="宋体" w:eastAsia="宋体" w:cs="宋体"/>
          <w:color w:val="auto"/>
          <w:sz w:val="21"/>
          <w:szCs w:val="21"/>
        </w:rPr>
      </w:pPr>
      <w:r>
        <w:rPr>
          <w:rFonts w:ascii="宋体" w:hAnsi="宋体" w:eastAsia="宋体" w:cs="宋体"/>
          <w:color w:val="auto"/>
          <w:sz w:val="21"/>
          <w:szCs w:val="21"/>
        </w:rPr>
        <w:t xml:space="preserve">19.5  </w:t>
      </w:r>
      <w:r>
        <w:rPr>
          <w:rFonts w:hint="eastAsia" w:ascii="宋体" w:hAnsi="宋体" w:eastAsia="宋体" w:cs="宋体"/>
          <w:color w:val="auto"/>
          <w:sz w:val="21"/>
          <w:szCs w:val="21"/>
        </w:rPr>
        <w:t>如果响应文件没有按本须知第</w:t>
      </w:r>
      <w:r>
        <w:rPr>
          <w:rFonts w:ascii="宋体" w:hAnsi="宋体" w:eastAsia="宋体" w:cs="宋体"/>
          <w:color w:val="auto"/>
          <w:sz w:val="21"/>
          <w:szCs w:val="21"/>
        </w:rPr>
        <w:t>19.1</w:t>
      </w:r>
      <w:r>
        <w:rPr>
          <w:rFonts w:hint="eastAsia" w:ascii="宋体" w:hAnsi="宋体" w:eastAsia="宋体" w:cs="宋体"/>
          <w:color w:val="auto"/>
          <w:sz w:val="21"/>
          <w:szCs w:val="21"/>
        </w:rPr>
        <w:t>款、第</w:t>
      </w:r>
      <w:r>
        <w:rPr>
          <w:rFonts w:ascii="宋体" w:hAnsi="宋体" w:eastAsia="宋体" w:cs="宋体"/>
          <w:color w:val="auto"/>
          <w:sz w:val="21"/>
          <w:szCs w:val="21"/>
        </w:rPr>
        <w:t>19.2</w:t>
      </w:r>
      <w:r>
        <w:rPr>
          <w:rFonts w:hint="eastAsia" w:ascii="宋体" w:hAnsi="宋体" w:eastAsia="宋体" w:cs="宋体"/>
          <w:color w:val="auto"/>
          <w:sz w:val="21"/>
          <w:szCs w:val="21"/>
        </w:rPr>
        <w:t>款和第</w:t>
      </w:r>
      <w:r>
        <w:rPr>
          <w:rFonts w:ascii="宋体" w:hAnsi="宋体" w:eastAsia="宋体" w:cs="宋体"/>
          <w:color w:val="auto"/>
          <w:sz w:val="21"/>
          <w:szCs w:val="21"/>
        </w:rPr>
        <w:t>19.3</w:t>
      </w:r>
      <w:r>
        <w:rPr>
          <w:rFonts w:hint="eastAsia" w:ascii="宋体" w:hAnsi="宋体" w:eastAsia="宋体" w:cs="宋体"/>
          <w:color w:val="auto"/>
          <w:sz w:val="21"/>
          <w:szCs w:val="21"/>
        </w:rPr>
        <w:t>款规定装订和加写标记及密封，采购人将不承担响应文件提前开封的责任。对由此造成的提前开封的响应文件将予以拒绝，并退还给磋商单位。</w:t>
      </w:r>
    </w:p>
    <w:p>
      <w:pPr>
        <w:pStyle w:val="8"/>
        <w:spacing w:line="360" w:lineRule="auto"/>
        <w:ind w:firstLine="420" w:firstLineChars="200"/>
        <w:rPr>
          <w:rFonts w:ascii="宋体" w:hAnsi="宋体" w:eastAsia="宋体" w:cs="宋体"/>
          <w:color w:val="auto"/>
          <w:sz w:val="21"/>
          <w:szCs w:val="21"/>
        </w:rPr>
      </w:pPr>
      <w:bookmarkStart w:id="236" w:name="_Toc74156206"/>
      <w:bookmarkStart w:id="237" w:name="_Toc29153335"/>
      <w:r>
        <w:rPr>
          <w:rFonts w:ascii="宋体" w:hAnsi="宋体" w:eastAsia="宋体" w:cs="宋体"/>
          <w:color w:val="auto"/>
          <w:sz w:val="21"/>
          <w:szCs w:val="21"/>
        </w:rPr>
        <w:t xml:space="preserve">19.6  </w:t>
      </w:r>
      <w:r>
        <w:rPr>
          <w:rFonts w:hint="eastAsia" w:ascii="宋体" w:hAnsi="宋体" w:eastAsia="宋体" w:cs="宋体"/>
          <w:color w:val="auto"/>
          <w:sz w:val="21"/>
          <w:szCs w:val="21"/>
        </w:rPr>
        <w:t>所有响应文件的</w:t>
      </w:r>
      <w:r>
        <w:rPr>
          <w:rFonts w:hint="eastAsia" w:ascii="宋体" w:hAnsi="宋体" w:eastAsia="宋体" w:cs="宋体"/>
          <w:bCs/>
          <w:color w:val="auto"/>
          <w:sz w:val="21"/>
          <w:szCs w:val="21"/>
        </w:rPr>
        <w:t>内层密封袋封口处应加盖磋商单位法定代表人公章，外层密封袋封口处应加</w:t>
      </w:r>
      <w:r>
        <w:rPr>
          <w:rFonts w:hint="eastAsia" w:ascii="宋体" w:hAnsi="宋体" w:eastAsia="宋体" w:cs="宋体"/>
          <w:color w:val="auto"/>
          <w:sz w:val="21"/>
          <w:szCs w:val="21"/>
        </w:rPr>
        <w:t>盖密封章并签字以示密封，否则谢绝接受文件。</w:t>
      </w:r>
    </w:p>
    <w:p>
      <w:pPr>
        <w:pStyle w:val="6"/>
        <w:spacing w:line="360" w:lineRule="auto"/>
        <w:ind w:firstLine="422" w:firstLineChars="200"/>
        <w:rPr>
          <w:rFonts w:ascii="宋体" w:hAnsi="宋体" w:eastAsia="宋体" w:cs="宋体"/>
          <w:color w:val="auto"/>
          <w:kern w:val="0"/>
          <w:sz w:val="21"/>
          <w:szCs w:val="21"/>
        </w:rPr>
      </w:pPr>
      <w:bookmarkStart w:id="238" w:name="_Toc21553"/>
      <w:bookmarkStart w:id="239" w:name="_Toc243584255"/>
      <w:bookmarkStart w:id="240" w:name="_Toc12396"/>
      <w:bookmarkStart w:id="241" w:name="_Toc6287"/>
      <w:r>
        <w:rPr>
          <w:rFonts w:ascii="宋体" w:hAnsi="宋体" w:eastAsia="宋体" w:cs="宋体"/>
          <w:color w:val="auto"/>
          <w:kern w:val="0"/>
          <w:sz w:val="21"/>
          <w:szCs w:val="21"/>
        </w:rPr>
        <w:t xml:space="preserve">20. </w:t>
      </w:r>
      <w:r>
        <w:rPr>
          <w:rFonts w:hint="eastAsia" w:ascii="宋体" w:hAnsi="宋体" w:eastAsia="宋体" w:cs="宋体"/>
          <w:color w:val="auto"/>
          <w:kern w:val="0"/>
          <w:sz w:val="21"/>
          <w:szCs w:val="21"/>
        </w:rPr>
        <w:t>响应文件的提交</w:t>
      </w:r>
      <w:bookmarkEnd w:id="236"/>
      <w:bookmarkEnd w:id="237"/>
      <w:bookmarkEnd w:id="238"/>
      <w:bookmarkEnd w:id="239"/>
      <w:bookmarkEnd w:id="240"/>
      <w:bookmarkEnd w:id="241"/>
    </w:p>
    <w:p>
      <w:pPr>
        <w:autoSpaceDE w:val="0"/>
        <w:autoSpaceDN w:val="0"/>
        <w:adjustRightInd w:val="0"/>
        <w:spacing w:line="360" w:lineRule="auto"/>
        <w:ind w:firstLine="420" w:firstLineChars="200"/>
        <w:jc w:val="left"/>
        <w:rPr>
          <w:rFonts w:ascii="宋体" w:cs="宋体"/>
          <w:color w:val="auto"/>
          <w:kern w:val="0"/>
          <w:szCs w:val="21"/>
        </w:rPr>
      </w:pPr>
      <w:r>
        <w:rPr>
          <w:rFonts w:ascii="宋体" w:hAnsi="宋体" w:cs="宋体"/>
          <w:color w:val="auto"/>
          <w:kern w:val="0"/>
          <w:szCs w:val="21"/>
        </w:rPr>
        <w:t xml:space="preserve">20.1  </w:t>
      </w:r>
      <w:r>
        <w:rPr>
          <w:rFonts w:hint="eastAsia" w:ascii="宋体" w:hAnsi="宋体" w:cs="宋体"/>
          <w:color w:val="auto"/>
          <w:kern w:val="0"/>
          <w:szCs w:val="21"/>
        </w:rPr>
        <w:t>磋商单位应按前附表第</w:t>
      </w:r>
      <w:r>
        <w:rPr>
          <w:rFonts w:ascii="宋体" w:hAnsi="宋体" w:cs="宋体"/>
          <w:color w:val="auto"/>
          <w:kern w:val="0"/>
          <w:szCs w:val="21"/>
        </w:rPr>
        <w:t>16</w:t>
      </w:r>
      <w:r>
        <w:rPr>
          <w:rFonts w:hint="eastAsia" w:ascii="宋体" w:hAnsi="宋体" w:cs="宋体"/>
          <w:color w:val="auto"/>
          <w:kern w:val="0"/>
          <w:szCs w:val="21"/>
        </w:rPr>
        <w:t>项所规定的地点，于提交响应文件截止时间前提交响应文件。</w:t>
      </w:r>
    </w:p>
    <w:p>
      <w:pPr>
        <w:pStyle w:val="6"/>
        <w:spacing w:line="360" w:lineRule="auto"/>
        <w:ind w:firstLine="422" w:firstLineChars="200"/>
        <w:rPr>
          <w:rFonts w:ascii="宋体" w:hAnsi="宋体" w:eastAsia="宋体" w:cs="宋体"/>
          <w:color w:val="auto"/>
          <w:kern w:val="0"/>
          <w:sz w:val="21"/>
          <w:szCs w:val="21"/>
        </w:rPr>
      </w:pPr>
      <w:bookmarkStart w:id="242" w:name="_Toc23046685"/>
      <w:bookmarkStart w:id="243" w:name="_Toc23152579"/>
      <w:bookmarkStart w:id="244" w:name="_Toc514238609"/>
      <w:bookmarkStart w:id="245" w:name="_Toc22047"/>
      <w:bookmarkStart w:id="246" w:name="_Toc4250"/>
      <w:bookmarkStart w:id="247" w:name="_Toc29153336"/>
      <w:bookmarkStart w:id="248" w:name="_Toc74156207"/>
      <w:bookmarkStart w:id="249" w:name="_Toc5123"/>
      <w:bookmarkStart w:id="250" w:name="_Toc243584256"/>
      <w:r>
        <w:rPr>
          <w:rFonts w:ascii="宋体" w:hAnsi="宋体" w:eastAsia="宋体" w:cs="宋体"/>
          <w:color w:val="auto"/>
          <w:kern w:val="0"/>
          <w:sz w:val="21"/>
          <w:szCs w:val="21"/>
        </w:rPr>
        <w:t xml:space="preserve">21. </w:t>
      </w:r>
      <w:r>
        <w:rPr>
          <w:rFonts w:hint="eastAsia" w:ascii="宋体" w:hAnsi="宋体" w:eastAsia="宋体" w:cs="宋体"/>
          <w:color w:val="auto"/>
          <w:kern w:val="0"/>
          <w:sz w:val="21"/>
          <w:szCs w:val="21"/>
        </w:rPr>
        <w:t>提交响应文件截止</w:t>
      </w:r>
      <w:bookmarkEnd w:id="242"/>
      <w:bookmarkEnd w:id="243"/>
      <w:bookmarkEnd w:id="244"/>
      <w:r>
        <w:rPr>
          <w:rFonts w:hint="eastAsia" w:ascii="宋体" w:hAnsi="宋体" w:eastAsia="宋体" w:cs="宋体"/>
          <w:color w:val="auto"/>
          <w:kern w:val="0"/>
          <w:sz w:val="21"/>
          <w:szCs w:val="21"/>
        </w:rPr>
        <w:t>时间</w:t>
      </w:r>
      <w:bookmarkEnd w:id="245"/>
      <w:bookmarkEnd w:id="246"/>
      <w:bookmarkEnd w:id="247"/>
      <w:bookmarkEnd w:id="248"/>
      <w:bookmarkEnd w:id="249"/>
      <w:bookmarkEnd w:id="250"/>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21.1  </w:t>
      </w:r>
      <w:r>
        <w:rPr>
          <w:rFonts w:hint="eastAsia" w:ascii="宋体" w:hAnsi="宋体" w:cs="宋体"/>
          <w:color w:val="auto"/>
          <w:kern w:val="0"/>
          <w:szCs w:val="21"/>
        </w:rPr>
        <w:t>提交响应文件的截止时间见前附表第</w:t>
      </w:r>
      <w:r>
        <w:rPr>
          <w:rFonts w:ascii="宋体" w:hAnsi="宋体" w:cs="宋体"/>
          <w:color w:val="auto"/>
          <w:kern w:val="0"/>
          <w:szCs w:val="21"/>
        </w:rPr>
        <w:t>16</w:t>
      </w:r>
      <w:r>
        <w:rPr>
          <w:rFonts w:hint="eastAsia" w:ascii="宋体" w:hAnsi="宋体" w:cs="宋体"/>
          <w:color w:val="auto"/>
          <w:kern w:val="0"/>
          <w:szCs w:val="21"/>
        </w:rPr>
        <w:t>项规定。</w:t>
      </w:r>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21.2  </w:t>
      </w:r>
      <w:r>
        <w:rPr>
          <w:rFonts w:hint="eastAsia" w:ascii="宋体" w:hAnsi="宋体" w:cs="宋体"/>
          <w:color w:val="auto"/>
          <w:kern w:val="0"/>
          <w:szCs w:val="21"/>
        </w:rPr>
        <w:t>采购人可按本须知第</w:t>
      </w:r>
      <w:r>
        <w:rPr>
          <w:rFonts w:ascii="宋体" w:hAnsi="宋体" w:cs="宋体"/>
          <w:bCs/>
          <w:color w:val="auto"/>
          <w:kern w:val="0"/>
          <w:szCs w:val="21"/>
        </w:rPr>
        <w:t>9</w:t>
      </w:r>
      <w:r>
        <w:rPr>
          <w:rFonts w:hint="eastAsia" w:ascii="宋体" w:hAnsi="宋体" w:cs="宋体"/>
          <w:color w:val="auto"/>
          <w:kern w:val="0"/>
          <w:szCs w:val="21"/>
        </w:rPr>
        <w:t>条规定以修改、补充通知的方式，酌情延长提交响应文件的截止时间。在此情况下，磋商单位所有权力和义务以及磋商单位受约束的截止时间，均以延长后新的提交响应文件截止时间为准。</w:t>
      </w:r>
    </w:p>
    <w:p>
      <w:pPr>
        <w:pStyle w:val="6"/>
        <w:spacing w:line="360" w:lineRule="auto"/>
        <w:ind w:firstLine="422" w:firstLineChars="200"/>
        <w:rPr>
          <w:rFonts w:ascii="宋体" w:hAnsi="宋体" w:eastAsia="宋体" w:cs="宋体"/>
          <w:color w:val="auto"/>
          <w:kern w:val="0"/>
          <w:sz w:val="21"/>
          <w:szCs w:val="21"/>
        </w:rPr>
      </w:pPr>
      <w:bookmarkStart w:id="251" w:name="_Toc243584257"/>
      <w:bookmarkStart w:id="252" w:name="_Toc24910"/>
      <w:bookmarkStart w:id="253" w:name="_Toc29153337"/>
      <w:bookmarkStart w:id="254" w:name="_Toc74156208"/>
      <w:bookmarkStart w:id="255" w:name="_Toc22627"/>
      <w:bookmarkStart w:id="256" w:name="_Toc28896"/>
      <w:r>
        <w:rPr>
          <w:rFonts w:ascii="宋体" w:hAnsi="宋体" w:eastAsia="宋体" w:cs="宋体"/>
          <w:color w:val="auto"/>
          <w:kern w:val="0"/>
          <w:sz w:val="21"/>
          <w:szCs w:val="21"/>
        </w:rPr>
        <w:t xml:space="preserve">22. </w:t>
      </w:r>
      <w:r>
        <w:rPr>
          <w:rFonts w:hint="eastAsia" w:ascii="宋体" w:hAnsi="宋体" w:eastAsia="宋体" w:cs="宋体"/>
          <w:color w:val="auto"/>
          <w:kern w:val="0"/>
          <w:sz w:val="21"/>
          <w:szCs w:val="21"/>
        </w:rPr>
        <w:t>逾期提交的</w:t>
      </w:r>
      <w:bookmarkEnd w:id="251"/>
      <w:bookmarkEnd w:id="252"/>
      <w:bookmarkEnd w:id="253"/>
      <w:bookmarkEnd w:id="254"/>
      <w:bookmarkStart w:id="257" w:name="_Hlt73302960"/>
      <w:bookmarkEnd w:id="257"/>
      <w:r>
        <w:rPr>
          <w:rFonts w:hint="eastAsia" w:ascii="宋体" w:hAnsi="宋体" w:eastAsia="宋体" w:cs="宋体"/>
          <w:color w:val="auto"/>
          <w:kern w:val="0"/>
          <w:sz w:val="21"/>
          <w:szCs w:val="21"/>
        </w:rPr>
        <w:t>响应文件</w:t>
      </w:r>
      <w:bookmarkEnd w:id="255"/>
      <w:bookmarkEnd w:id="256"/>
    </w:p>
    <w:p>
      <w:pPr>
        <w:spacing w:line="360" w:lineRule="auto"/>
        <w:rPr>
          <w:rFonts w:ascii="宋体" w:cs="宋体"/>
          <w:color w:val="auto"/>
          <w:szCs w:val="21"/>
        </w:rPr>
      </w:pPr>
      <w:r>
        <w:rPr>
          <w:rFonts w:ascii="宋体" w:hAnsi="宋体" w:cs="宋体"/>
          <w:color w:val="auto"/>
          <w:szCs w:val="21"/>
        </w:rPr>
        <w:t xml:space="preserve">    22.1 </w:t>
      </w:r>
      <w:r>
        <w:rPr>
          <w:rFonts w:hint="eastAsia" w:ascii="宋体" w:hAnsi="宋体" w:cs="宋体"/>
          <w:color w:val="auto"/>
          <w:kern w:val="0"/>
          <w:szCs w:val="21"/>
        </w:rPr>
        <w:t>采购人对磋商单位在前附表第</w:t>
      </w:r>
      <w:r>
        <w:rPr>
          <w:rFonts w:ascii="宋体" w:hAnsi="宋体" w:cs="宋体"/>
          <w:color w:val="auto"/>
          <w:kern w:val="0"/>
          <w:szCs w:val="21"/>
        </w:rPr>
        <w:t>16</w:t>
      </w:r>
      <w:r>
        <w:rPr>
          <w:rFonts w:hint="eastAsia" w:ascii="宋体" w:hAnsi="宋体" w:cs="宋体"/>
          <w:color w:val="auto"/>
          <w:kern w:val="0"/>
          <w:szCs w:val="21"/>
        </w:rPr>
        <w:t>项规定的提交响应文件截止时间以后提交的响应文件不予接收。</w:t>
      </w:r>
    </w:p>
    <w:p>
      <w:pPr>
        <w:pStyle w:val="6"/>
        <w:spacing w:line="360" w:lineRule="auto"/>
        <w:ind w:firstLine="422" w:firstLineChars="200"/>
        <w:rPr>
          <w:rFonts w:ascii="宋体" w:hAnsi="宋体" w:eastAsia="宋体" w:cs="宋体"/>
          <w:color w:val="auto"/>
          <w:kern w:val="0"/>
          <w:sz w:val="21"/>
          <w:szCs w:val="21"/>
        </w:rPr>
      </w:pPr>
      <w:bookmarkStart w:id="258" w:name="_Toc30174"/>
      <w:bookmarkStart w:id="259" w:name="_Toc23046686"/>
      <w:bookmarkStart w:id="260" w:name="_Toc15811"/>
      <w:bookmarkStart w:id="261" w:name="_Toc25381"/>
      <w:bookmarkStart w:id="262" w:name="_Toc514238610"/>
      <w:bookmarkStart w:id="263" w:name="_Toc243584258"/>
      <w:bookmarkStart w:id="264" w:name="_Toc29153338"/>
      <w:bookmarkStart w:id="265" w:name="_Toc74156209"/>
      <w:bookmarkStart w:id="266" w:name="_Toc23152580"/>
      <w:r>
        <w:rPr>
          <w:rFonts w:ascii="宋体" w:hAnsi="宋体" w:eastAsia="宋体" w:cs="宋体"/>
          <w:color w:val="auto"/>
          <w:kern w:val="0"/>
          <w:sz w:val="21"/>
          <w:szCs w:val="21"/>
        </w:rPr>
        <w:t xml:space="preserve">23. </w:t>
      </w:r>
      <w:r>
        <w:rPr>
          <w:rFonts w:hint="eastAsia" w:ascii="宋体" w:hAnsi="宋体" w:eastAsia="宋体" w:cs="宋体"/>
          <w:color w:val="auto"/>
          <w:kern w:val="0"/>
          <w:sz w:val="21"/>
          <w:szCs w:val="21"/>
        </w:rPr>
        <w:t>响应文件的补充、修改与撤回</w:t>
      </w:r>
      <w:bookmarkEnd w:id="258"/>
      <w:bookmarkEnd w:id="259"/>
      <w:bookmarkEnd w:id="260"/>
      <w:bookmarkEnd w:id="261"/>
      <w:bookmarkEnd w:id="262"/>
      <w:bookmarkEnd w:id="263"/>
      <w:bookmarkEnd w:id="264"/>
      <w:bookmarkEnd w:id="265"/>
      <w:bookmarkEnd w:id="266"/>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23.1  </w:t>
      </w:r>
      <w:r>
        <w:rPr>
          <w:rFonts w:hint="eastAsia" w:ascii="宋体" w:hAnsi="宋体" w:cs="宋体"/>
          <w:color w:val="auto"/>
          <w:kern w:val="0"/>
          <w:szCs w:val="21"/>
        </w:rPr>
        <w:t>磋商单位在提交响应文件以后，在规定的提交响应文件截止时间之前，可以书面形式补充、修改或撤回已提交的响应文件，并以书面形式通知采购人。补充、修改的内容为响应文件的组成部分。</w:t>
      </w:r>
    </w:p>
    <w:p>
      <w:pPr>
        <w:autoSpaceDE w:val="0"/>
        <w:autoSpaceDN w:val="0"/>
        <w:adjustRightInd w:val="0"/>
        <w:spacing w:line="360" w:lineRule="auto"/>
        <w:ind w:firstLine="420" w:firstLineChars="200"/>
        <w:rPr>
          <w:rFonts w:ascii="宋体" w:cs="宋体"/>
          <w:color w:val="auto"/>
          <w:spacing w:val="-4"/>
          <w:kern w:val="0"/>
          <w:szCs w:val="21"/>
        </w:rPr>
      </w:pPr>
      <w:r>
        <w:rPr>
          <w:rFonts w:ascii="宋体" w:hAnsi="宋体" w:cs="宋体"/>
          <w:color w:val="auto"/>
          <w:kern w:val="0"/>
          <w:szCs w:val="21"/>
        </w:rPr>
        <w:t xml:space="preserve">23.2  </w:t>
      </w:r>
      <w:r>
        <w:rPr>
          <w:rFonts w:hint="eastAsia" w:ascii="宋体" w:hAnsi="宋体" w:cs="宋体"/>
          <w:color w:val="auto"/>
          <w:spacing w:val="-4"/>
          <w:kern w:val="0"/>
          <w:szCs w:val="21"/>
        </w:rPr>
        <w:t>磋商单位对响应文件的补充、修改，应按本须知第</w:t>
      </w:r>
      <w:r>
        <w:rPr>
          <w:rFonts w:ascii="宋体" w:hAnsi="宋体" w:cs="宋体"/>
          <w:color w:val="auto"/>
          <w:spacing w:val="-4"/>
          <w:kern w:val="0"/>
          <w:szCs w:val="21"/>
        </w:rPr>
        <w:t>19</w:t>
      </w:r>
      <w:r>
        <w:rPr>
          <w:rFonts w:hint="eastAsia" w:ascii="宋体" w:hAnsi="宋体" w:cs="宋体"/>
          <w:color w:val="auto"/>
          <w:spacing w:val="-4"/>
          <w:kern w:val="0"/>
          <w:szCs w:val="21"/>
        </w:rPr>
        <w:t>条、第</w:t>
      </w:r>
      <w:r>
        <w:rPr>
          <w:rFonts w:ascii="宋体" w:hAnsi="宋体" w:cs="宋体"/>
          <w:color w:val="auto"/>
          <w:spacing w:val="-4"/>
          <w:kern w:val="0"/>
          <w:szCs w:val="21"/>
        </w:rPr>
        <w:t>20</w:t>
      </w:r>
      <w:r>
        <w:rPr>
          <w:rFonts w:hint="eastAsia" w:ascii="宋体" w:hAnsi="宋体" w:cs="宋体"/>
          <w:color w:val="auto"/>
          <w:spacing w:val="-4"/>
          <w:kern w:val="0"/>
          <w:szCs w:val="21"/>
        </w:rPr>
        <w:t>条的有关规定密封、标记和提交，并在响应文件内、外层密封袋上清楚标明“补充、修改”或“撤回”字样。</w:t>
      </w:r>
    </w:p>
    <w:p>
      <w:pPr>
        <w:autoSpaceDE w:val="0"/>
        <w:autoSpaceDN w:val="0"/>
        <w:adjustRightInd w:val="0"/>
        <w:spacing w:line="360" w:lineRule="auto"/>
        <w:ind w:firstLine="404" w:firstLineChars="200"/>
        <w:rPr>
          <w:rFonts w:ascii="宋体" w:cs="宋体"/>
          <w:color w:val="auto"/>
          <w:spacing w:val="-4"/>
          <w:kern w:val="0"/>
          <w:szCs w:val="21"/>
        </w:rPr>
      </w:pPr>
      <w:r>
        <w:rPr>
          <w:rFonts w:ascii="宋体" w:hAnsi="宋体" w:cs="宋体"/>
          <w:color w:val="auto"/>
          <w:spacing w:val="-4"/>
          <w:kern w:val="0"/>
          <w:szCs w:val="21"/>
        </w:rPr>
        <w:t xml:space="preserve">23.3  </w:t>
      </w:r>
      <w:r>
        <w:rPr>
          <w:rFonts w:hint="eastAsia" w:ascii="宋体" w:hAnsi="宋体" w:cs="宋体"/>
          <w:color w:val="auto"/>
          <w:spacing w:val="-4"/>
          <w:kern w:val="0"/>
          <w:szCs w:val="21"/>
        </w:rPr>
        <w:t>在</w:t>
      </w:r>
      <w:r>
        <w:rPr>
          <w:rFonts w:hint="eastAsia" w:ascii="宋体" w:hAnsi="宋体" w:cs="宋体"/>
          <w:color w:val="auto"/>
          <w:kern w:val="0"/>
          <w:szCs w:val="21"/>
        </w:rPr>
        <w:t>提交响应文件截止时间</w:t>
      </w:r>
      <w:r>
        <w:rPr>
          <w:rFonts w:hint="eastAsia" w:ascii="宋体" w:hAnsi="宋体" w:cs="宋体"/>
          <w:color w:val="auto"/>
          <w:spacing w:val="-4"/>
          <w:kern w:val="0"/>
          <w:szCs w:val="21"/>
        </w:rPr>
        <w:t>之后，磋商单位不得补充、修改其响应文件。</w:t>
      </w:r>
    </w:p>
    <w:p>
      <w:pPr>
        <w:pStyle w:val="4"/>
        <w:spacing w:line="360" w:lineRule="auto"/>
        <w:jc w:val="center"/>
        <w:rPr>
          <w:rFonts w:ascii="宋体" w:hAnsi="宋体" w:eastAsia="宋体" w:cs="宋体"/>
          <w:color w:val="auto"/>
          <w:kern w:val="0"/>
          <w:sz w:val="21"/>
          <w:szCs w:val="21"/>
        </w:rPr>
      </w:pPr>
      <w:bookmarkStart w:id="267" w:name="_Toc23046687"/>
      <w:bookmarkStart w:id="268" w:name="_Toc514238611"/>
      <w:bookmarkStart w:id="269" w:name="_Toc74156210"/>
      <w:bookmarkStart w:id="270" w:name="_Toc23152581"/>
      <w:bookmarkStart w:id="271" w:name="_Toc243584259"/>
      <w:bookmarkStart w:id="272" w:name="_Toc26236"/>
      <w:bookmarkStart w:id="273" w:name="_Toc21193"/>
      <w:bookmarkStart w:id="274" w:name="_Toc32150"/>
      <w:bookmarkStart w:id="275" w:name="_Toc29153339"/>
      <w:r>
        <w:rPr>
          <w:rFonts w:hint="eastAsia" w:ascii="宋体" w:hAnsi="宋体" w:eastAsia="宋体" w:cs="宋体"/>
          <w:color w:val="auto"/>
          <w:kern w:val="0"/>
          <w:sz w:val="21"/>
          <w:szCs w:val="21"/>
        </w:rPr>
        <w:t>（五）开标</w:t>
      </w:r>
      <w:bookmarkEnd w:id="267"/>
      <w:bookmarkEnd w:id="268"/>
      <w:bookmarkEnd w:id="269"/>
      <w:bookmarkEnd w:id="270"/>
      <w:bookmarkEnd w:id="271"/>
      <w:bookmarkEnd w:id="272"/>
      <w:bookmarkEnd w:id="273"/>
      <w:bookmarkEnd w:id="274"/>
      <w:bookmarkEnd w:id="275"/>
    </w:p>
    <w:p>
      <w:pPr>
        <w:pStyle w:val="6"/>
        <w:spacing w:line="360" w:lineRule="auto"/>
        <w:ind w:firstLine="422" w:firstLineChars="200"/>
        <w:rPr>
          <w:rFonts w:ascii="宋体" w:hAnsi="宋体" w:eastAsia="宋体" w:cs="宋体"/>
          <w:color w:val="auto"/>
          <w:kern w:val="0"/>
          <w:sz w:val="21"/>
          <w:szCs w:val="21"/>
        </w:rPr>
      </w:pPr>
      <w:bookmarkStart w:id="276" w:name="_Toc21458"/>
      <w:bookmarkStart w:id="277" w:name="_Toc74156211"/>
      <w:bookmarkStart w:id="278" w:name="_Toc23152582"/>
      <w:bookmarkStart w:id="279" w:name="_Toc514238612"/>
      <w:bookmarkStart w:id="280" w:name="_Toc31841"/>
      <w:bookmarkStart w:id="281" w:name="_Toc29153340"/>
      <w:bookmarkStart w:id="282" w:name="_Toc23046688"/>
      <w:bookmarkStart w:id="283" w:name="_Toc243584260"/>
      <w:bookmarkStart w:id="284" w:name="_Toc4314"/>
      <w:r>
        <w:rPr>
          <w:rFonts w:ascii="宋体" w:hAnsi="宋体" w:eastAsia="宋体" w:cs="宋体"/>
          <w:color w:val="auto"/>
          <w:kern w:val="0"/>
          <w:sz w:val="21"/>
          <w:szCs w:val="21"/>
        </w:rPr>
        <w:t xml:space="preserve">24. </w:t>
      </w:r>
      <w:r>
        <w:rPr>
          <w:rFonts w:hint="eastAsia" w:ascii="宋体" w:hAnsi="宋体" w:eastAsia="宋体" w:cs="宋体"/>
          <w:color w:val="auto"/>
          <w:kern w:val="0"/>
          <w:sz w:val="21"/>
          <w:szCs w:val="21"/>
        </w:rPr>
        <w:t>开标</w:t>
      </w:r>
      <w:bookmarkEnd w:id="276"/>
      <w:bookmarkEnd w:id="277"/>
      <w:bookmarkEnd w:id="278"/>
      <w:bookmarkEnd w:id="279"/>
      <w:bookmarkEnd w:id="280"/>
      <w:bookmarkEnd w:id="281"/>
      <w:bookmarkEnd w:id="282"/>
      <w:bookmarkEnd w:id="283"/>
      <w:bookmarkEnd w:id="284"/>
    </w:p>
    <w:p>
      <w:pPr>
        <w:autoSpaceDE w:val="0"/>
        <w:autoSpaceDN w:val="0"/>
        <w:adjustRightInd w:val="0"/>
        <w:spacing w:line="360" w:lineRule="auto"/>
        <w:ind w:firstLine="424" w:firstLineChars="202"/>
        <w:rPr>
          <w:rFonts w:ascii="宋体" w:cs="宋体"/>
          <w:color w:val="auto"/>
          <w:kern w:val="0"/>
          <w:szCs w:val="21"/>
        </w:rPr>
      </w:pPr>
      <w:r>
        <w:rPr>
          <w:rFonts w:ascii="宋体" w:hAnsi="宋体" w:cs="宋体"/>
          <w:color w:val="auto"/>
          <w:kern w:val="0"/>
          <w:szCs w:val="21"/>
        </w:rPr>
        <w:t xml:space="preserve">24.1  </w:t>
      </w:r>
      <w:bookmarkStart w:id="285" w:name="_Toc74156212"/>
      <w:r>
        <w:rPr>
          <w:rFonts w:hint="eastAsia" w:ascii="宋体" w:hAnsi="宋体" w:cs="宋体"/>
          <w:color w:val="auto"/>
          <w:kern w:val="0"/>
          <w:szCs w:val="21"/>
        </w:rPr>
        <w:t>采购人将于前附表规定的时间和地点举行开标会议，所有通过报名成功获得竞争性磋商采购文件的磋商单位参加</w:t>
      </w:r>
      <w:r>
        <w:rPr>
          <w:rFonts w:hint="eastAsia" w:ascii="宋体" w:hAnsi="宋体" w:cs="宋体"/>
          <w:color w:val="auto"/>
          <w:kern w:val="0"/>
          <w:szCs w:val="21"/>
          <w:lang w:eastAsia="zh-CN"/>
        </w:rPr>
        <w:t>开标会议，未参加开标会的单位视为默认开标结果</w:t>
      </w:r>
      <w:r>
        <w:rPr>
          <w:rFonts w:hint="eastAsia" w:ascii="宋体" w:hAnsi="宋体" w:cs="宋体"/>
          <w:color w:val="auto"/>
          <w:kern w:val="0"/>
          <w:szCs w:val="21"/>
        </w:rPr>
        <w:t>。磋商单位代表人应携带有效证明材料</w:t>
      </w:r>
      <w:r>
        <w:rPr>
          <w:rFonts w:hint="eastAsia" w:ascii="宋体" w:hAnsi="宋体" w:cs="宋体"/>
          <w:b/>
          <w:bCs/>
          <w:color w:val="auto"/>
          <w:kern w:val="0"/>
          <w:szCs w:val="21"/>
        </w:rPr>
        <w:t>【如法定代表人参加时须提供本人居民身份证原件；如委托代理人参加时须提供法定代表人授权委托书原件及受托人有效居民身份证】</w:t>
      </w:r>
      <w:r>
        <w:rPr>
          <w:rFonts w:hint="eastAsia" w:ascii="宋体" w:hAnsi="宋体" w:cs="宋体"/>
          <w:color w:val="auto"/>
          <w:kern w:val="0"/>
          <w:szCs w:val="21"/>
        </w:rPr>
        <w:t>前往，用以证实其身份，并签到以证明其出席开标会议。</w:t>
      </w:r>
    </w:p>
    <w:p>
      <w:pPr>
        <w:autoSpaceDE w:val="0"/>
        <w:autoSpaceDN w:val="0"/>
        <w:adjustRightInd w:val="0"/>
        <w:spacing w:line="360" w:lineRule="auto"/>
        <w:rPr>
          <w:rFonts w:ascii="宋体" w:cs="宋体"/>
          <w:b/>
          <w:bCs/>
          <w:color w:val="auto"/>
          <w:kern w:val="0"/>
          <w:szCs w:val="21"/>
        </w:rPr>
      </w:pPr>
      <w:r>
        <w:rPr>
          <w:rFonts w:ascii="宋体" w:hAnsi="宋体" w:cs="宋体"/>
          <w:b/>
          <w:bCs/>
          <w:color w:val="auto"/>
          <w:kern w:val="0"/>
          <w:szCs w:val="21"/>
        </w:rPr>
        <w:t xml:space="preserve">24.2  </w:t>
      </w:r>
      <w:r>
        <w:rPr>
          <w:rFonts w:hint="eastAsia" w:ascii="宋体" w:hAnsi="宋体" w:cs="宋体"/>
          <w:b/>
          <w:bCs/>
          <w:color w:val="auto"/>
          <w:kern w:val="0"/>
          <w:szCs w:val="21"/>
        </w:rPr>
        <w:t>开标会议在采购管理机构的监督下，由采购代理机构组织并主持。</w:t>
      </w:r>
    </w:p>
    <w:p>
      <w:pPr>
        <w:autoSpaceDE w:val="0"/>
        <w:autoSpaceDN w:val="0"/>
        <w:adjustRightInd w:val="0"/>
        <w:spacing w:line="360" w:lineRule="auto"/>
        <w:jc w:val="left"/>
        <w:rPr>
          <w:rFonts w:ascii="宋体" w:cs="宋体"/>
          <w:b/>
          <w:bCs/>
          <w:color w:val="auto"/>
          <w:kern w:val="0"/>
          <w:szCs w:val="21"/>
        </w:rPr>
      </w:pPr>
      <w:r>
        <w:rPr>
          <w:rFonts w:ascii="宋体" w:hAnsi="宋体" w:cs="宋体"/>
          <w:b/>
          <w:bCs/>
          <w:color w:val="auto"/>
          <w:kern w:val="0"/>
          <w:szCs w:val="21"/>
        </w:rPr>
        <w:t xml:space="preserve">24.3  </w:t>
      </w:r>
      <w:r>
        <w:rPr>
          <w:rFonts w:hint="eastAsia" w:ascii="宋体" w:hAnsi="宋体" w:cs="宋体"/>
          <w:b/>
          <w:bCs/>
          <w:color w:val="auto"/>
          <w:kern w:val="0"/>
          <w:szCs w:val="21"/>
        </w:rPr>
        <w:t>开标会议程序。</w:t>
      </w:r>
    </w:p>
    <w:p>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cs="宋体"/>
          <w:color w:val="auto"/>
          <w:kern w:val="0"/>
          <w:szCs w:val="21"/>
        </w:rPr>
      </w:pPr>
      <w:r>
        <w:rPr>
          <w:rFonts w:hint="eastAsia" w:ascii="宋体" w:hAnsi="宋体" w:cs="宋体"/>
          <w:color w:val="auto"/>
          <w:kern w:val="0"/>
          <w:szCs w:val="21"/>
        </w:rPr>
        <w:t>（1）宣布开标会议开始和会场纪律。</w:t>
      </w:r>
    </w:p>
    <w:p>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cs="宋体"/>
          <w:color w:val="auto"/>
          <w:kern w:val="0"/>
          <w:szCs w:val="21"/>
        </w:rPr>
      </w:pPr>
      <w:r>
        <w:rPr>
          <w:rFonts w:hint="eastAsia" w:ascii="宋体" w:hAnsi="宋体" w:cs="宋体"/>
          <w:color w:val="auto"/>
          <w:kern w:val="0"/>
          <w:szCs w:val="21"/>
        </w:rPr>
        <w:t>(2)宣布招标人、唱标人、记录人、监标人等有关人员；</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outlineLvl w:val="0"/>
        <w:rPr>
          <w:rFonts w:ascii="宋体" w:cs="宋体"/>
          <w:color w:val="auto"/>
          <w:kern w:val="0"/>
          <w:szCs w:val="21"/>
        </w:rPr>
      </w:pPr>
      <w:bookmarkStart w:id="286" w:name="_Toc243584261"/>
      <w:r>
        <w:rPr>
          <w:rFonts w:hint="eastAsia" w:ascii="宋体" w:hAnsi="宋体" w:cs="宋体"/>
          <w:color w:val="auto"/>
          <w:kern w:val="0"/>
          <w:szCs w:val="21"/>
        </w:rPr>
        <w:t>(3)公布在投标截止时间前递交投标文件的磋商单位名称，并点名确认磋商单位是否派人到场。</w:t>
      </w:r>
      <w:bookmarkEnd w:id="286"/>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outlineLvl w:val="0"/>
        <w:rPr>
          <w:rFonts w:ascii="宋体" w:cs="宋体"/>
          <w:color w:val="auto"/>
          <w:kern w:val="0"/>
          <w:szCs w:val="21"/>
        </w:rPr>
      </w:pPr>
      <w:r>
        <w:rPr>
          <w:rFonts w:hint="eastAsia" w:ascii="宋体" w:hAnsi="宋体" w:cs="宋体"/>
          <w:color w:val="auto"/>
          <w:kern w:val="0"/>
          <w:szCs w:val="21"/>
        </w:rPr>
        <w:t>(4)采购人或采购代理机构代表和监督人员一同检验参加开标会的各磋商单位法定代表人或其授权代理人的资格证件【</w:t>
      </w:r>
      <w:r>
        <w:rPr>
          <w:rFonts w:ascii="宋体" w:hAnsi="宋体" w:cs="宋体"/>
          <w:color w:val="auto"/>
          <w:kern w:val="0"/>
          <w:szCs w:val="21"/>
        </w:rPr>
        <w:t>24.1</w:t>
      </w:r>
      <w:r>
        <w:rPr>
          <w:rFonts w:hint="eastAsia" w:ascii="宋体" w:hAnsi="宋体" w:cs="宋体"/>
          <w:color w:val="auto"/>
          <w:kern w:val="0"/>
          <w:szCs w:val="21"/>
        </w:rPr>
        <w:t>的有效证明材料】。</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outlineLvl w:val="0"/>
        <w:rPr>
          <w:rFonts w:ascii="宋体" w:cs="宋体"/>
          <w:color w:val="auto"/>
          <w:kern w:val="0"/>
          <w:szCs w:val="21"/>
        </w:rPr>
      </w:pPr>
      <w:bookmarkStart w:id="287" w:name="_Toc243584263"/>
      <w:r>
        <w:rPr>
          <w:rFonts w:hint="eastAsia" w:ascii="宋体" w:hAnsi="宋体" w:cs="宋体"/>
          <w:color w:val="auto"/>
          <w:kern w:val="0"/>
          <w:szCs w:val="21"/>
        </w:rPr>
        <w:t>(5)</w:t>
      </w:r>
      <w:bookmarkEnd w:id="287"/>
      <w:r>
        <w:rPr>
          <w:rFonts w:hint="eastAsia" w:ascii="宋体" w:hAnsi="宋体" w:cs="宋体"/>
          <w:color w:val="auto"/>
          <w:kern w:val="0"/>
          <w:szCs w:val="21"/>
        </w:rPr>
        <w:t>各磋商单位代表交叉检验各响应文件的密封情况，并签字确认。</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outlineLvl w:val="0"/>
        <w:rPr>
          <w:rFonts w:ascii="宋体" w:cs="宋体"/>
          <w:color w:val="auto"/>
          <w:kern w:val="0"/>
          <w:szCs w:val="21"/>
        </w:rPr>
      </w:pPr>
      <w:r>
        <w:rPr>
          <w:rFonts w:hint="eastAsia" w:ascii="宋体" w:hAnsi="宋体" w:cs="宋体"/>
          <w:color w:val="auto"/>
          <w:kern w:val="0"/>
          <w:szCs w:val="21"/>
        </w:rPr>
        <w:t>(6)宣布评标期间的有关事项。</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cs="宋体"/>
          <w:color w:val="auto"/>
          <w:kern w:val="0"/>
          <w:szCs w:val="21"/>
        </w:rPr>
      </w:pPr>
      <w:r>
        <w:rPr>
          <w:rFonts w:hint="eastAsia" w:ascii="宋体" w:hAnsi="宋体" w:cs="宋体"/>
          <w:color w:val="auto"/>
          <w:kern w:val="0"/>
          <w:szCs w:val="21"/>
        </w:rPr>
        <w:t>(7)开标会议结束。</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cs="宋体"/>
          <w:color w:val="auto"/>
          <w:kern w:val="0"/>
          <w:szCs w:val="21"/>
        </w:rPr>
      </w:pPr>
      <w:r>
        <w:rPr>
          <w:rFonts w:hint="eastAsia" w:ascii="宋体" w:hAnsi="宋体" w:cs="宋体"/>
          <w:color w:val="auto"/>
          <w:kern w:val="0"/>
          <w:szCs w:val="21"/>
        </w:rPr>
        <w:t>(8)采购代理机构对开标过程进行记录，并存档备查。</w:t>
      </w:r>
    </w:p>
    <w:bookmarkEnd w:id="285"/>
    <w:p>
      <w:pPr>
        <w:pStyle w:val="6"/>
        <w:spacing w:line="360" w:lineRule="auto"/>
        <w:rPr>
          <w:rFonts w:ascii="宋体" w:hAnsi="宋体" w:eastAsia="宋体" w:cs="宋体"/>
          <w:color w:val="auto"/>
          <w:kern w:val="0"/>
          <w:sz w:val="21"/>
          <w:szCs w:val="21"/>
        </w:rPr>
      </w:pPr>
      <w:bookmarkStart w:id="288" w:name="_Toc12267"/>
      <w:bookmarkStart w:id="289" w:name="_Toc29153341"/>
      <w:bookmarkStart w:id="290" w:name="_Toc177264857"/>
      <w:bookmarkStart w:id="291" w:name="_Toc243584264"/>
      <w:bookmarkStart w:id="292" w:name="_Toc23872"/>
      <w:bookmarkStart w:id="293" w:name="_Toc19528"/>
      <w:bookmarkStart w:id="294" w:name="_Toc74156213"/>
      <w:bookmarkStart w:id="295" w:name="_Toc514238613"/>
      <w:bookmarkStart w:id="296" w:name="_Toc23046689"/>
      <w:bookmarkStart w:id="297" w:name="_Toc23152583"/>
      <w:r>
        <w:rPr>
          <w:rFonts w:ascii="宋体" w:hAnsi="宋体" w:eastAsia="宋体" w:cs="宋体"/>
          <w:color w:val="auto"/>
          <w:kern w:val="0"/>
          <w:sz w:val="21"/>
          <w:szCs w:val="21"/>
        </w:rPr>
        <w:t>25.</w:t>
      </w:r>
      <w:r>
        <w:rPr>
          <w:rFonts w:hint="eastAsia" w:ascii="宋体" w:hAnsi="宋体" w:eastAsia="宋体" w:cs="宋体"/>
          <w:color w:val="auto"/>
          <w:kern w:val="0"/>
          <w:sz w:val="21"/>
          <w:szCs w:val="21"/>
        </w:rPr>
        <w:t>1响应文件的有效性</w:t>
      </w:r>
      <w:bookmarkEnd w:id="288"/>
      <w:bookmarkEnd w:id="289"/>
      <w:bookmarkEnd w:id="290"/>
      <w:bookmarkEnd w:id="291"/>
      <w:r>
        <w:rPr>
          <w:rFonts w:hint="eastAsia" w:ascii="宋体" w:hAnsi="宋体" w:eastAsia="宋体" w:cs="宋体"/>
          <w:color w:val="auto"/>
          <w:kern w:val="0"/>
          <w:sz w:val="21"/>
          <w:szCs w:val="21"/>
        </w:rPr>
        <w:t>：</w:t>
      </w:r>
      <w:bookmarkEnd w:id="292"/>
      <w:bookmarkEnd w:id="293"/>
    </w:p>
    <w:p>
      <w:pPr>
        <w:autoSpaceDE w:val="0"/>
        <w:autoSpaceDN w:val="0"/>
        <w:adjustRightInd w:val="0"/>
        <w:spacing w:line="360" w:lineRule="auto"/>
        <w:rPr>
          <w:rFonts w:ascii="宋体" w:cs="宋体"/>
          <w:bCs/>
          <w:color w:val="auto"/>
          <w:kern w:val="0"/>
          <w:szCs w:val="21"/>
        </w:rPr>
      </w:pPr>
      <w:r>
        <w:rPr>
          <w:rFonts w:hint="eastAsia" w:ascii="宋体" w:hAnsi="宋体" w:cs="宋体"/>
          <w:bCs/>
          <w:color w:val="auto"/>
          <w:kern w:val="0"/>
          <w:szCs w:val="21"/>
        </w:rPr>
        <w:t>（1）响应文件有下列情形之一的，采购人不予受理或竞标无效：</w:t>
      </w:r>
    </w:p>
    <w:p>
      <w:pPr>
        <w:autoSpaceDE w:val="0"/>
        <w:autoSpaceDN w:val="0"/>
        <w:adjustRightInd w:val="0"/>
        <w:spacing w:line="360" w:lineRule="auto"/>
        <w:rPr>
          <w:rFonts w:ascii="宋体" w:cs="宋体"/>
          <w:bCs/>
          <w:color w:val="auto"/>
          <w:kern w:val="0"/>
          <w:szCs w:val="21"/>
        </w:rPr>
      </w:pPr>
      <w:r>
        <w:rPr>
          <w:rFonts w:hint="eastAsia" w:ascii="宋体" w:hAnsi="宋体" w:cs="宋体"/>
          <w:bCs/>
          <w:color w:val="auto"/>
          <w:kern w:val="0"/>
          <w:szCs w:val="21"/>
        </w:rPr>
        <w:t>（2）逾期送达的或者未送达指定地点的。</w:t>
      </w:r>
    </w:p>
    <w:p>
      <w:pPr>
        <w:autoSpaceDE w:val="0"/>
        <w:autoSpaceDN w:val="0"/>
        <w:adjustRightInd w:val="0"/>
        <w:spacing w:line="360" w:lineRule="auto"/>
        <w:rPr>
          <w:rFonts w:ascii="宋体" w:cs="宋体"/>
          <w:bCs/>
          <w:color w:val="auto"/>
          <w:kern w:val="0"/>
          <w:szCs w:val="21"/>
        </w:rPr>
      </w:pPr>
      <w:r>
        <w:rPr>
          <w:rFonts w:hint="eastAsia" w:ascii="宋体" w:hAnsi="宋体" w:cs="宋体"/>
          <w:bCs/>
          <w:color w:val="auto"/>
          <w:kern w:val="0"/>
          <w:szCs w:val="21"/>
        </w:rPr>
        <w:t>（3）未按竞争性磋商采购文件要求密封</w:t>
      </w:r>
      <w:r>
        <w:rPr>
          <w:rFonts w:hint="eastAsia" w:ascii="宋体" w:hAnsi="宋体" w:cs="宋体"/>
          <w:bCs/>
          <w:color w:val="auto"/>
          <w:kern w:val="0"/>
          <w:szCs w:val="21"/>
          <w:lang w:eastAsia="zh-CN"/>
        </w:rPr>
        <w:t>签字盖章</w:t>
      </w:r>
      <w:r>
        <w:rPr>
          <w:rFonts w:hint="eastAsia" w:ascii="宋体" w:hAnsi="宋体" w:cs="宋体"/>
          <w:bCs/>
          <w:color w:val="auto"/>
          <w:kern w:val="0"/>
          <w:szCs w:val="21"/>
        </w:rPr>
        <w:t>的。</w:t>
      </w:r>
    </w:p>
    <w:p>
      <w:pPr>
        <w:autoSpaceDE w:val="0"/>
        <w:autoSpaceDN w:val="0"/>
        <w:adjustRightInd w:val="0"/>
        <w:spacing w:line="360" w:lineRule="auto"/>
        <w:rPr>
          <w:rFonts w:ascii="宋体" w:cs="宋体"/>
          <w:b/>
          <w:color w:val="auto"/>
          <w:kern w:val="0"/>
          <w:szCs w:val="21"/>
        </w:rPr>
      </w:pPr>
      <w:r>
        <w:rPr>
          <w:rFonts w:ascii="宋体" w:hAnsi="宋体" w:cs="宋体"/>
          <w:b/>
          <w:color w:val="auto"/>
          <w:kern w:val="0"/>
          <w:szCs w:val="21"/>
        </w:rPr>
        <w:t xml:space="preserve">25.2  </w:t>
      </w:r>
      <w:r>
        <w:rPr>
          <w:rFonts w:hint="eastAsia" w:ascii="宋体" w:hAnsi="宋体" w:cs="宋体"/>
          <w:b/>
          <w:color w:val="auto"/>
          <w:kern w:val="0"/>
          <w:szCs w:val="21"/>
        </w:rPr>
        <w:t>响应文件有下列情形之一的，在开评标过程中将作无效投标处理：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cs="宋体"/>
          <w:bCs/>
          <w:color w:val="auto"/>
          <w:kern w:val="0"/>
          <w:szCs w:val="21"/>
        </w:rPr>
      </w:pPr>
      <w:r>
        <w:rPr>
          <w:rFonts w:hint="eastAsia" w:ascii="宋体" w:hAnsi="宋体" w:cs="宋体"/>
          <w:bCs/>
          <w:color w:val="auto"/>
          <w:kern w:val="0"/>
          <w:szCs w:val="21"/>
        </w:rPr>
        <w:t>（1）响应文件未按照本须知第</w:t>
      </w:r>
      <w:r>
        <w:rPr>
          <w:rFonts w:ascii="宋体" w:hAnsi="宋体" w:cs="宋体"/>
          <w:bCs/>
          <w:color w:val="auto"/>
          <w:kern w:val="0"/>
          <w:szCs w:val="21"/>
        </w:rPr>
        <w:t xml:space="preserve"> 19 </w:t>
      </w:r>
      <w:r>
        <w:rPr>
          <w:rFonts w:hint="eastAsia" w:ascii="宋体" w:hAnsi="宋体" w:cs="宋体"/>
          <w:bCs/>
          <w:color w:val="auto"/>
          <w:kern w:val="0"/>
          <w:szCs w:val="21"/>
        </w:rPr>
        <w:t>条的要求装订、密封和标记。</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cs="宋体"/>
          <w:bCs/>
          <w:color w:val="auto"/>
          <w:kern w:val="0"/>
          <w:szCs w:val="21"/>
        </w:rPr>
      </w:pPr>
      <w:r>
        <w:rPr>
          <w:rFonts w:hint="eastAsia" w:ascii="宋体" w:hAnsi="宋体" w:cs="宋体"/>
          <w:bCs/>
          <w:color w:val="auto"/>
          <w:kern w:val="0"/>
          <w:szCs w:val="21"/>
        </w:rPr>
        <w:t>（2）响应文件有关内容未按采购文件要求加盖磋商单位法人公章或未在采购文件有关内容规定由法定代表人或其授权代理人签字或盖章的；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cs="宋体"/>
          <w:bCs/>
          <w:color w:val="auto"/>
          <w:kern w:val="0"/>
          <w:szCs w:val="21"/>
        </w:rPr>
      </w:pPr>
      <w:r>
        <w:rPr>
          <w:rFonts w:hint="eastAsia" w:ascii="宋体" w:hAnsi="宋体" w:cs="宋体"/>
          <w:bCs/>
          <w:color w:val="auto"/>
          <w:kern w:val="0"/>
          <w:szCs w:val="21"/>
        </w:rPr>
        <w:t>（3）虽由授权代理人签字或盖章，但未随响应文件一起提交有效的“授权委托书”原件的；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cs="宋体"/>
          <w:bCs/>
          <w:color w:val="auto"/>
          <w:kern w:val="0"/>
          <w:szCs w:val="21"/>
        </w:rPr>
      </w:pPr>
      <w:r>
        <w:rPr>
          <w:rFonts w:hint="eastAsia" w:ascii="宋体" w:hAnsi="宋体" w:cs="宋体"/>
          <w:bCs/>
          <w:color w:val="auto"/>
          <w:kern w:val="0"/>
          <w:szCs w:val="21"/>
        </w:rPr>
        <w:t>（4）响应文件未按规定的格式填写、内容不全或关键内容字迹模糊、无法辨认。</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cs="宋体"/>
          <w:bCs/>
          <w:color w:val="auto"/>
          <w:kern w:val="0"/>
          <w:szCs w:val="21"/>
        </w:rPr>
      </w:pPr>
      <w:r>
        <w:rPr>
          <w:rFonts w:hint="eastAsia" w:ascii="宋体" w:hAnsi="宋体" w:cs="宋体"/>
          <w:bCs/>
          <w:color w:val="auto"/>
          <w:kern w:val="0"/>
          <w:szCs w:val="21"/>
        </w:rPr>
        <w:t>（5）响应文件内容不真实。</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cs="宋体"/>
          <w:bCs/>
          <w:color w:val="auto"/>
          <w:kern w:val="0"/>
          <w:szCs w:val="21"/>
        </w:rPr>
      </w:pPr>
      <w:r>
        <w:rPr>
          <w:rFonts w:hint="eastAsia" w:ascii="宋体" w:hAnsi="宋体" w:cs="宋体"/>
          <w:bCs/>
          <w:color w:val="auto"/>
          <w:kern w:val="0"/>
          <w:szCs w:val="21"/>
        </w:rPr>
        <w:t>（6）磋商单位未按照竞争性磋商采购文件的要求提交磋商保证金</w:t>
      </w:r>
      <w:r>
        <w:rPr>
          <w:rFonts w:hint="eastAsia" w:ascii="宋体" w:hAnsi="宋体" w:cs="宋体"/>
          <w:bCs/>
          <w:color w:val="auto"/>
          <w:kern w:val="0"/>
          <w:szCs w:val="21"/>
          <w:lang w:val="en-US" w:eastAsia="zh-CN"/>
        </w:rPr>
        <w:t>或</w:t>
      </w:r>
      <w:r>
        <w:rPr>
          <w:rFonts w:hint="eastAsia" w:asciiTheme="minorEastAsia" w:hAnsiTheme="minorEastAsia" w:cstheme="minorEastAsia"/>
          <w:color w:val="auto"/>
          <w:sz w:val="21"/>
          <w:szCs w:val="21"/>
        </w:rPr>
        <w:t>农民工工资保障金的交纳与使用承诺书</w:t>
      </w:r>
      <w:r>
        <w:rPr>
          <w:rFonts w:hint="eastAsia" w:asciiTheme="minorEastAsia" w:hAnsiTheme="minorEastAsia" w:cstheme="minorEastAsia"/>
          <w:color w:val="auto"/>
          <w:sz w:val="21"/>
          <w:szCs w:val="21"/>
          <w:lang w:val="en-US" w:eastAsia="zh-CN"/>
        </w:rPr>
        <w:t>的</w:t>
      </w:r>
      <w:r>
        <w:rPr>
          <w:rFonts w:hint="eastAsia" w:ascii="宋体" w:hAnsi="宋体" w:cs="宋体"/>
          <w:bCs/>
          <w:color w:val="auto"/>
          <w:kern w:val="0"/>
          <w:szCs w:val="21"/>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cs="宋体"/>
          <w:bCs/>
          <w:color w:val="auto"/>
          <w:kern w:val="0"/>
          <w:szCs w:val="21"/>
        </w:rPr>
      </w:pPr>
      <w:r>
        <w:rPr>
          <w:rFonts w:hint="eastAsia" w:ascii="宋体" w:hAnsi="宋体" w:cs="宋体"/>
          <w:bCs/>
          <w:color w:val="auto"/>
          <w:kern w:val="0"/>
          <w:szCs w:val="21"/>
        </w:rPr>
        <w:t>（</w:t>
      </w:r>
      <w:r>
        <w:rPr>
          <w:rFonts w:hint="eastAsia" w:ascii="宋体" w:hAnsi="宋体" w:cs="宋体"/>
          <w:bCs/>
          <w:color w:val="auto"/>
          <w:kern w:val="0"/>
          <w:szCs w:val="21"/>
          <w:lang w:val="en-US" w:eastAsia="zh-CN"/>
        </w:rPr>
        <w:t>7</w:t>
      </w:r>
      <w:r>
        <w:rPr>
          <w:rFonts w:hint="eastAsia" w:ascii="宋体" w:hAnsi="宋体" w:cs="宋体"/>
          <w:bCs/>
          <w:color w:val="auto"/>
          <w:kern w:val="0"/>
          <w:szCs w:val="21"/>
        </w:rPr>
        <w:t>）磋商单位提交两份或多份内容不同的响应文件，或在一份响应文件中对同一采购项目报有两个或多个报价，且未声明哪一个有效。</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cs="宋体"/>
          <w:bCs/>
          <w:color w:val="auto"/>
          <w:kern w:val="0"/>
          <w:szCs w:val="21"/>
        </w:rPr>
      </w:pPr>
      <w:r>
        <w:rPr>
          <w:rFonts w:hint="eastAsia" w:ascii="宋体" w:hAnsi="宋体" w:cs="宋体"/>
          <w:bCs/>
          <w:color w:val="auto"/>
          <w:kern w:val="0"/>
          <w:szCs w:val="21"/>
        </w:rPr>
        <w:t>（</w:t>
      </w:r>
      <w:r>
        <w:rPr>
          <w:rFonts w:hint="eastAsia" w:ascii="宋体" w:hAnsi="宋体" w:cs="宋体"/>
          <w:bCs/>
          <w:color w:val="auto"/>
          <w:kern w:val="0"/>
          <w:szCs w:val="21"/>
          <w:lang w:val="en-US" w:eastAsia="zh-CN"/>
        </w:rPr>
        <w:t>8</w:t>
      </w:r>
      <w:r>
        <w:rPr>
          <w:rFonts w:hint="eastAsia" w:ascii="宋体" w:hAnsi="宋体" w:cs="宋体"/>
          <w:bCs/>
          <w:color w:val="auto"/>
          <w:kern w:val="0"/>
          <w:szCs w:val="21"/>
        </w:rPr>
        <w:t>）磋商单位资格条件不符合国家有关规定或竞争性磋商采购文件要求的。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cs="宋体"/>
          <w:bCs/>
          <w:color w:val="auto"/>
          <w:kern w:val="0"/>
          <w:szCs w:val="21"/>
        </w:rPr>
      </w:pPr>
      <w:r>
        <w:rPr>
          <w:rFonts w:hint="eastAsia" w:ascii="宋体" w:hAnsi="宋体" w:cs="宋体"/>
          <w:bCs/>
          <w:color w:val="auto"/>
          <w:kern w:val="0"/>
          <w:szCs w:val="21"/>
        </w:rPr>
        <w:t>（</w:t>
      </w:r>
      <w:r>
        <w:rPr>
          <w:rFonts w:hint="eastAsia" w:ascii="宋体" w:hAnsi="宋体" w:cs="宋体"/>
          <w:bCs/>
          <w:color w:val="auto"/>
          <w:kern w:val="0"/>
          <w:szCs w:val="21"/>
          <w:lang w:val="en-US" w:eastAsia="zh-CN"/>
        </w:rPr>
        <w:t>9</w:t>
      </w:r>
      <w:r>
        <w:rPr>
          <w:rFonts w:hint="eastAsia" w:ascii="宋体" w:hAnsi="宋体" w:cs="宋体"/>
          <w:bCs/>
          <w:color w:val="auto"/>
          <w:kern w:val="0"/>
          <w:szCs w:val="21"/>
        </w:rPr>
        <w:t>）竞标工期超过竞争性磋商采购文件要求工期的。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cs="宋体"/>
          <w:bCs/>
          <w:color w:val="auto"/>
          <w:kern w:val="0"/>
          <w:szCs w:val="21"/>
        </w:rPr>
      </w:pPr>
      <w:r>
        <w:rPr>
          <w:rFonts w:hint="eastAsia" w:ascii="宋体" w:hAnsi="宋体" w:cs="宋体"/>
          <w:bCs/>
          <w:color w:val="auto"/>
          <w:kern w:val="0"/>
          <w:szCs w:val="21"/>
        </w:rPr>
        <w:t>（1</w:t>
      </w:r>
      <w:r>
        <w:rPr>
          <w:rFonts w:hint="eastAsia" w:ascii="宋体" w:hAnsi="宋体" w:cs="宋体"/>
          <w:bCs/>
          <w:color w:val="auto"/>
          <w:kern w:val="0"/>
          <w:szCs w:val="21"/>
          <w:lang w:val="en-US" w:eastAsia="zh-CN"/>
        </w:rPr>
        <w:t>0</w:t>
      </w:r>
      <w:r>
        <w:rPr>
          <w:rFonts w:hint="eastAsia" w:ascii="宋体" w:hAnsi="宋体" w:cs="宋体"/>
          <w:bCs/>
          <w:color w:val="auto"/>
          <w:kern w:val="0"/>
          <w:szCs w:val="21"/>
        </w:rPr>
        <w:t>）竞标报价超过竞争性磋商采购文件规定的采购预算价的或有效报价范围的。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hAnsi="宋体" w:cs="宋体"/>
          <w:bCs/>
          <w:color w:val="auto"/>
          <w:kern w:val="0"/>
          <w:szCs w:val="21"/>
        </w:rPr>
      </w:pPr>
      <w:r>
        <w:rPr>
          <w:rFonts w:hint="eastAsia" w:ascii="宋体" w:hAnsi="宋体" w:cs="宋体"/>
          <w:bCs/>
          <w:color w:val="auto"/>
          <w:kern w:val="0"/>
          <w:szCs w:val="21"/>
        </w:rPr>
        <w:t>（1</w:t>
      </w:r>
      <w:r>
        <w:rPr>
          <w:rFonts w:hint="eastAsia" w:ascii="宋体" w:hAnsi="宋体" w:cs="宋体"/>
          <w:bCs/>
          <w:color w:val="auto"/>
          <w:kern w:val="0"/>
          <w:szCs w:val="21"/>
          <w:lang w:val="en-US" w:eastAsia="zh-CN"/>
        </w:rPr>
        <w:t>1</w:t>
      </w:r>
      <w:r>
        <w:rPr>
          <w:rFonts w:hint="eastAsia" w:ascii="宋体" w:hAnsi="宋体" w:cs="宋体"/>
          <w:bCs/>
          <w:color w:val="auto"/>
          <w:kern w:val="0"/>
          <w:szCs w:val="21"/>
        </w:rPr>
        <w:t>）以他人的名义竞标、串通竞标、以行贿手段谋取成交或者以其他弄虚作假方式竞标的。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hAnsi="宋体" w:cs="宋体"/>
          <w:bCs/>
          <w:color w:val="auto"/>
          <w:kern w:val="0"/>
          <w:szCs w:val="21"/>
        </w:rPr>
      </w:pPr>
      <w:r>
        <w:rPr>
          <w:rFonts w:hint="eastAsia" w:ascii="宋体" w:hAnsi="宋体" w:cs="宋体"/>
          <w:bCs/>
          <w:color w:val="auto"/>
          <w:kern w:val="0"/>
          <w:szCs w:val="21"/>
        </w:rPr>
        <w:t>（</w:t>
      </w:r>
      <w:r>
        <w:rPr>
          <w:rFonts w:hint="eastAsia" w:ascii="宋体" w:hAnsi="宋体" w:cs="宋体"/>
          <w:bCs/>
          <w:color w:val="auto"/>
          <w:kern w:val="0"/>
          <w:szCs w:val="21"/>
          <w:lang w:val="en-US" w:eastAsia="zh-CN"/>
        </w:rPr>
        <w:t>12</w:t>
      </w:r>
      <w:r>
        <w:rPr>
          <w:rFonts w:hint="eastAsia" w:ascii="宋体" w:hAnsi="宋体" w:cs="宋体"/>
          <w:bCs/>
          <w:color w:val="auto"/>
          <w:kern w:val="0"/>
          <w:szCs w:val="21"/>
        </w:rPr>
        <w:t>）经磋商小组认定磋商单位的竞标报价低于成本价</w:t>
      </w:r>
      <w:r>
        <w:rPr>
          <w:rFonts w:hint="eastAsia" w:ascii="宋体" w:hAnsi="宋体" w:cs="宋体"/>
          <w:bCs/>
          <w:color w:val="auto"/>
          <w:kern w:val="0"/>
          <w:szCs w:val="21"/>
          <w:lang w:eastAsia="zh-CN"/>
        </w:rPr>
        <w:t>，影响工程质量</w:t>
      </w:r>
      <w:r>
        <w:rPr>
          <w:rFonts w:hint="eastAsia" w:ascii="宋体" w:hAnsi="宋体" w:cs="宋体"/>
          <w:bCs/>
          <w:color w:val="auto"/>
          <w:kern w:val="0"/>
          <w:szCs w:val="21"/>
        </w:rPr>
        <w:t>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hAnsi="宋体" w:cs="宋体"/>
          <w:bCs/>
          <w:color w:val="auto"/>
          <w:kern w:val="0"/>
          <w:szCs w:val="21"/>
        </w:rPr>
      </w:pPr>
      <w:r>
        <w:rPr>
          <w:rFonts w:hint="eastAsia" w:ascii="宋体" w:hAnsi="宋体" w:cs="宋体"/>
          <w:bCs/>
          <w:color w:val="auto"/>
          <w:kern w:val="0"/>
          <w:szCs w:val="21"/>
        </w:rPr>
        <w:t>（1</w:t>
      </w:r>
      <w:r>
        <w:rPr>
          <w:rFonts w:hint="eastAsia" w:ascii="宋体" w:hAnsi="宋体" w:cs="宋体"/>
          <w:bCs/>
          <w:color w:val="auto"/>
          <w:kern w:val="0"/>
          <w:szCs w:val="21"/>
          <w:lang w:val="en-US" w:eastAsia="zh-CN"/>
        </w:rPr>
        <w:t>3</w:t>
      </w:r>
      <w:r>
        <w:rPr>
          <w:rFonts w:hint="eastAsia" w:ascii="宋体" w:hAnsi="宋体" w:cs="宋体"/>
          <w:bCs/>
          <w:color w:val="auto"/>
          <w:kern w:val="0"/>
          <w:szCs w:val="21"/>
        </w:rPr>
        <w:t>）达到本竞争性磋商采购文件竞标须知第13.1.4项或第13.1.10项、第13.1.11项规定按无效标处理的条件的。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cs="宋体"/>
          <w:bCs/>
          <w:color w:val="auto"/>
          <w:kern w:val="0"/>
          <w:szCs w:val="21"/>
        </w:rPr>
      </w:pPr>
      <w:r>
        <w:rPr>
          <w:rFonts w:hint="eastAsia" w:ascii="宋体" w:hAnsi="宋体" w:cs="宋体"/>
          <w:bCs/>
          <w:color w:val="auto"/>
          <w:kern w:val="0"/>
          <w:szCs w:val="21"/>
        </w:rPr>
        <w:t>（1</w:t>
      </w:r>
      <w:r>
        <w:rPr>
          <w:rFonts w:hint="eastAsia" w:ascii="宋体" w:hAnsi="宋体" w:cs="宋体"/>
          <w:bCs/>
          <w:color w:val="auto"/>
          <w:kern w:val="0"/>
          <w:szCs w:val="21"/>
          <w:lang w:val="en-US" w:eastAsia="zh-CN"/>
        </w:rPr>
        <w:t>4</w:t>
      </w:r>
      <w:r>
        <w:rPr>
          <w:rFonts w:hint="eastAsia" w:ascii="宋体" w:hAnsi="宋体" w:cs="宋体"/>
          <w:bCs/>
          <w:color w:val="auto"/>
          <w:kern w:val="0"/>
          <w:szCs w:val="21"/>
        </w:rPr>
        <w:t>）达到本竞争性磋商采购文件竞标须知第</w:t>
      </w:r>
      <w:r>
        <w:rPr>
          <w:rFonts w:ascii="宋体" w:hAnsi="宋体" w:cs="宋体"/>
          <w:bCs/>
          <w:color w:val="auto"/>
          <w:kern w:val="0"/>
          <w:szCs w:val="21"/>
        </w:rPr>
        <w:t>31</w:t>
      </w:r>
      <w:r>
        <w:rPr>
          <w:rFonts w:hint="eastAsia" w:ascii="宋体" w:hAnsi="宋体" w:cs="宋体"/>
          <w:bCs/>
          <w:color w:val="auto"/>
          <w:kern w:val="0"/>
          <w:szCs w:val="21"/>
        </w:rPr>
        <w:t>条规定应按无效标处理的条件的。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hAnsi="宋体" w:cs="宋体"/>
          <w:color w:val="auto"/>
          <w:szCs w:val="21"/>
        </w:rPr>
      </w:pPr>
      <w:r>
        <w:rPr>
          <w:rFonts w:hint="eastAsia" w:ascii="宋体" w:hAnsi="宋体" w:cs="宋体"/>
          <w:bCs/>
          <w:color w:val="auto"/>
          <w:kern w:val="0"/>
          <w:szCs w:val="21"/>
        </w:rPr>
        <w:t>（1</w:t>
      </w:r>
      <w:r>
        <w:rPr>
          <w:rFonts w:hint="eastAsia" w:ascii="宋体" w:hAnsi="宋体" w:cs="宋体"/>
          <w:bCs/>
          <w:color w:val="auto"/>
          <w:kern w:val="0"/>
          <w:szCs w:val="21"/>
          <w:lang w:val="en-US" w:eastAsia="zh-CN"/>
        </w:rPr>
        <w:t>5</w:t>
      </w:r>
      <w:r>
        <w:rPr>
          <w:rFonts w:hint="eastAsia" w:ascii="宋体" w:hAnsi="宋体" w:cs="宋体"/>
          <w:bCs/>
          <w:color w:val="auto"/>
          <w:kern w:val="0"/>
          <w:szCs w:val="21"/>
        </w:rPr>
        <w:t>）竞标截止时间止磋商单位少于</w:t>
      </w:r>
      <w:r>
        <w:rPr>
          <w:rFonts w:ascii="宋体" w:hAnsi="宋体" w:cs="宋体"/>
          <w:bCs/>
          <w:color w:val="auto"/>
          <w:kern w:val="0"/>
          <w:szCs w:val="21"/>
        </w:rPr>
        <w:t>3</w:t>
      </w:r>
      <w:r>
        <w:rPr>
          <w:rFonts w:hint="eastAsia" w:ascii="宋体" w:hAnsi="宋体" w:cs="宋体"/>
          <w:bCs/>
          <w:color w:val="auto"/>
          <w:kern w:val="0"/>
          <w:szCs w:val="21"/>
        </w:rPr>
        <w:t>个的，</w:t>
      </w:r>
      <w:r>
        <w:rPr>
          <w:rFonts w:hint="eastAsia" w:ascii="宋体" w:hAnsi="宋体" w:cs="宋体"/>
          <w:color w:val="auto"/>
          <w:szCs w:val="21"/>
        </w:rPr>
        <w:t>宣布本次采购失败，重新组织采购。</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6</w:t>
      </w:r>
      <w:r>
        <w:rPr>
          <w:rFonts w:hint="eastAsia" w:ascii="宋体" w:hAnsi="宋体" w:cs="宋体"/>
          <w:color w:val="auto"/>
          <w:szCs w:val="21"/>
        </w:rPr>
        <w:t>）不符合法律、法规或采购文件规定的其他实质性要求和条件的</w:t>
      </w:r>
    </w:p>
    <w:p>
      <w:pPr>
        <w:autoSpaceDE w:val="0"/>
        <w:autoSpaceDN w:val="0"/>
        <w:adjustRightInd w:val="0"/>
        <w:spacing w:line="360" w:lineRule="auto"/>
        <w:rPr>
          <w:rFonts w:ascii="宋体" w:hAnsi="宋体" w:cs="宋体"/>
          <w:b/>
          <w:bCs/>
          <w:color w:val="auto"/>
          <w:szCs w:val="21"/>
        </w:rPr>
      </w:pPr>
      <w:r>
        <w:rPr>
          <w:rFonts w:hint="eastAsia" w:asciiTheme="minorEastAsia" w:hAnsiTheme="minorEastAsia" w:cstheme="minorEastAsia"/>
          <w:b/>
          <w:bCs/>
          <w:color w:val="auto"/>
          <w:szCs w:val="21"/>
        </w:rPr>
        <w:t xml:space="preserve">25.3 </w:t>
      </w:r>
      <w:r>
        <w:rPr>
          <w:rFonts w:hint="eastAsia" w:ascii="宋体" w:hAnsi="宋体" w:cs="宋体"/>
          <w:b/>
          <w:bCs/>
          <w:color w:val="auto"/>
          <w:szCs w:val="21"/>
        </w:rPr>
        <w:t>竞标供应商有下列行为的视为串标，竞标无效：</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hAnsi="宋体" w:cs="宋体"/>
          <w:color w:val="auto"/>
          <w:szCs w:val="21"/>
        </w:rPr>
      </w:pPr>
      <w:r>
        <w:rPr>
          <w:rFonts w:hint="eastAsia" w:ascii="宋体" w:hAnsi="宋体" w:cs="宋体"/>
          <w:color w:val="auto"/>
          <w:szCs w:val="21"/>
        </w:rPr>
        <w:t>（1）不同磋商单位的投标文件由同一单位或者个人编制；或不同磋商单位报名的IP地址一致；</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hAnsi="宋体" w:cs="宋体"/>
          <w:color w:val="auto"/>
          <w:szCs w:val="21"/>
        </w:rPr>
      </w:pPr>
      <w:r>
        <w:rPr>
          <w:rFonts w:hint="eastAsia" w:ascii="宋体" w:hAnsi="宋体" w:cs="宋体"/>
          <w:color w:val="auto"/>
          <w:szCs w:val="21"/>
        </w:rPr>
        <w:t>（2）不同磋商单位委托同一单位或者个人办理投标事宜；</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hAnsi="宋体" w:cs="宋体"/>
          <w:color w:val="auto"/>
          <w:szCs w:val="21"/>
        </w:rPr>
      </w:pPr>
      <w:r>
        <w:rPr>
          <w:rFonts w:hint="eastAsia" w:ascii="宋体" w:hAnsi="宋体" w:cs="宋体"/>
          <w:color w:val="auto"/>
          <w:szCs w:val="21"/>
        </w:rPr>
        <w:t>（3）不同的磋商单位的投标文件载明的项目管理员为同一个人；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hAnsi="宋体" w:cs="宋体"/>
          <w:color w:val="auto"/>
          <w:szCs w:val="21"/>
        </w:rPr>
      </w:pPr>
      <w:r>
        <w:rPr>
          <w:rFonts w:hint="eastAsia" w:ascii="宋体" w:hAnsi="宋体" w:cs="宋体"/>
          <w:color w:val="auto"/>
          <w:szCs w:val="21"/>
        </w:rPr>
        <w:t>（4）不同磋商单位的投标文件异常一致或投标报价呈现规律性差异；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hAnsi="宋体" w:cs="宋体"/>
          <w:color w:val="auto"/>
          <w:szCs w:val="21"/>
        </w:rPr>
      </w:pPr>
      <w:r>
        <w:rPr>
          <w:rFonts w:hint="eastAsia" w:ascii="宋体" w:hAnsi="宋体" w:cs="宋体"/>
          <w:color w:val="auto"/>
          <w:szCs w:val="21"/>
        </w:rPr>
        <w:t>（5）不同磋商单位的投标文件相互混装；</w:t>
      </w:r>
    </w:p>
    <w:p>
      <w:pPr>
        <w:keepNext w:val="0"/>
        <w:keepLines w:val="0"/>
        <w:pageBreakBefore w:val="0"/>
        <w:widowControl w:val="0"/>
        <w:kinsoku/>
        <w:wordWrap/>
        <w:overflowPunct/>
        <w:topLinePunct w:val="0"/>
        <w:autoSpaceDE w:val="0"/>
        <w:autoSpaceDN w:val="0"/>
        <w:bidi w:val="0"/>
        <w:adjustRightInd w:val="0"/>
        <w:snapToGrid/>
        <w:spacing w:after="225" w:line="360" w:lineRule="auto"/>
        <w:ind w:firstLine="420" w:firstLineChars="200"/>
        <w:textAlignment w:val="auto"/>
        <w:rPr>
          <w:rFonts w:asciiTheme="minorEastAsia" w:hAnsiTheme="minorEastAsia" w:cstheme="minorEastAsia"/>
          <w:color w:val="auto"/>
          <w:szCs w:val="21"/>
        </w:rPr>
      </w:pPr>
      <w:r>
        <w:rPr>
          <w:rFonts w:hint="eastAsia" w:ascii="宋体" w:hAnsi="宋体" w:cs="宋体"/>
          <w:color w:val="auto"/>
          <w:szCs w:val="21"/>
        </w:rPr>
        <w:t>（6）不同磋商单位的磋商保证金从同一单位或者个人账户转出。</w:t>
      </w:r>
    </w:p>
    <w:p>
      <w:pPr>
        <w:pStyle w:val="4"/>
        <w:spacing w:line="360" w:lineRule="auto"/>
        <w:jc w:val="center"/>
        <w:rPr>
          <w:rFonts w:ascii="宋体" w:hAnsi="宋体" w:eastAsia="宋体" w:cs="宋体"/>
          <w:color w:val="auto"/>
          <w:kern w:val="0"/>
          <w:sz w:val="21"/>
          <w:szCs w:val="21"/>
        </w:rPr>
      </w:pPr>
      <w:bookmarkStart w:id="298" w:name="_Toc20676"/>
      <w:bookmarkStart w:id="299" w:name="_Toc12798"/>
      <w:bookmarkStart w:id="300" w:name="_Toc29153342"/>
      <w:bookmarkStart w:id="301" w:name="_Toc1435"/>
      <w:bookmarkStart w:id="302" w:name="_Toc243584265"/>
      <w:r>
        <w:rPr>
          <w:rFonts w:hint="eastAsia" w:ascii="宋体" w:hAnsi="宋体" w:eastAsia="宋体" w:cs="宋体"/>
          <w:color w:val="auto"/>
          <w:kern w:val="0"/>
          <w:sz w:val="21"/>
          <w:szCs w:val="21"/>
        </w:rPr>
        <w:t>（六）磋商与评标</w:t>
      </w:r>
      <w:bookmarkEnd w:id="294"/>
      <w:bookmarkEnd w:id="295"/>
      <w:bookmarkEnd w:id="296"/>
      <w:bookmarkEnd w:id="297"/>
      <w:bookmarkEnd w:id="298"/>
      <w:bookmarkEnd w:id="299"/>
      <w:bookmarkEnd w:id="300"/>
      <w:bookmarkEnd w:id="301"/>
      <w:bookmarkEnd w:id="302"/>
    </w:p>
    <w:p>
      <w:pPr>
        <w:pStyle w:val="6"/>
        <w:spacing w:line="360" w:lineRule="auto"/>
        <w:ind w:firstLine="422" w:firstLineChars="200"/>
        <w:rPr>
          <w:rFonts w:ascii="宋体" w:hAnsi="宋体" w:eastAsia="宋体" w:cs="宋体"/>
          <w:color w:val="auto"/>
          <w:kern w:val="0"/>
          <w:sz w:val="21"/>
          <w:szCs w:val="21"/>
        </w:rPr>
      </w:pPr>
      <w:bookmarkStart w:id="303" w:name="_Toc235520183"/>
      <w:bookmarkStart w:id="304" w:name="_Toc4553"/>
      <w:bookmarkStart w:id="305" w:name="_Toc16341"/>
      <w:bookmarkStart w:id="306" w:name="_Toc74156214"/>
      <w:bookmarkStart w:id="307" w:name="_Toc253122338"/>
      <w:bookmarkStart w:id="308" w:name="_Toc10879"/>
      <w:bookmarkStart w:id="309" w:name="_Toc243584267"/>
      <w:bookmarkStart w:id="310" w:name="_Toc29153344"/>
      <w:bookmarkStart w:id="311" w:name="_Toc74156215"/>
      <w:r>
        <w:rPr>
          <w:rFonts w:ascii="宋体" w:hAnsi="宋体" w:eastAsia="宋体" w:cs="宋体"/>
          <w:color w:val="auto"/>
          <w:kern w:val="0"/>
          <w:sz w:val="21"/>
          <w:szCs w:val="21"/>
        </w:rPr>
        <w:t xml:space="preserve">26. </w:t>
      </w:r>
      <w:r>
        <w:rPr>
          <w:rFonts w:hint="eastAsia" w:ascii="宋体" w:hAnsi="宋体" w:eastAsia="宋体" w:cs="宋体"/>
          <w:color w:val="auto"/>
          <w:kern w:val="0"/>
          <w:sz w:val="21"/>
          <w:szCs w:val="21"/>
        </w:rPr>
        <w:t>磋商小组与评标</w:t>
      </w:r>
      <w:bookmarkEnd w:id="303"/>
      <w:bookmarkEnd w:id="304"/>
      <w:bookmarkEnd w:id="305"/>
      <w:bookmarkEnd w:id="306"/>
      <w:bookmarkEnd w:id="307"/>
      <w:bookmarkEnd w:id="308"/>
    </w:p>
    <w:p>
      <w:pPr>
        <w:pStyle w:val="12"/>
        <w:spacing w:line="360" w:lineRule="auto"/>
        <w:ind w:firstLine="404" w:firstLineChars="200"/>
        <w:rPr>
          <w:rFonts w:hAnsi="宋体" w:cs="宋体"/>
          <w:color w:val="auto"/>
          <w:spacing w:val="-4"/>
          <w:szCs w:val="21"/>
        </w:rPr>
      </w:pPr>
      <w:r>
        <w:rPr>
          <w:rFonts w:hAnsi="宋体" w:cs="宋体"/>
          <w:color w:val="auto"/>
          <w:spacing w:val="-4"/>
          <w:szCs w:val="21"/>
        </w:rPr>
        <w:t xml:space="preserve">26.1  </w:t>
      </w:r>
      <w:r>
        <w:rPr>
          <w:rFonts w:hint="eastAsia" w:hAnsi="宋体" w:cs="宋体"/>
          <w:color w:val="auto"/>
          <w:spacing w:val="-4"/>
          <w:szCs w:val="21"/>
        </w:rPr>
        <w:t>磋商小组即为评标小组。</w:t>
      </w:r>
    </w:p>
    <w:p>
      <w:pPr>
        <w:spacing w:line="360" w:lineRule="auto"/>
        <w:ind w:firstLine="404" w:firstLineChars="200"/>
        <w:rPr>
          <w:rFonts w:ascii="宋体" w:cs="宋体"/>
          <w:color w:val="auto"/>
          <w:spacing w:val="-4"/>
          <w:szCs w:val="21"/>
        </w:rPr>
      </w:pPr>
      <w:r>
        <w:rPr>
          <w:rFonts w:ascii="宋体" w:hAnsi="宋体" w:cs="宋体"/>
          <w:color w:val="auto"/>
          <w:spacing w:val="-4"/>
          <w:szCs w:val="21"/>
        </w:rPr>
        <w:t>26.2</w:t>
      </w:r>
      <w:r>
        <w:rPr>
          <w:rFonts w:hint="eastAsia" w:ascii="宋体" w:hAnsi="宋体" w:cs="宋体"/>
          <w:color w:val="auto"/>
          <w:spacing w:val="-4"/>
          <w:szCs w:val="21"/>
        </w:rPr>
        <w:t>本项目的磋商小组依法由采购人代表及采购招投标专家库中随机抽取的评审专家组成，成员总数为</w:t>
      </w:r>
      <w:r>
        <w:rPr>
          <w:rFonts w:ascii="宋体" w:hAnsi="宋体" w:cs="宋体"/>
          <w:color w:val="auto"/>
          <w:spacing w:val="-4"/>
          <w:szCs w:val="21"/>
        </w:rPr>
        <w:t>3</w:t>
      </w:r>
      <w:r>
        <w:rPr>
          <w:rFonts w:hint="eastAsia" w:ascii="宋体" w:hAnsi="宋体" w:cs="宋体"/>
          <w:color w:val="auto"/>
          <w:spacing w:val="-4"/>
          <w:szCs w:val="21"/>
        </w:rPr>
        <w:t>人。</w:t>
      </w:r>
    </w:p>
    <w:p>
      <w:pPr>
        <w:spacing w:line="360" w:lineRule="auto"/>
        <w:ind w:firstLine="202" w:firstLineChars="100"/>
        <w:rPr>
          <w:rFonts w:ascii="宋体" w:hAnsi="宋体" w:cs="宋体"/>
          <w:color w:val="auto"/>
          <w:spacing w:val="-4"/>
          <w:szCs w:val="21"/>
        </w:rPr>
      </w:pPr>
      <w:r>
        <w:rPr>
          <w:rFonts w:ascii="宋体" w:hAnsi="宋体" w:cs="宋体"/>
          <w:color w:val="auto"/>
          <w:spacing w:val="-4"/>
          <w:szCs w:val="21"/>
        </w:rPr>
        <w:t xml:space="preserve">26.3  </w:t>
      </w:r>
      <w:r>
        <w:rPr>
          <w:rFonts w:hint="eastAsia" w:ascii="宋体" w:hAnsi="宋体" w:cs="宋体"/>
          <w:color w:val="auto"/>
          <w:spacing w:val="-4"/>
          <w:szCs w:val="21"/>
        </w:rPr>
        <w:t>开标结束后，开始评标，评标采用保密方式进行。</w:t>
      </w:r>
    </w:p>
    <w:p>
      <w:pPr>
        <w:pStyle w:val="2"/>
        <w:rPr>
          <w:color w:val="auto"/>
        </w:rPr>
      </w:pPr>
      <w:r>
        <w:rPr>
          <w:rFonts w:hint="eastAsia" w:ascii="宋体" w:hAnsi="宋体" w:cs="宋体"/>
          <w:color w:val="auto"/>
          <w:spacing w:val="-4"/>
          <w:sz w:val="21"/>
          <w:szCs w:val="21"/>
        </w:rPr>
        <w:t xml:space="preserve">  26.4  评分办法：综合评分法，最终得分=价格分+技术分</w:t>
      </w:r>
      <w:r>
        <w:rPr>
          <w:rFonts w:hint="eastAsia" w:ascii="宋体" w:hAnsi="宋体" w:cs="宋体"/>
          <w:color w:val="auto"/>
          <w:spacing w:val="-4"/>
          <w:sz w:val="21"/>
          <w:szCs w:val="21"/>
          <w:lang w:val="en-US" w:eastAsia="zh-CN"/>
        </w:rPr>
        <w:t>+业绩分</w:t>
      </w:r>
      <w:r>
        <w:rPr>
          <w:rFonts w:hint="eastAsia" w:ascii="宋体" w:hAnsi="宋体" w:cs="宋体"/>
          <w:color w:val="auto"/>
          <w:spacing w:val="-4"/>
          <w:sz w:val="21"/>
          <w:szCs w:val="21"/>
        </w:rPr>
        <w:t>。</w:t>
      </w:r>
    </w:p>
    <w:bookmarkEnd w:id="309"/>
    <w:bookmarkEnd w:id="310"/>
    <w:bookmarkEnd w:id="311"/>
    <w:p>
      <w:pPr>
        <w:spacing w:line="360" w:lineRule="auto"/>
        <w:ind w:firstLine="211" w:firstLineChars="100"/>
        <w:rPr>
          <w:rFonts w:ascii="宋体" w:hAnsi="宋体" w:cs="宋体"/>
          <w:color w:val="auto"/>
          <w:szCs w:val="21"/>
        </w:rPr>
      </w:pPr>
      <w:bookmarkStart w:id="312" w:name="_Toc23152588"/>
      <w:bookmarkStart w:id="313" w:name="_Toc514238618"/>
      <w:bookmarkStart w:id="314" w:name="_Toc23046694"/>
      <w:bookmarkStart w:id="315" w:name="_Toc74156220"/>
      <w:bookmarkStart w:id="316" w:name="_Toc243584275"/>
      <w:bookmarkStart w:id="317" w:name="_Toc29153349"/>
      <w:bookmarkStart w:id="318" w:name="_Toc16200"/>
      <w:r>
        <w:rPr>
          <w:rFonts w:hint="eastAsia" w:ascii="宋体" w:hAnsi="宋体" w:cs="宋体"/>
          <w:b/>
          <w:bCs/>
          <w:color w:val="auto"/>
          <w:szCs w:val="21"/>
        </w:rPr>
        <w:t>27.实质审查</w:t>
      </w:r>
    </w:p>
    <w:p>
      <w:pPr>
        <w:spacing w:line="360" w:lineRule="auto"/>
        <w:ind w:firstLine="420" w:firstLineChars="200"/>
        <w:rPr>
          <w:color w:val="auto"/>
          <w:szCs w:val="21"/>
        </w:rPr>
      </w:pPr>
      <w:r>
        <w:rPr>
          <w:rFonts w:hint="eastAsia"/>
          <w:color w:val="auto"/>
          <w:szCs w:val="21"/>
        </w:rPr>
        <w:t>27.1磋</w:t>
      </w:r>
      <w:r>
        <w:rPr>
          <w:color w:val="auto"/>
          <w:szCs w:val="21"/>
        </w:rPr>
        <w:t>商小组审查磋商响应文件的实质性内容是否符合磋商采购文件的实质性要求。</w:t>
      </w:r>
    </w:p>
    <w:p>
      <w:pPr>
        <w:spacing w:line="360" w:lineRule="auto"/>
        <w:rPr>
          <w:rFonts w:hint="eastAsia" w:eastAsia="宋体"/>
          <w:color w:val="auto"/>
          <w:szCs w:val="21"/>
          <w:lang w:eastAsia="zh-CN"/>
        </w:rPr>
      </w:pPr>
      <w:r>
        <w:rPr>
          <w:rFonts w:hint="eastAsia"/>
          <w:color w:val="auto"/>
          <w:szCs w:val="21"/>
        </w:rPr>
        <w:t>27.2</w:t>
      </w:r>
      <w:r>
        <w:rPr>
          <w:color w:val="auto"/>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rPr>
          <w:color w:val="auto"/>
          <w:szCs w:val="21"/>
        </w:rPr>
      </w:pPr>
      <w:r>
        <w:rPr>
          <w:color w:val="auto"/>
          <w:szCs w:val="21"/>
        </w:rPr>
        <w:t>　　</w:t>
      </w:r>
      <w:r>
        <w:rPr>
          <w:rFonts w:hint="eastAsia"/>
          <w:color w:val="auto"/>
          <w:szCs w:val="21"/>
        </w:rPr>
        <w:t>27.3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ind w:firstLine="420" w:firstLineChars="200"/>
        <w:rPr>
          <w:color w:val="auto"/>
          <w:szCs w:val="21"/>
        </w:rPr>
      </w:pPr>
      <w:r>
        <w:rPr>
          <w:rFonts w:hint="eastAsia"/>
          <w:color w:val="auto"/>
          <w:szCs w:val="21"/>
        </w:rPr>
        <w:t>27.4对磋商文件作出的实质性变动是磋商文件的有效组成部分，磋商小组应当及时以书面形式同时通知所有参加磋商的供应商。</w:t>
      </w:r>
    </w:p>
    <w:p>
      <w:pPr>
        <w:spacing w:line="360" w:lineRule="auto"/>
        <w:ind w:firstLine="420" w:firstLineChars="200"/>
        <w:rPr>
          <w:color w:val="auto"/>
          <w:szCs w:val="21"/>
        </w:rPr>
      </w:pPr>
      <w:r>
        <w:rPr>
          <w:rFonts w:hint="eastAsia"/>
          <w:color w:val="auto"/>
          <w:szCs w:val="21"/>
        </w:rPr>
        <w:t>27.5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spacing w:line="360" w:lineRule="auto"/>
        <w:ind w:firstLine="420" w:firstLineChars="200"/>
        <w:rPr>
          <w:color w:val="auto"/>
          <w:szCs w:val="21"/>
        </w:rPr>
      </w:pPr>
      <w:r>
        <w:rPr>
          <w:rFonts w:hint="eastAsia"/>
          <w:color w:val="auto"/>
          <w:szCs w:val="21"/>
        </w:rPr>
        <w:t>27.6磋商文件能够详细列明采购标的的技术、服务要求的，磋商结束后，磋商小组应当要求所有实质性响应的供应商在规定时间内提交最后报价，提交最后报价的供应商不得少于3家。</w:t>
      </w:r>
    </w:p>
    <w:p>
      <w:pPr>
        <w:spacing w:line="360" w:lineRule="auto"/>
        <w:ind w:firstLine="420" w:firstLineChars="200"/>
        <w:rPr>
          <w:color w:val="auto"/>
        </w:rPr>
      </w:pPr>
      <w:r>
        <w:rPr>
          <w:rFonts w:hint="eastAsia"/>
          <w:color w:val="auto"/>
          <w:szCs w:val="21"/>
        </w:rPr>
        <w:t>27.7磋商文件不能详细列明采购标的的技术、服务要求，需经磋商由供应商提供最终方案或解决方案的，磋商结</w:t>
      </w:r>
      <w:r>
        <w:rPr>
          <w:rFonts w:hint="eastAsia"/>
          <w:color w:val="auto"/>
        </w:rPr>
        <w:t>束后，磋商小组应当按照少数服从多数的原则投票推荐3家以上供应商的方案或者解决方案，并要求其在规定时间内提交最后报价。</w:t>
      </w:r>
    </w:p>
    <w:p>
      <w:pPr>
        <w:spacing w:line="360" w:lineRule="auto"/>
        <w:ind w:firstLine="420" w:firstLineChars="200"/>
        <w:rPr>
          <w:color w:val="auto"/>
        </w:rPr>
      </w:pPr>
      <w:r>
        <w:rPr>
          <w:rFonts w:hint="eastAsia"/>
          <w:color w:val="auto"/>
        </w:rPr>
        <w:t>27.8最后报价是供应商响应文件的有效组成部分。</w:t>
      </w:r>
    </w:p>
    <w:p>
      <w:pPr>
        <w:spacing w:line="360" w:lineRule="auto"/>
        <w:ind w:firstLine="420" w:firstLineChars="200"/>
        <w:rPr>
          <w:color w:val="auto"/>
        </w:rPr>
      </w:pPr>
      <w:r>
        <w:rPr>
          <w:rFonts w:hint="eastAsia"/>
          <w:color w:val="auto"/>
        </w:rPr>
        <w:t>27.9已提交响应文件的供应商，在提交最后报价之前，可以根据磋商情况退出磋商。采购人、采购代理机构应当退还退出磋商的供应商的磋商保证金。</w:t>
      </w:r>
    </w:p>
    <w:p>
      <w:pPr>
        <w:spacing w:line="360" w:lineRule="auto"/>
        <w:ind w:firstLine="420" w:firstLineChars="200"/>
        <w:rPr>
          <w:color w:val="auto"/>
        </w:rPr>
      </w:pPr>
      <w:r>
        <w:rPr>
          <w:rFonts w:hint="eastAsia"/>
          <w:color w:val="auto"/>
        </w:rPr>
        <w:t>27.10经磋商确定最终采购需求和提交最后报价的供应商后，由磋商小组采用综合评分法对提交最后报价的</w:t>
      </w:r>
    </w:p>
    <w:p>
      <w:pPr>
        <w:widowControl/>
        <w:spacing w:line="360" w:lineRule="auto"/>
        <w:jc w:val="left"/>
        <w:rPr>
          <w:rFonts w:ascii="宋体" w:hAnsi="宋体" w:cs="宋体"/>
          <w:b/>
          <w:bCs/>
          <w:color w:val="auto"/>
          <w:szCs w:val="21"/>
        </w:rPr>
      </w:pPr>
      <w:r>
        <w:rPr>
          <w:rFonts w:hint="eastAsia"/>
          <w:b/>
          <w:bCs/>
          <w:color w:val="auto"/>
          <w:szCs w:val="21"/>
          <w:shd w:val="clear" w:color="auto" w:fill="FFFFFF"/>
        </w:rPr>
        <w:t>28.</w:t>
      </w:r>
      <w:r>
        <w:rPr>
          <w:rFonts w:hint="eastAsia" w:ascii="宋体" w:hAnsi="宋体" w:cs="宋体"/>
          <w:b/>
          <w:bCs/>
          <w:color w:val="auto"/>
          <w:szCs w:val="21"/>
        </w:rPr>
        <w:t>磋商文件修正</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28.1磋商小组根据与供应商磋商情况可能实质性变动的内容包括采购需求中的技术、服务要求。实质性变动的内容，须经采购人代表确认。</w:t>
      </w:r>
    </w:p>
    <w:p>
      <w:pPr>
        <w:widowControl/>
        <w:spacing w:line="360" w:lineRule="auto"/>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28.2对磋商文件作出的实质性变动是磋商文件的有效组成部分，磋商小组应当及时以书面形式同时通知所有参加磋商的供应商。</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　　28.3供应商应当按照磋商文件的变动情况和磋商小组的要求重新提交响应文件，并由其法定代表人或授权代表签字或者加盖公章。由授权代表签字的，应当附法定代表人授权书。逾时不交的，视同放弃磋商。修正文件与响应文件同具法律效力。</w:t>
      </w:r>
    </w:p>
    <w:p>
      <w:pPr>
        <w:widowControl/>
        <w:tabs>
          <w:tab w:val="left" w:pos="540"/>
        </w:tabs>
        <w:spacing w:line="360" w:lineRule="auto"/>
        <w:jc w:val="left"/>
        <w:rPr>
          <w:rFonts w:ascii="宋体" w:hAnsi="宋体" w:cs="宋体"/>
          <w:b/>
          <w:bCs/>
          <w:color w:val="auto"/>
          <w:szCs w:val="21"/>
        </w:rPr>
      </w:pPr>
      <w:r>
        <w:rPr>
          <w:rFonts w:hint="eastAsia" w:ascii="宋体" w:hAnsi="宋体" w:cs="宋体"/>
          <w:b/>
          <w:bCs/>
          <w:color w:val="auto"/>
          <w:szCs w:val="21"/>
        </w:rPr>
        <w:t>29.最后报价</w:t>
      </w:r>
    </w:p>
    <w:p>
      <w:pPr>
        <w:widowControl/>
        <w:tabs>
          <w:tab w:val="left" w:pos="540"/>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29.1磋商小组只要求资格审查、响应性评审合格的磋商单位在规定的时间内进行最后报价，密封递交磋商小组。</w:t>
      </w:r>
    </w:p>
    <w:p>
      <w:pPr>
        <w:widowControl/>
        <w:tabs>
          <w:tab w:val="left" w:pos="540"/>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29.2响应供应商的最后报价均超过了本次采购预算，采购人不能支付的，磋商活动终止；终止后，采购人需要采取调整采购预算或项目配置标准等，或采取其他采购方式的，应当在采购活动开始前获得行政主管部门批准。</w:t>
      </w:r>
    </w:p>
    <w:p>
      <w:pPr>
        <w:spacing w:line="360" w:lineRule="auto"/>
        <w:rPr>
          <w:rFonts w:ascii="宋体" w:hAnsi="宋体" w:cs="宋体"/>
          <w:b/>
          <w:color w:val="auto"/>
          <w:szCs w:val="21"/>
        </w:rPr>
      </w:pPr>
      <w:r>
        <w:rPr>
          <w:rFonts w:hint="eastAsia" w:ascii="宋体" w:hAnsi="宋体" w:cs="宋体"/>
          <w:b/>
          <w:color w:val="auto"/>
          <w:szCs w:val="21"/>
        </w:rPr>
        <w:t>30.确定成交供应商办法</w:t>
      </w:r>
    </w:p>
    <w:p>
      <w:pPr>
        <w:spacing w:line="360" w:lineRule="auto"/>
        <w:ind w:firstLine="420" w:firstLineChars="200"/>
        <w:rPr>
          <w:color w:val="auto"/>
          <w:szCs w:val="21"/>
        </w:rPr>
      </w:pPr>
      <w:r>
        <w:rPr>
          <w:rFonts w:hint="eastAsia" w:ascii="宋体" w:hAnsi="宋体" w:cs="宋体"/>
          <w:color w:val="auto"/>
          <w:szCs w:val="21"/>
        </w:rPr>
        <w:t>30.1磋商小组将根据得分由高到低排列次序（得分相同时，以竞标报价由低到高顺序排列；得分相同且竞标报价相同的，按技术分高低顺序排列）并推荐三名成交候选供应商（见第二章评标方</w:t>
      </w:r>
      <w:r>
        <w:rPr>
          <w:color w:val="auto"/>
          <w:szCs w:val="21"/>
        </w:rPr>
        <w:t>法）。</w:t>
      </w:r>
    </w:p>
    <w:p>
      <w:pPr>
        <w:spacing w:after="225" w:line="360" w:lineRule="auto"/>
        <w:ind w:firstLine="420" w:firstLineChars="200"/>
        <w:rPr>
          <w:color w:val="auto"/>
          <w:szCs w:val="21"/>
        </w:rPr>
      </w:pPr>
      <w:r>
        <w:rPr>
          <w:rFonts w:hint="eastAsia"/>
          <w:color w:val="auto"/>
          <w:szCs w:val="21"/>
        </w:rPr>
        <w:t>30.2</w:t>
      </w:r>
      <w:r>
        <w:rPr>
          <w:rFonts w:hint="eastAsia"/>
          <w:color w:val="auto"/>
          <w:szCs w:val="21"/>
          <w:shd w:val="clear" w:color="auto" w:fill="FFFFFF"/>
        </w:rPr>
        <w:t>采购代理机构应当在评审结束后2个工作日内将评审报告送采购人确认。</w:t>
      </w:r>
    </w:p>
    <w:p>
      <w:pPr>
        <w:spacing w:after="225" w:line="360" w:lineRule="auto"/>
        <w:ind w:firstLine="422" w:firstLineChars="200"/>
        <w:rPr>
          <w:b/>
          <w:bCs/>
          <w:color w:val="auto"/>
          <w:szCs w:val="21"/>
        </w:rPr>
      </w:pPr>
      <w:r>
        <w:rPr>
          <w:rFonts w:hint="eastAsia"/>
          <w:b/>
          <w:bCs/>
          <w:color w:val="auto"/>
          <w:kern w:val="0"/>
          <w:szCs w:val="21"/>
        </w:rPr>
        <w:t>30.3</w:t>
      </w:r>
      <w:r>
        <w:rPr>
          <w:rFonts w:hint="eastAsia"/>
          <w:b/>
          <w:bCs/>
          <w:color w:val="auto"/>
          <w:kern w:val="0"/>
          <w:szCs w:val="21"/>
          <w:lang w:eastAsia="zh-CN"/>
        </w:rPr>
        <w:t>采</w:t>
      </w:r>
      <w:r>
        <w:rPr>
          <w:rFonts w:hint="eastAsia"/>
          <w:b/>
          <w:bCs/>
          <w:color w:val="auto"/>
          <w:szCs w:val="21"/>
          <w:shd w:val="clear" w:color="auto" w:fill="FFFFFF"/>
        </w:rPr>
        <w:t>购人应当在收到评审报告后</w:t>
      </w:r>
      <w:r>
        <w:rPr>
          <w:rFonts w:hint="eastAsia"/>
          <w:b/>
          <w:bCs/>
          <w:color w:val="auto"/>
          <w:szCs w:val="21"/>
          <w:shd w:val="clear" w:color="auto" w:fill="FFFFFF"/>
          <w:lang w:val="en-US" w:eastAsia="zh-CN"/>
        </w:rPr>
        <w:t>2</w:t>
      </w:r>
      <w:r>
        <w:rPr>
          <w:rFonts w:hint="eastAsia"/>
          <w:b/>
          <w:bCs/>
          <w:color w:val="auto"/>
          <w:szCs w:val="21"/>
          <w:shd w:val="clear" w:color="auto" w:fill="FFFFFF"/>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after="225" w:line="360" w:lineRule="auto"/>
        <w:ind w:firstLine="420" w:firstLineChars="200"/>
        <w:rPr>
          <w:color w:val="auto"/>
          <w:szCs w:val="21"/>
        </w:rPr>
      </w:pPr>
      <w:r>
        <w:rPr>
          <w:rFonts w:hint="eastAsia"/>
          <w:color w:val="auto"/>
          <w:kern w:val="0"/>
          <w:szCs w:val="21"/>
        </w:rPr>
        <w:t>30.4</w:t>
      </w:r>
      <w:r>
        <w:rPr>
          <w:rFonts w:hint="eastAsia"/>
          <w:color w:val="auto"/>
          <w:szCs w:val="21"/>
          <w:shd w:val="clear" w:color="auto" w:fill="FFFFFF"/>
        </w:rPr>
        <w:t>采购人或者采购代理机构应当在成交供应商确定后2个工作日内，在竞争性磋商公告发布媒体上公告成交结果，同时向成交供应商发出成交通知书，并将磋商文件随成交结果同时公告</w:t>
      </w:r>
    </w:p>
    <w:p>
      <w:pPr>
        <w:pStyle w:val="4"/>
        <w:spacing w:line="360" w:lineRule="auto"/>
        <w:jc w:val="center"/>
        <w:rPr>
          <w:rFonts w:ascii="宋体" w:hAnsi="宋体" w:eastAsia="宋体" w:cs="宋体"/>
          <w:color w:val="auto"/>
          <w:kern w:val="0"/>
          <w:sz w:val="21"/>
          <w:szCs w:val="21"/>
        </w:rPr>
      </w:pPr>
      <w:bookmarkStart w:id="319" w:name="_Toc29908"/>
      <w:bookmarkStart w:id="320" w:name="_Toc31417"/>
      <w:r>
        <w:rPr>
          <w:rFonts w:hint="eastAsia" w:ascii="宋体" w:hAnsi="宋体" w:eastAsia="宋体" w:cs="宋体"/>
          <w:color w:val="auto"/>
          <w:kern w:val="0"/>
          <w:sz w:val="21"/>
          <w:szCs w:val="21"/>
        </w:rPr>
        <w:t>（七）合同</w:t>
      </w:r>
      <w:bookmarkEnd w:id="312"/>
      <w:bookmarkEnd w:id="313"/>
      <w:bookmarkEnd w:id="314"/>
      <w:r>
        <w:rPr>
          <w:rFonts w:hint="eastAsia" w:ascii="宋体" w:hAnsi="宋体" w:eastAsia="宋体" w:cs="宋体"/>
          <w:color w:val="auto"/>
          <w:kern w:val="0"/>
          <w:sz w:val="21"/>
          <w:szCs w:val="21"/>
        </w:rPr>
        <w:t>的授予</w:t>
      </w:r>
      <w:bookmarkEnd w:id="315"/>
      <w:bookmarkEnd w:id="316"/>
      <w:bookmarkEnd w:id="317"/>
      <w:bookmarkEnd w:id="318"/>
      <w:bookmarkEnd w:id="319"/>
      <w:bookmarkEnd w:id="320"/>
    </w:p>
    <w:p>
      <w:pPr>
        <w:spacing w:line="360" w:lineRule="auto"/>
        <w:ind w:left="420" w:leftChars="200" w:firstLine="105" w:firstLineChars="50"/>
        <w:rPr>
          <w:rFonts w:ascii="宋体" w:hAnsi="宋体" w:cs="宋体"/>
          <w:b/>
          <w:color w:val="auto"/>
          <w:szCs w:val="21"/>
        </w:rPr>
      </w:pPr>
      <w:r>
        <w:rPr>
          <w:rFonts w:hint="eastAsia" w:ascii="宋体" w:hAnsi="宋体" w:cs="宋体"/>
          <w:b/>
          <w:color w:val="auto"/>
          <w:szCs w:val="21"/>
        </w:rPr>
        <w:t>31.签订合同</w:t>
      </w:r>
    </w:p>
    <w:p>
      <w:pPr>
        <w:widowControl/>
        <w:tabs>
          <w:tab w:val="left" w:pos="540"/>
        </w:tabs>
        <w:spacing w:line="360" w:lineRule="auto"/>
        <w:ind w:firstLine="422" w:firstLineChars="200"/>
        <w:jc w:val="left"/>
        <w:rPr>
          <w:b/>
          <w:bCs/>
          <w:color w:val="auto"/>
          <w:szCs w:val="21"/>
        </w:rPr>
      </w:pPr>
      <w:r>
        <w:rPr>
          <w:rFonts w:hint="eastAsia" w:ascii="宋体" w:hAnsi="宋体" w:cs="宋体"/>
          <w:b/>
          <w:bCs/>
          <w:color w:val="auto"/>
          <w:szCs w:val="21"/>
        </w:rPr>
        <w:t>31.1</w:t>
      </w:r>
      <w:r>
        <w:rPr>
          <w:rFonts w:hint="eastAsia"/>
          <w:b/>
          <w:bCs/>
          <w:color w:val="auto"/>
          <w:szCs w:val="21"/>
          <w:shd w:val="clear" w:color="auto" w:fill="FFFFFF"/>
        </w:rPr>
        <w:t>采购人与成交供应商应当在成交通知书发出之日起</w:t>
      </w:r>
      <w:r>
        <w:rPr>
          <w:rFonts w:hint="eastAsia"/>
          <w:b/>
          <w:bCs/>
          <w:color w:val="auto"/>
          <w:szCs w:val="21"/>
          <w:shd w:val="clear" w:color="auto" w:fill="FFFFFF"/>
          <w:lang w:val="en-US" w:eastAsia="zh-CN"/>
        </w:rPr>
        <w:t>15</w:t>
      </w:r>
      <w:r>
        <w:rPr>
          <w:rFonts w:hint="eastAsia"/>
          <w:b/>
          <w:bCs/>
          <w:color w:val="auto"/>
          <w:szCs w:val="21"/>
          <w:shd w:val="clear" w:color="auto" w:fill="FFFFFF"/>
        </w:rPr>
        <w:t>日内，按照磋商文件确定的合同文本以及采购标的、规格型号、采购金额、采购数量、技术和服务要求等事项签订采购合同</w:t>
      </w:r>
      <w:r>
        <w:rPr>
          <w:rFonts w:hint="eastAsia"/>
          <w:b/>
          <w:bCs/>
          <w:color w:val="auto"/>
          <w:szCs w:val="21"/>
        </w:rPr>
        <w:t>。</w:t>
      </w:r>
    </w:p>
    <w:p>
      <w:pPr>
        <w:widowControl/>
        <w:tabs>
          <w:tab w:val="left" w:pos="540"/>
        </w:tabs>
        <w:spacing w:line="360" w:lineRule="auto"/>
        <w:ind w:firstLine="420" w:firstLineChars="200"/>
        <w:rPr>
          <w:color w:val="auto"/>
          <w:szCs w:val="21"/>
          <w:shd w:val="clear" w:color="auto" w:fill="FFFFFF"/>
        </w:rPr>
      </w:pPr>
      <w:r>
        <w:rPr>
          <w:rFonts w:hint="eastAsia"/>
          <w:color w:val="auto"/>
          <w:szCs w:val="21"/>
        </w:rPr>
        <w:t>31.2</w:t>
      </w:r>
      <w:r>
        <w:rPr>
          <w:rFonts w:hint="eastAsia"/>
          <w:color w:val="auto"/>
          <w:szCs w:val="21"/>
          <w:shd w:val="clear" w:color="auto" w:fill="FFFFFF"/>
        </w:rPr>
        <w:t>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pPr>
        <w:widowControl/>
        <w:tabs>
          <w:tab w:val="left" w:pos="540"/>
        </w:tabs>
        <w:spacing w:line="360" w:lineRule="auto"/>
        <w:ind w:firstLine="420" w:firstLineChars="200"/>
        <w:rPr>
          <w:color w:val="auto"/>
          <w:szCs w:val="21"/>
          <w:shd w:val="clear" w:color="auto" w:fill="FFFFFF"/>
        </w:rPr>
      </w:pPr>
      <w:r>
        <w:rPr>
          <w:rFonts w:hint="eastAsia"/>
          <w:color w:val="auto"/>
          <w:szCs w:val="21"/>
          <w:shd w:val="clear" w:color="auto" w:fill="FFFFFF"/>
        </w:rPr>
        <w:t>有下列情形之一的，磋商保证金不予退还:</w:t>
      </w:r>
    </w:p>
    <w:p>
      <w:pPr>
        <w:widowControl/>
        <w:tabs>
          <w:tab w:val="left" w:pos="540"/>
        </w:tabs>
        <w:spacing w:line="360" w:lineRule="auto"/>
        <w:ind w:firstLine="420" w:firstLineChars="200"/>
        <w:rPr>
          <w:color w:val="auto"/>
          <w:szCs w:val="21"/>
          <w:shd w:val="clear" w:color="auto" w:fill="FFFFFF"/>
        </w:rPr>
      </w:pPr>
      <w:r>
        <w:rPr>
          <w:rFonts w:hint="eastAsia"/>
          <w:color w:val="auto"/>
          <w:szCs w:val="21"/>
          <w:shd w:val="clear" w:color="auto" w:fill="FFFFFF"/>
        </w:rPr>
        <w:t>(一)供应商在提交响应文件截止时间后撤回响应文件的;</w:t>
      </w:r>
    </w:p>
    <w:p>
      <w:pPr>
        <w:widowControl/>
        <w:tabs>
          <w:tab w:val="left" w:pos="540"/>
        </w:tabs>
        <w:spacing w:line="360" w:lineRule="auto"/>
        <w:ind w:firstLine="420" w:firstLineChars="200"/>
        <w:rPr>
          <w:color w:val="auto"/>
          <w:szCs w:val="21"/>
          <w:shd w:val="clear" w:color="auto" w:fill="FFFFFF"/>
        </w:rPr>
      </w:pPr>
      <w:r>
        <w:rPr>
          <w:rFonts w:hint="eastAsia"/>
          <w:color w:val="auto"/>
          <w:szCs w:val="21"/>
          <w:shd w:val="clear" w:color="auto" w:fill="FFFFFF"/>
        </w:rPr>
        <w:t>(二)供应商在响应文件中提供虚假材料的;</w:t>
      </w:r>
    </w:p>
    <w:p>
      <w:pPr>
        <w:widowControl/>
        <w:tabs>
          <w:tab w:val="left" w:pos="540"/>
        </w:tabs>
        <w:spacing w:line="360" w:lineRule="auto"/>
        <w:ind w:firstLine="420" w:firstLineChars="200"/>
        <w:rPr>
          <w:color w:val="auto"/>
          <w:szCs w:val="21"/>
          <w:shd w:val="clear" w:color="auto" w:fill="FFFFFF"/>
        </w:rPr>
      </w:pPr>
      <w:r>
        <w:rPr>
          <w:rFonts w:hint="eastAsia"/>
          <w:color w:val="auto"/>
          <w:szCs w:val="21"/>
          <w:shd w:val="clear" w:color="auto" w:fill="FFFFFF"/>
        </w:rPr>
        <w:t>(三)除因不可抗力或磋商文件认可的情形以外，成交供应商不与采购人签订合同的;</w:t>
      </w:r>
    </w:p>
    <w:p>
      <w:pPr>
        <w:widowControl/>
        <w:tabs>
          <w:tab w:val="left" w:pos="540"/>
        </w:tabs>
        <w:spacing w:line="360" w:lineRule="auto"/>
        <w:ind w:firstLine="420" w:firstLineChars="200"/>
        <w:rPr>
          <w:color w:val="auto"/>
          <w:szCs w:val="21"/>
          <w:shd w:val="clear" w:color="auto" w:fill="FFFFFF"/>
        </w:rPr>
      </w:pPr>
      <w:r>
        <w:rPr>
          <w:rFonts w:hint="eastAsia"/>
          <w:color w:val="auto"/>
          <w:szCs w:val="21"/>
          <w:shd w:val="clear" w:color="auto" w:fill="FFFFFF"/>
        </w:rPr>
        <w:t>(四)供应商与采购人、其他供应商或者采购代理机构恶意串通的;</w:t>
      </w:r>
    </w:p>
    <w:p>
      <w:pPr>
        <w:widowControl/>
        <w:tabs>
          <w:tab w:val="left" w:pos="540"/>
        </w:tabs>
        <w:spacing w:line="360" w:lineRule="auto"/>
        <w:ind w:firstLine="420" w:firstLineChars="200"/>
        <w:rPr>
          <w:rFonts w:hint="eastAsia"/>
          <w:color w:val="auto"/>
          <w:szCs w:val="21"/>
          <w:shd w:val="clear" w:color="auto" w:fill="FFFFFF"/>
        </w:rPr>
      </w:pPr>
      <w:r>
        <w:rPr>
          <w:rFonts w:hint="eastAsia"/>
          <w:color w:val="auto"/>
          <w:szCs w:val="21"/>
          <w:shd w:val="clear" w:color="auto" w:fill="FFFFFF"/>
        </w:rPr>
        <w:t>(五)磋商文件规定的其他情形。</w:t>
      </w:r>
    </w:p>
    <w:p>
      <w:pPr>
        <w:pStyle w:val="4"/>
        <w:spacing w:line="360" w:lineRule="auto"/>
        <w:jc w:val="center"/>
        <w:rPr>
          <w:rFonts w:ascii="宋体" w:hAnsi="宋体" w:eastAsia="宋体" w:cs="宋体"/>
          <w:color w:val="auto"/>
          <w:kern w:val="0"/>
          <w:sz w:val="21"/>
          <w:szCs w:val="21"/>
        </w:rPr>
      </w:pPr>
      <w:bookmarkStart w:id="321" w:name="_Toc2908"/>
      <w:bookmarkStart w:id="322" w:name="_Toc25820"/>
      <w:bookmarkStart w:id="323" w:name="_Toc29153354"/>
      <w:bookmarkStart w:id="324" w:name="_Toc243584280"/>
      <w:bookmarkStart w:id="325" w:name="_Toc74156225"/>
      <w:r>
        <w:rPr>
          <w:rFonts w:hint="eastAsia" w:ascii="宋体" w:hAnsi="宋体" w:eastAsia="宋体" w:cs="宋体"/>
          <w:color w:val="auto"/>
          <w:kern w:val="0"/>
          <w:sz w:val="21"/>
          <w:szCs w:val="21"/>
        </w:rPr>
        <w:t>（八）</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其他</w:t>
      </w:r>
      <w:bookmarkEnd w:id="321"/>
      <w:bookmarkEnd w:id="322"/>
      <w:bookmarkEnd w:id="323"/>
      <w:bookmarkEnd w:id="324"/>
    </w:p>
    <w:p>
      <w:pPr>
        <w:pStyle w:val="6"/>
        <w:spacing w:line="360" w:lineRule="auto"/>
        <w:ind w:firstLine="422" w:firstLineChars="200"/>
        <w:rPr>
          <w:rFonts w:ascii="宋体" w:hAnsi="宋体" w:eastAsia="宋体" w:cs="宋体"/>
          <w:color w:val="auto"/>
          <w:kern w:val="0"/>
          <w:sz w:val="21"/>
          <w:szCs w:val="21"/>
        </w:rPr>
      </w:pPr>
      <w:bookmarkStart w:id="326" w:name="_Toc243584281"/>
      <w:bookmarkStart w:id="327" w:name="_Toc25496"/>
      <w:bookmarkStart w:id="328" w:name="_Toc10235"/>
      <w:bookmarkStart w:id="329" w:name="_Toc29153355"/>
      <w:r>
        <w:rPr>
          <w:rFonts w:ascii="宋体" w:hAnsi="宋体" w:eastAsia="宋体" w:cs="宋体"/>
          <w:color w:val="auto"/>
          <w:kern w:val="0"/>
          <w:sz w:val="21"/>
          <w:szCs w:val="21"/>
        </w:rPr>
        <w:t>3</w:t>
      </w:r>
      <w:r>
        <w:rPr>
          <w:rFonts w:hint="eastAsia" w:ascii="宋体" w:hAnsi="宋体" w:eastAsia="宋体" w:cs="宋体"/>
          <w:color w:val="auto"/>
          <w:kern w:val="0"/>
          <w:sz w:val="21"/>
          <w:szCs w:val="21"/>
          <w:lang w:val="en-US" w:eastAsia="zh-CN"/>
        </w:rPr>
        <w:t>2</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农民工工资保障金</w:t>
      </w:r>
      <w:bookmarkEnd w:id="325"/>
      <w:bookmarkEnd w:id="326"/>
      <w:bookmarkEnd w:id="327"/>
      <w:bookmarkEnd w:id="328"/>
      <w:bookmarkEnd w:id="329"/>
      <w:r>
        <w:rPr>
          <w:rFonts w:ascii="宋体" w:hAnsi="宋体" w:eastAsia="宋体" w:cs="宋体"/>
          <w:color w:val="auto"/>
          <w:kern w:val="0"/>
          <w:sz w:val="21"/>
          <w:szCs w:val="21"/>
        </w:rPr>
        <w:t xml:space="preserve"> </w:t>
      </w:r>
    </w:p>
    <w:p>
      <w:pPr>
        <w:pStyle w:val="12"/>
        <w:adjustRightInd/>
        <w:spacing w:line="360" w:lineRule="auto"/>
        <w:ind w:firstLine="420" w:firstLineChars="200"/>
        <w:textAlignment w:val="auto"/>
        <w:rPr>
          <w:rFonts w:hAnsi="宋体" w:cs="宋体"/>
          <w:color w:val="auto"/>
          <w:sz w:val="21"/>
          <w:szCs w:val="21"/>
        </w:rPr>
      </w:pPr>
      <w:bookmarkStart w:id="330" w:name="_Toc279572994"/>
      <w:bookmarkStart w:id="331" w:name="_Toc260079783"/>
      <w:r>
        <w:rPr>
          <w:rFonts w:hAnsi="宋体" w:cs="宋体"/>
          <w:color w:val="auto"/>
          <w:sz w:val="21"/>
          <w:szCs w:val="21"/>
        </w:rPr>
        <w:t>3</w:t>
      </w:r>
      <w:r>
        <w:rPr>
          <w:rFonts w:hint="eastAsia" w:hAnsi="宋体" w:cs="宋体"/>
          <w:color w:val="auto"/>
          <w:sz w:val="21"/>
          <w:szCs w:val="21"/>
          <w:lang w:val="en-US" w:eastAsia="zh-CN"/>
        </w:rPr>
        <w:t>2</w:t>
      </w:r>
      <w:r>
        <w:rPr>
          <w:rFonts w:hAnsi="宋体" w:cs="宋体"/>
          <w:color w:val="auto"/>
          <w:sz w:val="21"/>
          <w:szCs w:val="21"/>
        </w:rPr>
        <w:t>.1</w:t>
      </w:r>
      <w:r>
        <w:rPr>
          <w:rFonts w:hint="eastAsia" w:ascii="宋体" w:hAnsi="宋体" w:cs="宋体"/>
          <w:color w:val="auto"/>
          <w:sz w:val="21"/>
          <w:szCs w:val="21"/>
          <w:lang w:eastAsia="zh-CN"/>
        </w:rPr>
        <w:t>如采购人和成交人有约定，</w:t>
      </w:r>
      <w:r>
        <w:rPr>
          <w:rFonts w:hint="eastAsia" w:ascii="宋体" w:hAnsi="宋体" w:cs="宋体"/>
          <w:color w:val="auto"/>
          <w:sz w:val="21"/>
          <w:szCs w:val="21"/>
        </w:rPr>
        <w:t>按</w:t>
      </w:r>
      <w:r>
        <w:rPr>
          <w:rFonts w:hint="eastAsia" w:hAnsi="宋体" w:cs="宋体"/>
          <w:color w:val="auto"/>
          <w:sz w:val="21"/>
          <w:szCs w:val="21"/>
          <w:lang w:eastAsia="zh-CN"/>
        </w:rPr>
        <w:t>时</w:t>
      </w:r>
      <w:r>
        <w:rPr>
          <w:rFonts w:hint="eastAsia" w:ascii="宋体" w:hAnsi="宋体" w:cs="宋体"/>
          <w:color w:val="auto"/>
          <w:sz w:val="21"/>
          <w:szCs w:val="21"/>
        </w:rPr>
        <w:t>交纳农民工工资保障金（最高限额为80</w:t>
      </w:r>
      <w:r>
        <w:rPr>
          <w:rFonts w:hint="eastAsia" w:ascii="宋体" w:hAnsi="宋体" w:cs="宋体"/>
          <w:color w:val="auto"/>
          <w:sz w:val="21"/>
          <w:szCs w:val="21"/>
          <w:lang w:val="en-US" w:eastAsia="zh-CN"/>
        </w:rPr>
        <w:t>万</w:t>
      </w:r>
      <w:r>
        <w:rPr>
          <w:rFonts w:hint="eastAsia" w:ascii="宋体" w:hAnsi="宋体" w:cs="宋体"/>
          <w:color w:val="auto"/>
          <w:sz w:val="21"/>
          <w:szCs w:val="21"/>
          <w:lang w:eastAsia="zh-CN"/>
        </w:rPr>
        <w:t>元</w:t>
      </w:r>
      <w:r>
        <w:rPr>
          <w:rFonts w:hint="eastAsia" w:ascii="宋体" w:hAnsi="宋体" w:cs="宋体"/>
          <w:color w:val="auto"/>
          <w:sz w:val="21"/>
          <w:szCs w:val="21"/>
        </w:rPr>
        <w:t>) ，存入采购人指定的帐户</w:t>
      </w:r>
      <w:r>
        <w:rPr>
          <w:rFonts w:hint="eastAsia" w:hAnsi="宋体" w:cs="宋体"/>
          <w:color w:val="auto"/>
          <w:sz w:val="21"/>
          <w:szCs w:val="21"/>
        </w:rPr>
        <w:t>。</w:t>
      </w:r>
    </w:p>
    <w:p>
      <w:pPr>
        <w:spacing w:line="360" w:lineRule="auto"/>
        <w:ind w:firstLine="420" w:firstLineChars="200"/>
        <w:rPr>
          <w:rFonts w:ascii="宋体" w:cs="宋体"/>
          <w:color w:val="auto"/>
          <w:sz w:val="21"/>
          <w:szCs w:val="21"/>
        </w:rPr>
      </w:pPr>
      <w:r>
        <w:rPr>
          <w:rFonts w:ascii="宋体" w:hAnsi="宋体" w:cs="宋体"/>
          <w:color w:val="auto"/>
          <w:sz w:val="21"/>
          <w:szCs w:val="21"/>
        </w:rPr>
        <w:t>3</w:t>
      </w:r>
      <w:r>
        <w:rPr>
          <w:rFonts w:hint="eastAsia" w:ascii="宋体" w:hAnsi="宋体" w:cs="宋体"/>
          <w:color w:val="auto"/>
          <w:sz w:val="21"/>
          <w:szCs w:val="21"/>
          <w:lang w:val="en-US" w:eastAsia="zh-CN"/>
        </w:rPr>
        <w:t>2</w:t>
      </w:r>
      <w:r>
        <w:rPr>
          <w:rFonts w:ascii="宋体" w:hAnsi="宋体" w:cs="宋体"/>
          <w:color w:val="auto"/>
          <w:sz w:val="21"/>
          <w:szCs w:val="21"/>
        </w:rPr>
        <w:t xml:space="preserve">.2 </w:t>
      </w:r>
      <w:r>
        <w:rPr>
          <w:rFonts w:hint="eastAsia" w:ascii="宋体" w:hAnsi="宋体" w:cs="宋体"/>
          <w:color w:val="auto"/>
          <w:sz w:val="21"/>
          <w:szCs w:val="21"/>
        </w:rPr>
        <w:t>竞标人应在其竞标文件中，对农民工工资保障金的交纳与使用作出承诺。竞标人不对此作出承诺的，其竞标作无效标处理。</w:t>
      </w:r>
    </w:p>
    <w:p>
      <w:pPr>
        <w:spacing w:line="360" w:lineRule="auto"/>
        <w:ind w:right="69" w:rightChars="33" w:firstLine="420" w:firstLineChars="200"/>
        <w:rPr>
          <w:rFonts w:ascii="宋体" w:cs="宋体"/>
          <w:color w:val="auto"/>
          <w:sz w:val="21"/>
          <w:szCs w:val="21"/>
        </w:rPr>
      </w:pPr>
      <w:r>
        <w:rPr>
          <w:rFonts w:ascii="宋体" w:hAnsi="宋体" w:cs="宋体"/>
          <w:color w:val="auto"/>
          <w:sz w:val="21"/>
          <w:szCs w:val="21"/>
        </w:rPr>
        <w:t>3</w:t>
      </w:r>
      <w:r>
        <w:rPr>
          <w:rFonts w:hint="eastAsia" w:ascii="宋体" w:hAnsi="宋体" w:cs="宋体"/>
          <w:color w:val="auto"/>
          <w:sz w:val="21"/>
          <w:szCs w:val="21"/>
          <w:lang w:val="en-US" w:eastAsia="zh-CN"/>
        </w:rPr>
        <w:t>2</w:t>
      </w:r>
      <w:r>
        <w:rPr>
          <w:rFonts w:ascii="宋体" w:hAnsi="宋体" w:cs="宋体"/>
          <w:color w:val="auto"/>
          <w:sz w:val="21"/>
          <w:szCs w:val="21"/>
        </w:rPr>
        <w:t xml:space="preserve">.3  </w:t>
      </w:r>
      <w:r>
        <w:rPr>
          <w:rFonts w:hint="eastAsia" w:ascii="宋体" w:hAnsi="宋体" w:cs="宋体"/>
          <w:color w:val="auto"/>
          <w:sz w:val="21"/>
          <w:szCs w:val="21"/>
        </w:rPr>
        <w:t>成交人未能在规定期限内足额交纳农民工工资保障金的，采购人将有充分的理由取消其成交资格。</w:t>
      </w:r>
    </w:p>
    <w:bookmarkEnd w:id="330"/>
    <w:bookmarkEnd w:id="331"/>
    <w:p>
      <w:pPr>
        <w:spacing w:line="360" w:lineRule="auto"/>
        <w:rPr>
          <w:rFonts w:ascii="宋体" w:cs="宋体"/>
          <w:color w:val="auto"/>
          <w:sz w:val="21"/>
          <w:szCs w:val="21"/>
        </w:rPr>
      </w:pPr>
    </w:p>
    <w:p>
      <w:pPr>
        <w:spacing w:line="360" w:lineRule="auto"/>
        <w:rPr>
          <w:rFonts w:ascii="宋体" w:cs="宋体"/>
          <w:color w:val="auto"/>
          <w:sz w:val="21"/>
          <w:szCs w:val="21"/>
        </w:rPr>
        <w:sectPr>
          <w:endnotePr>
            <w:numFmt w:val="decimal"/>
          </w:endnotePr>
          <w:pgSz w:w="11906" w:h="16838"/>
          <w:pgMar w:top="1134" w:right="1028" w:bottom="1246" w:left="1218" w:header="630" w:footer="680" w:gutter="0"/>
          <w:pgNumType w:fmt="decimal"/>
          <w:cols w:space="720" w:num="1"/>
          <w:docGrid w:type="lines" w:linePitch="312" w:charSpace="0"/>
        </w:sectPr>
      </w:pPr>
    </w:p>
    <w:p>
      <w:pPr>
        <w:pStyle w:val="3"/>
        <w:ind w:firstLine="2711" w:firstLineChars="844"/>
        <w:rPr>
          <w:color w:val="auto"/>
          <w:sz w:val="32"/>
          <w:szCs w:val="32"/>
        </w:rPr>
      </w:pPr>
      <w:bookmarkStart w:id="332" w:name="_Toc18663"/>
      <w:bookmarkStart w:id="333" w:name="_Toc224980459"/>
      <w:bookmarkStart w:id="334" w:name="_Toc108836087"/>
      <w:r>
        <w:rPr>
          <w:rFonts w:hint="eastAsia"/>
          <w:color w:val="auto"/>
          <w:sz w:val="32"/>
          <w:szCs w:val="32"/>
        </w:rPr>
        <w:t>第二章</w:t>
      </w:r>
      <w:r>
        <w:rPr>
          <w:rFonts w:hint="eastAsia"/>
          <w:color w:val="auto"/>
          <w:sz w:val="32"/>
          <w:szCs w:val="32"/>
          <w:lang w:val="en-US" w:eastAsia="zh-CN"/>
        </w:rPr>
        <w:t xml:space="preserve"> </w:t>
      </w:r>
      <w:r>
        <w:rPr>
          <w:rFonts w:hint="eastAsia"/>
          <w:color w:val="auto"/>
          <w:sz w:val="32"/>
          <w:szCs w:val="32"/>
        </w:rPr>
        <w:t>合同条款及格式</w:t>
      </w:r>
      <w:bookmarkEnd w:id="332"/>
    </w:p>
    <w:p>
      <w:pPr>
        <w:pStyle w:val="12"/>
        <w:spacing w:line="360" w:lineRule="auto"/>
        <w:ind w:firstLine="420" w:firstLineChars="200"/>
        <w:rPr>
          <w:color w:val="auto"/>
        </w:rPr>
      </w:pPr>
    </w:p>
    <w:p>
      <w:pPr>
        <w:rPr>
          <w:color w:val="auto"/>
        </w:rPr>
      </w:pPr>
    </w:p>
    <w:p>
      <w:pPr>
        <w:rPr>
          <w:color w:val="auto"/>
        </w:rPr>
      </w:pP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center"/>
        <w:textAlignment w:val="auto"/>
        <w:rPr>
          <w:rFonts w:hint="eastAsia" w:ascii="宋体" w:hAnsi="宋体" w:eastAsia="宋体" w:cs="宋体"/>
          <w:b w:val="0"/>
          <w:bCs w:val="0"/>
          <w:color w:val="auto"/>
          <w:kern w:val="0"/>
          <w:sz w:val="36"/>
          <w:szCs w:val="24"/>
          <w:highlight w:val="none"/>
          <w:lang w:eastAsia="zh-CN"/>
        </w:rPr>
      </w:pPr>
    </w:p>
    <w:p>
      <w:pPr>
        <w:spacing w:line="360" w:lineRule="auto"/>
        <w:jc w:val="both"/>
        <w:rPr>
          <w:rFonts w:hint="eastAsia" w:ascii="宋体" w:hAnsi="宋体" w:eastAsia="宋体" w:cs="宋体"/>
          <w:sz w:val="28"/>
          <w:szCs w:val="28"/>
        </w:rPr>
      </w:pPr>
    </w:p>
    <w:p>
      <w:pPr>
        <w:spacing w:line="360" w:lineRule="auto"/>
        <w:jc w:val="center"/>
        <w:rPr>
          <w:rFonts w:hint="eastAsia" w:ascii="宋体" w:hAnsi="宋体" w:eastAsia="宋体" w:cs="宋体"/>
          <w:color w:val="auto"/>
          <w:w w:val="90"/>
          <w:sz w:val="28"/>
          <w:szCs w:val="28"/>
          <w:lang w:val="en-US" w:eastAsia="zh-CN"/>
        </w:rPr>
      </w:pPr>
      <w:r>
        <w:rPr>
          <w:rFonts w:hint="eastAsia" w:ascii="宋体" w:hAnsi="宋体" w:eastAsia="宋体" w:cs="宋体"/>
          <w:color w:val="auto"/>
          <w:w w:val="90"/>
          <w:sz w:val="44"/>
          <w:szCs w:val="44"/>
          <w:lang w:val="en-US" w:eastAsia="zh-CN"/>
        </w:rPr>
        <w:t xml:space="preserve"> </w:t>
      </w:r>
    </w:p>
    <w:p>
      <w:pPr>
        <w:spacing w:line="360" w:lineRule="auto"/>
        <w:jc w:val="center"/>
        <w:rPr>
          <w:rFonts w:hint="eastAsia" w:ascii="宋体" w:hAnsi="宋体" w:eastAsia="宋体" w:cs="宋体"/>
          <w:color w:val="auto"/>
          <w:w w:val="90"/>
          <w:sz w:val="28"/>
          <w:szCs w:val="28"/>
        </w:rPr>
      </w:pPr>
    </w:p>
    <w:p>
      <w:pPr>
        <w:spacing w:line="360" w:lineRule="auto"/>
        <w:jc w:val="center"/>
        <w:rPr>
          <w:rFonts w:hint="eastAsia" w:ascii="宋体" w:hAnsi="宋体" w:eastAsia="宋体" w:cs="宋体"/>
          <w:color w:val="auto"/>
          <w:w w:val="90"/>
          <w:sz w:val="28"/>
          <w:szCs w:val="28"/>
        </w:rPr>
      </w:pPr>
    </w:p>
    <w:p>
      <w:pPr>
        <w:spacing w:line="360" w:lineRule="auto"/>
        <w:jc w:val="center"/>
        <w:rPr>
          <w:rFonts w:hint="eastAsia" w:ascii="宋体" w:hAnsi="宋体" w:eastAsia="宋体" w:cs="宋体"/>
          <w:b/>
          <w:color w:val="auto"/>
          <w:w w:val="90"/>
          <w:sz w:val="56"/>
          <w:szCs w:val="56"/>
        </w:rPr>
      </w:pPr>
      <w:r>
        <w:rPr>
          <w:rFonts w:hint="eastAsia" w:ascii="宋体" w:hAnsi="宋体" w:eastAsia="宋体" w:cs="宋体"/>
          <w:b/>
          <w:color w:val="auto"/>
          <w:w w:val="90"/>
          <w:sz w:val="56"/>
          <w:szCs w:val="56"/>
        </w:rPr>
        <w:t>施工合同文件</w:t>
      </w:r>
    </w:p>
    <w:p>
      <w:pPr>
        <w:spacing w:line="360" w:lineRule="auto"/>
        <w:jc w:val="center"/>
        <w:rPr>
          <w:rFonts w:hint="eastAsia" w:ascii="宋体" w:hAnsi="宋体" w:eastAsia="宋体" w:cs="宋体"/>
          <w:color w:val="auto"/>
          <w:w w:val="90"/>
          <w:sz w:val="22"/>
          <w:szCs w:val="22"/>
        </w:rPr>
      </w:pPr>
    </w:p>
    <w:p>
      <w:pPr>
        <w:spacing w:line="360" w:lineRule="auto"/>
        <w:jc w:val="center"/>
        <w:rPr>
          <w:rFonts w:hint="eastAsia" w:ascii="宋体" w:hAnsi="宋体" w:eastAsia="宋体" w:cs="宋体"/>
          <w:color w:val="auto"/>
          <w:w w:val="90"/>
          <w:sz w:val="28"/>
          <w:szCs w:val="28"/>
          <w:lang w:val="en-US" w:eastAsia="zh-CN"/>
        </w:rPr>
      </w:pPr>
      <w:r>
        <w:rPr>
          <w:rFonts w:hint="eastAsia" w:ascii="宋体" w:hAnsi="宋体" w:eastAsia="宋体" w:cs="宋体"/>
          <w:color w:val="auto"/>
          <w:w w:val="90"/>
          <w:sz w:val="28"/>
          <w:szCs w:val="28"/>
          <w:lang w:val="en-US" w:eastAsia="zh-CN"/>
        </w:rPr>
        <w:t xml:space="preserve">  【2021】   号</w:t>
      </w:r>
    </w:p>
    <w:p>
      <w:pPr>
        <w:spacing w:line="360" w:lineRule="auto"/>
        <w:jc w:val="center"/>
        <w:rPr>
          <w:rFonts w:hint="eastAsia" w:ascii="宋体" w:hAnsi="宋体" w:eastAsia="宋体" w:cs="宋体"/>
          <w:color w:val="auto"/>
          <w:w w:val="90"/>
          <w:sz w:val="22"/>
          <w:szCs w:val="22"/>
        </w:rPr>
      </w:pPr>
    </w:p>
    <w:p>
      <w:pPr>
        <w:spacing w:line="360" w:lineRule="auto"/>
        <w:jc w:val="center"/>
        <w:rPr>
          <w:rFonts w:hint="eastAsia" w:ascii="宋体" w:hAnsi="宋体" w:eastAsia="宋体" w:cs="宋体"/>
          <w:color w:val="auto"/>
          <w:w w:val="90"/>
          <w:sz w:val="22"/>
          <w:szCs w:val="22"/>
        </w:rPr>
      </w:pPr>
    </w:p>
    <w:p>
      <w:pPr>
        <w:spacing w:line="360" w:lineRule="auto"/>
        <w:jc w:val="center"/>
        <w:rPr>
          <w:rFonts w:hint="eastAsia" w:ascii="宋体" w:hAnsi="宋体" w:eastAsia="宋体" w:cs="宋体"/>
          <w:color w:val="auto"/>
          <w:w w:val="90"/>
          <w:sz w:val="22"/>
          <w:szCs w:val="22"/>
        </w:rPr>
      </w:pPr>
    </w:p>
    <w:p>
      <w:pPr>
        <w:spacing w:line="360" w:lineRule="auto"/>
        <w:jc w:val="center"/>
        <w:rPr>
          <w:rFonts w:hint="eastAsia" w:ascii="宋体" w:hAnsi="宋体" w:eastAsia="宋体" w:cs="宋体"/>
          <w:color w:val="auto"/>
          <w:w w:val="90"/>
          <w:sz w:val="22"/>
          <w:szCs w:val="22"/>
        </w:rPr>
      </w:pPr>
    </w:p>
    <w:p>
      <w:pPr>
        <w:spacing w:line="360" w:lineRule="auto"/>
        <w:jc w:val="center"/>
        <w:rPr>
          <w:rFonts w:hint="eastAsia" w:ascii="宋体" w:hAnsi="宋体" w:eastAsia="宋体" w:cs="宋体"/>
          <w:color w:val="auto"/>
          <w:w w:val="90"/>
          <w:sz w:val="24"/>
          <w:szCs w:val="24"/>
        </w:rPr>
      </w:pPr>
    </w:p>
    <w:p>
      <w:pPr>
        <w:spacing w:line="360" w:lineRule="auto"/>
        <w:jc w:val="center"/>
        <w:rPr>
          <w:rFonts w:hint="eastAsia" w:ascii="宋体" w:hAnsi="宋体" w:eastAsia="宋体" w:cs="宋体"/>
          <w:color w:val="auto"/>
          <w:w w:val="90"/>
          <w:sz w:val="24"/>
          <w:szCs w:val="24"/>
        </w:rPr>
      </w:pPr>
    </w:p>
    <w:p>
      <w:pPr>
        <w:spacing w:line="360" w:lineRule="auto"/>
        <w:jc w:val="center"/>
        <w:rPr>
          <w:rFonts w:hint="eastAsia" w:ascii="宋体" w:hAnsi="宋体" w:eastAsia="宋体" w:cs="宋体"/>
          <w:color w:val="auto"/>
          <w:w w:val="90"/>
          <w:sz w:val="24"/>
          <w:szCs w:val="24"/>
        </w:rPr>
      </w:pPr>
    </w:p>
    <w:p>
      <w:pPr>
        <w:spacing w:line="360" w:lineRule="auto"/>
        <w:jc w:val="center"/>
        <w:rPr>
          <w:rFonts w:hint="eastAsia" w:ascii="宋体" w:hAnsi="宋体" w:eastAsia="宋体" w:cs="宋体"/>
          <w:color w:val="auto"/>
          <w:w w:val="90"/>
          <w:sz w:val="24"/>
          <w:szCs w:val="24"/>
        </w:rPr>
      </w:pPr>
    </w:p>
    <w:p>
      <w:pPr>
        <w:spacing w:line="360" w:lineRule="auto"/>
        <w:ind w:firstLine="756" w:firstLineChars="300"/>
        <w:jc w:val="both"/>
        <w:rPr>
          <w:rFonts w:hint="eastAsia" w:ascii="宋体" w:hAnsi="宋体" w:eastAsia="宋体" w:cs="宋体"/>
          <w:color w:val="auto"/>
          <w:w w:val="90"/>
          <w:sz w:val="28"/>
          <w:szCs w:val="28"/>
          <w:lang w:val="en-US" w:eastAsia="zh-CN"/>
        </w:rPr>
      </w:pPr>
      <w:r>
        <w:rPr>
          <w:rFonts w:hint="eastAsia" w:ascii="宋体" w:hAnsi="宋体" w:eastAsia="宋体" w:cs="宋体"/>
          <w:color w:val="auto"/>
          <w:w w:val="90"/>
          <w:sz w:val="28"/>
          <w:szCs w:val="28"/>
          <w:lang w:val="en-US" w:eastAsia="zh-CN"/>
        </w:rPr>
        <w:t>项目名称：</w:t>
      </w:r>
      <w:r>
        <w:rPr>
          <w:rFonts w:hint="eastAsia" w:ascii="宋体" w:hAnsi="宋体" w:cs="宋体"/>
          <w:color w:val="auto"/>
          <w:w w:val="90"/>
          <w:sz w:val="28"/>
          <w:szCs w:val="28"/>
          <w:lang w:val="en-US" w:eastAsia="zh-CN"/>
        </w:rPr>
        <w:t>天等县驮堪乡驮堪村净屯环境整治工程</w:t>
      </w:r>
    </w:p>
    <w:p>
      <w:pPr>
        <w:spacing w:line="360" w:lineRule="auto"/>
        <w:ind w:firstLine="756" w:firstLineChars="300"/>
        <w:rPr>
          <w:rFonts w:hint="eastAsia" w:ascii="宋体" w:hAnsi="宋体" w:eastAsia="宋体" w:cs="宋体"/>
          <w:color w:val="auto"/>
          <w:w w:val="90"/>
          <w:sz w:val="28"/>
          <w:szCs w:val="28"/>
          <w:lang w:val="en-US" w:eastAsia="zh-CN"/>
        </w:rPr>
      </w:pPr>
      <w:r>
        <w:rPr>
          <w:rFonts w:hint="eastAsia" w:ascii="宋体" w:hAnsi="宋体" w:eastAsia="宋体" w:cs="宋体"/>
          <w:color w:val="auto"/>
          <w:w w:val="90"/>
          <w:sz w:val="28"/>
          <w:szCs w:val="28"/>
        </w:rPr>
        <w:t>发</w:t>
      </w:r>
      <w:r>
        <w:rPr>
          <w:rFonts w:hint="eastAsia" w:ascii="宋体" w:hAnsi="宋体" w:eastAsia="宋体" w:cs="宋体"/>
          <w:color w:val="auto"/>
          <w:w w:val="90"/>
          <w:sz w:val="28"/>
          <w:szCs w:val="28"/>
          <w:lang w:val="en-US" w:eastAsia="zh-CN"/>
        </w:rPr>
        <w:t xml:space="preserve"> </w:t>
      </w:r>
      <w:r>
        <w:rPr>
          <w:rFonts w:hint="eastAsia" w:ascii="宋体" w:hAnsi="宋体" w:eastAsia="宋体" w:cs="宋体"/>
          <w:color w:val="auto"/>
          <w:w w:val="90"/>
          <w:sz w:val="28"/>
          <w:szCs w:val="28"/>
        </w:rPr>
        <w:t>包</w:t>
      </w:r>
      <w:r>
        <w:rPr>
          <w:rFonts w:hint="eastAsia" w:ascii="宋体" w:hAnsi="宋体" w:eastAsia="宋体" w:cs="宋体"/>
          <w:color w:val="auto"/>
          <w:w w:val="90"/>
          <w:sz w:val="28"/>
          <w:szCs w:val="28"/>
          <w:lang w:val="en-US" w:eastAsia="zh-CN"/>
        </w:rPr>
        <w:t xml:space="preserve"> </w:t>
      </w:r>
      <w:r>
        <w:rPr>
          <w:rFonts w:hint="eastAsia" w:ascii="宋体" w:hAnsi="宋体" w:eastAsia="宋体" w:cs="宋体"/>
          <w:color w:val="auto"/>
          <w:w w:val="90"/>
          <w:sz w:val="28"/>
          <w:szCs w:val="28"/>
        </w:rPr>
        <w:t>人：</w:t>
      </w:r>
      <w:r>
        <w:rPr>
          <w:rFonts w:hint="eastAsia" w:ascii="宋体" w:hAnsi="宋体" w:cs="宋体"/>
          <w:color w:val="auto"/>
          <w:w w:val="90"/>
          <w:sz w:val="28"/>
          <w:szCs w:val="28"/>
          <w:lang w:eastAsia="zh-CN"/>
        </w:rPr>
        <w:t>天等县乡村振兴局</w:t>
      </w:r>
    </w:p>
    <w:p>
      <w:pPr>
        <w:spacing w:line="360" w:lineRule="auto"/>
        <w:ind w:firstLine="756" w:firstLineChars="300"/>
        <w:rPr>
          <w:rFonts w:hint="eastAsia" w:ascii="宋体" w:hAnsi="宋体" w:eastAsia="宋体" w:cs="宋体"/>
          <w:color w:val="auto"/>
          <w:w w:val="90"/>
          <w:sz w:val="28"/>
          <w:szCs w:val="28"/>
          <w:lang w:eastAsia="zh-CN"/>
        </w:rPr>
      </w:pPr>
      <w:r>
        <w:rPr>
          <w:rFonts w:hint="eastAsia" w:ascii="宋体" w:hAnsi="宋体" w:eastAsia="宋体" w:cs="宋体"/>
          <w:color w:val="auto"/>
          <w:w w:val="90"/>
          <w:sz w:val="28"/>
          <w:szCs w:val="28"/>
        </w:rPr>
        <w:t>承</w:t>
      </w:r>
      <w:r>
        <w:rPr>
          <w:rFonts w:hint="eastAsia" w:ascii="宋体" w:hAnsi="宋体" w:eastAsia="宋体" w:cs="宋体"/>
          <w:color w:val="auto"/>
          <w:w w:val="90"/>
          <w:sz w:val="28"/>
          <w:szCs w:val="28"/>
          <w:lang w:val="en-US" w:eastAsia="zh-CN"/>
        </w:rPr>
        <w:t xml:space="preserve"> </w:t>
      </w:r>
      <w:r>
        <w:rPr>
          <w:rFonts w:hint="eastAsia" w:ascii="宋体" w:hAnsi="宋体" w:eastAsia="宋体" w:cs="宋体"/>
          <w:color w:val="auto"/>
          <w:w w:val="90"/>
          <w:sz w:val="28"/>
          <w:szCs w:val="28"/>
        </w:rPr>
        <w:t>包</w:t>
      </w:r>
      <w:r>
        <w:rPr>
          <w:rFonts w:hint="eastAsia" w:ascii="宋体" w:hAnsi="宋体" w:eastAsia="宋体" w:cs="宋体"/>
          <w:color w:val="auto"/>
          <w:w w:val="90"/>
          <w:sz w:val="28"/>
          <w:szCs w:val="28"/>
          <w:lang w:val="en-US" w:eastAsia="zh-CN"/>
        </w:rPr>
        <w:t xml:space="preserve"> </w:t>
      </w:r>
      <w:r>
        <w:rPr>
          <w:rFonts w:hint="eastAsia" w:ascii="宋体" w:hAnsi="宋体" w:eastAsia="宋体" w:cs="宋体"/>
          <w:color w:val="auto"/>
          <w:w w:val="90"/>
          <w:sz w:val="28"/>
          <w:szCs w:val="28"/>
        </w:rPr>
        <w:t>人：</w:t>
      </w:r>
      <w:r>
        <w:rPr>
          <w:rFonts w:hint="eastAsia" w:ascii="宋体" w:hAnsi="宋体" w:eastAsia="宋体" w:cs="宋体"/>
          <w:color w:val="auto"/>
          <w:w w:val="90"/>
          <w:sz w:val="28"/>
          <w:szCs w:val="28"/>
          <w:lang w:val="en-US" w:eastAsia="zh-CN"/>
        </w:rPr>
        <w:t xml:space="preserve"> </w:t>
      </w:r>
    </w:p>
    <w:p>
      <w:pPr>
        <w:spacing w:line="360" w:lineRule="auto"/>
        <w:ind w:firstLine="756" w:firstLineChars="300"/>
        <w:rPr>
          <w:rFonts w:hint="eastAsia" w:ascii="宋体" w:hAnsi="宋体" w:eastAsia="宋体" w:cs="宋体"/>
          <w:color w:val="auto"/>
          <w:w w:val="90"/>
          <w:sz w:val="28"/>
          <w:szCs w:val="28"/>
        </w:rPr>
      </w:pPr>
      <w:r>
        <w:rPr>
          <w:rFonts w:hint="eastAsia" w:ascii="宋体" w:hAnsi="宋体" w:eastAsia="宋体" w:cs="宋体"/>
          <w:color w:val="auto"/>
          <w:w w:val="90"/>
          <w:sz w:val="28"/>
          <w:szCs w:val="28"/>
        </w:rPr>
        <w:t xml:space="preserve">日  </w:t>
      </w:r>
      <w:r>
        <w:rPr>
          <w:rFonts w:hint="eastAsia" w:ascii="宋体" w:hAnsi="宋体" w:eastAsia="宋体" w:cs="宋体"/>
          <w:color w:val="auto"/>
          <w:w w:val="90"/>
          <w:sz w:val="28"/>
          <w:szCs w:val="28"/>
          <w:lang w:val="en-US" w:eastAsia="zh-CN"/>
        </w:rPr>
        <w:t xml:space="preserve">  </w:t>
      </w:r>
      <w:r>
        <w:rPr>
          <w:rFonts w:hint="eastAsia" w:ascii="宋体" w:hAnsi="宋体" w:eastAsia="宋体" w:cs="宋体"/>
          <w:color w:val="auto"/>
          <w:w w:val="90"/>
          <w:sz w:val="28"/>
          <w:szCs w:val="28"/>
        </w:rPr>
        <w:t>期：20</w:t>
      </w:r>
      <w:r>
        <w:rPr>
          <w:rFonts w:hint="eastAsia" w:ascii="宋体" w:hAnsi="宋体" w:eastAsia="宋体" w:cs="宋体"/>
          <w:color w:val="auto"/>
          <w:w w:val="90"/>
          <w:sz w:val="28"/>
          <w:szCs w:val="28"/>
          <w:lang w:val="en-US" w:eastAsia="zh-CN"/>
        </w:rPr>
        <w:t>21</w:t>
      </w:r>
      <w:r>
        <w:rPr>
          <w:rFonts w:hint="eastAsia" w:ascii="宋体" w:hAnsi="宋体" w:eastAsia="宋体" w:cs="宋体"/>
          <w:color w:val="auto"/>
          <w:w w:val="90"/>
          <w:sz w:val="28"/>
          <w:szCs w:val="28"/>
        </w:rPr>
        <w:t>年</w:t>
      </w:r>
      <w:r>
        <w:rPr>
          <w:rFonts w:hint="eastAsia" w:ascii="宋体" w:hAnsi="宋体" w:eastAsia="宋体" w:cs="宋体"/>
          <w:color w:val="auto"/>
          <w:w w:val="90"/>
          <w:sz w:val="28"/>
          <w:szCs w:val="28"/>
          <w:lang w:val="en-US" w:eastAsia="zh-CN"/>
        </w:rPr>
        <w:t xml:space="preserve">  </w:t>
      </w:r>
      <w:r>
        <w:rPr>
          <w:rFonts w:hint="eastAsia" w:ascii="宋体" w:hAnsi="宋体" w:eastAsia="宋体" w:cs="宋体"/>
          <w:color w:val="auto"/>
          <w:w w:val="90"/>
          <w:sz w:val="28"/>
          <w:szCs w:val="28"/>
        </w:rPr>
        <w:t>月日</w:t>
      </w:r>
    </w:p>
    <w:p>
      <w:pPr>
        <w:spacing w:line="360" w:lineRule="auto"/>
        <w:rPr>
          <w:rFonts w:hint="eastAsia" w:ascii="宋体" w:hAnsi="宋体" w:eastAsia="宋体" w:cs="宋体"/>
          <w:color w:val="auto"/>
          <w:w w:val="90"/>
          <w:sz w:val="20"/>
          <w:szCs w:val="22"/>
        </w:rPr>
      </w:pPr>
    </w:p>
    <w:p>
      <w:pPr>
        <w:spacing w:line="360" w:lineRule="auto"/>
        <w:jc w:val="center"/>
        <w:rPr>
          <w:rFonts w:hint="eastAsia" w:ascii="宋体" w:hAnsi="宋体" w:eastAsia="宋体" w:cs="宋体"/>
          <w:b/>
          <w:color w:val="auto"/>
          <w:w w:val="90"/>
          <w:sz w:val="40"/>
          <w:szCs w:val="40"/>
        </w:rPr>
        <w:sectPr>
          <w:footerReference r:id="rId11" w:type="default"/>
          <w:footerReference r:id="rId12" w:type="even"/>
          <w:pgSz w:w="11906" w:h="16838"/>
          <w:pgMar w:top="1134" w:right="1134" w:bottom="1134" w:left="1418" w:header="851" w:footer="992" w:gutter="0"/>
          <w:pgNumType w:fmt="decimal" w:start="1"/>
          <w:cols w:space="720" w:num="1"/>
          <w:docGrid w:type="lines" w:linePitch="312" w:charSpace="0"/>
        </w:sectPr>
      </w:pPr>
    </w:p>
    <w:p>
      <w:pPr>
        <w:spacing w:line="360" w:lineRule="auto"/>
        <w:jc w:val="center"/>
        <w:rPr>
          <w:rFonts w:hint="eastAsia" w:ascii="宋体" w:hAnsi="宋体" w:eastAsia="宋体" w:cs="宋体"/>
          <w:b/>
          <w:color w:val="auto"/>
          <w:w w:val="90"/>
          <w:sz w:val="44"/>
          <w:szCs w:val="44"/>
        </w:rPr>
      </w:pPr>
    </w:p>
    <w:p>
      <w:pPr>
        <w:spacing w:line="360" w:lineRule="auto"/>
        <w:jc w:val="center"/>
        <w:rPr>
          <w:rFonts w:hint="eastAsia" w:ascii="宋体" w:hAnsi="宋体" w:eastAsia="宋体" w:cs="宋体"/>
          <w:b/>
          <w:color w:val="auto"/>
          <w:w w:val="90"/>
          <w:sz w:val="44"/>
          <w:szCs w:val="44"/>
        </w:rPr>
      </w:pPr>
      <w:r>
        <w:rPr>
          <w:rFonts w:hint="eastAsia" w:ascii="宋体" w:hAnsi="宋体" w:eastAsia="宋体" w:cs="宋体"/>
          <w:b/>
          <w:color w:val="auto"/>
          <w:w w:val="90"/>
          <w:sz w:val="44"/>
          <w:szCs w:val="44"/>
        </w:rPr>
        <w:t>合同文件目录</w:t>
      </w:r>
    </w:p>
    <w:p>
      <w:pPr>
        <w:spacing w:line="360" w:lineRule="auto"/>
        <w:rPr>
          <w:rFonts w:hint="eastAsia" w:ascii="宋体" w:hAnsi="宋体" w:eastAsia="宋体" w:cs="宋体"/>
          <w:color w:val="auto"/>
          <w:w w:val="90"/>
          <w:sz w:val="32"/>
          <w:szCs w:val="32"/>
        </w:rPr>
      </w:pPr>
    </w:p>
    <w:p>
      <w:pPr>
        <w:spacing w:line="360" w:lineRule="auto"/>
        <w:rPr>
          <w:rFonts w:hint="eastAsia" w:ascii="宋体" w:hAnsi="宋体" w:eastAsia="宋体" w:cs="宋体"/>
          <w:color w:val="auto"/>
          <w:w w:val="90"/>
          <w:sz w:val="28"/>
          <w:szCs w:val="28"/>
        </w:rPr>
      </w:pPr>
      <w:r>
        <w:rPr>
          <w:rFonts w:hint="eastAsia" w:ascii="宋体" w:hAnsi="宋体" w:eastAsia="宋体" w:cs="宋体"/>
          <w:color w:val="auto"/>
          <w:w w:val="90"/>
          <w:sz w:val="28"/>
          <w:szCs w:val="28"/>
          <w:lang w:val="en-US" w:eastAsia="zh-CN"/>
        </w:rPr>
        <w:t>一</w:t>
      </w:r>
      <w:r>
        <w:rPr>
          <w:rFonts w:hint="eastAsia" w:ascii="宋体" w:hAnsi="宋体" w:eastAsia="宋体" w:cs="宋体"/>
          <w:color w:val="auto"/>
          <w:w w:val="90"/>
          <w:sz w:val="28"/>
          <w:szCs w:val="28"/>
        </w:rPr>
        <w:t>、合同协议书</w:t>
      </w:r>
    </w:p>
    <w:p>
      <w:pPr>
        <w:spacing w:line="360" w:lineRule="auto"/>
        <w:rPr>
          <w:rFonts w:hint="eastAsia" w:ascii="宋体" w:hAnsi="宋体" w:eastAsia="宋体" w:cs="宋体"/>
          <w:color w:val="auto"/>
          <w:w w:val="90"/>
          <w:sz w:val="28"/>
          <w:szCs w:val="28"/>
          <w:lang w:val="en-US" w:eastAsia="zh-CN"/>
        </w:rPr>
      </w:pPr>
      <w:r>
        <w:rPr>
          <w:rFonts w:hint="eastAsia" w:ascii="宋体" w:hAnsi="宋体" w:eastAsia="宋体" w:cs="宋体"/>
          <w:color w:val="auto"/>
          <w:w w:val="90"/>
          <w:sz w:val="28"/>
          <w:szCs w:val="28"/>
          <w:lang w:val="en-US" w:eastAsia="zh-CN"/>
        </w:rPr>
        <w:t>二、工程质量保修书</w:t>
      </w:r>
    </w:p>
    <w:p>
      <w:pPr>
        <w:spacing w:line="360" w:lineRule="auto"/>
        <w:rPr>
          <w:rFonts w:hint="eastAsia" w:ascii="宋体" w:hAnsi="宋体" w:eastAsia="宋体" w:cs="宋体"/>
          <w:color w:val="auto"/>
          <w:w w:val="90"/>
          <w:sz w:val="28"/>
          <w:szCs w:val="28"/>
        </w:rPr>
      </w:pPr>
      <w:r>
        <w:rPr>
          <w:rFonts w:hint="eastAsia" w:ascii="宋体" w:hAnsi="宋体" w:eastAsia="宋体" w:cs="宋体"/>
          <w:color w:val="auto"/>
          <w:w w:val="90"/>
          <w:sz w:val="28"/>
          <w:szCs w:val="28"/>
          <w:lang w:val="en-US" w:eastAsia="zh-CN"/>
        </w:rPr>
        <w:t>三</w:t>
      </w:r>
      <w:r>
        <w:rPr>
          <w:rFonts w:hint="eastAsia" w:ascii="宋体" w:hAnsi="宋体" w:eastAsia="宋体" w:cs="宋体"/>
          <w:color w:val="auto"/>
          <w:w w:val="90"/>
          <w:sz w:val="28"/>
          <w:szCs w:val="28"/>
        </w:rPr>
        <w:t>、廉政合同</w:t>
      </w:r>
    </w:p>
    <w:p>
      <w:pPr>
        <w:spacing w:line="360" w:lineRule="auto"/>
        <w:rPr>
          <w:rFonts w:hint="eastAsia" w:ascii="宋体" w:hAnsi="宋体" w:eastAsia="宋体" w:cs="宋体"/>
          <w:color w:val="auto"/>
          <w:w w:val="90"/>
          <w:sz w:val="28"/>
          <w:szCs w:val="28"/>
        </w:rPr>
      </w:pPr>
      <w:r>
        <w:rPr>
          <w:rFonts w:hint="eastAsia" w:ascii="宋体" w:hAnsi="宋体" w:eastAsia="宋体" w:cs="宋体"/>
          <w:color w:val="auto"/>
          <w:w w:val="90"/>
          <w:sz w:val="28"/>
          <w:szCs w:val="28"/>
          <w:lang w:val="en-US" w:eastAsia="zh-CN"/>
        </w:rPr>
        <w:t>四</w:t>
      </w:r>
      <w:r>
        <w:rPr>
          <w:rFonts w:hint="eastAsia" w:ascii="宋体" w:hAnsi="宋体" w:eastAsia="宋体" w:cs="宋体"/>
          <w:color w:val="auto"/>
          <w:w w:val="90"/>
          <w:sz w:val="28"/>
          <w:szCs w:val="28"/>
        </w:rPr>
        <w:t>、安全生产合同</w:t>
      </w:r>
    </w:p>
    <w:p>
      <w:pPr>
        <w:spacing w:line="360" w:lineRule="auto"/>
        <w:rPr>
          <w:rFonts w:hint="eastAsia" w:ascii="宋体" w:hAnsi="宋体" w:eastAsia="宋体" w:cs="宋体"/>
          <w:color w:val="auto"/>
          <w:w w:val="90"/>
          <w:sz w:val="28"/>
          <w:szCs w:val="28"/>
          <w:lang w:val="en-US" w:eastAsia="zh-CN"/>
        </w:rPr>
      </w:pPr>
      <w:r>
        <w:rPr>
          <w:rFonts w:hint="eastAsia" w:ascii="宋体" w:hAnsi="宋体" w:eastAsia="宋体" w:cs="宋体"/>
          <w:color w:val="auto"/>
          <w:w w:val="90"/>
          <w:sz w:val="28"/>
          <w:szCs w:val="28"/>
          <w:lang w:val="en-US" w:eastAsia="zh-CN"/>
        </w:rPr>
        <w:t>五</w:t>
      </w:r>
      <w:r>
        <w:rPr>
          <w:rFonts w:hint="eastAsia" w:ascii="宋体" w:hAnsi="宋体" w:eastAsia="宋体" w:cs="宋体"/>
          <w:color w:val="auto"/>
          <w:w w:val="90"/>
          <w:sz w:val="28"/>
          <w:szCs w:val="28"/>
        </w:rPr>
        <w:t>、</w:t>
      </w:r>
      <w:r>
        <w:rPr>
          <w:rFonts w:hint="eastAsia" w:ascii="宋体" w:hAnsi="宋体" w:eastAsia="宋体" w:cs="宋体"/>
          <w:color w:val="auto"/>
          <w:w w:val="90"/>
          <w:sz w:val="28"/>
          <w:szCs w:val="28"/>
          <w:lang w:val="en-US" w:eastAsia="zh-CN"/>
        </w:rPr>
        <w:t>成交通知书</w:t>
      </w:r>
    </w:p>
    <w:p>
      <w:pPr>
        <w:spacing w:line="360" w:lineRule="auto"/>
        <w:jc w:val="center"/>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4"/>
        <w:spacing w:line="360" w:lineRule="auto"/>
        <w:jc w:val="center"/>
        <w:rPr>
          <w:rFonts w:hint="eastAsia" w:ascii="宋体" w:hAnsi="宋体" w:eastAsia="宋体" w:cs="宋体"/>
          <w:b/>
          <w:color w:val="auto"/>
          <w:w w:val="90"/>
          <w:sz w:val="44"/>
          <w:szCs w:val="44"/>
          <w:lang w:val="en-US" w:eastAsia="zh-CN"/>
        </w:rPr>
      </w:pPr>
      <w:r>
        <w:rPr>
          <w:rFonts w:hint="eastAsia" w:ascii="宋体" w:hAnsi="宋体" w:eastAsia="宋体" w:cs="宋体"/>
          <w:b/>
          <w:color w:val="auto"/>
          <w:w w:val="90"/>
          <w:sz w:val="44"/>
          <w:szCs w:val="44"/>
          <w:lang w:val="en-US" w:eastAsia="zh-CN"/>
        </w:rPr>
        <w:t>一、</w:t>
      </w:r>
      <w:r>
        <w:rPr>
          <w:rFonts w:hint="eastAsia" w:ascii="宋体" w:hAnsi="宋体" w:eastAsia="宋体" w:cs="宋体"/>
          <w:b/>
          <w:color w:val="auto"/>
          <w:w w:val="90"/>
          <w:sz w:val="44"/>
          <w:szCs w:val="44"/>
        </w:rPr>
        <w:t>施工合同协议书</w:t>
      </w:r>
    </w:p>
    <w:p>
      <w:pPr>
        <w:pStyle w:val="4"/>
        <w:spacing w:line="360" w:lineRule="auto"/>
        <w:ind w:firstLine="440" w:firstLineChars="200"/>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发包人（全称）</w:t>
      </w:r>
      <w:r>
        <w:rPr>
          <w:rFonts w:hint="eastAsia" w:ascii="宋体" w:hAnsi="宋体" w:eastAsia="宋体" w:cs="宋体"/>
          <w:b w:val="0"/>
          <w:color w:val="auto"/>
          <w:kern w:val="2"/>
          <w:sz w:val="22"/>
          <w:szCs w:val="21"/>
          <w:u w:val="single"/>
          <w:lang w:val="en-US" w:eastAsia="zh-CN" w:bidi="ar-SA"/>
        </w:rPr>
        <w:t>：天等县乡村振兴局 （简称甲方）</w:t>
      </w:r>
    </w:p>
    <w:p>
      <w:pPr>
        <w:pStyle w:val="4"/>
        <w:spacing w:line="360" w:lineRule="auto"/>
        <w:ind w:firstLine="440" w:firstLineChars="200"/>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承包方（全称）</w:t>
      </w:r>
      <w:r>
        <w:rPr>
          <w:rFonts w:hint="eastAsia" w:ascii="宋体" w:hAnsi="宋体" w:eastAsia="宋体" w:cs="宋体"/>
          <w:b w:val="0"/>
          <w:color w:val="auto"/>
          <w:kern w:val="2"/>
          <w:sz w:val="22"/>
          <w:szCs w:val="21"/>
          <w:u w:val="single"/>
          <w:lang w:val="en-US" w:eastAsia="zh-CN" w:bidi="ar-SA"/>
        </w:rPr>
        <w:t xml:space="preserve">                     </w:t>
      </w:r>
      <w:r>
        <w:rPr>
          <w:rFonts w:hint="eastAsia" w:ascii="宋体" w:hAnsi="宋体" w:eastAsia="宋体" w:cs="宋体"/>
          <w:b w:val="0"/>
          <w:color w:val="auto"/>
          <w:kern w:val="2"/>
          <w:sz w:val="22"/>
          <w:szCs w:val="21"/>
          <w:lang w:val="en-US" w:eastAsia="zh-CN" w:bidi="ar-SA"/>
        </w:rPr>
        <w:t>为贯彻“以人为本、安全第一、质量第一、预防为主”的方针，加强对工程项目安全、质量、工期、文明施工等方面的综合管理，优质、高效、低耗、顺利的完成工程施工任务。根据《中华人民共和国民法典》、《中华人民共和国建筑法》、《中华人民共和国安全生产管理法》、《建设工程安全生产管理条例》等有关法律法规的规定及甲方的工程管理制度和办法，结合本工程条件和实际情况，双方本着自愿、平等、互利、互惠的原则，经双方协商一致，特签订本协议书，以示双方共同遵守、执行。</w:t>
      </w:r>
    </w:p>
    <w:p>
      <w:pPr>
        <w:pStyle w:val="4"/>
        <w:spacing w:line="360" w:lineRule="auto"/>
        <w:ind w:firstLine="440" w:firstLineChars="200"/>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项目名称：天等县驮堪乡驮堪村净屯环境整治工程</w:t>
      </w:r>
    </w:p>
    <w:p>
      <w:pPr>
        <w:pStyle w:val="4"/>
        <w:spacing w:line="360" w:lineRule="auto"/>
        <w:ind w:firstLine="440" w:firstLineChars="200"/>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（其中建设内容包括：管网工程、污水处理池工程、设备房工程等（具体内容详见施工图和招标工程量清单））</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2．下列文件应视为构成合同文件的组成部分：</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（1）采购公告或招投标、公示相关文件（另册）；</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（2）本协议书、工程质量保修书、廉政合同、安全生产合同；</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（3）成交通知书（招投标项目需附函附表）；</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（4）财评报告(如有、另册)；</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（5）设计成果文件（另册）；</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（6）施工技术组织管理报告（另册）；</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（7）其他（指国家最新规范、标准、强制性条约等）。</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上述合同文件互相补充和解释。如果合同文件之间存在矛盾或不一致之处，以上述文件的排列顺序在先者为准。</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3．签约总合同价：人民币               ，合同价款采用固定综合单价计价方式确定。单价和总价均已包括了为实施完成合同工程所需的劳务、材料、机械、安装、安全、施工质量竣工评估（报告）、质检(报告）、缺陷修复、管理、保险、税费、利润、临时（附属）工程等全部费用，以及合同明示或暗示的所有责任、义务和一般风险（除经甲乙双方认定的不可抗力以外）。双方明确工程经招投标、按设计或规范工艺实施完成的审计结算、变更单价以投标固定综合单价计价；无投标单价、有财评综合单价的项目，审计结算、变更单价以财政评审综合单价计价；政策允许不需要财评的项目，变更单价以施工图预算价综合单价计价，如无施工预算综合单价的，按施工期间信息价为计算依据，以施工期间单价分析为准；无招投标单价、财评单价的审计结算单价按施工期间信息单价为计算依据。</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4．承包人项目经理：        （身份证号码：                             ），承包人项目总工：          （身份证号码：                             ）。</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5．工程质量达到或符合合格标准等级以上。工程安全目标：无生产安全事故。</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6．承包人承诺按合同约定承担工程的实施、完成及缺陷修复，缺陷责任期为壹年。</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7．合同生效并承包人进场后，根据开工、人员、设备实际到位配备情况，预拨工程合同价款的60%，工程完工后拨付至合同价款的90%。验收合格并经审计结算后，拨付至工程价款结算总价的97%，余下3%为工程质量保修金。</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8．项目完工之日起7日内，承包人向发包人提供完整的竣工资料，竣工验收合格之日起14日内，承包人向发包人提交施工结算资料，承包人逾期未提供上述资料，发包人有权委托第三方收集并整理上述资料，所产生的费用由承包人全额承担。</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9．合同工期</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计划开工日期：2021年 月  日，计划竣工日期2021年  月  日，合同工期总日历天数60天。</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10．本协议书由双方法定代表人或其委托代理人签署并加盖单位章后生效。项目工程完工后经交工验收合格、缺陷责任期满经复验合格后失效。</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11．签订合同之日起至1个月内，承包人必须缴纳农民工工资保证金，承包人按指定账户缴纳农民工工资保证金为签订合同价的2%；农民工工资保证金在项目交（竣）工验收合格后，应同时在设区市级以上媒体（左江日报）和项目所在地按程序公告，无拖欠农民工工资的，由施工单位提交申请报告，经业主审核后无误无息按程序退回施工单位。</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12.本工程除关键岗位、工种外，其余岗位适量使用脱贫户、边缘户劳动力完成实施，施工单位应根据《中华人民共和国劳动法》、《中华人民共和国劳动民法典》、《劳动民法典实施条例》等有关法律法规规定，与脱贫户、边缘户劳动力双方平等协商一致，订立劳动合同，共同遵守签订合同所列条款。发放的脱贫户、边缘户劳务报酬应占本工程一定的劳务费用。脱贫户、边缘户劳动力用工花名册、银行转账工资发放清单（全部）等材料按时送达建设单位存档备检壹份，无备案材料的或材料缺失的应完善相关材料后方能支付项目后续资金。</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13、有关工程违约、责任处理按照现行国家法律、规范、规定、标准执行。</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14．本协议书正本二份、副本四份，甲方执正本一份，副本三份，乙方执正本一份，副本一份，当正本与副本的内容不一致时，以正本为准。</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15．合同未尽事宜，双方按照招投标文件、《通用条款、专用条款》、《建设工程施工合同（示范文本）GF-2017-0201》、国家最新规范、规定、标准或另行签订补充协议。补充协议是合同的组成部分。</w:t>
      </w:r>
    </w:p>
    <w:p>
      <w:pPr>
        <w:pStyle w:val="4"/>
        <w:spacing w:line="360" w:lineRule="auto"/>
        <w:jc w:val="both"/>
        <w:rPr>
          <w:rFonts w:hint="eastAsia" w:ascii="宋体" w:hAnsi="宋体" w:eastAsia="宋体" w:cs="宋体"/>
          <w:b w:val="0"/>
          <w:color w:val="auto"/>
          <w:kern w:val="2"/>
          <w:sz w:val="22"/>
          <w:szCs w:val="21"/>
          <w:lang w:val="en-US" w:eastAsia="zh-CN" w:bidi="ar-SA"/>
        </w:rPr>
      </w:pPr>
      <w:bookmarkStart w:id="335" w:name="_Toc516566872"/>
      <w:bookmarkStart w:id="336" w:name="_Toc459738629"/>
      <w:r>
        <w:rPr>
          <w:rFonts w:hint="eastAsia" w:ascii="宋体" w:hAnsi="宋体" w:eastAsia="宋体" w:cs="宋体"/>
          <w:b w:val="0"/>
          <w:color w:val="auto"/>
          <w:kern w:val="2"/>
          <w:sz w:val="22"/>
          <w:szCs w:val="21"/>
          <w:lang w:val="en-US" w:eastAsia="zh-CN" w:bidi="ar-SA"/>
        </w:rPr>
        <w:t>16.  合同生效</w:t>
      </w:r>
      <w:bookmarkEnd w:id="335"/>
      <w:bookmarkEnd w:id="336"/>
      <w:r>
        <w:rPr>
          <w:rFonts w:hint="eastAsia" w:ascii="宋体" w:hAnsi="宋体" w:eastAsia="宋体" w:cs="宋体"/>
          <w:b w:val="0"/>
          <w:color w:val="auto"/>
          <w:kern w:val="2"/>
          <w:sz w:val="22"/>
          <w:szCs w:val="21"/>
          <w:lang w:val="en-US" w:eastAsia="zh-CN" w:bidi="ar-SA"/>
        </w:rPr>
        <w:t>及附件</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合同订立时间：2021年  月  日</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合同订立地点：天等县乡村振兴局</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本合同双方约定双方法定代表人或其授权代理人签字或盖章并加盖单位公章后生效。</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本协议书附件1、附件2、附件3为合同双方协议重要内容之一，其效力同等，缺一不可。</w:t>
      </w:r>
    </w:p>
    <w:p>
      <w:pPr>
        <w:pStyle w:val="4"/>
        <w:spacing w:line="360" w:lineRule="auto"/>
        <w:jc w:val="both"/>
        <w:rPr>
          <w:rFonts w:hint="eastAsia" w:ascii="宋体" w:hAnsi="宋体" w:eastAsia="宋体" w:cs="宋体"/>
          <w:b w:val="0"/>
          <w:color w:val="auto"/>
          <w:kern w:val="2"/>
          <w:sz w:val="22"/>
          <w:szCs w:val="21"/>
          <w:lang w:val="en-US" w:eastAsia="zh-CN" w:bidi="ar-SA"/>
        </w:rPr>
      </w:pP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发  包  人：（公章）                   承  包  人：（公章）</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地      址：天等县天等镇和平路9号     住      址：</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法定代表人（签字或签章）：             法定代表人（签字或签章）：</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或授权委托代理人：                     或授权委托代理人：</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 xml:space="preserve">电      话：0771-3521246               电      话：   </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传      真：                           传      真：</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 xml:space="preserve">开 户 银 行：                          开 户 银 行：   </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账       号：                          账        号：</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 xml:space="preserve">邮 政 编 号： 532800                   邮 政 编 号：               </w:t>
      </w:r>
    </w:p>
    <w:p>
      <w:pPr>
        <w:pStyle w:val="4"/>
        <w:spacing w:line="360" w:lineRule="auto"/>
        <w:jc w:val="both"/>
        <w:rPr>
          <w:rFonts w:hint="eastAsia" w:ascii="宋体" w:hAnsi="宋体" w:eastAsia="宋体" w:cs="宋体"/>
          <w:b w:val="0"/>
          <w:color w:val="auto"/>
          <w:kern w:val="2"/>
          <w:sz w:val="22"/>
          <w:szCs w:val="21"/>
          <w:lang w:val="en-US" w:eastAsia="zh-CN" w:bidi="ar-SA"/>
        </w:rPr>
      </w:pPr>
    </w:p>
    <w:p>
      <w:pPr>
        <w:pStyle w:val="4"/>
        <w:spacing w:line="360" w:lineRule="auto"/>
        <w:jc w:val="both"/>
        <w:rPr>
          <w:rFonts w:hint="eastAsia" w:ascii="宋体" w:hAnsi="宋体" w:eastAsia="宋体" w:cs="宋体"/>
          <w:b w:val="0"/>
          <w:color w:val="auto"/>
          <w:kern w:val="2"/>
          <w:sz w:val="22"/>
          <w:szCs w:val="21"/>
          <w:lang w:val="en-US" w:eastAsia="zh-CN" w:bidi="ar-SA"/>
        </w:rPr>
      </w:pPr>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p>
    <w:p>
      <w:pPr>
        <w:pStyle w:val="2"/>
        <w:rPr>
          <w:rFonts w:hint="eastAsia" w:ascii="宋体" w:hAnsi="宋体" w:eastAsia="宋体" w:cs="宋体"/>
          <w:color w:val="auto"/>
          <w:sz w:val="28"/>
          <w:szCs w:val="28"/>
        </w:rPr>
      </w:pPr>
    </w:p>
    <w:p>
      <w:pPr>
        <w:pStyle w:val="2"/>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p>
    <w:p>
      <w:pPr>
        <w:pStyle w:val="4"/>
        <w:spacing w:line="360" w:lineRule="auto"/>
        <w:jc w:val="both"/>
        <w:rPr>
          <w:rFonts w:hint="eastAsia" w:ascii="宋体" w:hAnsi="宋体" w:eastAsia="宋体" w:cs="宋体"/>
          <w:b w:val="0"/>
          <w:color w:val="auto"/>
          <w:kern w:val="2"/>
          <w:sz w:val="22"/>
          <w:szCs w:val="21"/>
          <w:lang w:val="en-US" w:eastAsia="zh-CN" w:bidi="ar-SA"/>
        </w:rPr>
      </w:pPr>
      <w:bookmarkStart w:id="337" w:name="_Toc390076637"/>
      <w:bookmarkStart w:id="338" w:name="_Toc456782668"/>
      <w:bookmarkStart w:id="339" w:name="_Toc356809807"/>
      <w:r>
        <w:rPr>
          <w:rFonts w:hint="eastAsia" w:ascii="宋体" w:hAnsi="宋体" w:eastAsia="宋体" w:cs="宋体"/>
          <w:b w:val="0"/>
          <w:color w:val="auto"/>
          <w:kern w:val="2"/>
          <w:sz w:val="22"/>
          <w:szCs w:val="21"/>
          <w:lang w:val="en-US" w:eastAsia="zh-CN" w:bidi="ar-SA"/>
        </w:rPr>
        <w:t>附件1：</w:t>
      </w:r>
    </w:p>
    <w:p>
      <w:pPr>
        <w:pStyle w:val="4"/>
        <w:spacing w:line="360" w:lineRule="auto"/>
        <w:ind w:firstLine="2929" w:firstLineChars="900"/>
        <w:jc w:val="both"/>
        <w:rPr>
          <w:rFonts w:hint="eastAsia" w:ascii="宋体" w:hAnsi="宋体" w:eastAsia="宋体" w:cs="宋体"/>
          <w:b/>
          <w:bCs w:val="0"/>
          <w:color w:val="auto"/>
          <w:w w:val="90"/>
          <w:sz w:val="21"/>
          <w:szCs w:val="21"/>
          <w:lang w:eastAsia="zh-CN"/>
        </w:rPr>
      </w:pPr>
      <w:r>
        <w:rPr>
          <w:rFonts w:hint="eastAsia" w:ascii="宋体" w:hAnsi="宋体" w:eastAsia="宋体" w:cs="宋体"/>
          <w:b/>
          <w:bCs w:val="0"/>
          <w:color w:val="auto"/>
          <w:w w:val="90"/>
          <w:sz w:val="36"/>
          <w:szCs w:val="36"/>
          <w:lang w:val="en-US" w:eastAsia="zh-CN"/>
        </w:rPr>
        <w:t xml:space="preserve">二 </w:t>
      </w:r>
      <w:r>
        <w:rPr>
          <w:rFonts w:hint="eastAsia" w:ascii="宋体" w:hAnsi="宋体" w:eastAsia="宋体" w:cs="宋体"/>
          <w:b/>
          <w:bCs w:val="0"/>
          <w:color w:val="auto"/>
          <w:w w:val="90"/>
          <w:sz w:val="36"/>
          <w:szCs w:val="36"/>
        </w:rPr>
        <w:t>工程质量保修书</w:t>
      </w:r>
      <w:bookmarkEnd w:id="337"/>
      <w:bookmarkEnd w:id="338"/>
      <w:bookmarkEnd w:id="339"/>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发包人（全称）： 天等县乡村振兴局  （以下简称“发包人”）</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承包人（全称）：                             （以下简称“承包人”）</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为保证天等县驮堪乡驮堪村净屯环境整治工程（工程名称）在合</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理使用期限内正常使用，发包人承包人协商一致签订工程质量保修书。承包人在质量保修期内按照有关管理规定及双方约定承担工程质量保修责任。</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第一条  工程质量保修范围和内容</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　　承包人在质量保修期内，按照有关法律、法规、规章的管理规定和双方约定，承担本工程质量保修责任。</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工程质量保修范围包括路基工程、路面垫层工程、水泥路面工程、桥涵工程、路肩工程、防护栏工程及其附属设施工程以及双方约定的其他项目工程。具体保修的内容，双方约定如下：按农村公路、扶贫基础设施有关规范、规定执行。</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第二条  质量保修期</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质量保修期自交工验收合格与发包方签定”工程交接证明之日起计算。分单项竣工验收的工程按单项工程分别计算质量保修期。双方根据《建设工程质量管理条例》及广西扶贫基础设施管理办法有关规定，约定本工程的质量保修范围、保修期如下：　</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　　1、保修范围、保修期：路基工程、路面垫层工程、水泥路面工程、桥涵工程、路肩工程、防护栏工程及其附属设施工程等保修期为壹年；</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　　2. 其他项目保修期限约定如下：按国家现行有关规定进行；</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二、质量保修责任</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 xml:space="preserve">    1、属于保修范围和内容的项目，承包人应在接到保修通知之日后7天内派人保修。承包人不在约定期限内派人保修，发包人可以委托他人修理，保修费用从质量保修金内扣除。</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2、发生紧急抢修事故（如塌方、水毁、沉降、损坏等），承包人接到事故通知后，应立即到达事故现场抢修。非承包人施工质量引起的事故，抢修费用由发包人承担。</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3、在国家规定的工程合理使用期限内，因承包人原因致使工程合理使用期限内造成人身和财产损害的，承包人应承担损害赔偿责任。</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三、质量保修金的支付</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本工程约定的工程质量保修金为工程结算审定价的3%。</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质量保修金银行利率为零。</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四、质量保修金的返还</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发包方在应付款中扣出的工程质量保修金，在工程竣工保修期满壹年后对保修内容进行验收合格的，经承包人提交申请28天内将结算审定价3%的保修金退还给承包方（不计利息）。在保修期内承包方应按保修内容进行保修，若承包方接到甲方保修通知书在二天内未派人进行修理的，发包方方则安排其它公司修理，在保修期内发生的修理费用由承包方负责或由发包方从保修金中扣出。</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五、其他</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双方约定的其他工程质量保修事项：</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本工程质量保修书作为施工合同附件，由施工合同发包人承包人双方共同签署。</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发包方（单位公章)：                             承包方(单位公章)：</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法定代表人（签字或签章）：                      法定代表人（签字或签章）：</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或授权代理人：                                  或授权代理人：</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p>
    <w:p>
      <w:pPr>
        <w:pStyle w:val="51"/>
        <w:spacing w:line="360" w:lineRule="auto"/>
        <w:ind w:firstLine="0" w:firstLineChars="0"/>
        <w:rPr>
          <w:rFonts w:hint="eastAsia" w:ascii="宋体" w:hAnsi="宋体" w:eastAsia="宋体" w:cs="宋体"/>
          <w:color w:val="auto"/>
          <w:w w:val="90"/>
          <w:szCs w:val="24"/>
        </w:rPr>
      </w:pPr>
    </w:p>
    <w:p>
      <w:pPr>
        <w:pStyle w:val="51"/>
        <w:spacing w:line="360" w:lineRule="auto"/>
        <w:ind w:firstLine="0" w:firstLineChars="0"/>
        <w:rPr>
          <w:rFonts w:hint="eastAsia" w:ascii="宋体" w:hAnsi="宋体" w:eastAsia="宋体" w:cs="宋体"/>
          <w:color w:val="auto"/>
          <w:w w:val="90"/>
          <w:szCs w:val="24"/>
        </w:rPr>
      </w:pPr>
    </w:p>
    <w:p>
      <w:pPr>
        <w:pStyle w:val="51"/>
        <w:spacing w:line="360" w:lineRule="auto"/>
        <w:ind w:firstLine="0" w:firstLineChars="0"/>
        <w:rPr>
          <w:rFonts w:hint="eastAsia" w:ascii="宋体" w:hAnsi="宋体" w:eastAsia="宋体" w:cs="宋体"/>
          <w:color w:val="auto"/>
          <w:w w:val="90"/>
          <w:szCs w:val="24"/>
        </w:rPr>
      </w:pPr>
    </w:p>
    <w:p>
      <w:pPr>
        <w:pStyle w:val="51"/>
        <w:spacing w:line="360" w:lineRule="auto"/>
        <w:ind w:firstLine="0" w:firstLineChars="0"/>
        <w:rPr>
          <w:rFonts w:hint="eastAsia" w:ascii="宋体" w:hAnsi="宋体" w:eastAsia="宋体" w:cs="宋体"/>
          <w:color w:val="auto"/>
          <w:w w:val="90"/>
          <w:szCs w:val="24"/>
        </w:rPr>
      </w:pPr>
    </w:p>
    <w:p>
      <w:pPr>
        <w:pStyle w:val="51"/>
        <w:spacing w:line="360" w:lineRule="auto"/>
        <w:ind w:firstLine="0" w:firstLineChars="0"/>
        <w:rPr>
          <w:rFonts w:hint="eastAsia" w:ascii="宋体" w:hAnsi="宋体" w:eastAsia="宋体" w:cs="宋体"/>
          <w:color w:val="auto"/>
          <w:w w:val="90"/>
          <w:szCs w:val="24"/>
        </w:rPr>
      </w:pPr>
    </w:p>
    <w:p>
      <w:pPr>
        <w:pStyle w:val="51"/>
        <w:spacing w:line="360" w:lineRule="auto"/>
        <w:ind w:firstLine="0" w:firstLineChars="0"/>
        <w:rPr>
          <w:rFonts w:hint="eastAsia" w:ascii="宋体" w:hAnsi="宋体" w:eastAsia="宋体" w:cs="宋体"/>
          <w:color w:val="auto"/>
          <w:w w:val="90"/>
          <w:szCs w:val="24"/>
        </w:rPr>
      </w:pPr>
    </w:p>
    <w:p>
      <w:pPr>
        <w:pStyle w:val="51"/>
        <w:spacing w:line="360" w:lineRule="auto"/>
        <w:ind w:firstLine="0" w:firstLineChars="0"/>
        <w:rPr>
          <w:rFonts w:hint="eastAsia" w:ascii="宋体" w:hAnsi="宋体" w:eastAsia="宋体" w:cs="宋体"/>
          <w:color w:val="auto"/>
          <w:w w:val="90"/>
          <w:szCs w:val="24"/>
        </w:rPr>
      </w:pPr>
    </w:p>
    <w:p>
      <w:pPr>
        <w:pStyle w:val="51"/>
        <w:spacing w:line="360" w:lineRule="auto"/>
        <w:ind w:firstLine="0" w:firstLineChars="0"/>
        <w:rPr>
          <w:rFonts w:hint="eastAsia" w:ascii="宋体" w:hAnsi="宋体" w:eastAsia="宋体" w:cs="宋体"/>
          <w:color w:val="auto"/>
          <w:w w:val="90"/>
          <w:szCs w:val="24"/>
        </w:rPr>
      </w:pPr>
    </w:p>
    <w:p>
      <w:pPr>
        <w:pStyle w:val="51"/>
        <w:spacing w:line="360" w:lineRule="auto"/>
        <w:ind w:firstLine="0" w:firstLineChars="0"/>
        <w:rPr>
          <w:rFonts w:hint="eastAsia" w:ascii="宋体" w:hAnsi="宋体" w:eastAsia="宋体" w:cs="宋体"/>
          <w:color w:val="auto"/>
          <w:w w:val="90"/>
          <w:szCs w:val="24"/>
        </w:rPr>
      </w:pPr>
    </w:p>
    <w:p>
      <w:pPr>
        <w:pStyle w:val="51"/>
        <w:spacing w:line="360" w:lineRule="auto"/>
        <w:ind w:firstLine="0" w:firstLineChars="0"/>
        <w:rPr>
          <w:rFonts w:hint="eastAsia" w:ascii="宋体" w:hAnsi="宋体" w:eastAsia="宋体" w:cs="宋体"/>
          <w:color w:val="auto"/>
          <w:kern w:val="2"/>
          <w:sz w:val="22"/>
          <w:szCs w:val="21"/>
          <w:lang w:val="en-US" w:eastAsia="zh-CN" w:bidi="ar-SA"/>
        </w:rPr>
      </w:pPr>
      <w:r>
        <w:rPr>
          <w:rFonts w:hint="eastAsia" w:ascii="宋体" w:hAnsi="宋体" w:eastAsia="宋体" w:cs="宋体"/>
          <w:color w:val="auto"/>
          <w:kern w:val="2"/>
          <w:sz w:val="22"/>
          <w:szCs w:val="21"/>
          <w:lang w:val="en-US" w:eastAsia="zh-CN" w:bidi="ar-SA"/>
        </w:rPr>
        <w:t>附件2：</w:t>
      </w:r>
    </w:p>
    <w:p>
      <w:pPr>
        <w:pStyle w:val="51"/>
        <w:spacing w:line="360" w:lineRule="auto"/>
        <w:ind w:firstLine="3579" w:firstLineChars="1100"/>
        <w:rPr>
          <w:rFonts w:hint="eastAsia" w:ascii="宋体" w:hAnsi="宋体" w:eastAsia="宋体" w:cs="宋体"/>
          <w:b/>
          <w:color w:val="auto"/>
          <w:w w:val="90"/>
          <w:sz w:val="36"/>
          <w:szCs w:val="36"/>
        </w:rPr>
      </w:pPr>
      <w:r>
        <w:rPr>
          <w:rFonts w:hint="eastAsia" w:ascii="宋体" w:hAnsi="宋体" w:eastAsia="宋体" w:cs="宋体"/>
          <w:b/>
          <w:color w:val="auto"/>
          <w:w w:val="90"/>
          <w:sz w:val="36"/>
          <w:szCs w:val="36"/>
          <w:lang w:val="en-US" w:eastAsia="zh-CN"/>
        </w:rPr>
        <w:t xml:space="preserve">三 </w:t>
      </w:r>
      <w:r>
        <w:rPr>
          <w:rFonts w:hint="eastAsia" w:ascii="宋体" w:hAnsi="宋体" w:eastAsia="宋体" w:cs="宋体"/>
          <w:b/>
          <w:color w:val="auto"/>
          <w:w w:val="90"/>
          <w:sz w:val="36"/>
          <w:szCs w:val="36"/>
        </w:rPr>
        <w:t>廉政合同</w:t>
      </w:r>
    </w:p>
    <w:p>
      <w:pPr>
        <w:pStyle w:val="51"/>
        <w:spacing w:line="360" w:lineRule="auto"/>
        <w:ind w:firstLine="431"/>
        <w:rPr>
          <w:rFonts w:hint="eastAsia" w:ascii="宋体" w:hAnsi="宋体" w:eastAsia="宋体" w:cs="宋体"/>
          <w:color w:val="auto"/>
          <w:w w:val="90"/>
          <w:szCs w:val="24"/>
        </w:rPr>
      </w:pP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发包人（全称）：</w:t>
      </w:r>
      <w:r>
        <w:rPr>
          <w:rFonts w:hint="eastAsia" w:ascii="宋体" w:hAnsi="宋体" w:cs="宋体"/>
          <w:color w:val="auto"/>
          <w:sz w:val="22"/>
          <w:szCs w:val="21"/>
          <w:u w:val="single"/>
          <w:lang w:val="en-US" w:eastAsia="zh-CN"/>
        </w:rPr>
        <w:t>天等县乡村振兴局 （以下简称“甲方”）</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承包人（全称）</w:t>
      </w:r>
      <w:r>
        <w:rPr>
          <w:rFonts w:hint="eastAsia" w:ascii="宋体" w:hAnsi="宋体" w:cs="宋体"/>
          <w:color w:val="auto"/>
          <w:sz w:val="22"/>
          <w:szCs w:val="21"/>
          <w:u w:val="single"/>
          <w:lang w:val="en-US" w:eastAsia="zh-CN"/>
        </w:rPr>
        <w:t>：                   （以下简称“乙方”）</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为做好工程党风廉政建设，保证工程建设高效优质，保证建设资金的安全和有效使用以及投资效益，根据《中华人民共和国民法典》等有关法律规定，特订立如下合同。</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1．甲乙双方的权利和义务</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（1）严格遵守党的政策规定和国家有关法律法规及交通部的有关规定。</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（2）严格执行天等县驮堪乡驮堪村净屯环境整治工程合同文件，自觉按合同办事。</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（3）双方的业务活动坚持公开、公正、诚信、透明的原则（法律认定的商业秘密和合同文件另有规定除外），不得损害国家和集体利益，违反工程建设管理规章制度。</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（4）建立健全廉政制度，开展廉政教育，设立廉政告示牌，公布举报电话，监督并认真查处违法违纪行为。</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（5）发现对方在业务活动中有违反廉政规定的行为，有及时提醒对方纠正的权利和义务。</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（6）发现对方严重违反本合同义务条款的行为，有向其上级有关部门举报、建议给予处理并要求告知处理结果的权利。</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2．甲方的义务</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（1）甲方及其工作人员不得索要或接受乙方的礼金、有价证券和贵重物品，不得在乙方报销任何应由甲方或甲方工作人员个人支付的费用等。</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（2）甲方工作人员不得参加乙方安排的超标准宴请和娱乐活动；不得接受乙方提供的通讯工具、交通工具和高档办公用品等。</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（3）甲方及其工作人员不得要求或者接受乙方为其住房装修、婚丧嫁娶活动、配偶子女的工作安排以及出国出境、旅游等提供方便等。</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（4）甲方工作人员及其配偶、子女不得从事与甲方工程有关的材料设备供应、工程分包、劳务等经济活动等。</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（5）甲方及其工作人员不得以任何理由向乙方推荐分包单位或推销材料，不得要求乙方购买合同规定外的材料和设备。</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（6）甲方工作人员要秉公办事，不准营私舞弊，不准利用职权从事各种个人有偿中介活动和安排个人施工队伍。</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3．乙方义务</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（1）乙方不得以任何理由向甲方及其工作人员行贿或馈赠礼金、有价证券、贵重礼品。</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（2）乙方不得以任何名义为甲方及其工作人员报销应由甲方单位或个人支付的任何费用。</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（3）乙方不得以任何理由安排甲方工作人员参加超标准宴请及娱乐活动。</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（4）乙方不得为甲方单位和个人购买或提供通讯工具、交通工具和高档办公用品等。</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4．违约责任</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（1）甲方及其工作人员违反本合同第一、二条，按管理权限，依据有关规定给予党纪、政纪或组织处理；涉嫌犯罪的，移交司法机关追究刑事责任；给乙方单位造成经济损失的，应予以赔偿。</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5．双方约定：本合同由双方或双方上级单位纪检机关负责监督执行。由甲方或甲方上级单位的纪检监察机关约请乙方或乙方上级单位纪检机关对本合同执行情况进行检查，提出在本合同规定范围内的裁定意见。</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6．本合同有效期为甲乙双方签署之日起至该工程项目竣工验收后止。</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7．本合同作为建设工程施工合同的附件，与工程施工合同具有同等的法律效力，经合同双方签署立即生效。</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8．本合同一式陆份，由甲乙双方各执一份，其余送甲乙双方的监督单位各一份。</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甲方（单位公章)：                               乙方(单位公章)：</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法定代表人（签字或签章）：                      法定代表人（签字或签章）：</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或授权代理人：                                  或授权代理人：</w:t>
      </w:r>
    </w:p>
    <w:p>
      <w:pPr>
        <w:spacing w:line="360" w:lineRule="auto"/>
        <w:rPr>
          <w:rFonts w:hint="eastAsia" w:ascii="宋体" w:hAnsi="宋体" w:eastAsia="宋体" w:cs="宋体"/>
          <w:color w:val="auto"/>
          <w:w w:val="80"/>
          <w:kern w:val="0"/>
          <w:sz w:val="21"/>
          <w:szCs w:val="21"/>
        </w:rPr>
      </w:pPr>
    </w:p>
    <w:p>
      <w:pPr>
        <w:spacing w:line="360" w:lineRule="auto"/>
        <w:rPr>
          <w:rFonts w:hint="eastAsia" w:ascii="宋体" w:hAnsi="宋体" w:eastAsia="宋体" w:cs="宋体"/>
          <w:color w:val="auto"/>
          <w:w w:val="80"/>
          <w:kern w:val="0"/>
          <w:sz w:val="21"/>
          <w:szCs w:val="21"/>
        </w:rPr>
      </w:pPr>
    </w:p>
    <w:p>
      <w:pPr>
        <w:spacing w:line="360" w:lineRule="auto"/>
        <w:rPr>
          <w:rFonts w:hint="eastAsia" w:ascii="宋体" w:hAnsi="宋体" w:eastAsia="宋体" w:cs="宋体"/>
          <w:color w:val="auto"/>
          <w:w w:val="80"/>
          <w:kern w:val="0"/>
          <w:sz w:val="21"/>
          <w:szCs w:val="21"/>
        </w:rPr>
      </w:pPr>
    </w:p>
    <w:p>
      <w:pPr>
        <w:spacing w:line="360" w:lineRule="auto"/>
        <w:rPr>
          <w:rFonts w:hint="eastAsia" w:ascii="宋体" w:hAnsi="宋体" w:eastAsia="宋体" w:cs="宋体"/>
          <w:color w:val="auto"/>
          <w:w w:val="80"/>
          <w:kern w:val="0"/>
          <w:sz w:val="21"/>
          <w:szCs w:val="21"/>
        </w:rPr>
      </w:pPr>
    </w:p>
    <w:p>
      <w:pPr>
        <w:spacing w:line="360" w:lineRule="auto"/>
        <w:rPr>
          <w:rFonts w:hint="eastAsia" w:ascii="宋体" w:hAnsi="宋体" w:eastAsia="宋体" w:cs="宋体"/>
          <w:color w:val="auto"/>
          <w:w w:val="80"/>
          <w:kern w:val="0"/>
          <w:sz w:val="21"/>
          <w:szCs w:val="21"/>
        </w:rPr>
      </w:pPr>
    </w:p>
    <w:p>
      <w:pPr>
        <w:pStyle w:val="2"/>
        <w:rPr>
          <w:rFonts w:hint="eastAsia" w:ascii="宋体" w:hAnsi="宋体" w:eastAsia="宋体" w:cs="宋体"/>
          <w:color w:val="auto"/>
          <w:w w:val="80"/>
          <w:kern w:val="0"/>
          <w:sz w:val="21"/>
          <w:szCs w:val="21"/>
        </w:rPr>
      </w:pPr>
    </w:p>
    <w:p>
      <w:pPr>
        <w:pStyle w:val="3"/>
        <w:spacing w:before="156" w:beforeLines="50" w:after="156" w:afterLines="50" w:line="360" w:lineRule="auto"/>
        <w:jc w:val="both"/>
        <w:rPr>
          <w:rFonts w:hint="eastAsia" w:ascii="宋体" w:hAnsi="宋体" w:eastAsia="宋体" w:cs="宋体"/>
          <w:b/>
          <w:bCs/>
          <w:color w:val="auto"/>
          <w:w w:val="90"/>
          <w:sz w:val="24"/>
          <w:szCs w:val="24"/>
        </w:rPr>
      </w:pPr>
      <w:r>
        <w:rPr>
          <w:rFonts w:hint="eastAsia" w:ascii="宋体" w:hAnsi="宋体" w:eastAsia="宋体" w:cs="宋体"/>
          <w:color w:val="auto"/>
          <w:w w:val="90"/>
          <w:sz w:val="24"/>
          <w:szCs w:val="24"/>
        </w:rPr>
        <w:t>附件3：</w:t>
      </w:r>
    </w:p>
    <w:p>
      <w:pPr>
        <w:spacing w:before="120" w:after="120" w:line="360" w:lineRule="auto"/>
        <w:jc w:val="center"/>
        <w:rPr>
          <w:rFonts w:hint="eastAsia" w:ascii="宋体" w:hAnsi="宋体" w:eastAsia="宋体" w:cs="宋体"/>
          <w:b/>
          <w:bCs w:val="0"/>
          <w:color w:val="auto"/>
          <w:w w:val="90"/>
          <w:sz w:val="21"/>
          <w:szCs w:val="21"/>
        </w:rPr>
      </w:pPr>
      <w:r>
        <w:rPr>
          <w:rFonts w:hint="eastAsia" w:ascii="宋体" w:hAnsi="宋体" w:eastAsia="宋体" w:cs="宋体"/>
          <w:b/>
          <w:bCs w:val="0"/>
          <w:color w:val="auto"/>
          <w:w w:val="90"/>
          <w:sz w:val="36"/>
          <w:szCs w:val="36"/>
          <w:lang w:val="en-US" w:eastAsia="zh-CN"/>
        </w:rPr>
        <w:t xml:space="preserve">四 </w:t>
      </w:r>
      <w:r>
        <w:rPr>
          <w:rFonts w:hint="eastAsia" w:ascii="宋体" w:hAnsi="宋体" w:eastAsia="宋体" w:cs="宋体"/>
          <w:b/>
          <w:bCs w:val="0"/>
          <w:color w:val="auto"/>
          <w:w w:val="90"/>
          <w:sz w:val="36"/>
          <w:szCs w:val="36"/>
        </w:rPr>
        <w:t>安全生产合同</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u w:val="single"/>
          <w:lang w:val="en-US" w:eastAsia="zh-CN"/>
        </w:rPr>
      </w:pPr>
      <w:r>
        <w:rPr>
          <w:rFonts w:hint="eastAsia" w:ascii="宋体" w:hAnsi="宋体" w:cs="宋体"/>
          <w:color w:val="auto"/>
          <w:sz w:val="22"/>
          <w:szCs w:val="21"/>
          <w:lang w:val="en-US" w:eastAsia="zh-CN"/>
        </w:rPr>
        <w:t>发包人（全称）</w:t>
      </w:r>
      <w:r>
        <w:rPr>
          <w:rFonts w:hint="eastAsia" w:ascii="宋体" w:hAnsi="宋体" w:cs="宋体"/>
          <w:color w:val="auto"/>
          <w:sz w:val="22"/>
          <w:szCs w:val="21"/>
          <w:u w:val="single"/>
          <w:lang w:val="en-US" w:eastAsia="zh-CN"/>
        </w:rPr>
        <w:t>：天等县乡村振兴局            （以下简称“发包人”）</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承包人（全称）</w:t>
      </w:r>
      <w:r>
        <w:rPr>
          <w:rFonts w:hint="eastAsia" w:ascii="宋体" w:hAnsi="宋体" w:cs="宋体"/>
          <w:color w:val="auto"/>
          <w:sz w:val="22"/>
          <w:szCs w:val="21"/>
          <w:u w:val="single"/>
          <w:lang w:val="en-US" w:eastAsia="zh-CN"/>
        </w:rPr>
        <w:t>：                                （以下简称“承包人”）</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为在</w:t>
      </w:r>
      <w:r>
        <w:rPr>
          <w:rFonts w:hint="eastAsia" w:ascii="宋体" w:hAnsi="宋体" w:cs="宋体"/>
          <w:color w:val="auto"/>
          <w:sz w:val="22"/>
          <w:szCs w:val="21"/>
          <w:u w:val="single"/>
          <w:lang w:val="en-US" w:eastAsia="zh-CN"/>
        </w:rPr>
        <w:t>天等县驮堪乡驮堪村净屯环境整治工程</w:t>
      </w:r>
      <w:r>
        <w:rPr>
          <w:rFonts w:hint="eastAsia" w:ascii="宋体" w:hAnsi="宋体" w:cs="宋体"/>
          <w:color w:val="auto"/>
          <w:sz w:val="22"/>
          <w:szCs w:val="21"/>
          <w:lang w:val="en-US" w:eastAsia="zh-CN"/>
        </w:rPr>
        <w:t>施工合同的实施过程中创造安全、高效的施工环境，切实搞好本项目的安全管理工作，根据《中华人民共和国民法典、安全生产管理法》等有关法律、法规规定，特签订安全生产合同：</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1.发包人职责</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（1）严格遵守国家有关安全生产的法律法规，认真执行工程承包合同中的有关安全要求。</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（2）按照“安全第一、预防为主”和坚持“管生产必须管安全”的原则进行安全生产管理，做到生产与安全工作同时计划、布置、检查、总结和评比。</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（3）重要的安全设施必须坚持与主体工程“三同时”的原则，即：同时设计、审批，同时施工，同时验收，投入使用。</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（4）定期召开安全生产调度会，及时传达中央及地方有关安全生产的精神。</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（5）组织对承包人施工现场安全生产检查，监督承包人及时处理发现的各种安全隐患。</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2.承包人职责</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（1）严格遵守《中华人民共和国安全生产法》、《建设工程安全生产管理条例》等国家有关安全生产的法律法规等有关安全生产的规定。认真执行工程承包合同中的有关安全要求。</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建设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（4）承包人在任何时候都应采取各种合理的预防措施，防止其员工发生任何违法、违禁、暴力或妨碍治安的行为。</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（7）操作人员上岗，必须按规定穿戴防护用品。施工负责人和安全检查员应随时检查劳动防护用品的穿戴情况，不按规定穿戴防护用品的人员不得上岗。</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（8）所有施工机具设备和高空作业的设备均应定期检查，并有安全员的签字记录，保证其经常处于完好状态；不合格的机具、设备和劳动保护用品严禁使用：</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（9）施工中采用新技术、新工艺、新设备、新材料时，必须制定相应的安全技术措施，施工现场必须具有相关的安全标志牌。</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（11）安全生产费用按照《建设工程安全生产监督管理办法》的相关规定使用和管理。</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3.违约责任</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如因发包人或承包人违约造成安全事故，将依法追究责任。</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4.本合同由双方法定代表人签署并加盖单位章后生效，全部工程竣工验收后失效。</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5.本合同正本—式贰份，副本 肆 份，合同双方各执正本壹份，其余送有关单位存档，当正本与副本的内容不一致时，以正本为准。</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甲方（单位公章)：                                 乙方(单位公章)：</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法定代表人（签字或签章）：                        法定代表人（签字或签章）：</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或授权代理人：                                    或授权代理人：</w:t>
      </w:r>
    </w:p>
    <w:p>
      <w:pPr>
        <w:spacing w:line="360" w:lineRule="auto"/>
        <w:jc w:val="both"/>
        <w:rPr>
          <w:rFonts w:hint="eastAsia" w:ascii="宋体" w:hAnsi="宋体" w:eastAsia="宋体" w:cs="宋体"/>
          <w:color w:val="auto"/>
          <w:sz w:val="21"/>
          <w:szCs w:val="21"/>
        </w:rPr>
      </w:pPr>
    </w:p>
    <w:p>
      <w:pPr>
        <w:widowControl/>
        <w:spacing w:line="360" w:lineRule="auto"/>
        <w:ind w:firstLine="3253" w:firstLineChars="900"/>
        <w:jc w:val="both"/>
        <w:rPr>
          <w:rFonts w:hint="eastAsia" w:ascii="宋体" w:hAnsi="宋体" w:eastAsia="宋体" w:cs="宋体"/>
          <w:b/>
          <w:color w:val="auto"/>
          <w:sz w:val="36"/>
          <w:szCs w:val="36"/>
          <w:lang w:val="en-US" w:eastAsia="zh-CN"/>
        </w:rPr>
      </w:pPr>
    </w:p>
    <w:p>
      <w:pPr>
        <w:widowControl/>
        <w:spacing w:line="360" w:lineRule="auto"/>
        <w:ind w:firstLine="3253" w:firstLineChars="900"/>
        <w:jc w:val="both"/>
        <w:rPr>
          <w:rFonts w:hint="eastAsia" w:ascii="宋体" w:hAnsi="宋体" w:eastAsia="宋体" w:cs="宋体"/>
          <w:b/>
          <w:color w:val="auto"/>
          <w:sz w:val="36"/>
          <w:szCs w:val="36"/>
          <w:lang w:val="en-US" w:eastAsia="zh-CN"/>
        </w:rPr>
      </w:pPr>
    </w:p>
    <w:p>
      <w:pPr>
        <w:widowControl/>
        <w:spacing w:line="360" w:lineRule="auto"/>
        <w:ind w:firstLine="1807" w:firstLineChars="500"/>
        <w:jc w:val="both"/>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五</w:t>
      </w:r>
      <w:r>
        <w:rPr>
          <w:rFonts w:hint="eastAsia" w:ascii="宋体" w:hAnsi="宋体" w:eastAsia="宋体" w:cs="宋体"/>
          <w:b/>
          <w:color w:val="auto"/>
          <w:sz w:val="36"/>
          <w:szCs w:val="36"/>
        </w:rPr>
        <w:t>、</w:t>
      </w:r>
      <w:r>
        <w:rPr>
          <w:rFonts w:hint="eastAsia" w:ascii="宋体" w:hAnsi="宋体" w:eastAsia="宋体" w:cs="宋体"/>
          <w:b/>
          <w:color w:val="auto"/>
          <w:sz w:val="36"/>
          <w:szCs w:val="36"/>
          <w:lang w:val="en-US" w:eastAsia="zh-CN"/>
        </w:rPr>
        <w:t>成交通知书、投标函附表</w:t>
      </w:r>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lang w:val="en-US" w:eastAsia="zh-CN"/>
        </w:rPr>
      </w:pPr>
    </w:p>
    <w:p>
      <w:pPr>
        <w:widowControl/>
        <w:numPr>
          <w:ilvl w:val="0"/>
          <w:numId w:val="0"/>
        </w:numPr>
        <w:spacing w:line="360" w:lineRule="auto"/>
        <w:jc w:val="both"/>
        <w:rPr>
          <w:rFonts w:hint="eastAsia" w:ascii="宋体" w:hAnsi="宋体" w:eastAsia="宋体" w:cs="宋体"/>
          <w:b/>
          <w:color w:val="auto"/>
          <w:sz w:val="44"/>
          <w:szCs w:val="44"/>
        </w:rPr>
      </w:pPr>
    </w:p>
    <w:p>
      <w:pPr>
        <w:widowControl/>
        <w:numPr>
          <w:ilvl w:val="0"/>
          <w:numId w:val="0"/>
        </w:numPr>
        <w:spacing w:line="360" w:lineRule="auto"/>
        <w:jc w:val="both"/>
        <w:rPr>
          <w:rFonts w:hint="eastAsia" w:ascii="宋体" w:hAnsi="宋体" w:eastAsia="宋体" w:cs="宋体"/>
          <w:b/>
          <w:color w:val="auto"/>
          <w:w w:val="90"/>
          <w:sz w:val="36"/>
          <w:szCs w:val="36"/>
          <w:lang w:val="en-US" w:eastAsia="zh-CN"/>
        </w:rPr>
      </w:pPr>
      <w:r>
        <w:rPr>
          <w:rFonts w:hint="eastAsia" w:ascii="宋体" w:hAnsi="宋体" w:eastAsia="宋体" w:cs="宋体"/>
          <w:b/>
          <w:color w:val="auto"/>
          <w:w w:val="90"/>
          <w:sz w:val="36"/>
          <w:szCs w:val="36"/>
          <w:lang w:val="en-US" w:eastAsia="zh-CN"/>
        </w:rPr>
        <w:t xml:space="preserve">     </w:t>
      </w:r>
    </w:p>
    <w:p>
      <w:pPr>
        <w:widowControl/>
        <w:numPr>
          <w:ilvl w:val="0"/>
          <w:numId w:val="0"/>
        </w:numPr>
        <w:spacing w:line="360" w:lineRule="auto"/>
        <w:ind w:firstLine="1952" w:firstLineChars="600"/>
        <w:jc w:val="both"/>
        <w:rPr>
          <w:rFonts w:hint="eastAsia" w:ascii="宋体" w:hAnsi="宋体" w:eastAsia="宋体" w:cs="宋体"/>
          <w:b/>
          <w:color w:val="auto"/>
          <w:w w:val="90"/>
          <w:sz w:val="36"/>
          <w:szCs w:val="36"/>
          <w:lang w:val="en-US" w:eastAsia="zh-CN"/>
        </w:rPr>
      </w:pPr>
      <w:r>
        <w:rPr>
          <w:rFonts w:hint="eastAsia" w:ascii="宋体" w:hAnsi="宋体" w:eastAsia="宋体" w:cs="宋体"/>
          <w:b/>
          <w:color w:val="auto"/>
          <w:w w:val="90"/>
          <w:sz w:val="36"/>
          <w:szCs w:val="36"/>
          <w:lang w:val="en-US" w:eastAsia="zh-CN"/>
        </w:rPr>
        <w:t>六、农民工工资保证金的账号</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1、农民工工资保证金存入各施工单位在银行开设的三方监管账户</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农民工工资保证金为签订合同价的2%，存入以下账号：</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户名：各施工单位名称</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账号：各施工单位在银行开设的三方监管账户</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rPr>
      </w:pPr>
      <w:r>
        <w:rPr>
          <w:rFonts w:hint="eastAsia" w:ascii="宋体" w:hAnsi="宋体" w:cs="宋体"/>
          <w:color w:val="auto"/>
          <w:sz w:val="22"/>
          <w:szCs w:val="21"/>
          <w:lang w:val="en-US" w:eastAsia="zh-CN"/>
        </w:rPr>
        <w:t>开户行：</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rPr>
      </w:pPr>
      <w:r>
        <w:rPr>
          <w:rFonts w:hint="eastAsia" w:ascii="宋体" w:hAnsi="宋体" w:cs="宋体"/>
          <w:color w:val="auto"/>
          <w:sz w:val="22"/>
          <w:szCs w:val="21"/>
        </w:rPr>
        <w:t>备注请注明“XXXXX工程</w:t>
      </w:r>
      <w:r>
        <w:rPr>
          <w:rFonts w:hint="eastAsia" w:ascii="宋体" w:hAnsi="宋体" w:cs="宋体"/>
          <w:color w:val="auto"/>
          <w:sz w:val="22"/>
          <w:szCs w:val="21"/>
          <w:lang w:val="en-US" w:eastAsia="zh-CN"/>
        </w:rPr>
        <w:t>农民工工资</w:t>
      </w:r>
      <w:r>
        <w:rPr>
          <w:rFonts w:hint="eastAsia" w:ascii="宋体" w:hAnsi="宋体" w:cs="宋体"/>
          <w:color w:val="auto"/>
          <w:sz w:val="22"/>
          <w:szCs w:val="21"/>
        </w:rPr>
        <w:t>保证金（</w:t>
      </w:r>
      <w:r>
        <w:rPr>
          <w:rFonts w:hint="eastAsia" w:ascii="宋体" w:hAnsi="宋体" w:cs="宋体"/>
          <w:color w:val="auto"/>
          <w:sz w:val="22"/>
          <w:szCs w:val="21"/>
          <w:lang w:val="en-US" w:eastAsia="zh-CN"/>
        </w:rPr>
        <w:t xml:space="preserve"> </w:t>
      </w:r>
      <w:r>
        <w:rPr>
          <w:rFonts w:hint="eastAsia" w:ascii="宋体" w:hAnsi="宋体" w:cs="宋体"/>
          <w:color w:val="auto"/>
          <w:sz w:val="22"/>
          <w:szCs w:val="21"/>
        </w:rPr>
        <w:t>）”</w:t>
      </w: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rPr>
          <w:rFonts w:ascii="宋体" w:cs="宋体"/>
          <w:color w:val="auto"/>
          <w:szCs w:val="21"/>
        </w:rPr>
      </w:pPr>
    </w:p>
    <w:p>
      <w:pPr>
        <w:rPr>
          <w:rFonts w:ascii="宋体" w:cs="宋体"/>
          <w:color w:val="auto"/>
          <w:szCs w:val="21"/>
        </w:rPr>
      </w:pPr>
    </w:p>
    <w:p>
      <w:pPr>
        <w:rPr>
          <w:rFonts w:ascii="宋体" w:cs="宋体"/>
          <w:color w:val="auto"/>
          <w:sz w:val="24"/>
          <w:szCs w:val="24"/>
        </w:rPr>
      </w:pPr>
    </w:p>
    <w:bookmarkEnd w:id="333"/>
    <w:bookmarkEnd w:id="334"/>
    <w:p>
      <w:pPr>
        <w:pStyle w:val="3"/>
        <w:spacing w:line="360" w:lineRule="auto"/>
        <w:jc w:val="center"/>
        <w:rPr>
          <w:rFonts w:ascii="宋体" w:cs="宋体"/>
          <w:color w:val="auto"/>
          <w:sz w:val="36"/>
        </w:rPr>
      </w:pPr>
      <w:bookmarkStart w:id="340" w:name="_Toc74156275"/>
      <w:bookmarkStart w:id="341" w:name="_Toc20179"/>
      <w:bookmarkStart w:id="342" w:name="_Toc243584335"/>
      <w:bookmarkStart w:id="343" w:name="_Toc29153402"/>
      <w:r>
        <w:rPr>
          <w:rFonts w:hint="eastAsia" w:ascii="宋体" w:hAnsi="宋体" w:cs="宋体"/>
          <w:color w:val="auto"/>
          <w:sz w:val="36"/>
        </w:rPr>
        <w:t>第三章</w:t>
      </w:r>
      <w:bookmarkEnd w:id="340"/>
      <w:r>
        <w:rPr>
          <w:rFonts w:hint="eastAsia" w:ascii="宋体" w:hAnsi="宋体" w:cs="宋体"/>
          <w:color w:val="auto"/>
          <w:sz w:val="36"/>
          <w:lang w:val="en-US" w:eastAsia="zh-CN"/>
        </w:rPr>
        <w:t xml:space="preserve"> </w:t>
      </w:r>
      <w:r>
        <w:rPr>
          <w:rFonts w:hint="eastAsia" w:ascii="宋体" w:hAnsi="宋体" w:cs="宋体"/>
          <w:color w:val="auto"/>
          <w:sz w:val="36"/>
        </w:rPr>
        <w:t>工程建设标准</w:t>
      </w:r>
      <w:bookmarkEnd w:id="341"/>
      <w:bookmarkEnd w:id="342"/>
      <w:bookmarkEnd w:id="343"/>
    </w:p>
    <w:p>
      <w:pPr>
        <w:pStyle w:val="4"/>
        <w:spacing w:line="360" w:lineRule="auto"/>
        <w:jc w:val="center"/>
        <w:rPr>
          <w:rFonts w:ascii="宋体" w:hAnsi="宋体" w:eastAsia="宋体" w:cs="宋体"/>
          <w:color w:val="auto"/>
          <w:kern w:val="0"/>
        </w:rPr>
      </w:pPr>
      <w:bookmarkStart w:id="344" w:name="_Toc243584336"/>
      <w:bookmarkStart w:id="345" w:name="_Toc31246"/>
      <w:bookmarkStart w:id="346" w:name="_Toc29153403"/>
    </w:p>
    <w:p>
      <w:pPr>
        <w:pStyle w:val="4"/>
        <w:spacing w:line="360" w:lineRule="auto"/>
        <w:jc w:val="center"/>
        <w:rPr>
          <w:rFonts w:ascii="宋体" w:hAnsi="宋体" w:eastAsia="宋体" w:cs="宋体"/>
          <w:color w:val="auto"/>
          <w:kern w:val="0"/>
          <w:sz w:val="28"/>
          <w:szCs w:val="21"/>
        </w:rPr>
      </w:pPr>
      <w:bookmarkStart w:id="347" w:name="_Toc10937"/>
      <w:bookmarkStart w:id="348" w:name="_Toc10393"/>
      <w:r>
        <w:rPr>
          <w:rFonts w:hint="eastAsia" w:ascii="宋体" w:hAnsi="宋体" w:eastAsia="宋体" w:cs="宋体"/>
          <w:color w:val="auto"/>
          <w:kern w:val="0"/>
          <w:sz w:val="28"/>
          <w:szCs w:val="21"/>
        </w:rPr>
        <w:t>工程建设标准</w:t>
      </w:r>
      <w:bookmarkEnd w:id="344"/>
      <w:bookmarkEnd w:id="345"/>
      <w:bookmarkEnd w:id="346"/>
      <w:bookmarkEnd w:id="347"/>
      <w:bookmarkEnd w:id="348"/>
    </w:p>
    <w:p>
      <w:pPr>
        <w:tabs>
          <w:tab w:val="left" w:pos="0"/>
        </w:tabs>
        <w:autoSpaceDE w:val="0"/>
        <w:autoSpaceDN w:val="0"/>
        <w:adjustRightInd w:val="0"/>
        <w:spacing w:line="360" w:lineRule="auto"/>
        <w:ind w:right="84" w:firstLine="440" w:firstLineChars="200"/>
        <w:rPr>
          <w:rFonts w:ascii="宋体" w:cs="宋体"/>
          <w:color w:val="auto"/>
          <w:kern w:val="0"/>
          <w:sz w:val="22"/>
        </w:rPr>
      </w:pPr>
      <w:r>
        <w:rPr>
          <w:rFonts w:hint="eastAsia" w:ascii="宋体" w:hAnsi="宋体" w:cs="宋体"/>
          <w:color w:val="auto"/>
          <w:kern w:val="0"/>
          <w:sz w:val="22"/>
        </w:rPr>
        <w:t>本工程执行国家现行的</w:t>
      </w:r>
      <w:r>
        <w:rPr>
          <w:rFonts w:hint="eastAsia" w:ascii="宋体" w:hAnsi="宋体" w:cs="宋体"/>
          <w:color w:val="auto"/>
          <w:sz w:val="22"/>
          <w:szCs w:val="21"/>
        </w:rPr>
        <w:t>有关的工程建设标准、技术规范</w:t>
      </w:r>
      <w:r>
        <w:rPr>
          <w:rFonts w:hint="eastAsia" w:ascii="宋体" w:hAnsi="宋体" w:cs="宋体"/>
          <w:color w:val="auto"/>
          <w:sz w:val="22"/>
        </w:rPr>
        <w:t>及强制性标准条文、以及施工图纸载明的其他有关规范标</w:t>
      </w:r>
      <w:r>
        <w:rPr>
          <w:rFonts w:hint="eastAsia" w:ascii="宋体" w:hAnsi="宋体" w:cs="宋体"/>
          <w:color w:val="auto"/>
          <w:kern w:val="0"/>
          <w:sz w:val="22"/>
        </w:rPr>
        <w:t>准。</w:t>
      </w:r>
      <w:bookmarkStart w:id="349" w:name="_Toc243584337"/>
      <w:bookmarkStart w:id="350" w:name="_Toc29153404"/>
      <w:bookmarkStart w:id="351" w:name="_Toc74156277"/>
    </w:p>
    <w:p>
      <w:pPr>
        <w:tabs>
          <w:tab w:val="left" w:pos="0"/>
        </w:tabs>
        <w:autoSpaceDE w:val="0"/>
        <w:autoSpaceDN w:val="0"/>
        <w:adjustRightInd w:val="0"/>
        <w:spacing w:line="360" w:lineRule="auto"/>
        <w:ind w:right="84" w:firstLine="480" w:firstLineChars="200"/>
        <w:rPr>
          <w:rFonts w:ascii="宋体" w:cs="宋体"/>
          <w:color w:val="auto"/>
          <w:kern w:val="0"/>
          <w:sz w:val="24"/>
          <w:szCs w:val="24"/>
        </w:rPr>
      </w:pPr>
    </w:p>
    <w:p>
      <w:pPr>
        <w:rPr>
          <w:color w:val="auto"/>
        </w:rPr>
      </w:pPr>
    </w:p>
    <w:p>
      <w:pPr>
        <w:pStyle w:val="2"/>
        <w:rPr>
          <w:rFonts w:ascii="宋体" w:cs="宋体"/>
          <w:color w:val="auto"/>
          <w:sz w:val="36"/>
        </w:rPr>
      </w:pPr>
    </w:p>
    <w:p>
      <w:pPr>
        <w:pStyle w:val="3"/>
        <w:spacing w:line="360" w:lineRule="auto"/>
        <w:jc w:val="center"/>
        <w:rPr>
          <w:rFonts w:ascii="宋体" w:cs="宋体"/>
          <w:color w:val="auto"/>
          <w:sz w:val="36"/>
        </w:rPr>
      </w:pPr>
    </w:p>
    <w:p>
      <w:pPr>
        <w:pStyle w:val="3"/>
        <w:spacing w:line="360" w:lineRule="auto"/>
        <w:jc w:val="center"/>
        <w:rPr>
          <w:rFonts w:ascii="宋体" w:cs="宋体"/>
          <w:color w:val="auto"/>
          <w:sz w:val="36"/>
        </w:rPr>
      </w:pPr>
      <w:bookmarkStart w:id="352" w:name="_Toc14346"/>
      <w:r>
        <w:rPr>
          <w:rFonts w:hint="eastAsia" w:ascii="宋体" w:hAnsi="宋体" w:cs="宋体"/>
          <w:color w:val="auto"/>
          <w:sz w:val="36"/>
        </w:rPr>
        <w:t>第四章</w:t>
      </w:r>
      <w:r>
        <w:rPr>
          <w:rFonts w:hint="eastAsia" w:ascii="宋体" w:hAnsi="宋体" w:cs="宋体"/>
          <w:color w:val="auto"/>
          <w:sz w:val="36"/>
          <w:lang w:val="en-US" w:eastAsia="zh-CN"/>
        </w:rPr>
        <w:t xml:space="preserve"> </w:t>
      </w:r>
      <w:r>
        <w:rPr>
          <w:rFonts w:hint="eastAsia" w:ascii="宋体" w:hAnsi="宋体" w:cs="宋体"/>
          <w:color w:val="auto"/>
          <w:sz w:val="36"/>
        </w:rPr>
        <w:t>图纸</w:t>
      </w:r>
      <w:bookmarkEnd w:id="349"/>
      <w:bookmarkEnd w:id="350"/>
      <w:bookmarkEnd w:id="351"/>
      <w:bookmarkEnd w:id="352"/>
    </w:p>
    <w:p>
      <w:pPr>
        <w:spacing w:line="360" w:lineRule="auto"/>
        <w:ind w:right="69" w:rightChars="33"/>
        <w:jc w:val="center"/>
        <w:rPr>
          <w:rFonts w:ascii="宋体" w:cs="宋体"/>
          <w:color w:val="auto"/>
        </w:rPr>
      </w:pPr>
    </w:p>
    <w:p>
      <w:pPr>
        <w:spacing w:line="360" w:lineRule="auto"/>
        <w:ind w:right="69" w:rightChars="33"/>
        <w:jc w:val="center"/>
        <w:rPr>
          <w:rFonts w:ascii="宋体" w:cs="宋体"/>
          <w:color w:val="auto"/>
          <w:sz w:val="28"/>
        </w:rPr>
      </w:pPr>
      <w:r>
        <w:rPr>
          <w:rFonts w:hint="eastAsia" w:ascii="宋体" w:hAnsi="宋体" w:cs="宋体"/>
          <w:color w:val="auto"/>
          <w:sz w:val="28"/>
        </w:rPr>
        <w:t>（另册）</w:t>
      </w:r>
      <w:bookmarkStart w:id="353" w:name="_Toc243584338"/>
    </w:p>
    <w:p>
      <w:pPr>
        <w:pStyle w:val="3"/>
        <w:spacing w:line="360" w:lineRule="auto"/>
        <w:jc w:val="center"/>
        <w:rPr>
          <w:rFonts w:ascii="宋体" w:cs="宋体"/>
          <w:color w:val="auto"/>
          <w:sz w:val="36"/>
        </w:rPr>
      </w:pPr>
    </w:p>
    <w:p>
      <w:pPr>
        <w:pStyle w:val="2"/>
        <w:rPr>
          <w:rFonts w:ascii="宋体" w:cs="宋体"/>
          <w:color w:val="auto"/>
          <w:sz w:val="36"/>
        </w:rPr>
      </w:pPr>
    </w:p>
    <w:p>
      <w:pPr>
        <w:pStyle w:val="2"/>
        <w:rPr>
          <w:rFonts w:ascii="宋体" w:cs="宋体"/>
          <w:color w:val="auto"/>
          <w:sz w:val="36"/>
        </w:rPr>
      </w:pPr>
    </w:p>
    <w:p>
      <w:pPr>
        <w:pStyle w:val="2"/>
        <w:rPr>
          <w:rFonts w:ascii="宋体" w:cs="宋体"/>
          <w:color w:val="auto"/>
          <w:sz w:val="36"/>
        </w:rPr>
      </w:pPr>
    </w:p>
    <w:p>
      <w:pPr>
        <w:pStyle w:val="2"/>
        <w:rPr>
          <w:rFonts w:ascii="宋体" w:cs="宋体"/>
          <w:color w:val="auto"/>
          <w:sz w:val="36"/>
        </w:rPr>
      </w:pPr>
    </w:p>
    <w:p>
      <w:pPr>
        <w:pStyle w:val="3"/>
        <w:spacing w:line="360" w:lineRule="auto"/>
        <w:jc w:val="center"/>
        <w:rPr>
          <w:rFonts w:ascii="宋体" w:cs="宋体"/>
          <w:color w:val="auto"/>
          <w:sz w:val="36"/>
        </w:rPr>
      </w:pPr>
    </w:p>
    <w:p>
      <w:pPr>
        <w:pStyle w:val="3"/>
        <w:spacing w:line="360" w:lineRule="auto"/>
        <w:jc w:val="center"/>
        <w:rPr>
          <w:rFonts w:ascii="宋体" w:cs="宋体"/>
          <w:color w:val="auto"/>
          <w:sz w:val="36"/>
        </w:rPr>
      </w:pPr>
      <w:bookmarkStart w:id="354" w:name="_Toc21918"/>
      <w:r>
        <w:rPr>
          <w:rFonts w:hint="eastAsia" w:ascii="宋体" w:hAnsi="宋体" w:cs="宋体"/>
          <w:color w:val="auto"/>
          <w:sz w:val="36"/>
        </w:rPr>
        <w:t>第五章</w:t>
      </w:r>
      <w:r>
        <w:rPr>
          <w:rFonts w:hint="eastAsia" w:ascii="宋体" w:hAnsi="宋体" w:cs="宋体"/>
          <w:color w:val="auto"/>
          <w:sz w:val="36"/>
          <w:lang w:val="en-US" w:eastAsia="zh-CN"/>
        </w:rPr>
        <w:t xml:space="preserve"> </w:t>
      </w:r>
      <w:r>
        <w:rPr>
          <w:rFonts w:hint="eastAsia" w:ascii="宋体" w:hAnsi="宋体" w:cs="宋体"/>
          <w:color w:val="auto"/>
          <w:sz w:val="36"/>
        </w:rPr>
        <w:t>工程量清单</w:t>
      </w:r>
      <w:bookmarkEnd w:id="353"/>
      <w:bookmarkEnd w:id="354"/>
    </w:p>
    <w:p>
      <w:pPr>
        <w:spacing w:line="360" w:lineRule="auto"/>
        <w:ind w:right="69" w:rightChars="33"/>
        <w:jc w:val="center"/>
        <w:rPr>
          <w:rFonts w:ascii="宋体" w:cs="宋体"/>
          <w:color w:val="auto"/>
          <w:sz w:val="28"/>
        </w:rPr>
      </w:pPr>
      <w:r>
        <w:rPr>
          <w:rFonts w:hint="eastAsia" w:ascii="宋体" w:hAnsi="宋体" w:cs="宋体"/>
          <w:color w:val="auto"/>
          <w:sz w:val="28"/>
        </w:rPr>
        <w:t>（另册）</w:t>
      </w:r>
    </w:p>
    <w:p>
      <w:pPr>
        <w:spacing w:line="360" w:lineRule="auto"/>
        <w:ind w:right="69" w:rightChars="33"/>
        <w:jc w:val="center"/>
        <w:rPr>
          <w:rFonts w:ascii="宋体" w:cs="宋体"/>
          <w:color w:val="auto"/>
          <w:sz w:val="28"/>
        </w:rPr>
      </w:pPr>
    </w:p>
    <w:p>
      <w:pPr>
        <w:pStyle w:val="3"/>
        <w:spacing w:line="360" w:lineRule="auto"/>
        <w:jc w:val="center"/>
        <w:rPr>
          <w:rFonts w:hint="eastAsia" w:ascii="宋体" w:eastAsia="宋体" w:cs="宋体"/>
          <w:color w:val="auto"/>
          <w:sz w:val="36"/>
          <w:lang w:eastAsia="zh-CN"/>
        </w:rPr>
      </w:pPr>
      <w:r>
        <w:rPr>
          <w:rFonts w:ascii="宋体" w:cs="宋体"/>
          <w:color w:val="auto"/>
          <w:sz w:val="28"/>
        </w:rPr>
        <w:br w:type="page"/>
      </w:r>
      <w:bookmarkStart w:id="355" w:name="_Toc29339"/>
      <w:bookmarkStart w:id="356" w:name="_Toc247301828"/>
      <w:bookmarkStart w:id="357" w:name="_Toc255977432"/>
      <w:bookmarkStart w:id="358" w:name="_Toc247292435"/>
      <w:bookmarkStart w:id="359" w:name="_Toc74156286"/>
      <w:r>
        <w:rPr>
          <w:rFonts w:hint="eastAsia" w:ascii="宋体" w:hAnsi="宋体" w:cs="宋体"/>
          <w:color w:val="auto"/>
          <w:sz w:val="36"/>
        </w:rPr>
        <w:t>第六章</w:t>
      </w:r>
      <w:r>
        <w:rPr>
          <w:rFonts w:hint="eastAsia" w:ascii="宋体" w:hAnsi="宋体" w:cs="宋体"/>
          <w:color w:val="auto"/>
          <w:sz w:val="36"/>
          <w:lang w:val="en-US" w:eastAsia="zh-CN"/>
        </w:rPr>
        <w:t xml:space="preserve"> </w:t>
      </w:r>
      <w:bookmarkEnd w:id="355"/>
      <w:bookmarkEnd w:id="356"/>
      <w:bookmarkEnd w:id="357"/>
      <w:bookmarkEnd w:id="358"/>
      <w:r>
        <w:rPr>
          <w:rFonts w:hint="eastAsia" w:ascii="宋体" w:hAnsi="宋体" w:cs="宋体"/>
          <w:color w:val="auto"/>
          <w:sz w:val="36"/>
          <w:lang w:eastAsia="zh-CN"/>
        </w:rPr>
        <w:t>响应文件格式部分</w:t>
      </w:r>
    </w:p>
    <w:p>
      <w:pPr>
        <w:pStyle w:val="4"/>
        <w:spacing w:line="360" w:lineRule="auto"/>
        <w:jc w:val="center"/>
        <w:rPr>
          <w:rFonts w:ascii="宋体" w:hAnsi="宋体" w:eastAsia="宋体" w:cs="宋体"/>
          <w:color w:val="auto"/>
          <w:kern w:val="0"/>
        </w:rPr>
      </w:pPr>
      <w:bookmarkStart w:id="360" w:name="_Toc29414"/>
      <w:bookmarkStart w:id="361" w:name="_Toc243630952"/>
      <w:bookmarkStart w:id="362" w:name="_Toc243584342"/>
      <w:bookmarkStart w:id="363" w:name="_Toc24704"/>
      <w:bookmarkStart w:id="364" w:name="_Toc255977433"/>
      <w:bookmarkStart w:id="365" w:name="_Toc18079"/>
      <w:bookmarkStart w:id="366" w:name="_Toc247301829"/>
      <w:bookmarkStart w:id="367" w:name="_Toc247292436"/>
      <w:bookmarkStart w:id="368" w:name="_Toc193089296"/>
      <w:bookmarkStart w:id="369" w:name="_Toc28199"/>
      <w:r>
        <w:rPr>
          <w:rFonts w:hint="eastAsia" w:ascii="宋体" w:hAnsi="宋体" w:eastAsia="宋体" w:cs="宋体"/>
          <w:color w:val="auto"/>
          <w:kern w:val="0"/>
        </w:rPr>
        <w:t>封面格式</w:t>
      </w:r>
      <w:bookmarkEnd w:id="360"/>
      <w:bookmarkEnd w:id="361"/>
      <w:bookmarkEnd w:id="362"/>
      <w:bookmarkEnd w:id="363"/>
      <w:bookmarkEnd w:id="364"/>
      <w:bookmarkEnd w:id="365"/>
      <w:bookmarkEnd w:id="366"/>
      <w:bookmarkEnd w:id="367"/>
      <w:bookmarkEnd w:id="368"/>
      <w:bookmarkEnd w:id="369"/>
    </w:p>
    <w:tbl>
      <w:tblPr>
        <w:tblStyle w:val="24"/>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5" w:hRule="atLeast"/>
        </w:trPr>
        <w:tc>
          <w:tcPr>
            <w:tcW w:w="9204" w:type="dxa"/>
          </w:tcPr>
          <w:p>
            <w:pPr>
              <w:autoSpaceDE w:val="0"/>
              <w:autoSpaceDN w:val="0"/>
              <w:adjustRightInd w:val="0"/>
              <w:spacing w:line="360" w:lineRule="auto"/>
              <w:jc w:val="center"/>
              <w:outlineLvl w:val="0"/>
              <w:rPr>
                <w:rFonts w:ascii="宋体" w:cs="宋体"/>
                <w:b/>
                <w:color w:val="auto"/>
                <w:kern w:val="0"/>
                <w:sz w:val="40"/>
                <w:szCs w:val="21"/>
              </w:rPr>
            </w:pPr>
          </w:p>
          <w:p>
            <w:pPr>
              <w:autoSpaceDE w:val="0"/>
              <w:autoSpaceDN w:val="0"/>
              <w:adjustRightInd w:val="0"/>
              <w:spacing w:line="360" w:lineRule="auto"/>
              <w:jc w:val="center"/>
              <w:outlineLvl w:val="0"/>
              <w:rPr>
                <w:rFonts w:ascii="宋体" w:cs="宋体"/>
                <w:b/>
                <w:color w:val="auto"/>
                <w:kern w:val="0"/>
                <w:sz w:val="40"/>
                <w:szCs w:val="21"/>
              </w:rPr>
            </w:pPr>
          </w:p>
          <w:p>
            <w:pPr>
              <w:autoSpaceDE w:val="0"/>
              <w:autoSpaceDN w:val="0"/>
              <w:adjustRightInd w:val="0"/>
              <w:spacing w:line="360" w:lineRule="auto"/>
              <w:jc w:val="center"/>
              <w:outlineLvl w:val="0"/>
              <w:rPr>
                <w:rFonts w:ascii="宋体" w:cs="宋体"/>
                <w:b/>
                <w:color w:val="auto"/>
                <w:kern w:val="0"/>
                <w:sz w:val="32"/>
                <w:szCs w:val="21"/>
              </w:rPr>
            </w:pPr>
            <w:bookmarkStart w:id="370" w:name="_Toc243584343"/>
            <w:r>
              <w:rPr>
                <w:rFonts w:hint="eastAsia" w:ascii="宋体" w:hAnsi="宋体" w:cs="宋体"/>
                <w:b/>
                <w:color w:val="auto"/>
                <w:kern w:val="0"/>
                <w:sz w:val="32"/>
                <w:szCs w:val="21"/>
              </w:rPr>
              <w:t>工程</w:t>
            </w:r>
            <w:bookmarkEnd w:id="370"/>
          </w:p>
          <w:p>
            <w:pPr>
              <w:autoSpaceDE w:val="0"/>
              <w:autoSpaceDN w:val="0"/>
              <w:adjustRightInd w:val="0"/>
              <w:spacing w:line="360" w:lineRule="auto"/>
              <w:jc w:val="center"/>
              <w:outlineLvl w:val="0"/>
              <w:rPr>
                <w:rFonts w:ascii="宋体" w:cs="宋体"/>
                <w:b/>
                <w:color w:val="auto"/>
                <w:kern w:val="0"/>
                <w:sz w:val="32"/>
                <w:szCs w:val="21"/>
              </w:rPr>
            </w:pPr>
          </w:p>
          <w:p>
            <w:pPr>
              <w:autoSpaceDE w:val="0"/>
              <w:autoSpaceDN w:val="0"/>
              <w:adjustRightInd w:val="0"/>
              <w:spacing w:line="360" w:lineRule="auto"/>
              <w:jc w:val="center"/>
              <w:outlineLvl w:val="0"/>
              <w:rPr>
                <w:rFonts w:ascii="宋体" w:cs="宋体"/>
                <w:b/>
                <w:color w:val="auto"/>
                <w:kern w:val="0"/>
                <w:sz w:val="22"/>
                <w:szCs w:val="21"/>
              </w:rPr>
            </w:pPr>
          </w:p>
          <w:p>
            <w:pPr>
              <w:autoSpaceDE w:val="0"/>
              <w:autoSpaceDN w:val="0"/>
              <w:adjustRightInd w:val="0"/>
              <w:spacing w:line="360" w:lineRule="auto"/>
              <w:jc w:val="center"/>
              <w:outlineLvl w:val="0"/>
              <w:rPr>
                <w:rFonts w:ascii="宋体" w:cs="宋体"/>
                <w:color w:val="auto"/>
                <w:kern w:val="0"/>
                <w:sz w:val="22"/>
                <w:szCs w:val="21"/>
              </w:rPr>
            </w:pPr>
          </w:p>
          <w:p>
            <w:pPr>
              <w:autoSpaceDE w:val="0"/>
              <w:autoSpaceDN w:val="0"/>
              <w:adjustRightInd w:val="0"/>
              <w:spacing w:line="360" w:lineRule="auto"/>
              <w:jc w:val="center"/>
              <w:outlineLvl w:val="0"/>
              <w:rPr>
                <w:rFonts w:ascii="宋体" w:cs="宋体"/>
                <w:color w:val="auto"/>
                <w:kern w:val="0"/>
                <w:sz w:val="22"/>
                <w:szCs w:val="21"/>
              </w:rPr>
            </w:pPr>
          </w:p>
          <w:p>
            <w:pPr>
              <w:autoSpaceDE w:val="0"/>
              <w:autoSpaceDN w:val="0"/>
              <w:adjustRightInd w:val="0"/>
              <w:spacing w:line="360" w:lineRule="auto"/>
              <w:jc w:val="center"/>
              <w:outlineLvl w:val="0"/>
              <w:rPr>
                <w:rFonts w:ascii="宋体" w:cs="宋体"/>
                <w:b/>
                <w:color w:val="auto"/>
                <w:kern w:val="0"/>
                <w:sz w:val="56"/>
                <w:szCs w:val="21"/>
              </w:rPr>
            </w:pPr>
            <w:bookmarkStart w:id="371" w:name="_Toc243584345"/>
            <w:r>
              <w:rPr>
                <w:rFonts w:hint="eastAsia" w:ascii="宋体" w:hAnsi="宋体" w:cs="宋体"/>
                <w:b/>
                <w:color w:val="auto"/>
                <w:kern w:val="0"/>
                <w:sz w:val="56"/>
                <w:szCs w:val="21"/>
              </w:rPr>
              <w:t>响应文件</w:t>
            </w:r>
            <w:bookmarkEnd w:id="371"/>
          </w:p>
          <w:p>
            <w:pPr>
              <w:autoSpaceDE w:val="0"/>
              <w:autoSpaceDN w:val="0"/>
              <w:adjustRightInd w:val="0"/>
              <w:spacing w:line="360" w:lineRule="auto"/>
              <w:jc w:val="center"/>
              <w:outlineLvl w:val="0"/>
              <w:rPr>
                <w:rFonts w:ascii="宋体" w:cs="宋体"/>
                <w:b/>
                <w:color w:val="auto"/>
                <w:kern w:val="0"/>
                <w:sz w:val="56"/>
                <w:szCs w:val="21"/>
              </w:rPr>
            </w:pPr>
            <w:r>
              <w:rPr>
                <w:rFonts w:hint="eastAsia" w:ascii="宋体" w:hAnsi="宋体" w:cs="宋体"/>
                <w:b/>
                <w:color w:val="auto"/>
                <w:kern w:val="0"/>
                <w:sz w:val="32"/>
                <w:szCs w:val="32"/>
              </w:rPr>
              <w:t>（正本</w:t>
            </w:r>
            <w:r>
              <w:rPr>
                <w:rFonts w:ascii="宋体" w:hAnsi="宋体" w:cs="宋体"/>
                <w:b/>
                <w:color w:val="auto"/>
                <w:kern w:val="0"/>
                <w:sz w:val="32"/>
                <w:szCs w:val="32"/>
              </w:rPr>
              <w:t>/</w:t>
            </w:r>
            <w:r>
              <w:rPr>
                <w:rFonts w:hint="eastAsia" w:ascii="宋体" w:hAnsi="宋体" w:cs="宋体"/>
                <w:b/>
                <w:color w:val="auto"/>
                <w:kern w:val="0"/>
                <w:sz w:val="32"/>
                <w:szCs w:val="32"/>
              </w:rPr>
              <w:t>副本）</w:t>
            </w:r>
          </w:p>
          <w:p>
            <w:pPr>
              <w:autoSpaceDE w:val="0"/>
              <w:autoSpaceDN w:val="0"/>
              <w:adjustRightInd w:val="0"/>
              <w:spacing w:line="360" w:lineRule="auto"/>
              <w:jc w:val="left"/>
              <w:rPr>
                <w:rFonts w:ascii="宋体" w:cs="宋体"/>
                <w:color w:val="auto"/>
                <w:kern w:val="0"/>
                <w:sz w:val="22"/>
                <w:szCs w:val="21"/>
              </w:rPr>
            </w:pPr>
          </w:p>
          <w:p>
            <w:pPr>
              <w:autoSpaceDE w:val="0"/>
              <w:autoSpaceDN w:val="0"/>
              <w:adjustRightInd w:val="0"/>
              <w:spacing w:line="360" w:lineRule="auto"/>
              <w:jc w:val="left"/>
              <w:rPr>
                <w:rFonts w:ascii="宋体" w:cs="宋体"/>
                <w:color w:val="auto"/>
                <w:kern w:val="0"/>
                <w:sz w:val="22"/>
                <w:szCs w:val="21"/>
              </w:rPr>
            </w:pPr>
          </w:p>
          <w:p>
            <w:pPr>
              <w:autoSpaceDE w:val="0"/>
              <w:autoSpaceDN w:val="0"/>
              <w:adjustRightInd w:val="0"/>
              <w:spacing w:line="360" w:lineRule="auto"/>
              <w:jc w:val="left"/>
              <w:rPr>
                <w:rFonts w:ascii="宋体" w:cs="宋体"/>
                <w:color w:val="auto"/>
                <w:kern w:val="0"/>
                <w:sz w:val="22"/>
                <w:szCs w:val="21"/>
              </w:rPr>
            </w:pPr>
          </w:p>
          <w:p>
            <w:pPr>
              <w:autoSpaceDE w:val="0"/>
              <w:autoSpaceDN w:val="0"/>
              <w:adjustRightInd w:val="0"/>
              <w:spacing w:line="360" w:lineRule="auto"/>
              <w:rPr>
                <w:rFonts w:ascii="宋体" w:cs="宋体"/>
                <w:color w:val="auto"/>
                <w:kern w:val="0"/>
                <w:sz w:val="22"/>
                <w:szCs w:val="21"/>
              </w:rPr>
            </w:pPr>
          </w:p>
          <w:p>
            <w:pPr>
              <w:autoSpaceDE w:val="0"/>
              <w:autoSpaceDN w:val="0"/>
              <w:adjustRightInd w:val="0"/>
              <w:spacing w:line="360" w:lineRule="auto"/>
              <w:outlineLvl w:val="0"/>
              <w:rPr>
                <w:rFonts w:ascii="宋体" w:cs="宋体"/>
                <w:color w:val="auto"/>
                <w:kern w:val="0"/>
                <w:sz w:val="22"/>
                <w:szCs w:val="21"/>
              </w:rPr>
            </w:pPr>
          </w:p>
          <w:p>
            <w:pPr>
              <w:autoSpaceDE w:val="0"/>
              <w:autoSpaceDN w:val="0"/>
              <w:adjustRightInd w:val="0"/>
              <w:spacing w:line="360" w:lineRule="auto"/>
              <w:jc w:val="center"/>
              <w:outlineLvl w:val="0"/>
              <w:rPr>
                <w:rFonts w:ascii="宋体" w:cs="宋体"/>
                <w:color w:val="auto"/>
                <w:kern w:val="0"/>
                <w:sz w:val="22"/>
                <w:szCs w:val="21"/>
              </w:rPr>
            </w:pPr>
          </w:p>
          <w:p>
            <w:pPr>
              <w:autoSpaceDE w:val="0"/>
              <w:autoSpaceDN w:val="0"/>
              <w:adjustRightInd w:val="0"/>
              <w:spacing w:line="360" w:lineRule="auto"/>
              <w:jc w:val="center"/>
              <w:outlineLvl w:val="0"/>
              <w:rPr>
                <w:rFonts w:ascii="宋体" w:cs="宋体"/>
                <w:color w:val="auto"/>
                <w:kern w:val="0"/>
                <w:sz w:val="22"/>
                <w:szCs w:val="21"/>
              </w:rPr>
            </w:pPr>
          </w:p>
          <w:p>
            <w:pPr>
              <w:autoSpaceDE w:val="0"/>
              <w:autoSpaceDN w:val="0"/>
              <w:adjustRightInd w:val="0"/>
              <w:spacing w:line="360" w:lineRule="auto"/>
              <w:ind w:firstLine="480" w:firstLineChars="200"/>
              <w:outlineLvl w:val="0"/>
              <w:rPr>
                <w:rFonts w:ascii="宋体" w:hAnsi="宋体" w:cs="宋体"/>
                <w:color w:val="auto"/>
                <w:kern w:val="0"/>
                <w:sz w:val="24"/>
                <w:szCs w:val="21"/>
                <w:u w:val="single"/>
              </w:rPr>
            </w:pPr>
            <w:bookmarkStart w:id="372" w:name="_Toc243584346"/>
            <w:r>
              <w:rPr>
                <w:rFonts w:hint="eastAsia" w:ascii="宋体" w:hAnsi="宋体" w:cs="宋体"/>
                <w:color w:val="auto"/>
                <w:kern w:val="0"/>
                <w:sz w:val="24"/>
                <w:szCs w:val="21"/>
              </w:rPr>
              <w:t>项目名称：</w:t>
            </w:r>
            <w:bookmarkEnd w:id="372"/>
          </w:p>
          <w:p>
            <w:pPr>
              <w:autoSpaceDE w:val="0"/>
              <w:autoSpaceDN w:val="0"/>
              <w:adjustRightInd w:val="0"/>
              <w:spacing w:line="360" w:lineRule="auto"/>
              <w:ind w:firstLine="480" w:firstLineChars="200"/>
              <w:rPr>
                <w:rFonts w:hint="eastAsia" w:ascii="宋体" w:eastAsia="宋体" w:cs="宋体"/>
                <w:color w:val="auto"/>
                <w:kern w:val="0"/>
                <w:sz w:val="24"/>
                <w:szCs w:val="21"/>
                <w:lang w:eastAsia="zh-CN"/>
              </w:rPr>
            </w:pPr>
            <w:r>
              <w:rPr>
                <w:rFonts w:hint="eastAsia" w:ascii="宋体" w:hAnsi="宋体" w:cs="宋体"/>
                <w:color w:val="auto"/>
                <w:kern w:val="0"/>
                <w:sz w:val="24"/>
                <w:szCs w:val="21"/>
              </w:rPr>
              <w:t>响应文件内容：</w:t>
            </w:r>
            <w:r>
              <w:rPr>
                <w:rFonts w:hint="eastAsia" w:ascii="宋体" w:hAnsi="宋体" w:cs="宋体"/>
                <w:color w:val="auto"/>
                <w:kern w:val="0"/>
                <w:sz w:val="24"/>
                <w:szCs w:val="21"/>
                <w:u w:val="single"/>
                <w:lang w:eastAsia="zh-CN"/>
              </w:rPr>
              <w:t>响应文件</w:t>
            </w:r>
            <w:r>
              <w:rPr>
                <w:rFonts w:hint="eastAsia" w:ascii="宋体" w:hAnsi="宋体" w:cs="宋体"/>
                <w:color w:val="auto"/>
                <w:kern w:val="0"/>
                <w:sz w:val="24"/>
                <w:szCs w:val="21"/>
                <w:u w:val="single"/>
                <w:lang w:val="en-US" w:eastAsia="zh-CN"/>
              </w:rPr>
              <w:t>**</w:t>
            </w:r>
            <w:r>
              <w:rPr>
                <w:rFonts w:hint="eastAsia" w:ascii="宋体" w:hAnsi="宋体" w:cs="宋体"/>
                <w:color w:val="auto"/>
                <w:kern w:val="0"/>
                <w:sz w:val="24"/>
                <w:szCs w:val="21"/>
                <w:u w:val="single"/>
                <w:lang w:eastAsia="zh-CN"/>
              </w:rPr>
              <w:t>部分</w:t>
            </w:r>
          </w:p>
          <w:p>
            <w:pPr>
              <w:autoSpaceDE w:val="0"/>
              <w:autoSpaceDN w:val="0"/>
              <w:adjustRightInd w:val="0"/>
              <w:spacing w:line="360" w:lineRule="auto"/>
              <w:ind w:firstLine="480" w:firstLineChars="200"/>
              <w:outlineLvl w:val="0"/>
              <w:rPr>
                <w:rFonts w:ascii="宋体" w:hAnsi="宋体" w:cs="宋体"/>
                <w:color w:val="auto"/>
                <w:kern w:val="0"/>
                <w:sz w:val="24"/>
                <w:szCs w:val="21"/>
                <w:u w:val="single"/>
              </w:rPr>
            </w:pPr>
            <w:bookmarkStart w:id="373" w:name="_Toc243584347"/>
            <w:r>
              <w:rPr>
                <w:rFonts w:hint="eastAsia" w:ascii="宋体" w:hAnsi="宋体" w:cs="宋体"/>
                <w:color w:val="auto"/>
                <w:kern w:val="0"/>
                <w:sz w:val="24"/>
                <w:szCs w:val="21"/>
              </w:rPr>
              <w:t>磋商单位：</w:t>
            </w:r>
            <w:r>
              <w:rPr>
                <w:rFonts w:hint="eastAsia" w:ascii="宋体" w:hAnsi="宋体" w:cs="宋体"/>
                <w:color w:val="auto"/>
                <w:kern w:val="0"/>
                <w:sz w:val="24"/>
                <w:szCs w:val="21"/>
                <w:u w:val="single"/>
              </w:rPr>
              <w:t>（盖章）</w:t>
            </w:r>
            <w:bookmarkEnd w:id="373"/>
          </w:p>
          <w:p>
            <w:pPr>
              <w:autoSpaceDE w:val="0"/>
              <w:autoSpaceDN w:val="0"/>
              <w:adjustRightInd w:val="0"/>
              <w:spacing w:line="360" w:lineRule="auto"/>
              <w:ind w:firstLine="480" w:firstLineChars="200"/>
              <w:outlineLvl w:val="0"/>
              <w:rPr>
                <w:rFonts w:ascii="宋体" w:cs="宋体"/>
                <w:color w:val="auto"/>
                <w:kern w:val="0"/>
                <w:sz w:val="24"/>
                <w:szCs w:val="21"/>
              </w:rPr>
            </w:pPr>
            <w:r>
              <w:rPr>
                <w:rFonts w:hint="eastAsia" w:ascii="宋体" w:hAnsi="宋体" w:cs="宋体"/>
                <w:color w:val="auto"/>
                <w:kern w:val="0"/>
                <w:sz w:val="24"/>
                <w:szCs w:val="21"/>
              </w:rPr>
              <w:t>法定代表人或其授权代理人：</w:t>
            </w:r>
            <w:r>
              <w:rPr>
                <w:rFonts w:hint="eastAsia" w:ascii="宋体" w:hAnsi="宋体" w:cs="宋体"/>
                <w:color w:val="auto"/>
                <w:kern w:val="0"/>
                <w:sz w:val="24"/>
                <w:szCs w:val="21"/>
                <w:u w:val="single"/>
              </w:rPr>
              <w:t>（签字或盖章）</w:t>
            </w:r>
          </w:p>
          <w:p>
            <w:pPr>
              <w:spacing w:line="360" w:lineRule="auto"/>
              <w:ind w:firstLine="480" w:firstLineChars="200"/>
              <w:rPr>
                <w:rFonts w:ascii="宋体" w:cs="宋体"/>
                <w:color w:val="auto"/>
                <w:kern w:val="0"/>
                <w:sz w:val="24"/>
                <w:szCs w:val="21"/>
              </w:rPr>
            </w:pPr>
            <w:r>
              <w:rPr>
                <w:rFonts w:hint="eastAsia" w:ascii="宋体" w:hAnsi="宋体" w:cs="宋体"/>
                <w:color w:val="auto"/>
                <w:kern w:val="0"/>
                <w:sz w:val="24"/>
                <w:szCs w:val="21"/>
              </w:rPr>
              <w:t>日期：年月日</w:t>
            </w:r>
          </w:p>
        </w:tc>
      </w:tr>
    </w:tbl>
    <w:p>
      <w:pPr>
        <w:spacing w:line="360" w:lineRule="auto"/>
        <w:rPr>
          <w:rFonts w:ascii="宋体" w:cs="宋体"/>
          <w:color w:val="auto"/>
        </w:rPr>
        <w:sectPr>
          <w:headerReference r:id="rId13" w:type="default"/>
          <w:footerReference r:id="rId14" w:type="default"/>
          <w:pgSz w:w="11906" w:h="16838"/>
          <w:pgMar w:top="1134" w:right="1418" w:bottom="1134" w:left="1418" w:header="567" w:footer="680" w:gutter="0"/>
          <w:pgNumType w:fmt="decimal"/>
          <w:cols w:space="720" w:num="1"/>
          <w:docGrid w:type="lines" w:linePitch="312" w:charSpace="0"/>
        </w:sectPr>
      </w:pPr>
    </w:p>
    <w:p>
      <w:pPr>
        <w:pStyle w:val="6"/>
        <w:spacing w:line="360" w:lineRule="auto"/>
        <w:jc w:val="center"/>
        <w:rPr>
          <w:rFonts w:ascii="宋体" w:hAnsi="宋体" w:eastAsia="宋体" w:cs="宋体"/>
          <w:color w:val="auto"/>
          <w:kern w:val="0"/>
          <w:szCs w:val="28"/>
        </w:rPr>
      </w:pPr>
      <w:bookmarkStart w:id="374" w:name="_Toc247301830"/>
      <w:bookmarkStart w:id="375" w:name="_Toc255977434"/>
      <w:bookmarkStart w:id="376" w:name="_Toc10470"/>
      <w:bookmarkStart w:id="377" w:name="_Toc28851"/>
      <w:bookmarkStart w:id="378" w:name="_Toc24146"/>
      <w:bookmarkStart w:id="379" w:name="_Toc247292437"/>
      <w:bookmarkStart w:id="380" w:name="_Toc13293"/>
      <w:bookmarkStart w:id="381" w:name="_Toc78274652"/>
      <w:bookmarkStart w:id="382" w:name="_Toc72971852"/>
      <w:r>
        <w:rPr>
          <w:rFonts w:hint="eastAsia" w:ascii="宋体" w:hAnsi="宋体" w:eastAsia="宋体" w:cs="宋体"/>
          <w:color w:val="auto"/>
          <w:kern w:val="0"/>
          <w:szCs w:val="28"/>
        </w:rPr>
        <w:t>资格审查部分目录</w:t>
      </w:r>
      <w:bookmarkEnd w:id="374"/>
      <w:bookmarkEnd w:id="375"/>
      <w:bookmarkEnd w:id="376"/>
      <w:bookmarkEnd w:id="377"/>
      <w:bookmarkEnd w:id="378"/>
      <w:bookmarkEnd w:id="379"/>
      <w:bookmarkEnd w:id="380"/>
    </w:p>
    <w:p>
      <w:pPr>
        <w:tabs>
          <w:tab w:val="left" w:pos="826"/>
        </w:tabs>
        <w:adjustRightInd w:val="0"/>
        <w:spacing w:line="360" w:lineRule="auto"/>
        <w:ind w:left="359" w:leftChars="171" w:firstLine="105" w:firstLineChars="50"/>
        <w:textAlignment w:val="baseline"/>
        <w:rPr>
          <w:rFonts w:asciiTheme="minorEastAsia" w:hAnsiTheme="minorEastAsia" w:cstheme="minorEastAsia"/>
          <w:color w:val="auto"/>
          <w:szCs w:val="21"/>
        </w:rPr>
      </w:pPr>
      <w:bookmarkStart w:id="383" w:name="_Toc255977435"/>
      <w:bookmarkStart w:id="384" w:name="_Toc243630955"/>
      <w:bookmarkStart w:id="385" w:name="_Toc19765"/>
      <w:bookmarkStart w:id="386" w:name="_Toc247301831"/>
      <w:bookmarkStart w:id="387" w:name="_Toc247292438"/>
      <w:bookmarkStart w:id="388" w:name="_Toc243584351"/>
      <w:bookmarkStart w:id="389" w:name="_Toc16858"/>
      <w:bookmarkStart w:id="390" w:name="_Toc13368"/>
      <w:bookmarkStart w:id="391" w:name="_Toc158458008"/>
      <w:bookmarkStart w:id="392" w:name="_Toc163270989"/>
      <w:bookmarkStart w:id="393" w:name="_Toc173558684"/>
      <w:r>
        <w:rPr>
          <w:rFonts w:hint="eastAsia" w:asciiTheme="minorEastAsia" w:hAnsiTheme="minorEastAsia" w:cstheme="minorEastAsia"/>
          <w:color w:val="auto"/>
          <w:szCs w:val="21"/>
        </w:rPr>
        <w:t>（1）诚信声明；</w:t>
      </w:r>
      <w:r>
        <w:rPr>
          <w:rFonts w:hint="eastAsia" w:ascii="宋体" w:hAnsi="宋体" w:cs="宋体"/>
          <w:color w:val="auto"/>
          <w:szCs w:val="21"/>
          <w:highlight w:val="none"/>
          <w:lang w:eastAsia="zh-CN"/>
        </w:rPr>
        <w:t>（格式自拟。必须提供）</w:t>
      </w:r>
    </w:p>
    <w:p>
      <w:pPr>
        <w:tabs>
          <w:tab w:val="left" w:pos="826"/>
        </w:tabs>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（2）</w:t>
      </w:r>
      <w:r>
        <w:rPr>
          <w:rFonts w:hint="eastAsia" w:asciiTheme="minorEastAsia" w:hAnsiTheme="minorEastAsia" w:cstheme="minorEastAsia"/>
          <w:color w:val="auto"/>
          <w:kern w:val="0"/>
          <w:szCs w:val="21"/>
        </w:rPr>
        <w:t>法定代表人资格证明书；</w:t>
      </w:r>
      <w:r>
        <w:rPr>
          <w:rFonts w:hint="eastAsia" w:ascii="宋体" w:hAnsi="宋体" w:cs="宋体"/>
          <w:color w:val="auto"/>
          <w:szCs w:val="21"/>
          <w:highlight w:val="none"/>
          <w:lang w:eastAsia="zh-CN"/>
        </w:rPr>
        <w:t>（格式自拟。必须提供）</w:t>
      </w:r>
    </w:p>
    <w:p>
      <w:pPr>
        <w:tabs>
          <w:tab w:val="left" w:pos="826"/>
          <w:tab w:val="left" w:pos="900"/>
        </w:tabs>
        <w:adjustRightInd w:val="0"/>
        <w:spacing w:line="360" w:lineRule="auto"/>
        <w:ind w:left="359" w:leftChars="171" w:firstLine="105" w:firstLineChars="50"/>
        <w:textAlignment w:val="baseline"/>
        <w:rPr>
          <w:rFonts w:asciiTheme="minorEastAsia" w:hAnsiTheme="minorEastAsia" w:cstheme="minorEastAsia"/>
          <w:color w:val="auto"/>
          <w:szCs w:val="21"/>
        </w:rPr>
      </w:pPr>
      <w:r>
        <w:rPr>
          <w:rFonts w:hint="eastAsia" w:asciiTheme="minorEastAsia" w:hAnsiTheme="minorEastAsia" w:cstheme="minorEastAsia"/>
          <w:color w:val="auto"/>
          <w:szCs w:val="21"/>
        </w:rPr>
        <w:t xml:space="preserve">（3）授权书及授权代理人身份证复印件（如无授权时则不需提供）； </w:t>
      </w:r>
    </w:p>
    <w:p>
      <w:pPr>
        <w:tabs>
          <w:tab w:val="left" w:pos="826"/>
          <w:tab w:val="left" w:pos="900"/>
        </w:tabs>
        <w:adjustRightInd w:val="0"/>
        <w:spacing w:line="360" w:lineRule="auto"/>
        <w:ind w:left="359" w:leftChars="171" w:firstLine="105" w:firstLineChars="50"/>
        <w:textAlignment w:val="baseline"/>
        <w:rPr>
          <w:rFonts w:asciiTheme="minorEastAsia" w:hAnsiTheme="minorEastAsia" w:cstheme="minorEastAsia"/>
          <w:color w:val="auto"/>
          <w:szCs w:val="21"/>
        </w:rPr>
      </w:pPr>
      <w:r>
        <w:rPr>
          <w:rFonts w:hint="eastAsia" w:asciiTheme="minorEastAsia" w:hAnsiTheme="minorEastAsia" w:eastAsiaTheme="minorEastAsia" w:cstheme="minorEastAsia"/>
          <w:color w:val="auto"/>
          <w:szCs w:val="21"/>
        </w:rPr>
        <w:t>（4）</w:t>
      </w:r>
      <w:r>
        <w:rPr>
          <w:rFonts w:hint="eastAsia" w:asciiTheme="minorEastAsia" w:hAnsiTheme="minorEastAsia" w:cstheme="minorEastAsia"/>
          <w:color w:val="auto"/>
          <w:szCs w:val="21"/>
        </w:rPr>
        <w:t>有效的企业资质证书复印件</w:t>
      </w:r>
      <w:r>
        <w:rPr>
          <w:rFonts w:hint="eastAsia" w:asciiTheme="minorEastAsia" w:hAnsiTheme="minorEastAsia" w:eastAsiaTheme="minorEastAsia" w:cstheme="minorEastAsia"/>
          <w:color w:val="auto"/>
          <w:szCs w:val="21"/>
        </w:rPr>
        <w:t>；</w:t>
      </w:r>
      <w:r>
        <w:rPr>
          <w:rFonts w:hint="eastAsia" w:ascii="宋体" w:hAnsi="宋体" w:cs="宋体"/>
          <w:color w:val="auto"/>
          <w:szCs w:val="21"/>
          <w:highlight w:val="none"/>
          <w:lang w:eastAsia="zh-CN"/>
        </w:rPr>
        <w:t>（格式自拟。必须提供）</w:t>
      </w:r>
    </w:p>
    <w:p>
      <w:pPr>
        <w:tabs>
          <w:tab w:val="left" w:pos="826"/>
        </w:tabs>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（5）</w:t>
      </w:r>
      <w:r>
        <w:rPr>
          <w:rFonts w:hint="eastAsia" w:asciiTheme="minorEastAsia" w:hAnsiTheme="minorEastAsia" w:cstheme="minorEastAsia"/>
          <w:color w:val="auto"/>
          <w:szCs w:val="21"/>
          <w:lang w:eastAsia="zh-CN"/>
        </w:rPr>
        <w:t>有效的营业执照副本复印件</w:t>
      </w:r>
      <w:r>
        <w:rPr>
          <w:rFonts w:hint="eastAsia" w:asciiTheme="minorEastAsia" w:hAnsiTheme="minorEastAsia" w:cstheme="minorEastAsia"/>
          <w:color w:val="auto"/>
          <w:szCs w:val="21"/>
        </w:rPr>
        <w:t>；</w:t>
      </w:r>
      <w:r>
        <w:rPr>
          <w:rFonts w:hint="eastAsia" w:ascii="宋体" w:hAnsi="宋体" w:cs="宋体"/>
          <w:color w:val="auto"/>
          <w:szCs w:val="21"/>
          <w:highlight w:val="none"/>
          <w:lang w:eastAsia="zh-CN"/>
        </w:rPr>
        <w:t>（格式自拟。必须提供）</w:t>
      </w:r>
    </w:p>
    <w:p>
      <w:pPr>
        <w:spacing w:line="360" w:lineRule="auto"/>
        <w:ind w:left="126" w:leftChars="60" w:firstLine="315" w:firstLineChars="150"/>
        <w:rPr>
          <w:rFonts w:hint="eastAsia" w:eastAsia="宋体" w:asciiTheme="minorEastAsia" w:hAnsiTheme="minorEastAsia" w:cstheme="minorEastAsia"/>
          <w:color w:val="auto"/>
          <w:szCs w:val="21"/>
          <w:lang w:eastAsia="zh-CN"/>
        </w:rPr>
      </w:pPr>
      <w:r>
        <w:rPr>
          <w:rFonts w:hint="eastAsia" w:asciiTheme="minorEastAsia" w:hAnsiTheme="minorEastAsia" w:cstheme="minorEastAsia"/>
          <w:color w:val="auto"/>
          <w:szCs w:val="21"/>
        </w:rPr>
        <w:t>（</w:t>
      </w:r>
      <w:r>
        <w:rPr>
          <w:rFonts w:hint="eastAsia" w:asciiTheme="minorEastAsia" w:hAnsiTheme="minorEastAsia" w:cstheme="minorEastAsia"/>
          <w:color w:val="auto"/>
          <w:szCs w:val="21"/>
          <w:lang w:val="en-US" w:eastAsia="zh-CN"/>
        </w:rPr>
        <w:t>6</w:t>
      </w:r>
      <w:r>
        <w:rPr>
          <w:rFonts w:hint="eastAsia" w:asciiTheme="minorEastAsia" w:hAnsiTheme="minorEastAsia" w:cstheme="minorEastAsia"/>
          <w:color w:val="auto"/>
          <w:szCs w:val="21"/>
        </w:rPr>
        <w:t>）</w:t>
      </w:r>
      <w:r>
        <w:rPr>
          <w:rFonts w:hint="eastAsia" w:asciiTheme="minorEastAsia" w:hAnsiTheme="minorEastAsia" w:cstheme="minorEastAsia"/>
          <w:color w:val="auto"/>
          <w:szCs w:val="21"/>
          <w:lang w:eastAsia="zh-CN"/>
        </w:rPr>
        <w:t>有效的安全生产许可证副本复印件</w:t>
      </w:r>
      <w:r>
        <w:rPr>
          <w:rFonts w:hint="eastAsia" w:ascii="宋体" w:hAnsi="宋体" w:cs="宋体"/>
          <w:color w:val="auto"/>
          <w:szCs w:val="21"/>
          <w:highlight w:val="none"/>
          <w:lang w:eastAsia="zh-CN"/>
        </w:rPr>
        <w:t>（格式自拟。必须提供）</w:t>
      </w:r>
    </w:p>
    <w:p>
      <w:pPr>
        <w:spacing w:line="360" w:lineRule="auto"/>
        <w:ind w:left="126" w:leftChars="60" w:firstLine="315" w:firstLineChars="150"/>
        <w:rPr>
          <w:rFonts w:asciiTheme="minorEastAsia" w:hAnsiTheme="minorEastAsia" w:cstheme="minorEastAsia"/>
          <w:color w:val="auto"/>
          <w:szCs w:val="21"/>
        </w:rPr>
      </w:pPr>
      <w:r>
        <w:rPr>
          <w:rFonts w:hint="eastAsia" w:asciiTheme="minorEastAsia" w:hAnsiTheme="minorEastAsia" w:cstheme="minorEastAsia"/>
          <w:color w:val="auto"/>
          <w:szCs w:val="21"/>
        </w:rPr>
        <w:t>（</w:t>
      </w:r>
      <w:r>
        <w:rPr>
          <w:rFonts w:hint="eastAsia" w:asciiTheme="minorEastAsia" w:hAnsiTheme="minorEastAsia" w:cstheme="minorEastAsia"/>
          <w:color w:val="auto"/>
          <w:szCs w:val="21"/>
          <w:lang w:val="en-US" w:eastAsia="zh-CN"/>
        </w:rPr>
        <w:t>7</w:t>
      </w:r>
      <w:r>
        <w:rPr>
          <w:rFonts w:hint="eastAsia" w:asciiTheme="minorEastAsia" w:hAnsiTheme="minorEastAsia" w:cstheme="minorEastAsia"/>
          <w:color w:val="auto"/>
          <w:szCs w:val="21"/>
        </w:rPr>
        <w:t>）</w:t>
      </w:r>
      <w:r>
        <w:rPr>
          <w:rFonts w:hint="eastAsia" w:asciiTheme="minorEastAsia" w:hAnsiTheme="minorEastAsia" w:cstheme="minorEastAsia"/>
          <w:color w:val="auto"/>
          <w:szCs w:val="21"/>
          <w:lang w:eastAsia="zh-CN"/>
        </w:rPr>
        <w:t>本工程项目经理的注册建造师资格证复印件</w:t>
      </w:r>
      <w:r>
        <w:rPr>
          <w:rFonts w:hint="eastAsia" w:asciiTheme="minorEastAsia" w:hAnsiTheme="minorEastAsia" w:cstheme="minorEastAsia"/>
          <w:color w:val="auto"/>
          <w:szCs w:val="21"/>
        </w:rPr>
        <w:t xml:space="preserve">和安全生产考核合格证B证复印件； </w:t>
      </w:r>
      <w:r>
        <w:rPr>
          <w:rFonts w:hint="eastAsia" w:ascii="宋体" w:hAnsi="宋体" w:cs="宋体"/>
          <w:color w:val="auto"/>
          <w:szCs w:val="21"/>
          <w:highlight w:val="none"/>
          <w:lang w:eastAsia="zh-CN"/>
        </w:rPr>
        <w:t>（格式自拟。必须提供）</w:t>
      </w:r>
    </w:p>
    <w:p>
      <w:pPr>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w:t>
      </w:r>
      <w:r>
        <w:rPr>
          <w:rFonts w:hint="eastAsia" w:asciiTheme="minorEastAsia" w:hAnsiTheme="minorEastAsia" w:cstheme="minorEastAsia"/>
          <w:color w:val="auto"/>
          <w:szCs w:val="21"/>
          <w:lang w:val="en-US" w:eastAsia="zh-CN"/>
        </w:rPr>
        <w:t>8</w:t>
      </w:r>
      <w:r>
        <w:rPr>
          <w:rFonts w:hint="eastAsia" w:asciiTheme="minorEastAsia" w:hAnsiTheme="minorEastAsia" w:cstheme="minorEastAsia"/>
          <w:color w:val="auto"/>
          <w:szCs w:val="21"/>
        </w:rPr>
        <w:t>）</w:t>
      </w:r>
      <w:r>
        <w:rPr>
          <w:rFonts w:hint="eastAsia" w:asciiTheme="minorEastAsia" w:hAnsiTheme="minorEastAsia" w:cstheme="minorEastAsia"/>
          <w:color w:val="auto"/>
          <w:szCs w:val="21"/>
          <w:lang w:eastAsia="zh-CN"/>
        </w:rPr>
        <w:t>竞标截止前一年内磋商单位连续三个月依法缴纳社保证明复印件和依法缴纳税费或依法免缴税费的证明复印件</w:t>
      </w:r>
      <w:r>
        <w:rPr>
          <w:rFonts w:hint="eastAsia" w:asciiTheme="minorEastAsia" w:hAnsiTheme="minorEastAsia" w:cstheme="minorEastAsia"/>
          <w:color w:val="auto"/>
          <w:szCs w:val="21"/>
        </w:rPr>
        <w:t>；</w:t>
      </w:r>
      <w:r>
        <w:rPr>
          <w:rFonts w:hint="eastAsia" w:ascii="宋体" w:hAnsi="宋体" w:cs="宋体"/>
          <w:color w:val="auto"/>
          <w:szCs w:val="21"/>
          <w:highlight w:val="none"/>
          <w:lang w:eastAsia="zh-CN"/>
        </w:rPr>
        <w:t>（格式自拟。必须提供）</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Theme="minorEastAsia" w:hAnsiTheme="minorEastAsia" w:cstheme="minorEastAsia"/>
          <w:color w:val="auto"/>
          <w:szCs w:val="21"/>
        </w:rPr>
        <w:t>（</w:t>
      </w:r>
      <w:r>
        <w:rPr>
          <w:rFonts w:hint="eastAsia" w:asciiTheme="minorEastAsia" w:hAnsiTheme="minorEastAsia" w:cstheme="minorEastAsia"/>
          <w:color w:val="auto"/>
          <w:szCs w:val="21"/>
          <w:lang w:val="en-US" w:eastAsia="zh-CN"/>
        </w:rPr>
        <w:t>9</w:t>
      </w:r>
      <w:r>
        <w:rPr>
          <w:rFonts w:hint="eastAsia" w:ascii="宋体" w:hAnsi="宋体" w:cs="宋体"/>
          <w:color w:val="auto"/>
          <w:szCs w:val="21"/>
          <w:highlight w:val="none"/>
        </w:rPr>
        <w:t>）</w:t>
      </w:r>
      <w:r>
        <w:rPr>
          <w:rFonts w:hint="eastAsia" w:ascii="宋体" w:hAnsi="宋体" w:cs="宋体"/>
          <w:color w:val="auto"/>
          <w:szCs w:val="21"/>
          <w:highlight w:val="none"/>
          <w:lang w:eastAsia="zh-CN"/>
        </w:rPr>
        <w:t>投标人参加本次采购活动前三年内在经营活动中没有重大违法记录和不良信用记录的书面声明原件（格式自拟。必须提供）；</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0</w:t>
      </w:r>
      <w:r>
        <w:rPr>
          <w:rFonts w:hint="eastAsia" w:ascii="宋体" w:hAnsi="宋体" w:cs="宋体"/>
          <w:color w:val="auto"/>
          <w:szCs w:val="21"/>
        </w:rPr>
        <w:t>）</w:t>
      </w:r>
      <w:r>
        <w:rPr>
          <w:rFonts w:hint="eastAsia" w:ascii="宋体" w:hAnsi="宋体" w:cs="宋体"/>
          <w:color w:val="auto"/>
          <w:szCs w:val="21"/>
          <w:lang w:eastAsia="zh-CN"/>
        </w:rPr>
        <w:t>磋商单位2020年年度的财务报表复印件；（若为新成立的企业，可根据实际情况提供成立之日起至投标截前一个月的财务报告）</w:t>
      </w:r>
    </w:p>
    <w:p>
      <w:pPr>
        <w:spacing w:line="360" w:lineRule="auto"/>
        <w:ind w:left="126" w:leftChars="60" w:firstLine="298" w:firstLineChars="142"/>
        <w:rPr>
          <w:rFonts w:asciiTheme="minorEastAsia" w:hAnsiTheme="minorEastAsia" w:cstheme="minorEastAsia"/>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11</w:t>
      </w:r>
      <w:r>
        <w:rPr>
          <w:rFonts w:hint="eastAsia" w:ascii="宋体" w:hAnsi="宋体" w:cs="宋体"/>
          <w:color w:val="auto"/>
          <w:szCs w:val="21"/>
          <w:lang w:eastAsia="zh-CN"/>
        </w:rPr>
        <w:t>）</w:t>
      </w:r>
      <w:r>
        <w:rPr>
          <w:rFonts w:hint="eastAsia" w:asciiTheme="minorEastAsia" w:hAnsiTheme="minorEastAsia" w:cstheme="minorEastAsia"/>
          <w:color w:val="auto"/>
          <w:szCs w:val="21"/>
        </w:rPr>
        <w:t>安全防护、文明施工措施方案的承诺书；</w:t>
      </w:r>
      <w:r>
        <w:rPr>
          <w:rFonts w:hint="eastAsia" w:ascii="宋体" w:hAnsi="宋体" w:cs="宋体"/>
          <w:color w:val="auto"/>
          <w:szCs w:val="21"/>
          <w:highlight w:val="none"/>
          <w:lang w:eastAsia="zh-CN"/>
        </w:rPr>
        <w:t>（格式自拟。必须提供）</w:t>
      </w:r>
    </w:p>
    <w:p>
      <w:pPr>
        <w:autoSpaceDE w:val="0"/>
        <w:autoSpaceDN w:val="0"/>
        <w:adjustRightInd w:val="0"/>
        <w:spacing w:line="360" w:lineRule="auto"/>
        <w:ind w:firstLine="420" w:firstLineChars="200"/>
        <w:jc w:val="left"/>
        <w:rPr>
          <w:rFonts w:hint="eastAsia" w:eastAsia="宋体" w:asciiTheme="minorEastAsia" w:hAnsiTheme="minorEastAsia" w:cstheme="minorEastAsia"/>
          <w:color w:val="auto"/>
          <w:szCs w:val="21"/>
          <w:lang w:eastAsia="zh-CN"/>
        </w:rPr>
      </w:pPr>
      <w:r>
        <w:rPr>
          <w:rFonts w:hint="eastAsia" w:asciiTheme="minorEastAsia" w:hAnsiTheme="minorEastAsia" w:cstheme="minorEastAsia"/>
          <w:color w:val="auto"/>
          <w:szCs w:val="21"/>
        </w:rPr>
        <w:t>（1</w:t>
      </w:r>
      <w:r>
        <w:rPr>
          <w:rFonts w:hint="eastAsia" w:asciiTheme="minorEastAsia" w:hAnsiTheme="minorEastAsia" w:cstheme="minorEastAsia"/>
          <w:color w:val="auto"/>
          <w:szCs w:val="21"/>
          <w:lang w:val="en-US" w:eastAsia="zh-CN"/>
        </w:rPr>
        <w:t>2</w:t>
      </w:r>
      <w:r>
        <w:rPr>
          <w:rFonts w:hint="eastAsia" w:asciiTheme="minorEastAsia" w:hAnsiTheme="minorEastAsia" w:cstheme="minorEastAsia"/>
          <w:color w:val="auto"/>
          <w:szCs w:val="21"/>
        </w:rPr>
        <w:t>）磋商采购文件要求其他必须提供的资料。</w:t>
      </w:r>
      <w:r>
        <w:rPr>
          <w:rFonts w:hint="eastAsia" w:asciiTheme="minorEastAsia" w:hAnsiTheme="minorEastAsia" w:cstheme="minorEastAsia"/>
          <w:color w:val="auto"/>
          <w:szCs w:val="21"/>
          <w:lang w:eastAsia="zh-CN"/>
        </w:rPr>
        <w:t>（如有要求必须提供）</w:t>
      </w:r>
    </w:p>
    <w:p>
      <w:pPr>
        <w:autoSpaceDE w:val="0"/>
        <w:autoSpaceDN w:val="0"/>
        <w:adjustRightInd w:val="0"/>
        <w:spacing w:line="360" w:lineRule="auto"/>
        <w:ind w:firstLine="420" w:firstLineChars="200"/>
        <w:jc w:val="left"/>
        <w:rPr>
          <w:rFonts w:asciiTheme="minorEastAsia" w:hAnsiTheme="minorEastAsia" w:cstheme="minorEastAsia"/>
          <w:color w:val="auto"/>
          <w:szCs w:val="21"/>
        </w:rPr>
      </w:pPr>
    </w:p>
    <w:p>
      <w:pPr>
        <w:pStyle w:val="6"/>
        <w:spacing w:line="480" w:lineRule="auto"/>
        <w:jc w:val="center"/>
        <w:rPr>
          <w:rFonts w:hint="eastAsia" w:ascii="宋体" w:hAnsi="宋体" w:eastAsia="宋体" w:cs="宋体"/>
          <w:color w:val="auto"/>
          <w:sz w:val="21"/>
          <w:szCs w:val="21"/>
        </w:rPr>
      </w:pPr>
    </w:p>
    <w:p>
      <w:pPr>
        <w:pStyle w:val="6"/>
        <w:spacing w:line="480" w:lineRule="auto"/>
        <w:jc w:val="cente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pStyle w:val="30"/>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pStyle w:val="30"/>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pStyle w:val="30"/>
        <w:rPr>
          <w:rFonts w:hint="eastAsia" w:ascii="宋体" w:hAnsi="宋体" w:eastAsia="宋体" w:cs="宋体"/>
          <w:color w:val="auto"/>
          <w:sz w:val="21"/>
          <w:szCs w:val="21"/>
        </w:rPr>
      </w:pPr>
    </w:p>
    <w:p>
      <w:pPr>
        <w:rPr>
          <w:rFonts w:hint="eastAsia"/>
          <w:color w:val="auto"/>
        </w:rPr>
      </w:pPr>
    </w:p>
    <w:p>
      <w:pPr>
        <w:pStyle w:val="6"/>
        <w:spacing w:line="480" w:lineRule="auto"/>
        <w:jc w:val="center"/>
        <w:rPr>
          <w:rFonts w:hint="eastAsia" w:ascii="宋体" w:hAnsi="宋体" w:eastAsia="宋体" w:cs="宋体"/>
          <w:color w:val="auto"/>
          <w:sz w:val="21"/>
          <w:szCs w:val="21"/>
        </w:rPr>
      </w:pPr>
    </w:p>
    <w:p>
      <w:pPr>
        <w:pStyle w:val="6"/>
        <w:spacing w:line="480" w:lineRule="auto"/>
        <w:jc w:val="center"/>
        <w:rPr>
          <w:rFonts w:ascii="宋体" w:hAnsi="宋体" w:eastAsia="宋体" w:cs="宋体"/>
          <w:color w:val="auto"/>
          <w:sz w:val="21"/>
          <w:szCs w:val="21"/>
        </w:rPr>
      </w:pPr>
      <w:bookmarkStart w:id="394" w:name="_Toc16819"/>
      <w:r>
        <w:rPr>
          <w:rFonts w:hint="eastAsia" w:ascii="宋体" w:hAnsi="宋体" w:eastAsia="宋体" w:cs="宋体"/>
          <w:color w:val="auto"/>
          <w:sz w:val="21"/>
          <w:szCs w:val="21"/>
        </w:rPr>
        <w:t>一、诚信声明</w:t>
      </w:r>
      <w:bookmarkEnd w:id="383"/>
      <w:bookmarkEnd w:id="384"/>
      <w:bookmarkEnd w:id="385"/>
      <w:bookmarkEnd w:id="386"/>
      <w:bookmarkEnd w:id="387"/>
      <w:bookmarkEnd w:id="388"/>
      <w:bookmarkEnd w:id="389"/>
      <w:bookmarkEnd w:id="390"/>
      <w:bookmarkEnd w:id="394"/>
    </w:p>
    <w:p>
      <w:pPr>
        <w:spacing w:line="360" w:lineRule="auto"/>
        <w:rPr>
          <w:rFonts w:ascii="宋体" w:cs="宋体"/>
          <w:color w:val="auto"/>
          <w:szCs w:val="21"/>
        </w:rPr>
      </w:pPr>
    </w:p>
    <w:p>
      <w:pPr>
        <w:spacing w:line="600" w:lineRule="auto"/>
        <w:ind w:firstLine="525" w:firstLineChars="250"/>
        <w:rPr>
          <w:rFonts w:ascii="宋体" w:cs="宋体"/>
          <w:color w:val="auto"/>
          <w:szCs w:val="21"/>
        </w:rPr>
      </w:pPr>
      <w:r>
        <w:rPr>
          <w:rFonts w:hint="eastAsia" w:ascii="宋体" w:hAnsi="宋体" w:cs="宋体"/>
          <w:color w:val="auto"/>
          <w:szCs w:val="21"/>
        </w:rPr>
        <w:t>本人</w:t>
      </w:r>
      <w:r>
        <w:rPr>
          <w:rFonts w:hint="eastAsia" w:ascii="宋体" w:hAnsi="宋体" w:cs="宋体"/>
          <w:color w:val="auto"/>
          <w:szCs w:val="21"/>
          <w:u w:val="single"/>
        </w:rPr>
        <w:t>（法定代表人、身份证号码）</w:t>
      </w:r>
      <w:r>
        <w:rPr>
          <w:rFonts w:hint="eastAsia" w:ascii="宋体" w:hAnsi="宋体" w:cs="宋体"/>
          <w:color w:val="auto"/>
          <w:szCs w:val="21"/>
        </w:rPr>
        <w:t>郑重声明，本企业参加</w:t>
      </w:r>
      <w:r>
        <w:rPr>
          <w:rFonts w:hint="eastAsia" w:ascii="宋体" w:hAnsi="宋体" w:cs="宋体"/>
          <w:color w:val="auto"/>
          <w:szCs w:val="21"/>
          <w:u w:val="single"/>
          <w:lang w:eastAsia="zh-CN"/>
        </w:rPr>
        <w:t>（项目名称和编号）</w:t>
      </w:r>
      <w:r>
        <w:rPr>
          <w:rFonts w:hint="eastAsia" w:ascii="宋体" w:hAnsi="宋体" w:cs="宋体"/>
          <w:color w:val="auto"/>
          <w:szCs w:val="21"/>
        </w:rPr>
        <w:t>工程磋商采购活动所提交的所有证件资料、填写数据及所包含的附件资料内容是真实的、合法的、有效的，同样我在此所作的声明也是真实有效的。并愿意对在竞标过程中有关部门的调查结果承担责任。</w:t>
      </w:r>
    </w:p>
    <w:p>
      <w:pPr>
        <w:spacing w:line="600" w:lineRule="auto"/>
        <w:ind w:firstLine="480"/>
        <w:rPr>
          <w:rFonts w:ascii="宋体" w:cs="宋体"/>
          <w:color w:val="auto"/>
          <w:szCs w:val="21"/>
        </w:rPr>
      </w:pPr>
      <w:r>
        <w:rPr>
          <w:rFonts w:hint="eastAsia" w:ascii="宋体" w:hAnsi="宋体" w:cs="宋体"/>
          <w:color w:val="auto"/>
          <w:szCs w:val="21"/>
        </w:rPr>
        <w:t>本企业提交的所有竞标资料如有不实，愿接受行政主管部门依据有关法律法规给予的处罚。</w:t>
      </w:r>
    </w:p>
    <w:p>
      <w:pPr>
        <w:spacing w:line="360" w:lineRule="auto"/>
        <w:ind w:firstLine="480"/>
        <w:rPr>
          <w:rFonts w:ascii="宋体" w:cs="宋体"/>
          <w:color w:val="auto"/>
          <w:szCs w:val="21"/>
        </w:rPr>
      </w:pPr>
    </w:p>
    <w:p>
      <w:pPr>
        <w:spacing w:line="360" w:lineRule="auto"/>
        <w:ind w:firstLine="480"/>
        <w:rPr>
          <w:rFonts w:ascii="宋体" w:cs="宋体"/>
          <w:color w:val="auto"/>
          <w:szCs w:val="21"/>
        </w:rPr>
      </w:pPr>
    </w:p>
    <w:p>
      <w:pPr>
        <w:spacing w:line="360" w:lineRule="auto"/>
        <w:ind w:firstLine="480"/>
        <w:rPr>
          <w:rFonts w:ascii="宋体" w:cs="宋体"/>
          <w:color w:val="auto"/>
          <w:szCs w:val="21"/>
        </w:rPr>
      </w:pPr>
    </w:p>
    <w:p>
      <w:pPr>
        <w:spacing w:line="360" w:lineRule="auto"/>
        <w:ind w:firstLine="480"/>
        <w:rPr>
          <w:rFonts w:ascii="宋体" w:cs="宋体"/>
          <w:color w:val="auto"/>
          <w:szCs w:val="21"/>
        </w:rPr>
      </w:pPr>
    </w:p>
    <w:p>
      <w:pPr>
        <w:spacing w:line="360" w:lineRule="auto"/>
        <w:ind w:firstLine="480"/>
        <w:rPr>
          <w:rFonts w:ascii="宋体" w:cs="宋体"/>
          <w:color w:val="auto"/>
          <w:szCs w:val="21"/>
        </w:rPr>
      </w:pPr>
    </w:p>
    <w:p>
      <w:pPr>
        <w:spacing w:line="360" w:lineRule="auto"/>
        <w:ind w:firstLine="2835" w:firstLineChars="1350"/>
        <w:rPr>
          <w:rFonts w:hint="default" w:ascii="宋体" w:eastAsia="宋体" w:cs="宋体"/>
          <w:color w:val="auto"/>
          <w:szCs w:val="21"/>
          <w:u w:val="single"/>
          <w:lang w:val="en-US" w:eastAsia="zh-CN"/>
        </w:rPr>
      </w:pPr>
      <w:r>
        <w:rPr>
          <w:rFonts w:hint="eastAsia" w:ascii="宋体" w:hAnsi="宋体" w:cs="宋体"/>
          <w:color w:val="auto"/>
          <w:szCs w:val="21"/>
        </w:rPr>
        <w:t>磋商单位：</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（盖章）</w:t>
      </w:r>
      <w:r>
        <w:rPr>
          <w:rFonts w:hint="eastAsia" w:ascii="宋体" w:hAnsi="宋体" w:cs="宋体"/>
          <w:color w:val="auto"/>
          <w:szCs w:val="21"/>
          <w:u w:val="single"/>
          <w:lang w:val="en-US" w:eastAsia="zh-CN"/>
        </w:rPr>
        <w:t xml:space="preserve">  </w:t>
      </w:r>
    </w:p>
    <w:p>
      <w:pPr>
        <w:spacing w:line="360" w:lineRule="auto"/>
        <w:rPr>
          <w:rFonts w:ascii="宋体" w:cs="宋体"/>
          <w:color w:val="auto"/>
          <w:szCs w:val="21"/>
        </w:rPr>
      </w:pPr>
    </w:p>
    <w:p>
      <w:pPr>
        <w:spacing w:line="360" w:lineRule="auto"/>
        <w:ind w:firstLine="2835" w:firstLineChars="1350"/>
        <w:rPr>
          <w:rFonts w:hint="default" w:ascii="宋体" w:eastAsia="宋体" w:cs="宋体"/>
          <w:color w:val="auto"/>
          <w:szCs w:val="21"/>
          <w:u w:val="single"/>
          <w:lang w:val="en-US" w:eastAsia="zh-CN"/>
        </w:rPr>
      </w:pPr>
      <w:r>
        <w:rPr>
          <w:rFonts w:hint="eastAsia" w:ascii="宋体" w:hAnsi="宋体" w:cs="宋体"/>
          <w:color w:val="auto"/>
          <w:szCs w:val="21"/>
        </w:rPr>
        <w:t>法定代表人：</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（签字或盖章）</w:t>
      </w:r>
    </w:p>
    <w:p>
      <w:pPr>
        <w:spacing w:line="360" w:lineRule="auto"/>
        <w:rPr>
          <w:rFonts w:ascii="宋体" w:cs="宋体"/>
          <w:color w:val="auto"/>
          <w:szCs w:val="21"/>
          <w:u w:val="single"/>
        </w:rPr>
      </w:pPr>
    </w:p>
    <w:p>
      <w:pPr>
        <w:wordWrap/>
        <w:spacing w:line="360" w:lineRule="auto"/>
        <w:ind w:firstLine="420" w:firstLineChars="200"/>
        <w:jc w:val="center"/>
        <w:rPr>
          <w:rFonts w:ascii="宋体" w:cs="宋体"/>
          <w:color w:val="auto"/>
          <w:szCs w:val="21"/>
        </w:rPr>
      </w:pPr>
      <w:r>
        <w:rPr>
          <w:rFonts w:hint="eastAsia" w:ascii="宋体" w:hAnsi="宋体" w:cs="宋体"/>
          <w:color w:val="auto"/>
          <w:szCs w:val="21"/>
        </w:rPr>
        <w:t>年</w:t>
      </w:r>
      <w:r>
        <w:rPr>
          <w:rFonts w:hint="eastAsia" w:ascii="宋体" w:hAnsi="宋体" w:cs="宋体"/>
          <w:color w:val="auto"/>
          <w:szCs w:val="21"/>
          <w:lang w:val="en-US" w:eastAsia="zh-CN"/>
        </w:rPr>
        <w:t xml:space="preserve">  </w:t>
      </w:r>
      <w:r>
        <w:rPr>
          <w:rFonts w:hint="eastAsia" w:ascii="宋体" w:hAnsi="宋体" w:cs="宋体"/>
          <w:color w:val="auto"/>
          <w:szCs w:val="21"/>
        </w:rPr>
        <w:t>月</w:t>
      </w:r>
      <w:r>
        <w:rPr>
          <w:rFonts w:hint="eastAsia" w:ascii="宋体" w:hAnsi="宋体" w:cs="宋体"/>
          <w:color w:val="auto"/>
          <w:szCs w:val="21"/>
          <w:lang w:val="en-US" w:eastAsia="zh-CN"/>
        </w:rPr>
        <w:t xml:space="preserve">    </w:t>
      </w:r>
      <w:r>
        <w:rPr>
          <w:rFonts w:hint="eastAsia" w:ascii="宋体" w:hAnsi="宋体" w:cs="宋体"/>
          <w:color w:val="auto"/>
          <w:szCs w:val="21"/>
        </w:rPr>
        <w:t>日</w:t>
      </w:r>
    </w:p>
    <w:p>
      <w:pPr>
        <w:pStyle w:val="6"/>
        <w:spacing w:line="360" w:lineRule="auto"/>
        <w:jc w:val="center"/>
        <w:rPr>
          <w:rFonts w:ascii="宋体" w:hAnsi="宋体" w:eastAsia="宋体" w:cs="宋体"/>
          <w:color w:val="auto"/>
          <w:sz w:val="21"/>
          <w:szCs w:val="21"/>
        </w:rPr>
      </w:pPr>
      <w:r>
        <w:rPr>
          <w:rFonts w:ascii="宋体" w:hAnsi="宋体" w:eastAsia="宋体" w:cs="宋体"/>
          <w:color w:val="auto"/>
          <w:sz w:val="21"/>
          <w:szCs w:val="21"/>
        </w:rPr>
        <w:br w:type="page"/>
      </w:r>
      <w:bookmarkStart w:id="395" w:name="_Toc255977436"/>
      <w:bookmarkStart w:id="396" w:name="_Toc247292439"/>
      <w:bookmarkStart w:id="397" w:name="_Toc28747"/>
      <w:bookmarkStart w:id="398" w:name="_Toc22322"/>
      <w:bookmarkStart w:id="399" w:name="_Toc247301832"/>
      <w:bookmarkStart w:id="400" w:name="_Toc243630956"/>
      <w:bookmarkStart w:id="401" w:name="_Toc243584352"/>
      <w:bookmarkStart w:id="402" w:name="_Toc2"/>
      <w:bookmarkStart w:id="403" w:name="_Toc26787"/>
      <w:r>
        <w:rPr>
          <w:rFonts w:hint="eastAsia" w:ascii="宋体" w:hAnsi="宋体" w:eastAsia="宋体" w:cs="宋体"/>
          <w:color w:val="auto"/>
          <w:sz w:val="21"/>
          <w:szCs w:val="21"/>
        </w:rPr>
        <w:t>二、法定代表人资格证明书</w:t>
      </w:r>
      <w:bookmarkEnd w:id="395"/>
      <w:bookmarkEnd w:id="396"/>
      <w:bookmarkEnd w:id="397"/>
      <w:bookmarkEnd w:id="398"/>
      <w:bookmarkEnd w:id="399"/>
      <w:bookmarkEnd w:id="400"/>
      <w:bookmarkEnd w:id="401"/>
      <w:bookmarkEnd w:id="402"/>
      <w:bookmarkEnd w:id="403"/>
    </w:p>
    <w:p>
      <w:pPr>
        <w:autoSpaceDE w:val="0"/>
        <w:autoSpaceDN w:val="0"/>
        <w:adjustRightInd w:val="0"/>
        <w:spacing w:line="480" w:lineRule="auto"/>
        <w:jc w:val="left"/>
        <w:rPr>
          <w:rFonts w:hint="default" w:ascii="宋体" w:eastAsia="宋体" w:cs="宋体"/>
          <w:color w:val="auto"/>
          <w:kern w:val="0"/>
          <w:szCs w:val="21"/>
          <w:u w:val="single"/>
          <w:lang w:val="en-US" w:eastAsia="zh-CN"/>
        </w:rPr>
      </w:pPr>
      <w:r>
        <w:rPr>
          <w:rFonts w:hint="eastAsia" w:ascii="宋体" w:hAnsi="宋体" w:cs="宋体"/>
          <w:color w:val="auto"/>
          <w:kern w:val="0"/>
          <w:szCs w:val="21"/>
        </w:rPr>
        <w:t>单位名称：</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u w:val="single"/>
          <w:lang w:val="en-US" w:eastAsia="zh-CN"/>
        </w:rPr>
        <w:t xml:space="preserve">                         </w:t>
      </w:r>
    </w:p>
    <w:p>
      <w:pPr>
        <w:autoSpaceDE w:val="0"/>
        <w:autoSpaceDN w:val="0"/>
        <w:adjustRightInd w:val="0"/>
        <w:spacing w:line="480" w:lineRule="auto"/>
        <w:jc w:val="left"/>
        <w:rPr>
          <w:rFonts w:ascii="宋体" w:cs="宋体"/>
          <w:color w:val="auto"/>
          <w:kern w:val="0"/>
          <w:szCs w:val="21"/>
          <w:u w:val="single"/>
        </w:rPr>
      </w:pPr>
      <w:r>
        <w:rPr>
          <w:rFonts w:hint="eastAsia" w:ascii="宋体" w:hAnsi="宋体" w:cs="宋体"/>
          <w:color w:val="auto"/>
          <w:kern w:val="0"/>
          <w:szCs w:val="21"/>
        </w:rPr>
        <w:t>单位性质：</w:t>
      </w:r>
      <w:r>
        <w:rPr>
          <w:rFonts w:hint="eastAsia" w:ascii="宋体" w:hAnsi="宋体" w:cs="宋体"/>
          <w:color w:val="auto"/>
          <w:kern w:val="0"/>
          <w:szCs w:val="21"/>
          <w:u w:val="single"/>
          <w:lang w:val="en-US" w:eastAsia="zh-CN"/>
        </w:rPr>
        <w:t xml:space="preserve">                         </w:t>
      </w:r>
    </w:p>
    <w:p>
      <w:pPr>
        <w:autoSpaceDE w:val="0"/>
        <w:autoSpaceDN w:val="0"/>
        <w:adjustRightInd w:val="0"/>
        <w:spacing w:line="480" w:lineRule="auto"/>
        <w:jc w:val="left"/>
        <w:rPr>
          <w:rFonts w:ascii="宋体" w:cs="宋体"/>
          <w:color w:val="auto"/>
          <w:kern w:val="0"/>
          <w:szCs w:val="21"/>
          <w:u w:val="single"/>
        </w:rPr>
      </w:pPr>
      <w:r>
        <w:rPr>
          <w:rFonts w:hint="eastAsia" w:ascii="宋体" w:hAnsi="宋体" w:cs="宋体"/>
          <w:color w:val="auto"/>
          <w:kern w:val="0"/>
          <w:szCs w:val="21"/>
        </w:rPr>
        <w:t>地址：</w:t>
      </w:r>
      <w:r>
        <w:rPr>
          <w:rFonts w:hint="eastAsia" w:ascii="宋体" w:hAnsi="宋体" w:cs="宋体"/>
          <w:color w:val="auto"/>
          <w:kern w:val="0"/>
          <w:szCs w:val="21"/>
          <w:u w:val="single"/>
          <w:lang w:val="en-US" w:eastAsia="zh-CN"/>
        </w:rPr>
        <w:t xml:space="preserve">                         </w:t>
      </w:r>
    </w:p>
    <w:p>
      <w:pPr>
        <w:autoSpaceDE w:val="0"/>
        <w:autoSpaceDN w:val="0"/>
        <w:adjustRightInd w:val="0"/>
        <w:spacing w:line="480" w:lineRule="auto"/>
        <w:jc w:val="left"/>
        <w:rPr>
          <w:rFonts w:ascii="宋体" w:cs="宋体"/>
          <w:color w:val="auto"/>
          <w:kern w:val="0"/>
          <w:szCs w:val="21"/>
          <w:u w:val="single"/>
        </w:rPr>
      </w:pPr>
      <w:r>
        <w:rPr>
          <w:rFonts w:hint="eastAsia" w:ascii="宋体" w:hAnsi="宋体" w:cs="宋体"/>
          <w:color w:val="auto"/>
          <w:kern w:val="0"/>
          <w:szCs w:val="21"/>
        </w:rPr>
        <w:t>成立时间：</w:t>
      </w:r>
      <w:r>
        <w:rPr>
          <w:rFonts w:hint="eastAsia" w:ascii="宋体" w:hAnsi="宋体" w:cs="宋体"/>
          <w:color w:val="auto"/>
          <w:kern w:val="0"/>
          <w:szCs w:val="21"/>
          <w:u w:val="single"/>
          <w:lang w:val="en-US" w:eastAsia="zh-CN"/>
        </w:rPr>
        <w:t xml:space="preserve">                         </w:t>
      </w:r>
    </w:p>
    <w:p>
      <w:pPr>
        <w:autoSpaceDE w:val="0"/>
        <w:autoSpaceDN w:val="0"/>
        <w:adjustRightInd w:val="0"/>
        <w:spacing w:line="480" w:lineRule="auto"/>
        <w:jc w:val="left"/>
        <w:rPr>
          <w:rFonts w:ascii="宋体" w:cs="宋体"/>
          <w:color w:val="auto"/>
          <w:kern w:val="0"/>
          <w:szCs w:val="21"/>
          <w:u w:val="single"/>
        </w:rPr>
      </w:pPr>
      <w:r>
        <w:rPr>
          <w:rFonts w:hint="eastAsia" w:ascii="宋体" w:hAnsi="宋体" w:cs="宋体"/>
          <w:color w:val="auto"/>
          <w:kern w:val="0"/>
          <w:szCs w:val="21"/>
        </w:rPr>
        <w:t>经营期限：</w:t>
      </w:r>
      <w:r>
        <w:rPr>
          <w:rFonts w:hint="eastAsia" w:ascii="宋体" w:hAnsi="宋体" w:cs="宋体"/>
          <w:color w:val="auto"/>
          <w:kern w:val="0"/>
          <w:szCs w:val="21"/>
          <w:u w:val="single"/>
          <w:lang w:val="en-US" w:eastAsia="zh-CN"/>
        </w:rPr>
        <w:t xml:space="preserve">                         </w:t>
      </w:r>
    </w:p>
    <w:p>
      <w:pPr>
        <w:autoSpaceDE w:val="0"/>
        <w:autoSpaceDN w:val="0"/>
        <w:adjustRightInd w:val="0"/>
        <w:spacing w:line="480" w:lineRule="auto"/>
        <w:jc w:val="left"/>
        <w:rPr>
          <w:rFonts w:ascii="宋体" w:cs="宋体"/>
          <w:color w:val="auto"/>
          <w:kern w:val="0"/>
          <w:szCs w:val="21"/>
        </w:rPr>
      </w:pPr>
      <w:r>
        <w:rPr>
          <w:rFonts w:hint="eastAsia" w:ascii="宋体" w:hAnsi="宋体" w:cs="宋体"/>
          <w:color w:val="auto"/>
          <w:kern w:val="0"/>
          <w:szCs w:val="21"/>
        </w:rPr>
        <w:t>姓名：</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性别：</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年龄：</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rPr>
        <w:t>职务：</w:t>
      </w:r>
      <w:r>
        <w:rPr>
          <w:rFonts w:hint="eastAsia" w:ascii="宋体" w:hAnsi="宋体" w:cs="宋体"/>
          <w:color w:val="auto"/>
          <w:kern w:val="0"/>
          <w:szCs w:val="21"/>
          <w:u w:val="single"/>
          <w:lang w:val="en-US" w:eastAsia="zh-CN"/>
        </w:rPr>
        <w:t xml:space="preserve">            </w:t>
      </w:r>
    </w:p>
    <w:p>
      <w:pPr>
        <w:autoSpaceDE w:val="0"/>
        <w:autoSpaceDN w:val="0"/>
        <w:adjustRightInd w:val="0"/>
        <w:spacing w:line="480" w:lineRule="auto"/>
        <w:rPr>
          <w:rFonts w:ascii="宋体" w:cs="宋体"/>
          <w:color w:val="auto"/>
          <w:kern w:val="0"/>
          <w:szCs w:val="21"/>
        </w:rPr>
      </w:pPr>
      <w:r>
        <w:rPr>
          <w:rFonts w:hint="eastAsia" w:ascii="宋体" w:hAnsi="宋体" w:cs="宋体"/>
          <w:color w:val="auto"/>
          <w:kern w:val="0"/>
          <w:szCs w:val="21"/>
        </w:rPr>
        <w:t>系</w:t>
      </w:r>
      <w:r>
        <w:rPr>
          <w:rFonts w:hint="eastAsia" w:ascii="宋体" w:hAnsi="宋体" w:cs="宋体"/>
          <w:color w:val="auto"/>
          <w:kern w:val="0"/>
          <w:szCs w:val="21"/>
          <w:u w:val="single"/>
        </w:rPr>
        <w:t>（磋商单位名称）</w:t>
      </w:r>
      <w:r>
        <w:rPr>
          <w:rFonts w:hint="eastAsia" w:ascii="宋体" w:hAnsi="宋体" w:cs="宋体"/>
          <w:color w:val="auto"/>
          <w:kern w:val="0"/>
          <w:szCs w:val="21"/>
        </w:rPr>
        <w:t>的法定代表人。</w:t>
      </w:r>
    </w:p>
    <w:p>
      <w:pPr>
        <w:autoSpaceDE w:val="0"/>
        <w:autoSpaceDN w:val="0"/>
        <w:adjustRightInd w:val="0"/>
        <w:spacing w:line="480" w:lineRule="auto"/>
        <w:rPr>
          <w:rFonts w:ascii="宋体" w:cs="宋体"/>
          <w:color w:val="auto"/>
          <w:kern w:val="0"/>
          <w:szCs w:val="21"/>
        </w:rPr>
      </w:pPr>
    </w:p>
    <w:p>
      <w:pPr>
        <w:autoSpaceDE w:val="0"/>
        <w:autoSpaceDN w:val="0"/>
        <w:adjustRightInd w:val="0"/>
        <w:spacing w:line="480" w:lineRule="auto"/>
        <w:ind w:firstLine="420" w:firstLineChars="200"/>
        <w:rPr>
          <w:rFonts w:ascii="宋体" w:cs="宋体"/>
          <w:color w:val="auto"/>
          <w:kern w:val="0"/>
          <w:szCs w:val="21"/>
        </w:rPr>
      </w:pPr>
      <w:r>
        <w:rPr>
          <w:rFonts w:hint="eastAsia" w:ascii="宋体" w:hAnsi="宋体" w:cs="宋体"/>
          <w:color w:val="auto"/>
          <w:kern w:val="0"/>
          <w:szCs w:val="21"/>
        </w:rPr>
        <w:t>特此证明。</w:t>
      </w:r>
    </w:p>
    <w:p>
      <w:pPr>
        <w:autoSpaceDE w:val="0"/>
        <w:autoSpaceDN w:val="0"/>
        <w:adjustRightInd w:val="0"/>
        <w:spacing w:line="360" w:lineRule="auto"/>
        <w:jc w:val="left"/>
        <w:rPr>
          <w:rFonts w:ascii="宋体" w:cs="宋体"/>
          <w:color w:val="auto"/>
          <w:kern w:val="0"/>
          <w:szCs w:val="21"/>
        </w:rPr>
      </w:pPr>
    </w:p>
    <w:p>
      <w:pPr>
        <w:autoSpaceDE w:val="0"/>
        <w:autoSpaceDN w:val="0"/>
        <w:adjustRightInd w:val="0"/>
        <w:spacing w:line="360" w:lineRule="auto"/>
        <w:rPr>
          <w:rFonts w:ascii="宋体" w:cs="宋体"/>
          <w:color w:val="auto"/>
          <w:kern w:val="0"/>
          <w:szCs w:val="21"/>
        </w:rPr>
      </w:pPr>
    </w:p>
    <w:p>
      <w:pPr>
        <w:autoSpaceDE w:val="0"/>
        <w:autoSpaceDN w:val="0"/>
        <w:adjustRightInd w:val="0"/>
        <w:spacing w:line="360" w:lineRule="auto"/>
        <w:jc w:val="left"/>
        <w:rPr>
          <w:rFonts w:ascii="宋体" w:cs="宋体"/>
          <w:color w:val="auto"/>
          <w:kern w:val="0"/>
          <w:szCs w:val="21"/>
        </w:rPr>
      </w:pPr>
    </w:p>
    <w:p>
      <w:pPr>
        <w:autoSpaceDE w:val="0"/>
        <w:autoSpaceDN w:val="0"/>
        <w:adjustRightInd w:val="0"/>
        <w:spacing w:line="360" w:lineRule="auto"/>
        <w:jc w:val="left"/>
        <w:outlineLvl w:val="0"/>
        <w:rPr>
          <w:rFonts w:ascii="宋体" w:cs="宋体"/>
          <w:color w:val="auto"/>
          <w:kern w:val="0"/>
          <w:szCs w:val="21"/>
        </w:rPr>
      </w:pPr>
      <w:bookmarkStart w:id="404" w:name="_Toc243584353"/>
      <w:r>
        <w:rPr>
          <w:rFonts w:hint="eastAsia" w:ascii="宋体" w:hAnsi="宋体" w:cs="宋体"/>
          <w:color w:val="auto"/>
          <w:kern w:val="0"/>
          <w:szCs w:val="21"/>
        </w:rPr>
        <w:t>磋商单位：</w:t>
      </w:r>
      <w:bookmarkEnd w:id="404"/>
      <w:r>
        <w:rPr>
          <w:rFonts w:hint="eastAsia" w:ascii="宋体" w:hAnsi="宋体" w:cs="宋体"/>
          <w:color w:val="auto"/>
          <w:kern w:val="0"/>
          <w:szCs w:val="21"/>
          <w:u w:val="single"/>
        </w:rPr>
        <w:t>（盖章）</w:t>
      </w:r>
    </w:p>
    <w:p>
      <w:pPr>
        <w:autoSpaceDE w:val="0"/>
        <w:autoSpaceDN w:val="0"/>
        <w:adjustRightInd w:val="0"/>
        <w:spacing w:line="360" w:lineRule="auto"/>
        <w:jc w:val="left"/>
        <w:rPr>
          <w:rFonts w:ascii="宋体" w:cs="宋体"/>
          <w:color w:val="auto"/>
          <w:kern w:val="0"/>
          <w:szCs w:val="21"/>
        </w:rPr>
      </w:pPr>
    </w:p>
    <w:p>
      <w:pPr>
        <w:autoSpaceDE w:val="0"/>
        <w:autoSpaceDN w:val="0"/>
        <w:adjustRightInd w:val="0"/>
        <w:spacing w:line="360" w:lineRule="auto"/>
        <w:jc w:val="left"/>
        <w:rPr>
          <w:rFonts w:ascii="宋体" w:cs="宋体"/>
          <w:color w:val="auto"/>
          <w:kern w:val="0"/>
          <w:szCs w:val="21"/>
        </w:rPr>
      </w:pPr>
      <w:r>
        <w:rPr>
          <w:rFonts w:hint="eastAsia" w:ascii="宋体" w:hAnsi="宋体" w:cs="宋体"/>
          <w:color w:val="auto"/>
          <w:kern w:val="0"/>
          <w:szCs w:val="21"/>
        </w:rPr>
        <w:t>日期：</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年</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月</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日</w:t>
      </w:r>
    </w:p>
    <w:p>
      <w:pPr>
        <w:autoSpaceDE w:val="0"/>
        <w:autoSpaceDN w:val="0"/>
        <w:adjustRightInd w:val="0"/>
        <w:spacing w:line="360" w:lineRule="auto"/>
        <w:jc w:val="left"/>
        <w:rPr>
          <w:rFonts w:ascii="宋体" w:cs="宋体"/>
          <w:color w:val="auto"/>
          <w:kern w:val="0"/>
          <w:szCs w:val="21"/>
        </w:rPr>
      </w:pPr>
    </w:p>
    <w:p>
      <w:pPr>
        <w:autoSpaceDE w:val="0"/>
        <w:autoSpaceDN w:val="0"/>
        <w:adjustRightInd w:val="0"/>
        <w:spacing w:line="360" w:lineRule="auto"/>
        <w:jc w:val="left"/>
        <w:rPr>
          <w:rFonts w:ascii="宋体" w:cs="宋体"/>
          <w:color w:val="auto"/>
          <w:kern w:val="0"/>
          <w:szCs w:val="21"/>
        </w:rPr>
      </w:pPr>
    </w:p>
    <w:p>
      <w:pPr>
        <w:autoSpaceDE w:val="0"/>
        <w:autoSpaceDN w:val="0"/>
        <w:adjustRightInd w:val="0"/>
        <w:spacing w:line="360" w:lineRule="auto"/>
        <w:jc w:val="left"/>
        <w:rPr>
          <w:rFonts w:ascii="宋体" w:cs="宋体"/>
          <w:color w:val="auto"/>
          <w:kern w:val="0"/>
          <w:szCs w:val="21"/>
          <w:u w:val="single"/>
        </w:rPr>
      </w:pPr>
      <w:r>
        <w:rPr>
          <w:rFonts w:hint="eastAsia" w:ascii="宋体" w:hAnsi="宋体" w:cs="宋体"/>
          <w:color w:val="auto"/>
          <w:kern w:val="0"/>
          <w:szCs w:val="21"/>
          <w:u w:val="single"/>
        </w:rPr>
        <w:t>附：法定代表人身份证正反面复印件及营业执照复印复印件</w:t>
      </w:r>
    </w:p>
    <w:p>
      <w:pPr>
        <w:autoSpaceDE w:val="0"/>
        <w:autoSpaceDN w:val="0"/>
        <w:adjustRightInd w:val="0"/>
        <w:spacing w:line="360" w:lineRule="auto"/>
        <w:ind w:firstLine="420" w:firstLineChars="200"/>
        <w:jc w:val="left"/>
        <w:rPr>
          <w:rFonts w:ascii="宋体" w:cs="宋体"/>
          <w:color w:val="auto"/>
          <w:kern w:val="0"/>
          <w:szCs w:val="21"/>
        </w:rPr>
      </w:pPr>
    </w:p>
    <w:p>
      <w:pPr>
        <w:pStyle w:val="6"/>
        <w:spacing w:line="360" w:lineRule="auto"/>
        <w:jc w:val="center"/>
        <w:rPr>
          <w:rFonts w:ascii="宋体" w:hAnsi="宋体" w:eastAsia="宋体" w:cs="宋体"/>
          <w:color w:val="auto"/>
          <w:sz w:val="21"/>
          <w:szCs w:val="21"/>
        </w:rPr>
      </w:pPr>
      <w:r>
        <w:rPr>
          <w:rFonts w:ascii="宋体" w:hAnsi="宋体" w:eastAsia="宋体" w:cs="宋体"/>
          <w:color w:val="auto"/>
          <w:kern w:val="0"/>
          <w:sz w:val="21"/>
          <w:szCs w:val="21"/>
        </w:rPr>
        <w:br w:type="page"/>
      </w:r>
      <w:bookmarkStart w:id="405" w:name="_Toc243584354"/>
      <w:bookmarkStart w:id="406" w:name="_Toc16775"/>
      <w:bookmarkStart w:id="407" w:name="_Toc14058"/>
      <w:bookmarkStart w:id="408" w:name="_Toc3846"/>
      <w:bookmarkStart w:id="409" w:name="_Toc247292440"/>
      <w:bookmarkStart w:id="410" w:name="_Toc243630957"/>
      <w:bookmarkStart w:id="411" w:name="_Toc255977437"/>
      <w:bookmarkStart w:id="412" w:name="_Toc247301833"/>
      <w:bookmarkStart w:id="413" w:name="_Toc31356"/>
      <w:r>
        <w:rPr>
          <w:rFonts w:hint="eastAsia" w:ascii="宋体" w:hAnsi="宋体" w:eastAsia="宋体" w:cs="宋体"/>
          <w:color w:val="auto"/>
          <w:sz w:val="21"/>
          <w:szCs w:val="21"/>
        </w:rPr>
        <w:t>三、授权书</w:t>
      </w:r>
      <w:bookmarkEnd w:id="405"/>
      <w:r>
        <w:rPr>
          <w:rFonts w:hint="eastAsia" w:ascii="宋体" w:hAnsi="宋体" w:eastAsia="宋体" w:cs="宋体"/>
          <w:color w:val="auto"/>
          <w:sz w:val="21"/>
          <w:szCs w:val="21"/>
        </w:rPr>
        <w:t>及授权代理人的身份证复印件（如无授权时则不需提供）</w:t>
      </w:r>
      <w:bookmarkEnd w:id="406"/>
      <w:bookmarkEnd w:id="407"/>
      <w:bookmarkEnd w:id="408"/>
      <w:bookmarkEnd w:id="409"/>
      <w:bookmarkEnd w:id="410"/>
      <w:bookmarkEnd w:id="411"/>
      <w:bookmarkEnd w:id="412"/>
      <w:bookmarkEnd w:id="413"/>
    </w:p>
    <w:p>
      <w:pPr>
        <w:autoSpaceDE w:val="0"/>
        <w:autoSpaceDN w:val="0"/>
        <w:adjustRightInd w:val="0"/>
        <w:spacing w:line="360" w:lineRule="auto"/>
        <w:ind w:firstLine="420" w:firstLineChars="200"/>
        <w:jc w:val="center"/>
        <w:rPr>
          <w:rFonts w:ascii="宋体" w:cs="宋体"/>
          <w:b/>
          <w:bCs/>
          <w:color w:val="auto"/>
          <w:kern w:val="0"/>
          <w:szCs w:val="21"/>
        </w:rPr>
      </w:pPr>
      <w:r>
        <w:rPr>
          <w:rFonts w:hint="eastAsia" w:ascii="宋体" w:hAnsi="宋体" w:cs="宋体"/>
          <w:b/>
          <w:bCs/>
          <w:color w:val="auto"/>
          <w:kern w:val="0"/>
          <w:szCs w:val="21"/>
        </w:rPr>
        <w:t>授权委托书</w:t>
      </w:r>
    </w:p>
    <w:p>
      <w:pPr>
        <w:autoSpaceDE w:val="0"/>
        <w:autoSpaceDN w:val="0"/>
        <w:adjustRightInd w:val="0"/>
        <w:spacing w:line="600" w:lineRule="auto"/>
        <w:ind w:firstLine="420" w:firstLineChars="200"/>
        <w:rPr>
          <w:rFonts w:ascii="宋体" w:cs="宋体"/>
          <w:color w:val="auto"/>
          <w:kern w:val="0"/>
          <w:szCs w:val="21"/>
        </w:rPr>
      </w:pPr>
    </w:p>
    <w:p>
      <w:pPr>
        <w:autoSpaceDE w:val="0"/>
        <w:autoSpaceDN w:val="0"/>
        <w:adjustRightInd w:val="0"/>
        <w:spacing w:line="600" w:lineRule="auto"/>
        <w:ind w:firstLine="420" w:firstLineChars="200"/>
        <w:rPr>
          <w:rFonts w:ascii="宋体" w:cs="宋体"/>
          <w:color w:val="auto"/>
          <w:kern w:val="0"/>
          <w:szCs w:val="21"/>
        </w:rPr>
      </w:pPr>
      <w:r>
        <w:rPr>
          <w:rFonts w:hint="eastAsia" w:ascii="宋体" w:hAnsi="宋体" w:cs="宋体"/>
          <w:color w:val="auto"/>
          <w:kern w:val="0"/>
          <w:szCs w:val="21"/>
        </w:rPr>
        <w:t>本授权书声明：我</w:t>
      </w:r>
      <w:r>
        <w:rPr>
          <w:rFonts w:hint="eastAsia" w:ascii="宋体" w:hAnsi="宋体" w:cs="宋体"/>
          <w:color w:val="auto"/>
          <w:kern w:val="0"/>
          <w:szCs w:val="21"/>
          <w:u w:val="single"/>
        </w:rPr>
        <w:t>（姓名）</w:t>
      </w:r>
      <w:r>
        <w:rPr>
          <w:rFonts w:hint="eastAsia" w:ascii="宋体" w:hAnsi="宋体" w:cs="宋体"/>
          <w:color w:val="auto"/>
          <w:kern w:val="0"/>
          <w:szCs w:val="21"/>
        </w:rPr>
        <w:t>系</w:t>
      </w:r>
      <w:r>
        <w:rPr>
          <w:rFonts w:hint="eastAsia" w:ascii="宋体" w:hAnsi="宋体" w:cs="宋体"/>
          <w:color w:val="auto"/>
          <w:kern w:val="0"/>
          <w:szCs w:val="21"/>
          <w:u w:val="single"/>
        </w:rPr>
        <w:t>（磋商单位名称）</w:t>
      </w:r>
      <w:r>
        <w:rPr>
          <w:rFonts w:hint="eastAsia" w:ascii="宋体" w:hAnsi="宋体" w:cs="宋体"/>
          <w:color w:val="auto"/>
          <w:kern w:val="0"/>
          <w:szCs w:val="21"/>
        </w:rPr>
        <w:t>的法定代表人，现授权</w:t>
      </w:r>
      <w:r>
        <w:rPr>
          <w:rFonts w:hint="eastAsia" w:ascii="宋体" w:hAnsi="宋体" w:cs="宋体"/>
          <w:color w:val="auto"/>
          <w:kern w:val="0"/>
          <w:szCs w:val="21"/>
          <w:u w:val="single"/>
        </w:rPr>
        <w:t>（姓名）</w:t>
      </w:r>
      <w:r>
        <w:rPr>
          <w:rFonts w:hint="eastAsia" w:ascii="宋体" w:hAnsi="宋体" w:cs="宋体"/>
          <w:color w:val="auto"/>
          <w:kern w:val="0"/>
          <w:szCs w:val="21"/>
        </w:rPr>
        <w:t>为我公司代理人，以本公司名义参加</w:t>
      </w:r>
      <w:r>
        <w:rPr>
          <w:rFonts w:hint="eastAsia" w:ascii="宋体" w:hAnsi="宋体" w:cs="宋体"/>
          <w:color w:val="auto"/>
          <w:kern w:val="0"/>
          <w:szCs w:val="21"/>
          <w:u w:val="single"/>
        </w:rPr>
        <w:t>（采购人名称）</w:t>
      </w:r>
      <w:r>
        <w:rPr>
          <w:rFonts w:hint="eastAsia" w:ascii="宋体" w:hAnsi="宋体" w:cs="宋体"/>
          <w:color w:val="auto"/>
          <w:kern w:val="0"/>
          <w:szCs w:val="21"/>
        </w:rPr>
        <w:t>的</w:t>
      </w:r>
      <w:r>
        <w:rPr>
          <w:rFonts w:hint="eastAsia" w:ascii="宋体" w:hAnsi="宋体" w:cs="宋体"/>
          <w:color w:val="auto"/>
          <w:kern w:val="0"/>
          <w:szCs w:val="21"/>
          <w:u w:val="single"/>
        </w:rPr>
        <w:t>（工程名称）</w:t>
      </w:r>
      <w:r>
        <w:rPr>
          <w:rFonts w:hint="eastAsia" w:ascii="宋体" w:hAnsi="宋体" w:cs="宋体"/>
          <w:color w:val="auto"/>
          <w:kern w:val="0"/>
          <w:szCs w:val="21"/>
        </w:rPr>
        <w:t>的竞标活动。代理人在竞标和合同谈判过程中所签署的一切文件和处理与之有关的一切事务，我均予以承认。</w:t>
      </w:r>
    </w:p>
    <w:p>
      <w:pPr>
        <w:autoSpaceDE w:val="0"/>
        <w:autoSpaceDN w:val="0"/>
        <w:adjustRightInd w:val="0"/>
        <w:spacing w:line="600" w:lineRule="auto"/>
        <w:jc w:val="left"/>
        <w:rPr>
          <w:rFonts w:ascii="宋体" w:cs="宋体"/>
          <w:color w:val="auto"/>
          <w:kern w:val="0"/>
          <w:szCs w:val="21"/>
          <w:u w:val="single"/>
        </w:rPr>
      </w:pPr>
      <w:bookmarkStart w:id="414" w:name="_Toc243584355"/>
      <w:r>
        <w:rPr>
          <w:rFonts w:hint="eastAsia" w:ascii="宋体" w:hAnsi="宋体" w:cs="宋体"/>
          <w:color w:val="auto"/>
          <w:kern w:val="0"/>
          <w:szCs w:val="21"/>
        </w:rPr>
        <w:t>本授权书有效期为</w:t>
      </w:r>
      <w:r>
        <w:rPr>
          <w:rFonts w:hint="eastAsia" w:ascii="宋体" w:hAnsi="宋体" w:cs="宋体"/>
          <w:color w:val="auto"/>
          <w:kern w:val="0"/>
          <w:szCs w:val="21"/>
          <w:u w:val="single"/>
        </w:rPr>
        <w:t>：</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single"/>
        </w:rPr>
        <w:t>年</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single"/>
        </w:rPr>
        <w:t>月</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single"/>
        </w:rPr>
        <w:t>日至</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single"/>
        </w:rPr>
        <w:t>年</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single"/>
        </w:rPr>
        <w:t>月</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single"/>
        </w:rPr>
        <w:t>日</w:t>
      </w:r>
    </w:p>
    <w:p>
      <w:pPr>
        <w:autoSpaceDE w:val="0"/>
        <w:autoSpaceDN w:val="0"/>
        <w:adjustRightInd w:val="0"/>
        <w:spacing w:line="600" w:lineRule="auto"/>
        <w:jc w:val="left"/>
        <w:outlineLvl w:val="0"/>
        <w:rPr>
          <w:rFonts w:ascii="宋体" w:cs="宋体"/>
          <w:color w:val="auto"/>
          <w:kern w:val="0"/>
          <w:szCs w:val="21"/>
        </w:rPr>
      </w:pPr>
    </w:p>
    <w:p>
      <w:pPr>
        <w:autoSpaceDE w:val="0"/>
        <w:autoSpaceDN w:val="0"/>
        <w:adjustRightInd w:val="0"/>
        <w:spacing w:line="600" w:lineRule="auto"/>
        <w:ind w:firstLine="105" w:firstLineChars="50"/>
        <w:jc w:val="left"/>
        <w:outlineLvl w:val="0"/>
        <w:rPr>
          <w:rFonts w:ascii="宋体" w:cs="宋体"/>
          <w:color w:val="auto"/>
          <w:kern w:val="0"/>
          <w:szCs w:val="21"/>
        </w:rPr>
      </w:pPr>
      <w:r>
        <w:rPr>
          <w:rFonts w:hint="eastAsia" w:ascii="宋体" w:hAnsi="宋体" w:cs="宋体"/>
          <w:color w:val="auto"/>
          <w:kern w:val="0"/>
          <w:szCs w:val="21"/>
        </w:rPr>
        <w:t>代理人无转委权。特此授权。</w:t>
      </w:r>
      <w:bookmarkEnd w:id="414"/>
    </w:p>
    <w:p>
      <w:pPr>
        <w:autoSpaceDE w:val="0"/>
        <w:autoSpaceDN w:val="0"/>
        <w:adjustRightInd w:val="0"/>
        <w:spacing w:line="600" w:lineRule="auto"/>
        <w:jc w:val="left"/>
        <w:rPr>
          <w:rFonts w:ascii="宋体" w:cs="宋体"/>
          <w:color w:val="auto"/>
          <w:kern w:val="0"/>
          <w:szCs w:val="21"/>
        </w:rPr>
      </w:pPr>
    </w:p>
    <w:p>
      <w:pPr>
        <w:autoSpaceDE w:val="0"/>
        <w:autoSpaceDN w:val="0"/>
        <w:adjustRightInd w:val="0"/>
        <w:spacing w:line="600" w:lineRule="auto"/>
        <w:ind w:firstLine="420" w:firstLineChars="200"/>
        <w:jc w:val="left"/>
        <w:rPr>
          <w:rFonts w:ascii="宋体" w:cs="宋体"/>
          <w:color w:val="auto"/>
          <w:kern w:val="0"/>
          <w:szCs w:val="21"/>
          <w:u w:val="single"/>
        </w:rPr>
      </w:pPr>
      <w:r>
        <w:rPr>
          <w:rFonts w:hint="eastAsia" w:ascii="宋体" w:hAnsi="宋体" w:cs="宋体"/>
          <w:color w:val="auto"/>
          <w:kern w:val="0"/>
          <w:szCs w:val="21"/>
        </w:rPr>
        <w:t>代理人（签字）：</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rPr>
        <w:t>性别：</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rPr>
        <w:t>年龄：</w:t>
      </w:r>
      <w:r>
        <w:rPr>
          <w:rFonts w:hint="eastAsia" w:ascii="宋体" w:hAnsi="宋体" w:cs="宋体"/>
          <w:color w:val="auto"/>
          <w:kern w:val="0"/>
          <w:szCs w:val="21"/>
          <w:u w:val="single"/>
          <w:lang w:val="en-US" w:eastAsia="zh-CN"/>
        </w:rPr>
        <w:t xml:space="preserve">            </w:t>
      </w:r>
    </w:p>
    <w:p>
      <w:pPr>
        <w:autoSpaceDE w:val="0"/>
        <w:autoSpaceDN w:val="0"/>
        <w:adjustRightInd w:val="0"/>
        <w:spacing w:line="600" w:lineRule="auto"/>
        <w:ind w:firstLine="420" w:firstLineChars="200"/>
        <w:jc w:val="left"/>
        <w:rPr>
          <w:rFonts w:hint="default" w:ascii="宋体" w:eastAsia="宋体" w:cs="宋体"/>
          <w:color w:val="auto"/>
          <w:kern w:val="0"/>
          <w:szCs w:val="21"/>
          <w:u w:val="single"/>
          <w:lang w:val="en-US" w:eastAsia="zh-CN"/>
        </w:rPr>
      </w:pPr>
      <w:r>
        <w:rPr>
          <w:rFonts w:hint="eastAsia" w:ascii="宋体" w:hAnsi="宋体" w:cs="宋体"/>
          <w:color w:val="auto"/>
          <w:kern w:val="0"/>
          <w:szCs w:val="21"/>
        </w:rPr>
        <w:t>身份证号码：</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rPr>
        <w:t>联系电话：</w:t>
      </w:r>
      <w:r>
        <w:rPr>
          <w:rFonts w:hint="eastAsia" w:ascii="宋体" w:hAnsi="宋体" w:cs="宋体"/>
          <w:color w:val="auto"/>
          <w:kern w:val="0"/>
          <w:szCs w:val="21"/>
          <w:u w:val="single"/>
          <w:lang w:val="en-US" w:eastAsia="zh-CN"/>
        </w:rPr>
        <w:t xml:space="preserve">             </w:t>
      </w:r>
    </w:p>
    <w:p>
      <w:pPr>
        <w:autoSpaceDE w:val="0"/>
        <w:autoSpaceDN w:val="0"/>
        <w:adjustRightInd w:val="0"/>
        <w:spacing w:line="600" w:lineRule="auto"/>
        <w:ind w:firstLine="420" w:firstLineChars="200"/>
        <w:jc w:val="left"/>
        <w:outlineLvl w:val="0"/>
        <w:rPr>
          <w:rFonts w:ascii="宋体" w:cs="宋体"/>
          <w:color w:val="auto"/>
          <w:kern w:val="0"/>
          <w:szCs w:val="21"/>
        </w:rPr>
      </w:pPr>
      <w:bookmarkStart w:id="415" w:name="_Toc243584356"/>
      <w:r>
        <w:rPr>
          <w:rFonts w:hint="eastAsia" w:ascii="宋体" w:hAnsi="宋体" w:cs="宋体"/>
          <w:color w:val="auto"/>
          <w:kern w:val="0"/>
          <w:szCs w:val="21"/>
        </w:rPr>
        <w:t>磋商单位</w:t>
      </w:r>
      <w:r>
        <w:rPr>
          <w:rFonts w:hint="eastAsia" w:ascii="宋体" w:hAnsi="宋体" w:cs="宋体"/>
          <w:color w:val="auto"/>
          <w:kern w:val="0"/>
          <w:szCs w:val="21"/>
          <w:u w:val="single"/>
        </w:rPr>
        <w:t>：</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single"/>
        </w:rPr>
        <w:t>（盖章）</w:t>
      </w:r>
      <w:bookmarkEnd w:id="415"/>
    </w:p>
    <w:p>
      <w:pPr>
        <w:autoSpaceDE w:val="0"/>
        <w:autoSpaceDN w:val="0"/>
        <w:adjustRightInd w:val="0"/>
        <w:spacing w:line="600" w:lineRule="auto"/>
        <w:ind w:firstLine="420" w:firstLineChars="200"/>
        <w:jc w:val="left"/>
        <w:outlineLvl w:val="0"/>
        <w:rPr>
          <w:rFonts w:ascii="宋体" w:cs="宋体"/>
          <w:color w:val="auto"/>
          <w:kern w:val="0"/>
          <w:szCs w:val="21"/>
        </w:rPr>
      </w:pPr>
      <w:bookmarkStart w:id="416" w:name="_Toc243584357"/>
      <w:r>
        <w:rPr>
          <w:rFonts w:hint="eastAsia" w:ascii="宋体" w:hAnsi="宋体" w:cs="宋体"/>
          <w:color w:val="auto"/>
          <w:kern w:val="0"/>
          <w:szCs w:val="21"/>
        </w:rPr>
        <w:t>法定代表人</w:t>
      </w:r>
      <w:r>
        <w:rPr>
          <w:rFonts w:hint="eastAsia" w:ascii="宋体" w:hAnsi="宋体" w:cs="宋体"/>
          <w:color w:val="auto"/>
          <w:kern w:val="0"/>
          <w:szCs w:val="21"/>
          <w:u w:val="single"/>
        </w:rPr>
        <w:t>：</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single"/>
        </w:rPr>
        <w:t>（签字或盖章）</w:t>
      </w:r>
      <w:bookmarkEnd w:id="416"/>
    </w:p>
    <w:p>
      <w:pPr>
        <w:autoSpaceDE w:val="0"/>
        <w:autoSpaceDN w:val="0"/>
        <w:adjustRightInd w:val="0"/>
        <w:spacing w:line="600" w:lineRule="auto"/>
        <w:ind w:firstLine="420" w:firstLineChars="200"/>
        <w:jc w:val="left"/>
        <w:rPr>
          <w:rFonts w:ascii="宋体" w:cs="宋体"/>
          <w:color w:val="auto"/>
          <w:kern w:val="0"/>
          <w:szCs w:val="21"/>
        </w:rPr>
      </w:pPr>
      <w:r>
        <w:rPr>
          <w:rFonts w:hint="eastAsia" w:ascii="宋体" w:hAnsi="宋体" w:cs="宋体"/>
          <w:color w:val="auto"/>
          <w:kern w:val="0"/>
          <w:szCs w:val="21"/>
        </w:rPr>
        <w:t>日期：</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年</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月</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日</w:t>
      </w:r>
    </w:p>
    <w:p>
      <w:pPr>
        <w:autoSpaceDE w:val="0"/>
        <w:autoSpaceDN w:val="0"/>
        <w:adjustRightInd w:val="0"/>
        <w:spacing w:line="360" w:lineRule="auto"/>
        <w:jc w:val="left"/>
        <w:rPr>
          <w:rFonts w:ascii="宋体" w:cs="宋体"/>
          <w:color w:val="auto"/>
          <w:kern w:val="0"/>
          <w:szCs w:val="21"/>
        </w:rPr>
      </w:pPr>
    </w:p>
    <w:p>
      <w:pPr>
        <w:autoSpaceDE w:val="0"/>
        <w:autoSpaceDN w:val="0"/>
        <w:adjustRightInd w:val="0"/>
        <w:spacing w:line="360" w:lineRule="auto"/>
        <w:jc w:val="left"/>
        <w:rPr>
          <w:rFonts w:ascii="宋体" w:cs="宋体"/>
          <w:color w:val="auto"/>
          <w:kern w:val="0"/>
          <w:szCs w:val="21"/>
        </w:rPr>
      </w:pPr>
    </w:p>
    <w:p>
      <w:pPr>
        <w:autoSpaceDE w:val="0"/>
        <w:autoSpaceDN w:val="0"/>
        <w:adjustRightInd w:val="0"/>
        <w:spacing w:line="360" w:lineRule="auto"/>
        <w:jc w:val="left"/>
        <w:rPr>
          <w:rFonts w:ascii="宋体" w:cs="宋体"/>
          <w:color w:val="auto"/>
          <w:kern w:val="0"/>
          <w:szCs w:val="21"/>
          <w:u w:val="dash"/>
        </w:rPr>
      </w:pPr>
    </w:p>
    <w:bookmarkEnd w:id="391"/>
    <w:bookmarkEnd w:id="392"/>
    <w:bookmarkEnd w:id="393"/>
    <w:p>
      <w:pPr>
        <w:tabs>
          <w:tab w:val="left" w:pos="826"/>
          <w:tab w:val="left" w:pos="900"/>
        </w:tabs>
        <w:adjustRightInd w:val="0"/>
        <w:spacing w:line="360" w:lineRule="auto"/>
        <w:ind w:left="359" w:leftChars="171" w:firstLine="105" w:firstLineChars="50"/>
        <w:textAlignment w:val="baseline"/>
        <w:rPr>
          <w:rFonts w:ascii="宋体" w:hAnsi="宋体" w:cs="宋体"/>
          <w:b/>
          <w:color w:val="auto"/>
          <w:szCs w:val="21"/>
        </w:rPr>
      </w:pPr>
    </w:p>
    <w:p>
      <w:pPr>
        <w:tabs>
          <w:tab w:val="left" w:pos="826"/>
          <w:tab w:val="left" w:pos="900"/>
        </w:tabs>
        <w:adjustRightInd w:val="0"/>
        <w:spacing w:line="360" w:lineRule="auto"/>
        <w:ind w:left="359" w:leftChars="171" w:firstLine="105" w:firstLineChars="50"/>
        <w:textAlignment w:val="baseline"/>
        <w:rPr>
          <w:rFonts w:ascii="宋体" w:hAnsi="宋体" w:cs="宋体"/>
          <w:b/>
          <w:color w:val="auto"/>
          <w:szCs w:val="21"/>
        </w:rPr>
      </w:pPr>
    </w:p>
    <w:p>
      <w:pPr>
        <w:pStyle w:val="2"/>
        <w:rPr>
          <w:rFonts w:ascii="宋体" w:hAnsi="宋体" w:cs="宋体"/>
          <w:b/>
          <w:color w:val="auto"/>
          <w:sz w:val="21"/>
          <w:szCs w:val="21"/>
        </w:rPr>
      </w:pPr>
    </w:p>
    <w:p>
      <w:pPr>
        <w:pStyle w:val="2"/>
        <w:rPr>
          <w:rFonts w:ascii="宋体" w:hAnsi="宋体" w:cs="宋体"/>
          <w:b/>
          <w:color w:val="auto"/>
          <w:sz w:val="21"/>
          <w:szCs w:val="21"/>
        </w:rPr>
      </w:pPr>
    </w:p>
    <w:p>
      <w:pPr>
        <w:tabs>
          <w:tab w:val="left" w:pos="826"/>
          <w:tab w:val="left" w:pos="900"/>
        </w:tabs>
        <w:adjustRightInd w:val="0"/>
        <w:spacing w:line="480" w:lineRule="auto"/>
        <w:ind w:left="359" w:leftChars="171" w:firstLine="105" w:firstLineChars="50"/>
        <w:textAlignment w:val="baseline"/>
        <w:rPr>
          <w:rFonts w:ascii="宋体" w:hAnsi="宋体" w:cs="宋体"/>
          <w:b/>
          <w:color w:val="auto"/>
          <w:szCs w:val="21"/>
        </w:rPr>
      </w:pPr>
      <w:r>
        <w:rPr>
          <w:rFonts w:hint="eastAsia" w:ascii="宋体" w:hAnsi="宋体" w:cs="宋体"/>
          <w:b/>
          <w:color w:val="auto"/>
          <w:szCs w:val="21"/>
        </w:rPr>
        <w:t>四、有效的企业资质证书复印件；</w:t>
      </w:r>
    </w:p>
    <w:p>
      <w:pPr>
        <w:tabs>
          <w:tab w:val="left" w:pos="826"/>
        </w:tabs>
        <w:spacing w:line="480" w:lineRule="auto"/>
        <w:ind w:firstLine="420" w:firstLineChars="200"/>
        <w:rPr>
          <w:rFonts w:ascii="宋体" w:hAnsi="宋体" w:cs="宋体"/>
          <w:b/>
          <w:color w:val="auto"/>
          <w:szCs w:val="21"/>
        </w:rPr>
      </w:pPr>
      <w:r>
        <w:rPr>
          <w:rFonts w:hint="eastAsia" w:ascii="宋体" w:hAnsi="宋体" w:cs="宋体"/>
          <w:b/>
          <w:color w:val="auto"/>
          <w:szCs w:val="21"/>
        </w:rPr>
        <w:t>五、</w:t>
      </w:r>
      <w:r>
        <w:rPr>
          <w:rFonts w:hint="eastAsia" w:ascii="宋体" w:hAnsi="宋体" w:cs="宋体"/>
          <w:b/>
          <w:color w:val="auto"/>
          <w:szCs w:val="21"/>
          <w:lang w:eastAsia="zh-CN"/>
        </w:rPr>
        <w:t>有效的营业执照副本复印件</w:t>
      </w:r>
      <w:r>
        <w:rPr>
          <w:rFonts w:hint="eastAsia" w:ascii="宋体" w:hAnsi="宋体" w:cs="宋体"/>
          <w:b/>
          <w:color w:val="auto"/>
          <w:szCs w:val="21"/>
        </w:rPr>
        <w:t>；</w:t>
      </w:r>
    </w:p>
    <w:p>
      <w:pPr>
        <w:spacing w:line="480" w:lineRule="auto"/>
        <w:ind w:left="126" w:leftChars="60" w:firstLine="315" w:firstLineChars="150"/>
        <w:rPr>
          <w:rFonts w:hint="eastAsia" w:ascii="宋体" w:hAnsi="宋体" w:eastAsia="宋体" w:cs="宋体"/>
          <w:b/>
          <w:color w:val="auto"/>
          <w:szCs w:val="21"/>
          <w:lang w:eastAsia="zh-CN"/>
        </w:rPr>
      </w:pPr>
      <w:r>
        <w:rPr>
          <w:rFonts w:hint="eastAsia" w:ascii="宋体" w:hAnsi="宋体" w:cs="宋体"/>
          <w:b/>
          <w:color w:val="auto"/>
          <w:szCs w:val="21"/>
        </w:rPr>
        <w:t>六、</w:t>
      </w:r>
      <w:r>
        <w:rPr>
          <w:rFonts w:hint="eastAsia" w:ascii="宋体" w:hAnsi="宋体" w:cs="宋体"/>
          <w:b/>
          <w:color w:val="auto"/>
          <w:szCs w:val="21"/>
          <w:lang w:eastAsia="zh-CN"/>
        </w:rPr>
        <w:t>有效的安全生产许可证副本复印件</w:t>
      </w:r>
    </w:p>
    <w:p>
      <w:pPr>
        <w:spacing w:line="480" w:lineRule="auto"/>
        <w:ind w:firstLine="420" w:firstLineChars="200"/>
        <w:rPr>
          <w:rFonts w:ascii="宋体" w:hAnsi="宋体" w:cs="宋体"/>
          <w:b/>
          <w:color w:val="auto"/>
          <w:szCs w:val="21"/>
        </w:rPr>
      </w:pPr>
      <w:r>
        <w:rPr>
          <w:rFonts w:hint="eastAsia" w:ascii="宋体" w:hAnsi="宋体" w:cs="宋体"/>
          <w:b/>
          <w:color w:val="auto"/>
          <w:szCs w:val="21"/>
          <w:lang w:eastAsia="zh-CN"/>
        </w:rPr>
        <w:t>七</w:t>
      </w:r>
      <w:r>
        <w:rPr>
          <w:rFonts w:hint="eastAsia" w:ascii="宋体" w:hAnsi="宋体" w:cs="宋体"/>
          <w:b/>
          <w:color w:val="auto"/>
          <w:szCs w:val="21"/>
        </w:rPr>
        <w:t>、</w:t>
      </w:r>
      <w:r>
        <w:rPr>
          <w:rFonts w:hint="eastAsia" w:ascii="宋体" w:hAnsi="宋体" w:cs="宋体"/>
          <w:b/>
          <w:color w:val="auto"/>
          <w:szCs w:val="21"/>
          <w:lang w:eastAsia="zh-CN"/>
        </w:rPr>
        <w:t>本工程项目经理的注册建造师资格证复印件</w:t>
      </w:r>
      <w:r>
        <w:rPr>
          <w:rFonts w:hint="eastAsia" w:ascii="宋体" w:hAnsi="宋体" w:cs="宋体"/>
          <w:b/>
          <w:color w:val="auto"/>
          <w:szCs w:val="21"/>
        </w:rPr>
        <w:t xml:space="preserve">和安全生产考核合格证B证复印件； </w:t>
      </w:r>
    </w:p>
    <w:p>
      <w:pPr>
        <w:spacing w:line="480" w:lineRule="auto"/>
        <w:ind w:firstLine="420" w:firstLineChars="200"/>
        <w:rPr>
          <w:rFonts w:ascii="宋体" w:hAnsi="宋体" w:cs="宋体"/>
          <w:b/>
          <w:color w:val="auto"/>
          <w:szCs w:val="21"/>
        </w:rPr>
      </w:pPr>
      <w:r>
        <w:rPr>
          <w:rFonts w:hint="eastAsia" w:ascii="宋体" w:hAnsi="宋体" w:cs="宋体"/>
          <w:b/>
          <w:color w:val="auto"/>
          <w:szCs w:val="21"/>
          <w:lang w:eastAsia="zh-CN"/>
        </w:rPr>
        <w:t>八</w:t>
      </w:r>
      <w:r>
        <w:rPr>
          <w:rFonts w:hint="eastAsia" w:ascii="宋体" w:hAnsi="宋体" w:cs="宋体"/>
          <w:b/>
          <w:color w:val="auto"/>
          <w:szCs w:val="21"/>
        </w:rPr>
        <w:t>、</w:t>
      </w:r>
      <w:r>
        <w:rPr>
          <w:rFonts w:hint="eastAsia" w:ascii="宋体" w:hAnsi="宋体" w:cs="宋体"/>
          <w:b/>
          <w:color w:val="auto"/>
          <w:szCs w:val="21"/>
          <w:lang w:eastAsia="zh-CN"/>
        </w:rPr>
        <w:t>竞标截止前一年内磋商单位连续三个月依法缴纳社保证明复印件和依法缴纳税费或依法免缴税费的证明复印件</w:t>
      </w:r>
      <w:r>
        <w:rPr>
          <w:rFonts w:hint="eastAsia" w:ascii="宋体" w:hAnsi="宋体" w:cs="宋体"/>
          <w:b/>
          <w:color w:val="auto"/>
          <w:szCs w:val="21"/>
        </w:rPr>
        <w:t>；</w:t>
      </w:r>
    </w:p>
    <w:p>
      <w:pPr>
        <w:spacing w:line="480" w:lineRule="auto"/>
        <w:ind w:firstLine="525" w:firstLineChars="250"/>
        <w:rPr>
          <w:rFonts w:ascii="宋体" w:hAnsi="宋体" w:cs="宋体"/>
          <w:b/>
          <w:color w:val="auto"/>
          <w:szCs w:val="21"/>
        </w:rPr>
      </w:pPr>
      <w:r>
        <w:rPr>
          <w:rFonts w:hint="eastAsia" w:ascii="宋体" w:hAnsi="宋体" w:cs="宋体"/>
          <w:b/>
          <w:color w:val="auto"/>
          <w:szCs w:val="21"/>
          <w:lang w:eastAsia="zh-CN"/>
        </w:rPr>
        <w:t>九</w:t>
      </w:r>
      <w:r>
        <w:rPr>
          <w:rFonts w:hint="eastAsia" w:ascii="宋体" w:hAnsi="宋体" w:cs="宋体"/>
          <w:b/>
          <w:color w:val="auto"/>
          <w:szCs w:val="21"/>
        </w:rPr>
        <w:t>、</w:t>
      </w:r>
      <w:r>
        <w:rPr>
          <w:rFonts w:hint="eastAsia" w:ascii="宋体" w:hAnsi="宋体" w:cs="宋体"/>
          <w:b/>
          <w:color w:val="auto"/>
          <w:szCs w:val="21"/>
          <w:lang w:eastAsia="zh-CN"/>
        </w:rPr>
        <w:t>投标人参加本次采购活动前三年内在经营活动中没有重大违法记录和不良信用记录的书面声明原件（格式自拟。必须提供）；</w:t>
      </w:r>
      <w:r>
        <w:rPr>
          <w:rFonts w:hint="eastAsia" w:ascii="宋体" w:hAnsi="宋体" w:cs="宋体"/>
          <w:b/>
          <w:color w:val="auto"/>
          <w:szCs w:val="21"/>
        </w:rPr>
        <w:t>；</w:t>
      </w:r>
    </w:p>
    <w:p>
      <w:pPr>
        <w:spacing w:line="480" w:lineRule="auto"/>
        <w:ind w:firstLine="420" w:firstLineChars="200"/>
        <w:rPr>
          <w:rFonts w:ascii="宋体" w:hAnsi="宋体" w:cs="宋体"/>
          <w:b/>
          <w:color w:val="auto"/>
          <w:szCs w:val="21"/>
        </w:rPr>
      </w:pPr>
      <w:r>
        <w:rPr>
          <w:rFonts w:hint="eastAsia" w:ascii="宋体" w:hAnsi="宋体" w:cs="宋体"/>
          <w:color w:val="auto"/>
          <w:szCs w:val="21"/>
        </w:rPr>
        <w:t>十、</w:t>
      </w:r>
      <w:r>
        <w:rPr>
          <w:rFonts w:hint="eastAsia" w:ascii="宋体" w:hAnsi="宋体" w:cs="宋体"/>
          <w:b/>
          <w:color w:val="auto"/>
          <w:szCs w:val="21"/>
          <w:lang w:eastAsia="zh-CN"/>
        </w:rPr>
        <w:t>磋商单位2020年年度的财务报表复印件</w:t>
      </w:r>
      <w:r>
        <w:rPr>
          <w:rFonts w:hint="eastAsia" w:ascii="宋体" w:hAnsi="宋体" w:cs="宋体"/>
          <w:b/>
          <w:color w:val="auto"/>
          <w:szCs w:val="21"/>
        </w:rPr>
        <w:t>；（</w:t>
      </w:r>
      <w:r>
        <w:rPr>
          <w:rFonts w:hint="eastAsia" w:ascii="宋体" w:hAnsi="宋体" w:cs="宋体"/>
          <w:b/>
          <w:color w:val="auto"/>
          <w:szCs w:val="21"/>
          <w:lang w:eastAsia="zh-CN"/>
        </w:rPr>
        <w:t>若为新成立的企业，可根据实际情况提供成立之日起至投标截前一个月的财务报告</w:t>
      </w:r>
      <w:r>
        <w:rPr>
          <w:rFonts w:hint="eastAsia" w:ascii="宋体" w:hAnsi="宋体" w:cs="宋体"/>
          <w:b/>
          <w:color w:val="auto"/>
          <w:szCs w:val="21"/>
        </w:rPr>
        <w:t>）</w:t>
      </w:r>
    </w:p>
    <w:p>
      <w:pPr>
        <w:spacing w:line="480" w:lineRule="auto"/>
        <w:ind w:left="126" w:leftChars="60" w:firstLine="298" w:firstLineChars="142"/>
        <w:rPr>
          <w:rFonts w:ascii="宋体" w:hAnsi="宋体" w:cs="宋体"/>
          <w:b/>
          <w:color w:val="auto"/>
          <w:szCs w:val="21"/>
        </w:rPr>
      </w:pPr>
    </w:p>
    <w:p>
      <w:pPr>
        <w:spacing w:line="360" w:lineRule="auto"/>
        <w:ind w:left="126" w:leftChars="60" w:firstLine="298" w:firstLineChars="142"/>
        <w:rPr>
          <w:rFonts w:ascii="宋体" w:hAnsi="宋体" w:cs="宋体"/>
          <w:b/>
          <w:color w:val="auto"/>
          <w:szCs w:val="21"/>
        </w:rPr>
      </w:pPr>
    </w:p>
    <w:p>
      <w:pPr>
        <w:pStyle w:val="2"/>
        <w:rPr>
          <w:rFonts w:ascii="宋体" w:hAnsi="宋体" w:cs="宋体"/>
          <w:b/>
          <w:color w:val="auto"/>
          <w:sz w:val="21"/>
          <w:szCs w:val="21"/>
        </w:rPr>
      </w:pPr>
    </w:p>
    <w:p>
      <w:pPr>
        <w:pStyle w:val="2"/>
        <w:rPr>
          <w:rFonts w:ascii="宋体" w:hAnsi="宋体" w:cs="宋体"/>
          <w:b/>
          <w:color w:val="auto"/>
          <w:sz w:val="21"/>
          <w:szCs w:val="21"/>
        </w:rPr>
      </w:pPr>
    </w:p>
    <w:p>
      <w:pPr>
        <w:pStyle w:val="2"/>
        <w:rPr>
          <w:rFonts w:ascii="宋体" w:hAnsi="宋体" w:cs="宋体"/>
          <w:b/>
          <w:color w:val="auto"/>
          <w:sz w:val="21"/>
          <w:szCs w:val="21"/>
        </w:rPr>
      </w:pPr>
    </w:p>
    <w:p>
      <w:pPr>
        <w:pStyle w:val="2"/>
        <w:rPr>
          <w:rFonts w:ascii="宋体" w:hAnsi="宋体" w:cs="宋体"/>
          <w:b/>
          <w:color w:val="auto"/>
          <w:sz w:val="21"/>
          <w:szCs w:val="21"/>
        </w:rPr>
      </w:pPr>
    </w:p>
    <w:p>
      <w:pPr>
        <w:pStyle w:val="2"/>
        <w:rPr>
          <w:rFonts w:ascii="宋体" w:hAnsi="宋体" w:cs="宋体"/>
          <w:b/>
          <w:color w:val="auto"/>
          <w:sz w:val="21"/>
          <w:szCs w:val="21"/>
        </w:rPr>
      </w:pPr>
    </w:p>
    <w:p>
      <w:pPr>
        <w:pStyle w:val="2"/>
        <w:rPr>
          <w:rFonts w:ascii="宋体" w:hAnsi="宋体" w:cs="宋体"/>
          <w:b/>
          <w:color w:val="auto"/>
          <w:sz w:val="21"/>
          <w:szCs w:val="21"/>
        </w:rPr>
      </w:pPr>
    </w:p>
    <w:p>
      <w:pPr>
        <w:pStyle w:val="2"/>
        <w:rPr>
          <w:rFonts w:ascii="宋体" w:hAnsi="宋体" w:cs="宋体"/>
          <w:b/>
          <w:color w:val="auto"/>
          <w:sz w:val="21"/>
          <w:szCs w:val="21"/>
        </w:rPr>
      </w:pPr>
    </w:p>
    <w:p>
      <w:pPr>
        <w:pStyle w:val="2"/>
        <w:rPr>
          <w:rFonts w:ascii="宋体" w:hAnsi="宋体" w:cs="宋体"/>
          <w:b/>
          <w:color w:val="auto"/>
          <w:sz w:val="21"/>
          <w:szCs w:val="21"/>
        </w:rPr>
      </w:pPr>
    </w:p>
    <w:p>
      <w:pPr>
        <w:pStyle w:val="2"/>
        <w:rPr>
          <w:rFonts w:ascii="宋体" w:hAnsi="宋体" w:cs="宋体"/>
          <w:b/>
          <w:color w:val="auto"/>
          <w:sz w:val="21"/>
          <w:szCs w:val="21"/>
        </w:rPr>
      </w:pPr>
    </w:p>
    <w:p>
      <w:pPr>
        <w:pStyle w:val="2"/>
        <w:rPr>
          <w:rFonts w:ascii="宋体" w:hAnsi="宋体" w:cs="宋体"/>
          <w:b/>
          <w:color w:val="auto"/>
          <w:sz w:val="21"/>
          <w:szCs w:val="21"/>
        </w:rPr>
      </w:pPr>
    </w:p>
    <w:p>
      <w:pPr>
        <w:pStyle w:val="2"/>
        <w:rPr>
          <w:rFonts w:ascii="宋体" w:hAnsi="宋体" w:cs="宋体"/>
          <w:b/>
          <w:color w:val="auto"/>
          <w:sz w:val="21"/>
          <w:szCs w:val="21"/>
        </w:rPr>
      </w:pPr>
    </w:p>
    <w:p>
      <w:pPr>
        <w:pStyle w:val="2"/>
        <w:rPr>
          <w:rFonts w:ascii="宋体" w:hAnsi="宋体" w:cs="宋体"/>
          <w:b/>
          <w:color w:val="auto"/>
          <w:sz w:val="21"/>
          <w:szCs w:val="21"/>
        </w:rPr>
      </w:pPr>
    </w:p>
    <w:p>
      <w:pPr>
        <w:pStyle w:val="2"/>
        <w:rPr>
          <w:rFonts w:ascii="宋体" w:hAnsi="宋体" w:cs="宋体"/>
          <w:b/>
          <w:color w:val="auto"/>
          <w:sz w:val="21"/>
          <w:szCs w:val="21"/>
        </w:rPr>
      </w:pPr>
    </w:p>
    <w:p>
      <w:pPr>
        <w:pStyle w:val="2"/>
        <w:rPr>
          <w:rFonts w:ascii="宋体" w:hAnsi="宋体" w:cs="宋体"/>
          <w:b/>
          <w:color w:val="auto"/>
          <w:sz w:val="21"/>
          <w:szCs w:val="21"/>
        </w:rPr>
      </w:pPr>
    </w:p>
    <w:p>
      <w:pPr>
        <w:pStyle w:val="2"/>
        <w:rPr>
          <w:rFonts w:ascii="宋体" w:hAnsi="宋体" w:cs="宋体"/>
          <w:b/>
          <w:color w:val="auto"/>
          <w:sz w:val="21"/>
          <w:szCs w:val="21"/>
        </w:rPr>
      </w:pPr>
    </w:p>
    <w:p>
      <w:pPr>
        <w:pStyle w:val="2"/>
        <w:rPr>
          <w:rFonts w:ascii="宋体" w:hAnsi="宋体" w:cs="宋体"/>
          <w:b/>
          <w:color w:val="auto"/>
          <w:sz w:val="21"/>
          <w:szCs w:val="21"/>
        </w:rPr>
      </w:pPr>
    </w:p>
    <w:p>
      <w:pPr>
        <w:pStyle w:val="2"/>
        <w:rPr>
          <w:rFonts w:ascii="宋体" w:hAnsi="宋体" w:cs="宋体"/>
          <w:b/>
          <w:color w:val="auto"/>
          <w:sz w:val="21"/>
          <w:szCs w:val="21"/>
        </w:rPr>
      </w:pPr>
    </w:p>
    <w:p>
      <w:pPr>
        <w:pStyle w:val="2"/>
        <w:rPr>
          <w:rFonts w:ascii="宋体" w:hAnsi="宋体" w:cs="宋体"/>
          <w:b/>
          <w:color w:val="auto"/>
          <w:sz w:val="21"/>
          <w:szCs w:val="21"/>
        </w:rPr>
      </w:pPr>
    </w:p>
    <w:p>
      <w:pPr>
        <w:pStyle w:val="2"/>
        <w:rPr>
          <w:rFonts w:ascii="宋体" w:hAnsi="宋体" w:cs="宋体"/>
          <w:b/>
          <w:color w:val="auto"/>
          <w:sz w:val="21"/>
          <w:szCs w:val="21"/>
        </w:rPr>
      </w:pPr>
    </w:p>
    <w:p>
      <w:pPr>
        <w:pStyle w:val="2"/>
        <w:rPr>
          <w:rFonts w:ascii="宋体" w:hAnsi="宋体" w:cs="宋体"/>
          <w:b/>
          <w:color w:val="auto"/>
          <w:sz w:val="21"/>
          <w:szCs w:val="21"/>
        </w:rPr>
      </w:pPr>
    </w:p>
    <w:p>
      <w:pPr>
        <w:pStyle w:val="2"/>
        <w:rPr>
          <w:rFonts w:ascii="宋体" w:hAnsi="宋体" w:cs="宋体"/>
          <w:b/>
          <w:color w:val="auto"/>
          <w:sz w:val="21"/>
          <w:szCs w:val="21"/>
        </w:rPr>
      </w:pPr>
    </w:p>
    <w:p>
      <w:pPr>
        <w:pStyle w:val="2"/>
        <w:rPr>
          <w:rFonts w:ascii="宋体" w:hAnsi="宋体" w:cs="宋体"/>
          <w:b/>
          <w:color w:val="auto"/>
          <w:sz w:val="21"/>
          <w:szCs w:val="21"/>
        </w:rPr>
      </w:pPr>
    </w:p>
    <w:p>
      <w:pPr>
        <w:spacing w:line="360" w:lineRule="auto"/>
        <w:rPr>
          <w:rFonts w:hint="eastAsia" w:ascii="宋体" w:hAnsi="宋体" w:cs="宋体"/>
          <w:color w:val="auto"/>
          <w:szCs w:val="21"/>
          <w:lang w:eastAsia="zh-CN"/>
        </w:rPr>
      </w:pPr>
    </w:p>
    <w:p>
      <w:pPr>
        <w:pStyle w:val="2"/>
        <w:widowControl w:val="0"/>
        <w:numPr>
          <w:ilvl w:val="0"/>
          <w:numId w:val="0"/>
        </w:numPr>
        <w:jc w:val="left"/>
        <w:rPr>
          <w:rFonts w:ascii="宋体" w:hAnsi="宋体" w:cs="宋体"/>
          <w:b/>
          <w:color w:val="auto"/>
          <w:szCs w:val="21"/>
        </w:rPr>
      </w:pPr>
      <w:r>
        <w:rPr>
          <w:rFonts w:hint="eastAsia" w:ascii="宋体" w:hAnsi="宋体" w:cs="宋体"/>
          <w:b/>
          <w:color w:val="auto"/>
          <w:szCs w:val="21"/>
          <w:lang w:eastAsia="zh-CN"/>
        </w:rPr>
        <w:t>十一、</w:t>
      </w:r>
      <w:r>
        <w:rPr>
          <w:rFonts w:hint="eastAsia" w:ascii="宋体" w:hAnsi="宋体" w:cs="宋体"/>
          <w:b/>
          <w:color w:val="auto"/>
          <w:szCs w:val="21"/>
        </w:rPr>
        <w:t>安全防护、文明施工措施方案的承诺书；</w:t>
      </w:r>
    </w:p>
    <w:p>
      <w:pPr>
        <w:spacing w:line="360" w:lineRule="auto"/>
        <w:ind w:left="898" w:leftChars="228" w:hanging="420" w:hangingChars="200"/>
        <w:rPr>
          <w:rFonts w:ascii="宋体" w:cs="宋体"/>
          <w:color w:val="auto"/>
          <w:kern w:val="0"/>
          <w:szCs w:val="21"/>
        </w:rPr>
      </w:pPr>
    </w:p>
    <w:p>
      <w:pPr>
        <w:spacing w:line="480" w:lineRule="auto"/>
        <w:rPr>
          <w:rFonts w:ascii="宋体" w:cs="宋体"/>
          <w:color w:val="auto"/>
          <w:kern w:val="0"/>
          <w:szCs w:val="21"/>
          <w:u w:val="single"/>
        </w:rPr>
      </w:pPr>
      <w:r>
        <w:rPr>
          <w:rFonts w:hint="eastAsia" w:ascii="宋体" w:hAnsi="宋体" w:cs="宋体"/>
          <w:color w:val="auto"/>
          <w:kern w:val="0"/>
          <w:szCs w:val="21"/>
        </w:rPr>
        <w:t>致：</w:t>
      </w:r>
      <w:r>
        <w:rPr>
          <w:rFonts w:ascii="宋体" w:hAnsi="宋体" w:cs="宋体"/>
          <w:color w:val="auto"/>
          <w:kern w:val="0"/>
          <w:szCs w:val="21"/>
          <w:u w:val="single"/>
        </w:rPr>
        <w:t xml:space="preserve">   (</w:t>
      </w:r>
      <w:r>
        <w:rPr>
          <w:rFonts w:hint="eastAsia" w:ascii="宋体" w:hAnsi="宋体" w:cs="宋体"/>
          <w:color w:val="auto"/>
          <w:kern w:val="0"/>
          <w:szCs w:val="21"/>
          <w:u w:val="single"/>
        </w:rPr>
        <w:t>采购人名称</w:t>
      </w:r>
      <w:r>
        <w:rPr>
          <w:rFonts w:ascii="宋体" w:hAnsi="宋体" w:cs="宋体"/>
          <w:color w:val="auto"/>
          <w:kern w:val="0"/>
          <w:szCs w:val="21"/>
          <w:u w:val="single"/>
        </w:rPr>
        <w:t xml:space="preserve">)   </w:t>
      </w:r>
    </w:p>
    <w:p>
      <w:pPr>
        <w:spacing w:line="480" w:lineRule="auto"/>
        <w:ind w:firstLine="422" w:firstLineChars="201"/>
        <w:jc w:val="left"/>
        <w:rPr>
          <w:rFonts w:ascii="宋体" w:cs="宋体"/>
          <w:color w:val="auto"/>
          <w:kern w:val="0"/>
          <w:szCs w:val="21"/>
        </w:rPr>
      </w:pPr>
      <w:r>
        <w:rPr>
          <w:rFonts w:hint="eastAsia" w:ascii="宋体" w:hAnsi="宋体" w:cs="宋体"/>
          <w:color w:val="auto"/>
          <w:kern w:val="0"/>
          <w:szCs w:val="21"/>
        </w:rPr>
        <w:t>根据桂建质</w:t>
      </w:r>
      <w:r>
        <w:rPr>
          <w:rFonts w:ascii="宋体" w:hAnsi="宋体" w:cs="宋体"/>
          <w:color w:val="auto"/>
          <w:kern w:val="0"/>
          <w:szCs w:val="21"/>
        </w:rPr>
        <w:t>[2015]16</w:t>
      </w:r>
      <w:r>
        <w:rPr>
          <w:rFonts w:hint="eastAsia" w:ascii="宋体" w:hAnsi="宋体" w:cs="宋体"/>
          <w:color w:val="auto"/>
          <w:kern w:val="0"/>
          <w:szCs w:val="21"/>
        </w:rPr>
        <w:t>号文件规定，我方在此向采购人承诺：</w:t>
      </w:r>
    </w:p>
    <w:p>
      <w:pPr>
        <w:spacing w:line="480" w:lineRule="auto"/>
        <w:ind w:left="-10" w:firstLine="455" w:firstLineChars="217"/>
        <w:jc w:val="left"/>
        <w:rPr>
          <w:rFonts w:asci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、我方参与竞标的</w:t>
      </w:r>
      <w:r>
        <w:rPr>
          <w:rFonts w:hint="eastAsia" w:ascii="宋体" w:hAnsi="宋体" w:cs="宋体"/>
          <w:color w:val="auto"/>
          <w:kern w:val="0"/>
          <w:szCs w:val="21"/>
          <w:u w:val="single"/>
        </w:rPr>
        <w:t>（工程名称）</w:t>
      </w:r>
      <w:r>
        <w:rPr>
          <w:rFonts w:hint="eastAsia" w:ascii="宋体" w:hAnsi="宋体" w:cs="宋体"/>
          <w:color w:val="auto"/>
          <w:kern w:val="0"/>
          <w:szCs w:val="21"/>
        </w:rPr>
        <w:t>项目，一旦成交，我方保证在施工过程中，严格执行桂建质</w:t>
      </w:r>
      <w:r>
        <w:rPr>
          <w:rFonts w:ascii="宋体" w:hAnsi="宋体" w:cs="宋体"/>
          <w:color w:val="auto"/>
          <w:kern w:val="0"/>
          <w:szCs w:val="21"/>
        </w:rPr>
        <w:t>[2015]16</w:t>
      </w:r>
      <w:r>
        <w:rPr>
          <w:rFonts w:hint="eastAsia" w:ascii="宋体" w:hAnsi="宋体" w:cs="宋体"/>
          <w:color w:val="auto"/>
          <w:kern w:val="0"/>
          <w:szCs w:val="21"/>
        </w:rPr>
        <w:t>号文《广西壮族自治区建设工程安全文明施工费使用细则》的有关规定，确保建设工程各项安全防护、文明施工措施落实到位。</w:t>
      </w:r>
    </w:p>
    <w:p>
      <w:pPr>
        <w:spacing w:line="480" w:lineRule="auto"/>
        <w:ind w:left="-10" w:firstLine="455" w:firstLineChars="217"/>
        <w:jc w:val="left"/>
        <w:rPr>
          <w:rFonts w:asci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、如我方在承包的</w:t>
      </w:r>
      <w:r>
        <w:rPr>
          <w:rFonts w:hint="eastAsia" w:ascii="宋体" w:hAnsi="宋体" w:cs="宋体"/>
          <w:color w:val="auto"/>
          <w:kern w:val="0"/>
          <w:szCs w:val="21"/>
          <w:u w:val="single"/>
        </w:rPr>
        <w:t>（工程名称）</w:t>
      </w:r>
      <w:r>
        <w:rPr>
          <w:rFonts w:hint="eastAsia" w:ascii="宋体" w:hAnsi="宋体" w:cs="宋体"/>
          <w:color w:val="auto"/>
          <w:kern w:val="0"/>
          <w:szCs w:val="21"/>
        </w:rPr>
        <w:t>项目中出现未按桂建质</w:t>
      </w:r>
      <w:r>
        <w:rPr>
          <w:rFonts w:ascii="宋体" w:hAnsi="宋体" w:cs="宋体"/>
          <w:color w:val="auto"/>
          <w:kern w:val="0"/>
          <w:szCs w:val="21"/>
        </w:rPr>
        <w:t>[2015]16</w:t>
      </w:r>
      <w:r>
        <w:rPr>
          <w:rFonts w:hint="eastAsia" w:ascii="宋体" w:hAnsi="宋体" w:cs="宋体"/>
          <w:color w:val="auto"/>
          <w:kern w:val="0"/>
          <w:szCs w:val="21"/>
        </w:rPr>
        <w:t>号文附件一规定执行的情形，我方愿意按照相关规定接受建设单位及有关主管部门的处罚。</w:t>
      </w:r>
    </w:p>
    <w:p>
      <w:pPr>
        <w:spacing w:line="360" w:lineRule="auto"/>
        <w:ind w:left="-10" w:firstLine="455" w:firstLineChars="217"/>
        <w:jc w:val="left"/>
        <w:rPr>
          <w:rFonts w:ascii="宋体" w:cs="宋体"/>
          <w:color w:val="auto"/>
          <w:kern w:val="0"/>
          <w:szCs w:val="21"/>
        </w:rPr>
      </w:pPr>
    </w:p>
    <w:p>
      <w:pPr>
        <w:spacing w:line="360" w:lineRule="auto"/>
        <w:ind w:left="359" w:leftChars="171" w:firstLine="420" w:firstLineChars="200"/>
        <w:rPr>
          <w:rFonts w:ascii="宋体" w:cs="宋体"/>
          <w:color w:val="auto"/>
          <w:kern w:val="0"/>
          <w:szCs w:val="21"/>
        </w:rPr>
      </w:pPr>
    </w:p>
    <w:p>
      <w:pPr>
        <w:spacing w:line="360" w:lineRule="auto"/>
        <w:ind w:left="898" w:leftChars="228" w:hanging="420" w:hangingChars="200"/>
        <w:rPr>
          <w:rFonts w:ascii="宋体" w:cs="宋体"/>
          <w:color w:val="auto"/>
          <w:kern w:val="0"/>
          <w:szCs w:val="21"/>
        </w:rPr>
      </w:pPr>
    </w:p>
    <w:p>
      <w:pPr>
        <w:spacing w:line="480" w:lineRule="auto"/>
        <w:ind w:left="898" w:leftChars="228" w:hanging="420" w:hangingChars="200"/>
        <w:rPr>
          <w:rFonts w:ascii="宋体" w:cs="宋体"/>
          <w:color w:val="auto"/>
          <w:kern w:val="0"/>
          <w:szCs w:val="21"/>
        </w:rPr>
      </w:pPr>
      <w:r>
        <w:rPr>
          <w:rFonts w:hint="eastAsia" w:ascii="宋体" w:hAnsi="宋体" w:cs="宋体"/>
          <w:color w:val="auto"/>
          <w:kern w:val="0"/>
          <w:szCs w:val="21"/>
        </w:rPr>
        <w:t>磋商单位</w:t>
      </w:r>
      <w:r>
        <w:rPr>
          <w:rFonts w:hint="eastAsia" w:ascii="宋体" w:hAnsi="宋体" w:cs="宋体"/>
          <w:color w:val="auto"/>
          <w:kern w:val="0"/>
          <w:szCs w:val="21"/>
          <w:u w:val="single"/>
        </w:rPr>
        <w:t>：</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single"/>
        </w:rPr>
        <w:t>（盖章）</w:t>
      </w:r>
    </w:p>
    <w:p>
      <w:pPr>
        <w:spacing w:line="480" w:lineRule="auto"/>
        <w:ind w:left="898" w:leftChars="228" w:hanging="420" w:hangingChars="200"/>
        <w:rPr>
          <w:rFonts w:ascii="宋体" w:cs="宋体"/>
          <w:color w:val="auto"/>
          <w:kern w:val="0"/>
          <w:szCs w:val="21"/>
          <w:u w:val="single"/>
        </w:rPr>
      </w:pPr>
      <w:r>
        <w:rPr>
          <w:rFonts w:hint="eastAsia" w:ascii="宋体" w:hAnsi="宋体" w:cs="宋体"/>
          <w:color w:val="auto"/>
          <w:kern w:val="0"/>
          <w:szCs w:val="21"/>
        </w:rPr>
        <w:t>法定代表人或授权代理人：</w:t>
      </w:r>
      <w:r>
        <w:rPr>
          <w:rFonts w:hint="eastAsia" w:ascii="宋体" w:hAnsi="宋体" w:cs="宋体"/>
          <w:color w:val="auto"/>
          <w:kern w:val="0"/>
          <w:szCs w:val="21"/>
          <w:u w:val="single"/>
        </w:rPr>
        <w:t>（签字或盖章）</w:t>
      </w:r>
    </w:p>
    <w:p>
      <w:pPr>
        <w:spacing w:line="480" w:lineRule="auto"/>
        <w:ind w:firstLine="420" w:firstLineChars="200"/>
        <w:rPr>
          <w:rFonts w:ascii="宋体" w:cs="宋体"/>
          <w:color w:val="auto"/>
          <w:kern w:val="0"/>
          <w:szCs w:val="21"/>
        </w:rPr>
      </w:pPr>
      <w:r>
        <w:rPr>
          <w:rFonts w:hint="eastAsia" w:ascii="宋体" w:hAnsi="宋体" w:cs="宋体"/>
          <w:color w:val="auto"/>
          <w:kern w:val="0"/>
          <w:szCs w:val="21"/>
        </w:rPr>
        <w:t>日期：年月日</w:t>
      </w:r>
    </w:p>
    <w:p>
      <w:pPr>
        <w:spacing w:line="480" w:lineRule="auto"/>
        <w:ind w:firstLine="420" w:firstLineChars="200"/>
        <w:rPr>
          <w:rFonts w:ascii="宋体" w:cs="宋体"/>
          <w:color w:val="auto"/>
          <w:kern w:val="0"/>
          <w:szCs w:val="21"/>
        </w:rPr>
      </w:pPr>
    </w:p>
    <w:p>
      <w:pPr>
        <w:spacing w:line="360" w:lineRule="auto"/>
        <w:ind w:firstLine="420" w:firstLineChars="200"/>
        <w:rPr>
          <w:rFonts w:ascii="宋体" w:cs="宋体"/>
          <w:color w:val="auto"/>
          <w:kern w:val="0"/>
          <w:szCs w:val="21"/>
        </w:rPr>
      </w:pPr>
    </w:p>
    <w:p>
      <w:pPr>
        <w:pStyle w:val="23"/>
        <w:rPr>
          <w:rFonts w:ascii="宋体" w:cs="宋体"/>
          <w:color w:val="auto"/>
          <w:kern w:val="0"/>
          <w:szCs w:val="21"/>
        </w:rPr>
      </w:pPr>
    </w:p>
    <w:p>
      <w:pPr>
        <w:pStyle w:val="23"/>
        <w:rPr>
          <w:rFonts w:ascii="宋体" w:cs="宋体"/>
          <w:color w:val="auto"/>
          <w:kern w:val="0"/>
          <w:szCs w:val="21"/>
        </w:rPr>
      </w:pPr>
    </w:p>
    <w:p>
      <w:pPr>
        <w:spacing w:line="360" w:lineRule="auto"/>
        <w:ind w:firstLine="420" w:firstLineChars="200"/>
        <w:rPr>
          <w:rFonts w:ascii="宋体" w:cs="宋体"/>
          <w:color w:val="auto"/>
          <w:kern w:val="0"/>
          <w:szCs w:val="21"/>
        </w:rPr>
      </w:pPr>
    </w:p>
    <w:p>
      <w:pPr>
        <w:spacing w:line="360" w:lineRule="auto"/>
        <w:ind w:firstLine="420" w:firstLineChars="200"/>
        <w:rPr>
          <w:rFonts w:ascii="宋体" w:cs="宋体"/>
          <w:color w:val="auto"/>
          <w:kern w:val="0"/>
          <w:szCs w:val="21"/>
        </w:rPr>
      </w:pPr>
    </w:p>
    <w:p>
      <w:pPr>
        <w:tabs>
          <w:tab w:val="left" w:pos="826"/>
          <w:tab w:val="left" w:pos="1342"/>
          <w:tab w:val="left" w:pos="1388"/>
        </w:tabs>
        <w:spacing w:line="360" w:lineRule="auto"/>
        <w:ind w:firstLine="420" w:firstLineChars="200"/>
        <w:rPr>
          <w:rFonts w:ascii="宋体" w:hAnsi="宋体" w:cs="宋体"/>
          <w:b/>
          <w:color w:val="auto"/>
          <w:szCs w:val="21"/>
        </w:rPr>
      </w:pPr>
      <w:r>
        <w:rPr>
          <w:rFonts w:hint="eastAsia" w:ascii="宋体" w:hAnsi="宋体" w:cs="宋体"/>
          <w:b/>
          <w:color w:val="auto"/>
          <w:szCs w:val="21"/>
        </w:rPr>
        <w:t>十</w:t>
      </w:r>
      <w:r>
        <w:rPr>
          <w:rFonts w:hint="eastAsia" w:ascii="宋体" w:hAnsi="宋体" w:cs="宋体"/>
          <w:b/>
          <w:color w:val="auto"/>
          <w:szCs w:val="21"/>
          <w:lang w:val="en-US" w:eastAsia="zh-CN"/>
        </w:rPr>
        <w:t>二</w:t>
      </w:r>
      <w:r>
        <w:rPr>
          <w:rFonts w:hint="eastAsia" w:ascii="宋体" w:hAnsi="宋体" w:cs="宋体"/>
          <w:b/>
          <w:color w:val="auto"/>
          <w:szCs w:val="21"/>
        </w:rPr>
        <w:t>、磋商采购文件要求其他必须提供的资料。</w:t>
      </w:r>
    </w:p>
    <w:p>
      <w:pPr>
        <w:spacing w:line="360" w:lineRule="auto"/>
        <w:ind w:firstLine="420" w:firstLineChars="200"/>
        <w:rPr>
          <w:rFonts w:ascii="宋体" w:cs="宋体"/>
          <w:color w:val="auto"/>
          <w:kern w:val="0"/>
          <w:szCs w:val="21"/>
        </w:rPr>
      </w:pPr>
    </w:p>
    <w:p>
      <w:pPr>
        <w:spacing w:line="360" w:lineRule="auto"/>
        <w:ind w:firstLine="420" w:firstLineChars="200"/>
        <w:rPr>
          <w:rFonts w:ascii="宋体" w:cs="宋体"/>
          <w:color w:val="auto"/>
          <w:kern w:val="0"/>
          <w:szCs w:val="21"/>
        </w:rPr>
      </w:pPr>
    </w:p>
    <w:p>
      <w:pPr>
        <w:pStyle w:val="23"/>
        <w:rPr>
          <w:rFonts w:ascii="宋体" w:cs="宋体"/>
          <w:color w:val="auto"/>
          <w:kern w:val="0"/>
          <w:szCs w:val="21"/>
        </w:rPr>
      </w:pPr>
    </w:p>
    <w:p>
      <w:pPr>
        <w:pStyle w:val="23"/>
        <w:rPr>
          <w:rFonts w:ascii="宋体" w:cs="宋体"/>
          <w:color w:val="auto"/>
          <w:kern w:val="0"/>
          <w:szCs w:val="21"/>
        </w:rPr>
      </w:pPr>
    </w:p>
    <w:p>
      <w:pPr>
        <w:pStyle w:val="3"/>
        <w:spacing w:line="360" w:lineRule="auto"/>
        <w:jc w:val="center"/>
        <w:rPr>
          <w:rFonts w:ascii="宋体" w:cs="宋体"/>
          <w:color w:val="auto"/>
          <w:sz w:val="36"/>
        </w:rPr>
      </w:pPr>
      <w:bookmarkStart w:id="417" w:name="_Toc21938"/>
      <w:bookmarkEnd w:id="417"/>
      <w:bookmarkStart w:id="418" w:name="_Toc255977446"/>
      <w:bookmarkStart w:id="419" w:name="_Toc243584363"/>
      <w:bookmarkStart w:id="420" w:name="_Toc247301841"/>
      <w:bookmarkStart w:id="421" w:name="_Toc24872"/>
      <w:bookmarkStart w:id="422" w:name="_Toc243630963"/>
      <w:bookmarkStart w:id="423" w:name="_Toc247292448"/>
      <w:bookmarkStart w:id="424" w:name="_Toc24800"/>
      <w:r>
        <w:rPr>
          <w:rFonts w:hint="eastAsia" w:ascii="宋体" w:hAnsi="宋体" w:cs="宋体"/>
          <w:color w:val="auto"/>
          <w:sz w:val="36"/>
        </w:rPr>
        <w:t>响应文件商务标部分</w:t>
      </w:r>
      <w:bookmarkEnd w:id="418"/>
      <w:bookmarkEnd w:id="419"/>
      <w:bookmarkEnd w:id="420"/>
      <w:bookmarkEnd w:id="421"/>
      <w:bookmarkEnd w:id="422"/>
      <w:bookmarkEnd w:id="423"/>
      <w:bookmarkEnd w:id="424"/>
    </w:p>
    <w:p>
      <w:pPr>
        <w:pStyle w:val="4"/>
        <w:spacing w:line="360" w:lineRule="auto"/>
        <w:jc w:val="center"/>
        <w:rPr>
          <w:rFonts w:ascii="宋体" w:hAnsi="宋体" w:eastAsia="宋体" w:cs="宋体"/>
          <w:color w:val="auto"/>
          <w:kern w:val="0"/>
        </w:rPr>
      </w:pPr>
      <w:bookmarkStart w:id="425" w:name="_Toc32493"/>
      <w:bookmarkStart w:id="426" w:name="_Toc247301842"/>
      <w:bookmarkStart w:id="427" w:name="_Toc247292449"/>
      <w:bookmarkStart w:id="428" w:name="_Toc255977447"/>
      <w:bookmarkStart w:id="429" w:name="_Toc27322"/>
      <w:bookmarkStart w:id="430" w:name="_Toc11962"/>
      <w:bookmarkStart w:id="431" w:name="_Toc2585"/>
      <w:r>
        <w:rPr>
          <w:rFonts w:hint="eastAsia" w:ascii="宋体" w:hAnsi="宋体" w:eastAsia="宋体" w:cs="宋体"/>
          <w:color w:val="auto"/>
          <w:kern w:val="0"/>
        </w:rPr>
        <w:t>封面格式</w:t>
      </w:r>
      <w:bookmarkEnd w:id="425"/>
      <w:bookmarkEnd w:id="426"/>
      <w:bookmarkEnd w:id="427"/>
      <w:bookmarkEnd w:id="428"/>
      <w:bookmarkEnd w:id="429"/>
      <w:bookmarkEnd w:id="430"/>
      <w:bookmarkEnd w:id="431"/>
    </w:p>
    <w:tbl>
      <w:tblPr>
        <w:tblStyle w:val="24"/>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4" w:hRule="atLeast"/>
        </w:trPr>
        <w:tc>
          <w:tcPr>
            <w:tcW w:w="9180" w:type="dxa"/>
          </w:tcPr>
          <w:p>
            <w:pPr>
              <w:autoSpaceDE w:val="0"/>
              <w:autoSpaceDN w:val="0"/>
              <w:adjustRightInd w:val="0"/>
              <w:spacing w:line="360" w:lineRule="auto"/>
              <w:jc w:val="center"/>
              <w:outlineLvl w:val="0"/>
              <w:rPr>
                <w:rFonts w:ascii="宋体" w:cs="宋体"/>
                <w:b/>
                <w:color w:val="auto"/>
                <w:kern w:val="0"/>
                <w:sz w:val="40"/>
                <w:szCs w:val="21"/>
              </w:rPr>
            </w:pPr>
          </w:p>
          <w:p>
            <w:pPr>
              <w:autoSpaceDE w:val="0"/>
              <w:autoSpaceDN w:val="0"/>
              <w:adjustRightInd w:val="0"/>
              <w:spacing w:line="360" w:lineRule="auto"/>
              <w:jc w:val="center"/>
              <w:outlineLvl w:val="0"/>
              <w:rPr>
                <w:rFonts w:ascii="宋体" w:cs="宋体"/>
                <w:b/>
                <w:color w:val="auto"/>
                <w:kern w:val="0"/>
                <w:sz w:val="40"/>
                <w:szCs w:val="21"/>
              </w:rPr>
            </w:pPr>
          </w:p>
          <w:p>
            <w:pPr>
              <w:autoSpaceDE w:val="0"/>
              <w:autoSpaceDN w:val="0"/>
              <w:adjustRightInd w:val="0"/>
              <w:spacing w:line="360" w:lineRule="auto"/>
              <w:jc w:val="center"/>
              <w:outlineLvl w:val="0"/>
              <w:rPr>
                <w:rFonts w:ascii="宋体" w:cs="宋体"/>
                <w:b/>
                <w:color w:val="auto"/>
                <w:kern w:val="0"/>
                <w:sz w:val="32"/>
                <w:szCs w:val="21"/>
              </w:rPr>
            </w:pPr>
            <w:bookmarkStart w:id="432" w:name="_Toc243584365"/>
            <w:r>
              <w:rPr>
                <w:rFonts w:hint="eastAsia" w:ascii="宋体" w:hAnsi="宋体" w:cs="宋体"/>
                <w:b/>
                <w:color w:val="auto"/>
                <w:kern w:val="0"/>
                <w:sz w:val="32"/>
                <w:szCs w:val="21"/>
                <w:lang w:val="en-US" w:eastAsia="zh-CN"/>
              </w:rPr>
              <w:t>XX项目</w:t>
            </w:r>
            <w:r>
              <w:rPr>
                <w:rFonts w:hint="eastAsia" w:ascii="宋体" w:hAnsi="宋体" w:cs="宋体"/>
                <w:b/>
                <w:color w:val="auto"/>
                <w:kern w:val="0"/>
                <w:sz w:val="32"/>
                <w:szCs w:val="21"/>
              </w:rPr>
              <w:t>工程</w:t>
            </w:r>
            <w:bookmarkEnd w:id="432"/>
          </w:p>
          <w:p>
            <w:pPr>
              <w:autoSpaceDE w:val="0"/>
              <w:autoSpaceDN w:val="0"/>
              <w:adjustRightInd w:val="0"/>
              <w:spacing w:line="360" w:lineRule="auto"/>
              <w:jc w:val="center"/>
              <w:outlineLvl w:val="0"/>
              <w:rPr>
                <w:rFonts w:ascii="宋体" w:cs="宋体"/>
                <w:b/>
                <w:color w:val="auto"/>
                <w:kern w:val="0"/>
                <w:sz w:val="22"/>
                <w:szCs w:val="21"/>
              </w:rPr>
            </w:pPr>
          </w:p>
          <w:p>
            <w:pPr>
              <w:autoSpaceDE w:val="0"/>
              <w:autoSpaceDN w:val="0"/>
              <w:adjustRightInd w:val="0"/>
              <w:spacing w:line="360" w:lineRule="auto"/>
              <w:jc w:val="center"/>
              <w:outlineLvl w:val="0"/>
              <w:rPr>
                <w:rFonts w:ascii="宋体" w:cs="宋体"/>
                <w:color w:val="auto"/>
                <w:kern w:val="0"/>
                <w:sz w:val="22"/>
                <w:szCs w:val="21"/>
              </w:rPr>
            </w:pPr>
          </w:p>
          <w:p>
            <w:pPr>
              <w:autoSpaceDE w:val="0"/>
              <w:autoSpaceDN w:val="0"/>
              <w:adjustRightInd w:val="0"/>
              <w:spacing w:line="360" w:lineRule="auto"/>
              <w:jc w:val="center"/>
              <w:outlineLvl w:val="0"/>
              <w:rPr>
                <w:rFonts w:ascii="宋体" w:cs="宋体"/>
                <w:color w:val="auto"/>
                <w:kern w:val="0"/>
                <w:sz w:val="22"/>
                <w:szCs w:val="21"/>
              </w:rPr>
            </w:pPr>
          </w:p>
          <w:p>
            <w:pPr>
              <w:autoSpaceDE w:val="0"/>
              <w:autoSpaceDN w:val="0"/>
              <w:adjustRightInd w:val="0"/>
              <w:spacing w:line="360" w:lineRule="auto"/>
              <w:jc w:val="center"/>
              <w:outlineLvl w:val="0"/>
              <w:rPr>
                <w:rFonts w:ascii="宋体" w:cs="宋体"/>
                <w:b/>
                <w:color w:val="auto"/>
                <w:kern w:val="0"/>
                <w:sz w:val="56"/>
                <w:szCs w:val="21"/>
              </w:rPr>
            </w:pPr>
            <w:r>
              <w:rPr>
                <w:rFonts w:hint="eastAsia" w:ascii="宋体" w:hAnsi="宋体" w:cs="宋体"/>
                <w:b/>
                <w:color w:val="auto"/>
                <w:kern w:val="0"/>
                <w:sz w:val="56"/>
                <w:szCs w:val="21"/>
              </w:rPr>
              <w:t>响应文件</w:t>
            </w:r>
          </w:p>
          <w:p>
            <w:pPr>
              <w:autoSpaceDE w:val="0"/>
              <w:autoSpaceDN w:val="0"/>
              <w:adjustRightInd w:val="0"/>
              <w:spacing w:line="360" w:lineRule="auto"/>
              <w:jc w:val="center"/>
              <w:outlineLvl w:val="0"/>
              <w:rPr>
                <w:rFonts w:ascii="宋体" w:cs="宋体"/>
                <w:b/>
                <w:color w:val="auto"/>
                <w:kern w:val="0"/>
                <w:sz w:val="56"/>
                <w:szCs w:val="21"/>
              </w:rPr>
            </w:pPr>
            <w:r>
              <w:rPr>
                <w:rFonts w:hint="eastAsia" w:ascii="宋体" w:hAnsi="宋体" w:cs="宋体"/>
                <w:b/>
                <w:color w:val="auto"/>
                <w:kern w:val="0"/>
                <w:sz w:val="32"/>
                <w:szCs w:val="32"/>
              </w:rPr>
              <w:t>（正本</w:t>
            </w:r>
            <w:r>
              <w:rPr>
                <w:rFonts w:ascii="宋体" w:hAnsi="宋体" w:cs="宋体"/>
                <w:b/>
                <w:color w:val="auto"/>
                <w:kern w:val="0"/>
                <w:sz w:val="32"/>
                <w:szCs w:val="32"/>
              </w:rPr>
              <w:t>/</w:t>
            </w:r>
            <w:r>
              <w:rPr>
                <w:rFonts w:hint="eastAsia" w:ascii="宋体" w:hAnsi="宋体" w:cs="宋体"/>
                <w:b/>
                <w:color w:val="auto"/>
                <w:kern w:val="0"/>
                <w:sz w:val="32"/>
                <w:szCs w:val="32"/>
              </w:rPr>
              <w:t>副本）</w:t>
            </w:r>
          </w:p>
          <w:p>
            <w:pPr>
              <w:autoSpaceDE w:val="0"/>
              <w:autoSpaceDN w:val="0"/>
              <w:adjustRightInd w:val="0"/>
              <w:spacing w:line="360" w:lineRule="auto"/>
              <w:jc w:val="center"/>
              <w:outlineLvl w:val="0"/>
              <w:rPr>
                <w:rFonts w:ascii="宋体" w:cs="宋体"/>
                <w:color w:val="auto"/>
                <w:kern w:val="0"/>
                <w:sz w:val="22"/>
                <w:szCs w:val="21"/>
              </w:rPr>
            </w:pPr>
          </w:p>
          <w:p>
            <w:pPr>
              <w:autoSpaceDE w:val="0"/>
              <w:autoSpaceDN w:val="0"/>
              <w:adjustRightInd w:val="0"/>
              <w:spacing w:line="360" w:lineRule="auto"/>
              <w:jc w:val="center"/>
              <w:outlineLvl w:val="0"/>
              <w:rPr>
                <w:rFonts w:ascii="宋体" w:cs="宋体"/>
                <w:color w:val="auto"/>
                <w:kern w:val="0"/>
                <w:sz w:val="22"/>
                <w:szCs w:val="21"/>
              </w:rPr>
            </w:pPr>
          </w:p>
          <w:p>
            <w:pPr>
              <w:autoSpaceDE w:val="0"/>
              <w:autoSpaceDN w:val="0"/>
              <w:adjustRightInd w:val="0"/>
              <w:spacing w:line="360" w:lineRule="auto"/>
              <w:jc w:val="center"/>
              <w:outlineLvl w:val="0"/>
              <w:rPr>
                <w:rFonts w:ascii="宋体" w:cs="宋体"/>
                <w:color w:val="auto"/>
                <w:kern w:val="0"/>
                <w:sz w:val="22"/>
                <w:szCs w:val="21"/>
              </w:rPr>
            </w:pPr>
          </w:p>
          <w:p>
            <w:pPr>
              <w:autoSpaceDE w:val="0"/>
              <w:autoSpaceDN w:val="0"/>
              <w:adjustRightInd w:val="0"/>
              <w:spacing w:line="360" w:lineRule="auto"/>
              <w:jc w:val="center"/>
              <w:outlineLvl w:val="0"/>
              <w:rPr>
                <w:rFonts w:ascii="宋体" w:cs="宋体"/>
                <w:color w:val="auto"/>
                <w:kern w:val="0"/>
                <w:sz w:val="22"/>
                <w:szCs w:val="21"/>
              </w:rPr>
            </w:pPr>
          </w:p>
          <w:p>
            <w:pPr>
              <w:autoSpaceDE w:val="0"/>
              <w:autoSpaceDN w:val="0"/>
              <w:adjustRightInd w:val="0"/>
              <w:spacing w:line="360" w:lineRule="auto"/>
              <w:jc w:val="center"/>
              <w:outlineLvl w:val="0"/>
              <w:rPr>
                <w:rFonts w:ascii="宋体" w:cs="宋体"/>
                <w:color w:val="auto"/>
                <w:kern w:val="0"/>
                <w:sz w:val="22"/>
                <w:szCs w:val="21"/>
              </w:rPr>
            </w:pPr>
          </w:p>
          <w:p>
            <w:pPr>
              <w:autoSpaceDE w:val="0"/>
              <w:autoSpaceDN w:val="0"/>
              <w:adjustRightInd w:val="0"/>
              <w:spacing w:line="360" w:lineRule="auto"/>
              <w:jc w:val="center"/>
              <w:outlineLvl w:val="0"/>
              <w:rPr>
                <w:rFonts w:ascii="宋体" w:hAnsi="宋体" w:cs="宋体"/>
                <w:color w:val="auto"/>
                <w:kern w:val="0"/>
                <w:sz w:val="22"/>
                <w:szCs w:val="21"/>
              </w:rPr>
            </w:pPr>
          </w:p>
          <w:p>
            <w:pPr>
              <w:autoSpaceDE w:val="0"/>
              <w:autoSpaceDN w:val="0"/>
              <w:adjustRightInd w:val="0"/>
              <w:spacing w:line="360" w:lineRule="auto"/>
              <w:ind w:firstLine="480" w:firstLineChars="200"/>
              <w:outlineLvl w:val="0"/>
              <w:rPr>
                <w:rFonts w:ascii="宋体" w:hAnsi="宋体" w:cs="宋体"/>
                <w:color w:val="auto"/>
                <w:kern w:val="0"/>
                <w:sz w:val="24"/>
                <w:szCs w:val="21"/>
                <w:u w:val="single"/>
              </w:rPr>
            </w:pPr>
            <w:bookmarkStart w:id="433" w:name="_Toc243584368"/>
            <w:r>
              <w:rPr>
                <w:rFonts w:hint="eastAsia" w:ascii="宋体" w:hAnsi="宋体" w:cs="宋体"/>
                <w:color w:val="auto"/>
                <w:kern w:val="0"/>
                <w:sz w:val="24"/>
                <w:szCs w:val="21"/>
              </w:rPr>
              <w:t>项目名称：</w:t>
            </w:r>
            <w:bookmarkEnd w:id="433"/>
          </w:p>
          <w:p>
            <w:pPr>
              <w:autoSpaceDE w:val="0"/>
              <w:autoSpaceDN w:val="0"/>
              <w:adjustRightInd w:val="0"/>
              <w:spacing w:line="360" w:lineRule="auto"/>
              <w:ind w:firstLine="480" w:firstLineChars="200"/>
              <w:rPr>
                <w:rFonts w:ascii="宋体" w:cs="宋体"/>
                <w:color w:val="auto"/>
                <w:kern w:val="0"/>
                <w:sz w:val="24"/>
                <w:szCs w:val="21"/>
              </w:rPr>
            </w:pPr>
            <w:r>
              <w:rPr>
                <w:rFonts w:hint="eastAsia" w:ascii="宋体" w:hAnsi="宋体" w:cs="宋体"/>
                <w:color w:val="auto"/>
                <w:kern w:val="0"/>
                <w:sz w:val="24"/>
                <w:szCs w:val="21"/>
              </w:rPr>
              <w:t>响应文件内容：</w:t>
            </w:r>
            <w:r>
              <w:rPr>
                <w:rFonts w:hint="eastAsia" w:ascii="宋体" w:hAnsi="宋体" w:cs="宋体"/>
                <w:color w:val="auto"/>
                <w:kern w:val="0"/>
                <w:sz w:val="24"/>
                <w:szCs w:val="21"/>
                <w:u w:val="single"/>
              </w:rPr>
              <w:t>响应文件商务标部分</w:t>
            </w:r>
          </w:p>
          <w:p>
            <w:pPr>
              <w:autoSpaceDE w:val="0"/>
              <w:autoSpaceDN w:val="0"/>
              <w:adjustRightInd w:val="0"/>
              <w:spacing w:line="360" w:lineRule="auto"/>
              <w:ind w:firstLine="480" w:firstLineChars="200"/>
              <w:outlineLvl w:val="0"/>
              <w:rPr>
                <w:rFonts w:ascii="宋体" w:hAnsi="宋体" w:cs="宋体"/>
                <w:color w:val="auto"/>
                <w:kern w:val="0"/>
                <w:sz w:val="24"/>
                <w:szCs w:val="21"/>
                <w:u w:val="single"/>
              </w:rPr>
            </w:pPr>
            <w:bookmarkStart w:id="434" w:name="_Toc243584369"/>
            <w:r>
              <w:rPr>
                <w:rFonts w:hint="eastAsia" w:ascii="宋体" w:hAnsi="宋体" w:cs="宋体"/>
                <w:color w:val="auto"/>
                <w:kern w:val="0"/>
                <w:sz w:val="24"/>
                <w:szCs w:val="21"/>
              </w:rPr>
              <w:t>磋商单位</w:t>
            </w:r>
            <w:r>
              <w:rPr>
                <w:rFonts w:hint="eastAsia" w:ascii="宋体" w:hAnsi="宋体" w:cs="宋体"/>
                <w:color w:val="auto"/>
                <w:kern w:val="0"/>
                <w:sz w:val="24"/>
                <w:szCs w:val="21"/>
                <w:u w:val="single"/>
              </w:rPr>
              <w:t>：</w:t>
            </w:r>
            <w:r>
              <w:rPr>
                <w:rFonts w:hint="eastAsia" w:ascii="宋体" w:hAnsi="宋体" w:cs="宋体"/>
                <w:color w:val="auto"/>
                <w:kern w:val="0"/>
                <w:sz w:val="24"/>
                <w:szCs w:val="21"/>
                <w:u w:val="single"/>
                <w:lang w:val="en-US" w:eastAsia="zh-CN"/>
              </w:rPr>
              <w:t xml:space="preserve">           </w:t>
            </w:r>
            <w:r>
              <w:rPr>
                <w:rFonts w:hint="eastAsia" w:ascii="宋体" w:hAnsi="宋体" w:cs="宋体"/>
                <w:color w:val="auto"/>
                <w:kern w:val="0"/>
                <w:sz w:val="24"/>
                <w:szCs w:val="21"/>
                <w:u w:val="single"/>
              </w:rPr>
              <w:t>（盖章）</w:t>
            </w:r>
            <w:bookmarkEnd w:id="434"/>
          </w:p>
          <w:p>
            <w:pPr>
              <w:autoSpaceDE w:val="0"/>
              <w:autoSpaceDN w:val="0"/>
              <w:adjustRightInd w:val="0"/>
              <w:spacing w:line="360" w:lineRule="auto"/>
              <w:ind w:firstLine="480" w:firstLineChars="200"/>
              <w:outlineLvl w:val="0"/>
              <w:rPr>
                <w:rFonts w:ascii="宋体" w:cs="宋体"/>
                <w:color w:val="auto"/>
                <w:kern w:val="0"/>
                <w:sz w:val="24"/>
                <w:szCs w:val="21"/>
              </w:rPr>
            </w:pPr>
            <w:bookmarkStart w:id="435" w:name="_Toc243584370"/>
            <w:r>
              <w:rPr>
                <w:rFonts w:hint="eastAsia" w:ascii="宋体" w:hAnsi="宋体" w:cs="宋体"/>
                <w:color w:val="auto"/>
                <w:kern w:val="0"/>
                <w:sz w:val="24"/>
                <w:szCs w:val="21"/>
              </w:rPr>
              <w:t>法定代表人或其授权代理人：</w:t>
            </w:r>
            <w:r>
              <w:rPr>
                <w:rFonts w:hint="eastAsia" w:ascii="宋体" w:hAnsi="宋体" w:cs="宋体"/>
                <w:color w:val="auto"/>
                <w:kern w:val="0"/>
                <w:sz w:val="24"/>
                <w:szCs w:val="21"/>
                <w:u w:val="single"/>
              </w:rPr>
              <w:t>（签字或盖章）</w:t>
            </w:r>
            <w:bookmarkEnd w:id="435"/>
          </w:p>
          <w:p>
            <w:pPr>
              <w:spacing w:line="360" w:lineRule="auto"/>
              <w:ind w:firstLine="480" w:firstLineChars="200"/>
              <w:rPr>
                <w:rFonts w:ascii="宋体" w:cs="宋体"/>
                <w:color w:val="auto"/>
                <w:kern w:val="0"/>
                <w:sz w:val="24"/>
                <w:szCs w:val="21"/>
              </w:rPr>
            </w:pPr>
            <w:r>
              <w:rPr>
                <w:rFonts w:hint="eastAsia" w:ascii="宋体" w:hAnsi="宋体" w:cs="宋体"/>
                <w:color w:val="auto"/>
                <w:kern w:val="0"/>
                <w:sz w:val="24"/>
                <w:szCs w:val="21"/>
              </w:rPr>
              <w:t>日期：年月日</w:t>
            </w:r>
          </w:p>
        </w:tc>
      </w:tr>
      <w:bookmarkEnd w:id="381"/>
      <w:bookmarkEnd w:id="382"/>
    </w:tbl>
    <w:p>
      <w:pPr>
        <w:pStyle w:val="6"/>
        <w:spacing w:line="360" w:lineRule="auto"/>
        <w:jc w:val="center"/>
        <w:rPr>
          <w:rFonts w:ascii="宋体" w:hAnsi="宋体" w:eastAsia="宋体" w:cs="宋体"/>
          <w:color w:val="auto"/>
        </w:rPr>
      </w:pPr>
      <w:bookmarkStart w:id="436" w:name="_Toc244942489"/>
      <w:bookmarkStart w:id="437" w:name="_Toc247301843"/>
      <w:bookmarkStart w:id="438" w:name="_Toc255977448"/>
      <w:bookmarkStart w:id="439" w:name="_Toc9374"/>
      <w:bookmarkStart w:id="440" w:name="_Toc247292462"/>
    </w:p>
    <w:p>
      <w:pPr>
        <w:pStyle w:val="6"/>
        <w:spacing w:line="360" w:lineRule="auto"/>
        <w:jc w:val="center"/>
        <w:rPr>
          <w:rFonts w:ascii="宋体" w:hAnsi="宋体" w:eastAsia="宋体" w:cs="宋体"/>
          <w:color w:val="auto"/>
        </w:rPr>
      </w:pPr>
      <w:bookmarkStart w:id="441" w:name="_Toc10416"/>
      <w:bookmarkStart w:id="442" w:name="_Toc18265"/>
      <w:bookmarkStart w:id="443" w:name="_Toc9751"/>
      <w:r>
        <w:rPr>
          <w:rFonts w:hint="eastAsia" w:ascii="宋体" w:hAnsi="宋体" w:eastAsia="宋体" w:cs="宋体"/>
          <w:color w:val="auto"/>
        </w:rPr>
        <w:t>商务标部分目录</w:t>
      </w:r>
      <w:bookmarkEnd w:id="436"/>
      <w:bookmarkEnd w:id="437"/>
      <w:bookmarkEnd w:id="438"/>
      <w:bookmarkEnd w:id="439"/>
      <w:bookmarkEnd w:id="441"/>
      <w:bookmarkEnd w:id="442"/>
      <w:bookmarkEnd w:id="443"/>
    </w:p>
    <w:p>
      <w:pPr>
        <w:spacing w:line="600" w:lineRule="auto"/>
        <w:ind w:left="126" w:leftChars="60" w:firstLine="340" w:firstLineChars="142"/>
        <w:rPr>
          <w:rFonts w:ascii="宋体" w:cs="宋体"/>
          <w:b/>
          <w:color w:val="auto"/>
          <w:sz w:val="24"/>
        </w:rPr>
      </w:pPr>
      <w:r>
        <w:rPr>
          <w:rFonts w:ascii="宋体" w:hAnsi="宋体" w:cs="宋体"/>
          <w:b/>
          <w:color w:val="auto"/>
          <w:sz w:val="24"/>
        </w:rPr>
        <w:t xml:space="preserve">(1)  </w:t>
      </w:r>
      <w:r>
        <w:rPr>
          <w:rFonts w:hint="eastAsia" w:ascii="宋体" w:hAnsi="宋体" w:cs="宋体"/>
          <w:b/>
          <w:color w:val="auto"/>
          <w:sz w:val="24"/>
          <w:lang w:eastAsia="zh-CN"/>
        </w:rPr>
        <w:t>磋商函</w:t>
      </w:r>
      <w:r>
        <w:rPr>
          <w:rFonts w:hint="eastAsia" w:ascii="宋体" w:hAnsi="宋体" w:cs="宋体"/>
          <w:b/>
          <w:color w:val="auto"/>
          <w:sz w:val="24"/>
        </w:rPr>
        <w:t>；</w:t>
      </w:r>
    </w:p>
    <w:p>
      <w:pPr>
        <w:spacing w:line="600" w:lineRule="auto"/>
        <w:ind w:left="126" w:leftChars="60" w:firstLine="340" w:firstLineChars="142"/>
        <w:rPr>
          <w:rFonts w:ascii="宋体" w:cs="宋体"/>
          <w:b/>
          <w:color w:val="auto"/>
          <w:sz w:val="24"/>
        </w:rPr>
      </w:pPr>
      <w:r>
        <w:rPr>
          <w:rFonts w:ascii="宋体" w:hAnsi="宋体" w:cs="宋体"/>
          <w:b/>
          <w:color w:val="auto"/>
          <w:sz w:val="24"/>
        </w:rPr>
        <w:t xml:space="preserve">(2)  </w:t>
      </w:r>
      <w:r>
        <w:rPr>
          <w:rFonts w:hint="eastAsia" w:ascii="宋体" w:hAnsi="宋体" w:cs="宋体"/>
          <w:b/>
          <w:color w:val="auto"/>
          <w:sz w:val="24"/>
          <w:lang w:eastAsia="zh-CN"/>
        </w:rPr>
        <w:t>磋商函</w:t>
      </w:r>
      <w:r>
        <w:rPr>
          <w:rFonts w:hint="eastAsia" w:ascii="宋体" w:hAnsi="宋体" w:cs="宋体"/>
          <w:b/>
          <w:color w:val="auto"/>
          <w:sz w:val="24"/>
        </w:rPr>
        <w:t>附录；</w:t>
      </w:r>
    </w:p>
    <w:p>
      <w:pPr>
        <w:spacing w:line="600" w:lineRule="auto"/>
        <w:ind w:left="126" w:leftChars="60" w:firstLine="340" w:firstLineChars="142"/>
        <w:rPr>
          <w:rFonts w:ascii="宋体" w:cs="宋体"/>
          <w:b/>
          <w:color w:val="auto"/>
          <w:sz w:val="24"/>
        </w:rPr>
      </w:pPr>
      <w:r>
        <w:rPr>
          <w:rFonts w:ascii="宋体" w:hAnsi="宋体" w:cs="宋体"/>
          <w:b/>
          <w:color w:val="auto"/>
          <w:sz w:val="24"/>
        </w:rPr>
        <w:t xml:space="preserve">(3)  </w:t>
      </w:r>
      <w:r>
        <w:rPr>
          <w:rFonts w:hint="eastAsia" w:ascii="宋体" w:hAnsi="宋体" w:cs="宋体"/>
          <w:b/>
          <w:color w:val="auto"/>
          <w:sz w:val="24"/>
          <w:lang w:eastAsia="zh-CN"/>
        </w:rPr>
        <w:t>磋商报价汇总表</w:t>
      </w:r>
      <w:r>
        <w:rPr>
          <w:rFonts w:hint="eastAsia" w:ascii="宋体" w:hAnsi="宋体" w:cs="宋体"/>
          <w:b/>
          <w:color w:val="auto"/>
          <w:sz w:val="24"/>
        </w:rPr>
        <w:t>；</w:t>
      </w:r>
    </w:p>
    <w:p>
      <w:pPr>
        <w:spacing w:line="600" w:lineRule="auto"/>
        <w:ind w:left="126" w:leftChars="60" w:firstLine="340" w:firstLineChars="142"/>
        <w:rPr>
          <w:rFonts w:ascii="宋体" w:cs="宋体"/>
          <w:b/>
          <w:color w:val="auto"/>
          <w:sz w:val="24"/>
        </w:rPr>
      </w:pPr>
      <w:r>
        <w:rPr>
          <w:rFonts w:ascii="宋体" w:hAnsi="宋体" w:cs="宋体"/>
          <w:b/>
          <w:color w:val="auto"/>
          <w:sz w:val="24"/>
        </w:rPr>
        <w:t xml:space="preserve">(4)  </w:t>
      </w:r>
      <w:r>
        <w:rPr>
          <w:rFonts w:hint="eastAsia" w:ascii="宋体" w:hAnsi="宋体" w:cs="宋体"/>
          <w:b/>
          <w:color w:val="auto"/>
          <w:sz w:val="24"/>
        </w:rPr>
        <w:t>已标价工程量清单；</w:t>
      </w:r>
    </w:p>
    <w:p>
      <w:pPr>
        <w:spacing w:line="600" w:lineRule="auto"/>
        <w:ind w:left="126" w:leftChars="60" w:firstLine="340" w:firstLineChars="142"/>
        <w:rPr>
          <w:rFonts w:ascii="宋体" w:cs="宋体"/>
          <w:b/>
          <w:color w:val="auto"/>
          <w:sz w:val="24"/>
        </w:rPr>
      </w:pPr>
      <w:r>
        <w:rPr>
          <w:rFonts w:hint="eastAsia" w:ascii="宋体" w:hAnsi="宋体" w:cs="宋体"/>
          <w:b/>
          <w:color w:val="auto"/>
          <w:sz w:val="24"/>
        </w:rPr>
        <w:t>注：已标价工程量清单应根据采购人提供的工程量清单相应表格及有关规定执行</w:t>
      </w:r>
      <w:r>
        <w:rPr>
          <w:rFonts w:ascii="宋体" w:cs="宋体"/>
          <w:b/>
          <w:color w:val="auto"/>
          <w:sz w:val="24"/>
        </w:rPr>
        <w:t>,</w:t>
      </w:r>
      <w:r>
        <w:rPr>
          <w:rFonts w:hint="eastAsia" w:ascii="宋体" w:hAnsi="宋体" w:cs="宋体"/>
          <w:b/>
          <w:color w:val="auto"/>
          <w:sz w:val="24"/>
        </w:rPr>
        <w:t>可按预结算软件打印格式提供</w:t>
      </w:r>
      <w:r>
        <w:rPr>
          <w:rFonts w:ascii="宋体" w:cs="宋体"/>
          <w:b/>
          <w:color w:val="auto"/>
          <w:sz w:val="24"/>
        </w:rPr>
        <w:t>,</w:t>
      </w:r>
      <w:r>
        <w:rPr>
          <w:rFonts w:hint="eastAsia" w:ascii="宋体" w:hAnsi="宋体" w:cs="宋体"/>
          <w:b/>
          <w:color w:val="auto"/>
          <w:sz w:val="24"/>
        </w:rPr>
        <w:t>本采购文件不另提供参考格式。</w:t>
      </w:r>
    </w:p>
    <w:p>
      <w:pPr>
        <w:spacing w:line="360" w:lineRule="auto"/>
        <w:ind w:left="126" w:leftChars="60" w:firstLine="340" w:firstLineChars="142"/>
        <w:rPr>
          <w:rFonts w:ascii="宋体" w:cs="宋体"/>
          <w:b/>
          <w:color w:val="auto"/>
          <w:sz w:val="24"/>
        </w:rPr>
      </w:pPr>
    </w:p>
    <w:p>
      <w:pPr>
        <w:tabs>
          <w:tab w:val="left" w:pos="1050"/>
        </w:tabs>
        <w:spacing w:line="360" w:lineRule="auto"/>
        <w:ind w:left="360"/>
        <w:rPr>
          <w:rFonts w:ascii="宋体" w:cs="宋体"/>
          <w:color w:val="auto"/>
          <w:sz w:val="24"/>
        </w:rPr>
      </w:pPr>
    </w:p>
    <w:p>
      <w:pPr>
        <w:pStyle w:val="6"/>
        <w:spacing w:line="360" w:lineRule="auto"/>
        <w:jc w:val="center"/>
        <w:rPr>
          <w:rFonts w:hint="eastAsia" w:ascii="宋体" w:hAnsi="宋体" w:eastAsia="宋体" w:cs="宋体"/>
          <w:color w:val="auto"/>
          <w:lang w:eastAsia="zh-CN"/>
        </w:rPr>
      </w:pPr>
      <w:r>
        <w:rPr>
          <w:rFonts w:ascii="宋体" w:hAnsi="宋体" w:eastAsia="宋体" w:cs="宋体"/>
          <w:color w:val="auto"/>
          <w:kern w:val="0"/>
        </w:rPr>
        <w:br w:type="page"/>
      </w:r>
      <w:bookmarkEnd w:id="359"/>
      <w:bookmarkEnd w:id="440"/>
      <w:bookmarkStart w:id="444" w:name="_Toc304362809"/>
      <w:bookmarkStart w:id="445" w:name="_Toc27996"/>
      <w:bookmarkStart w:id="446" w:name="_Toc6060"/>
      <w:bookmarkStart w:id="447" w:name="_Toc25623"/>
      <w:bookmarkStart w:id="448" w:name="_Toc12248"/>
      <w:bookmarkStart w:id="449" w:name="_Toc255977454"/>
      <w:bookmarkStart w:id="450" w:name="_Toc247301852"/>
      <w:bookmarkStart w:id="451" w:name="_Toc245445246"/>
      <w:bookmarkStart w:id="452" w:name="_Toc247292466"/>
      <w:r>
        <w:rPr>
          <w:rFonts w:hint="eastAsia" w:ascii="宋体" w:hAnsi="宋体" w:eastAsia="宋体" w:cs="宋体"/>
          <w:color w:val="auto"/>
        </w:rPr>
        <w:t>一、</w:t>
      </w:r>
      <w:bookmarkEnd w:id="444"/>
      <w:bookmarkEnd w:id="445"/>
      <w:bookmarkEnd w:id="446"/>
      <w:bookmarkEnd w:id="447"/>
      <w:r>
        <w:rPr>
          <w:rFonts w:hint="eastAsia" w:ascii="宋体" w:hAnsi="宋体" w:eastAsia="宋体" w:cs="宋体"/>
          <w:color w:val="auto"/>
          <w:lang w:eastAsia="zh-CN"/>
        </w:rPr>
        <w:t>磋商函</w:t>
      </w:r>
      <w:bookmarkEnd w:id="448"/>
    </w:p>
    <w:p>
      <w:pPr>
        <w:spacing w:line="360" w:lineRule="auto"/>
        <w:rPr>
          <w:rFonts w:ascii="宋体" w:cs="宋体"/>
          <w:color w:val="auto"/>
        </w:rPr>
      </w:pPr>
    </w:p>
    <w:p>
      <w:pPr>
        <w:spacing w:line="360" w:lineRule="auto"/>
        <w:rPr>
          <w:rFonts w:ascii="宋体" w:cs="宋体"/>
          <w:color w:val="auto"/>
          <w:kern w:val="0"/>
          <w:szCs w:val="21"/>
          <w:u w:val="single"/>
        </w:rPr>
      </w:pPr>
      <w:r>
        <w:rPr>
          <w:rFonts w:hint="eastAsia" w:ascii="宋体" w:hAnsi="宋体" w:cs="宋体"/>
          <w:color w:val="auto"/>
          <w:kern w:val="0"/>
          <w:szCs w:val="21"/>
          <w:u w:val="single"/>
        </w:rPr>
        <w:t>致：（采购人名称）</w:t>
      </w:r>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根据你方</w:t>
      </w:r>
      <w:r>
        <w:rPr>
          <w:rFonts w:hint="eastAsia" w:ascii="宋体" w:hAnsi="宋体" w:cs="宋体"/>
          <w:color w:val="auto"/>
          <w:kern w:val="0"/>
          <w:szCs w:val="21"/>
          <w:u w:val="single"/>
        </w:rPr>
        <w:t>（项目名称和编号）</w:t>
      </w:r>
      <w:r>
        <w:rPr>
          <w:rFonts w:hint="eastAsia" w:ascii="宋体" w:hAnsi="宋体" w:cs="宋体"/>
          <w:color w:val="auto"/>
          <w:kern w:val="0"/>
          <w:szCs w:val="21"/>
        </w:rPr>
        <w:t>工程的采购文件，遵照采购投标有关法律、法规和规章的规定，经我公司研究上述采购文件的竞标须知、合同条款、图纸、工程质量标准及其他有关文件后，我方愿以人民币</w:t>
      </w:r>
      <w:r>
        <w:rPr>
          <w:rFonts w:hint="eastAsia" w:ascii="宋体" w:hAnsi="宋体" w:cs="宋体"/>
          <w:color w:val="auto"/>
          <w:kern w:val="0"/>
          <w:szCs w:val="21"/>
          <w:u w:val="single"/>
        </w:rPr>
        <w:t>：</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single"/>
        </w:rPr>
        <w:t>（</w:t>
      </w:r>
      <w:r>
        <w:rPr>
          <w:rFonts w:ascii="宋体" w:cs="宋体"/>
          <w:color w:val="auto"/>
          <w:kern w:val="0"/>
          <w:szCs w:val="21"/>
          <w:u w:val="single"/>
        </w:rPr>
        <w:t>¥</w:t>
      </w:r>
      <w:r>
        <w:rPr>
          <w:rFonts w:hint="eastAsia" w:ascii="宋体" w:cs="宋体"/>
          <w:color w:val="auto"/>
          <w:kern w:val="0"/>
          <w:szCs w:val="21"/>
          <w:u w:val="single"/>
          <w:lang w:val="en-US" w:eastAsia="zh-CN"/>
        </w:rPr>
        <w:t xml:space="preserve"> </w:t>
      </w:r>
      <w:r>
        <w:rPr>
          <w:rFonts w:hint="eastAsia" w:ascii="宋体" w:hAnsi="宋体" w:cs="宋体"/>
          <w:color w:val="auto"/>
          <w:kern w:val="0"/>
          <w:szCs w:val="21"/>
          <w:u w:val="single"/>
        </w:rPr>
        <w:t>元）</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rPr>
        <w:t>的竞标总价，并按上述图纸、合同条款、工程建设标准的条件要求承包上述工程的施工、竣工，并承担任何质量缺陷保修责任。</w:t>
      </w:r>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2. </w:t>
      </w:r>
      <w:r>
        <w:rPr>
          <w:rFonts w:hint="eastAsia" w:ascii="宋体" w:hAnsi="宋体" w:cs="宋体"/>
          <w:color w:val="auto"/>
          <w:kern w:val="0"/>
          <w:szCs w:val="21"/>
        </w:rPr>
        <w:t>我方已详细审核全部采购文件，包括采购补遗文件及有关附件。</w:t>
      </w:r>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3. </w:t>
      </w:r>
      <w:r>
        <w:rPr>
          <w:rFonts w:hint="eastAsia" w:ascii="宋体" w:hAnsi="宋体" w:cs="宋体"/>
          <w:color w:val="auto"/>
          <w:kern w:val="0"/>
          <w:szCs w:val="21"/>
        </w:rPr>
        <w:t>我方承认</w:t>
      </w:r>
      <w:r>
        <w:rPr>
          <w:rFonts w:hint="eastAsia" w:ascii="宋体" w:hAnsi="宋体" w:cs="宋体"/>
          <w:color w:val="auto"/>
          <w:kern w:val="0"/>
          <w:szCs w:val="21"/>
          <w:lang w:eastAsia="zh-CN"/>
        </w:rPr>
        <w:t>磋商函</w:t>
      </w:r>
      <w:r>
        <w:rPr>
          <w:rFonts w:hint="eastAsia" w:ascii="宋体" w:hAnsi="宋体" w:cs="宋体"/>
          <w:color w:val="auto"/>
          <w:kern w:val="0"/>
          <w:szCs w:val="21"/>
        </w:rPr>
        <w:t>附录是我方</w:t>
      </w:r>
      <w:r>
        <w:rPr>
          <w:rFonts w:hint="eastAsia" w:ascii="宋体" w:hAnsi="宋体" w:cs="宋体"/>
          <w:color w:val="auto"/>
          <w:kern w:val="0"/>
          <w:szCs w:val="21"/>
          <w:lang w:eastAsia="zh-CN"/>
        </w:rPr>
        <w:t>磋商函</w:t>
      </w:r>
      <w:r>
        <w:rPr>
          <w:rFonts w:hint="eastAsia" w:ascii="宋体" w:hAnsi="宋体" w:cs="宋体"/>
          <w:color w:val="auto"/>
          <w:kern w:val="0"/>
          <w:szCs w:val="21"/>
        </w:rPr>
        <w:t>的组成部分。</w:t>
      </w:r>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4. </w:t>
      </w:r>
      <w:r>
        <w:rPr>
          <w:rFonts w:hint="eastAsia" w:ascii="宋体" w:hAnsi="宋体" w:cs="宋体"/>
          <w:color w:val="auto"/>
          <w:kern w:val="0"/>
          <w:szCs w:val="21"/>
        </w:rPr>
        <w:t>一旦我方成交，我方保证按合同协议书中约定的工期日历日内完成并移交全部工程，并保证工程质量。</w:t>
      </w:r>
    </w:p>
    <w:p>
      <w:pPr>
        <w:autoSpaceDE w:val="0"/>
        <w:autoSpaceDN w:val="0"/>
        <w:adjustRightInd w:val="0"/>
        <w:spacing w:line="360" w:lineRule="auto"/>
        <w:ind w:firstLine="417" w:firstLineChars="199"/>
        <w:rPr>
          <w:rFonts w:ascii="宋体" w:cs="宋体"/>
          <w:color w:val="auto"/>
          <w:kern w:val="0"/>
          <w:szCs w:val="21"/>
        </w:rPr>
      </w:pPr>
      <w:r>
        <w:rPr>
          <w:rFonts w:ascii="宋体" w:hAnsi="宋体" w:cs="宋体"/>
          <w:color w:val="auto"/>
          <w:kern w:val="0"/>
          <w:szCs w:val="21"/>
        </w:rPr>
        <w:t xml:space="preserve">5. </w:t>
      </w:r>
      <w:r>
        <w:rPr>
          <w:rFonts w:hint="eastAsia" w:ascii="宋体" w:hAnsi="宋体" w:cs="宋体"/>
          <w:color w:val="auto"/>
          <w:kern w:val="0"/>
          <w:szCs w:val="21"/>
        </w:rPr>
        <w:t>我方同意所提交的响应文件在“竞标须知”规定的竞标有效期内有效，在此期间内如果成交，我方将受此约束。</w:t>
      </w:r>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6. </w:t>
      </w:r>
      <w:r>
        <w:rPr>
          <w:rFonts w:hint="eastAsia" w:ascii="宋体" w:hAnsi="宋体" w:cs="宋体"/>
          <w:color w:val="auto"/>
          <w:kern w:val="0"/>
          <w:szCs w:val="21"/>
        </w:rPr>
        <w:t>除非另外达成协议并生效，你方的成交通知书和本响应文件将成为约束双方的合同文件的组成部分。</w:t>
      </w:r>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7. </w:t>
      </w:r>
      <w:r>
        <w:rPr>
          <w:rFonts w:hint="eastAsia" w:ascii="宋体" w:hAnsi="宋体" w:cs="宋体"/>
          <w:color w:val="auto"/>
          <w:kern w:val="0"/>
          <w:szCs w:val="21"/>
        </w:rPr>
        <w:t>我方将与本</w:t>
      </w:r>
      <w:r>
        <w:rPr>
          <w:rFonts w:hint="eastAsia" w:ascii="宋体" w:hAnsi="宋体" w:cs="宋体"/>
          <w:color w:val="auto"/>
          <w:kern w:val="0"/>
          <w:szCs w:val="21"/>
          <w:lang w:eastAsia="zh-CN"/>
        </w:rPr>
        <w:t>磋商函</w:t>
      </w:r>
      <w:r>
        <w:rPr>
          <w:rFonts w:hint="eastAsia" w:ascii="宋体" w:hAnsi="宋体" w:cs="宋体"/>
          <w:color w:val="auto"/>
          <w:kern w:val="0"/>
          <w:szCs w:val="21"/>
        </w:rPr>
        <w:t>一起，提交人民币</w:t>
      </w:r>
      <w:r>
        <w:rPr>
          <w:rFonts w:hint="eastAsia" w:ascii="宋体" w:hAnsi="宋体" w:cs="宋体"/>
          <w:color w:val="auto"/>
          <w:kern w:val="0"/>
          <w:szCs w:val="21"/>
          <w:u w:val="single"/>
          <w:lang w:val="en-US" w:eastAsia="zh-CN"/>
        </w:rPr>
        <w:t xml:space="preserve">          </w:t>
      </w:r>
      <w:r>
        <w:rPr>
          <w:rFonts w:hint="eastAsia" w:ascii="宋体" w:hAnsi="宋体" w:cs="宋体"/>
          <w:bCs/>
          <w:color w:val="auto"/>
          <w:kern w:val="0"/>
          <w:szCs w:val="21"/>
          <w:u w:val="none"/>
        </w:rPr>
        <w:t>元</w:t>
      </w:r>
      <w:r>
        <w:rPr>
          <w:rFonts w:hint="eastAsia" w:ascii="宋体" w:hAnsi="宋体" w:cs="宋体"/>
          <w:color w:val="auto"/>
          <w:kern w:val="0"/>
          <w:szCs w:val="21"/>
        </w:rPr>
        <w:t>的磋商保证金。</w:t>
      </w:r>
    </w:p>
    <w:p>
      <w:pPr>
        <w:autoSpaceDE w:val="0"/>
        <w:autoSpaceDN w:val="0"/>
        <w:adjustRightInd w:val="0"/>
        <w:spacing w:line="360" w:lineRule="auto"/>
        <w:ind w:firstLine="555"/>
        <w:rPr>
          <w:rFonts w:ascii="宋体" w:cs="宋体"/>
          <w:color w:val="auto"/>
          <w:kern w:val="0"/>
          <w:szCs w:val="21"/>
        </w:rPr>
      </w:pPr>
    </w:p>
    <w:p>
      <w:pPr>
        <w:autoSpaceDE w:val="0"/>
        <w:autoSpaceDN w:val="0"/>
        <w:adjustRightInd w:val="0"/>
        <w:spacing w:line="360" w:lineRule="auto"/>
        <w:ind w:firstLine="840" w:firstLineChars="400"/>
        <w:rPr>
          <w:rFonts w:ascii="宋体" w:cs="宋体"/>
          <w:color w:val="auto"/>
          <w:kern w:val="0"/>
          <w:szCs w:val="21"/>
        </w:rPr>
      </w:pPr>
      <w:r>
        <w:rPr>
          <w:rFonts w:hint="eastAsia" w:ascii="宋体" w:hAnsi="宋体" w:cs="宋体"/>
          <w:color w:val="auto"/>
          <w:kern w:val="0"/>
          <w:szCs w:val="21"/>
        </w:rPr>
        <w:t>竞标人</w:t>
      </w:r>
      <w:r>
        <w:rPr>
          <w:rFonts w:hint="eastAsia" w:ascii="宋体" w:hAnsi="宋体" w:cs="宋体"/>
          <w:color w:val="auto"/>
          <w:kern w:val="0"/>
          <w:szCs w:val="21"/>
          <w:u w:val="single"/>
        </w:rPr>
        <w:t>：</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single"/>
        </w:rPr>
        <w:t>（盖章）</w:t>
      </w:r>
    </w:p>
    <w:p>
      <w:pPr>
        <w:autoSpaceDE w:val="0"/>
        <w:autoSpaceDN w:val="0"/>
        <w:adjustRightInd w:val="0"/>
        <w:spacing w:line="360" w:lineRule="auto"/>
        <w:ind w:firstLine="840" w:firstLineChars="400"/>
        <w:jc w:val="left"/>
        <w:rPr>
          <w:rFonts w:ascii="宋体" w:cs="宋体"/>
          <w:color w:val="auto"/>
          <w:kern w:val="0"/>
          <w:szCs w:val="21"/>
          <w:u w:val="single"/>
        </w:rPr>
      </w:pPr>
      <w:r>
        <w:rPr>
          <w:rFonts w:hint="eastAsia" w:ascii="宋体" w:hAnsi="宋体" w:cs="宋体"/>
          <w:color w:val="auto"/>
          <w:kern w:val="0"/>
          <w:szCs w:val="21"/>
        </w:rPr>
        <w:t>单位地址：</w:t>
      </w:r>
    </w:p>
    <w:p>
      <w:pPr>
        <w:autoSpaceDE w:val="0"/>
        <w:autoSpaceDN w:val="0"/>
        <w:adjustRightInd w:val="0"/>
        <w:spacing w:line="360" w:lineRule="auto"/>
        <w:ind w:firstLine="840" w:firstLineChars="400"/>
        <w:jc w:val="left"/>
        <w:rPr>
          <w:rFonts w:ascii="宋体" w:cs="宋体"/>
          <w:color w:val="auto"/>
          <w:kern w:val="0"/>
          <w:szCs w:val="21"/>
        </w:rPr>
      </w:pPr>
      <w:r>
        <w:rPr>
          <w:rFonts w:hint="eastAsia" w:ascii="宋体" w:hAnsi="宋体" w:cs="宋体"/>
          <w:color w:val="auto"/>
          <w:kern w:val="0"/>
          <w:szCs w:val="21"/>
        </w:rPr>
        <w:t>法定代表人或其授权代理人</w:t>
      </w:r>
      <w:r>
        <w:rPr>
          <w:rFonts w:hint="eastAsia" w:ascii="宋体" w:hAnsi="宋体" w:cs="宋体"/>
          <w:color w:val="auto"/>
          <w:kern w:val="0"/>
          <w:szCs w:val="21"/>
          <w:u w:val="single"/>
        </w:rPr>
        <w:t>：</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single"/>
        </w:rPr>
        <w:t>（签字或盖章）</w:t>
      </w:r>
    </w:p>
    <w:p>
      <w:pPr>
        <w:autoSpaceDE w:val="0"/>
        <w:autoSpaceDN w:val="0"/>
        <w:adjustRightInd w:val="0"/>
        <w:spacing w:line="360" w:lineRule="auto"/>
        <w:ind w:firstLine="840" w:firstLineChars="400"/>
        <w:jc w:val="left"/>
        <w:rPr>
          <w:rFonts w:ascii="宋体" w:cs="宋体"/>
          <w:color w:val="auto"/>
          <w:kern w:val="0"/>
          <w:szCs w:val="21"/>
        </w:rPr>
      </w:pPr>
      <w:r>
        <w:rPr>
          <w:rFonts w:hint="eastAsia" w:ascii="宋体" w:hAnsi="宋体" w:cs="宋体"/>
          <w:color w:val="auto"/>
          <w:kern w:val="0"/>
          <w:szCs w:val="21"/>
        </w:rPr>
        <w:t>邮政编码：</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电话：</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传真：</w:t>
      </w:r>
    </w:p>
    <w:p>
      <w:pPr>
        <w:autoSpaceDE w:val="0"/>
        <w:autoSpaceDN w:val="0"/>
        <w:adjustRightInd w:val="0"/>
        <w:spacing w:line="360" w:lineRule="auto"/>
        <w:ind w:firstLine="840" w:firstLineChars="400"/>
        <w:jc w:val="left"/>
        <w:rPr>
          <w:rFonts w:ascii="宋体" w:cs="宋体"/>
          <w:color w:val="auto"/>
          <w:kern w:val="0"/>
          <w:szCs w:val="21"/>
          <w:u w:val="single"/>
        </w:rPr>
      </w:pPr>
      <w:r>
        <w:rPr>
          <w:rFonts w:hint="eastAsia" w:ascii="宋体" w:hAnsi="宋体" w:cs="宋体"/>
          <w:color w:val="auto"/>
          <w:kern w:val="0"/>
          <w:szCs w:val="21"/>
        </w:rPr>
        <w:t>开户银行名称：</w:t>
      </w:r>
    </w:p>
    <w:p>
      <w:pPr>
        <w:autoSpaceDE w:val="0"/>
        <w:autoSpaceDN w:val="0"/>
        <w:adjustRightInd w:val="0"/>
        <w:spacing w:line="360" w:lineRule="auto"/>
        <w:ind w:firstLine="840" w:firstLineChars="400"/>
        <w:jc w:val="left"/>
        <w:rPr>
          <w:rFonts w:ascii="宋体" w:cs="宋体"/>
          <w:color w:val="auto"/>
          <w:kern w:val="0"/>
          <w:szCs w:val="21"/>
          <w:u w:val="single"/>
        </w:rPr>
      </w:pPr>
      <w:r>
        <w:rPr>
          <w:rFonts w:hint="eastAsia" w:ascii="宋体" w:hAnsi="宋体" w:cs="宋体"/>
          <w:color w:val="auto"/>
          <w:kern w:val="0"/>
          <w:szCs w:val="21"/>
        </w:rPr>
        <w:t>开户银行帐号：</w:t>
      </w:r>
    </w:p>
    <w:p>
      <w:pPr>
        <w:autoSpaceDE w:val="0"/>
        <w:autoSpaceDN w:val="0"/>
        <w:adjustRightInd w:val="0"/>
        <w:spacing w:line="360" w:lineRule="auto"/>
        <w:ind w:firstLine="840" w:firstLineChars="400"/>
        <w:jc w:val="left"/>
        <w:rPr>
          <w:rFonts w:ascii="宋体" w:cs="宋体"/>
          <w:color w:val="auto"/>
          <w:kern w:val="0"/>
          <w:szCs w:val="21"/>
          <w:u w:val="single"/>
        </w:rPr>
      </w:pPr>
      <w:r>
        <w:rPr>
          <w:rFonts w:hint="eastAsia" w:ascii="宋体" w:hAnsi="宋体" w:cs="宋体"/>
          <w:color w:val="auto"/>
          <w:kern w:val="0"/>
          <w:szCs w:val="21"/>
        </w:rPr>
        <w:t>开户银行地址：</w:t>
      </w:r>
    </w:p>
    <w:p>
      <w:pPr>
        <w:autoSpaceDE w:val="0"/>
        <w:autoSpaceDN w:val="0"/>
        <w:adjustRightInd w:val="0"/>
        <w:spacing w:line="360" w:lineRule="auto"/>
        <w:ind w:firstLine="840" w:firstLineChars="400"/>
        <w:jc w:val="left"/>
        <w:rPr>
          <w:rFonts w:ascii="宋体" w:cs="宋体"/>
          <w:color w:val="auto"/>
          <w:kern w:val="0"/>
          <w:szCs w:val="21"/>
        </w:rPr>
      </w:pPr>
      <w:r>
        <w:rPr>
          <w:rFonts w:hint="eastAsia" w:ascii="宋体" w:hAnsi="宋体" w:cs="宋体"/>
          <w:color w:val="auto"/>
          <w:kern w:val="0"/>
          <w:szCs w:val="21"/>
        </w:rPr>
        <w:t>日期：</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年</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月</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日</w:t>
      </w:r>
    </w:p>
    <w:p>
      <w:pPr>
        <w:autoSpaceDE w:val="0"/>
        <w:autoSpaceDN w:val="0"/>
        <w:adjustRightInd w:val="0"/>
        <w:spacing w:line="360" w:lineRule="auto"/>
        <w:jc w:val="left"/>
        <w:rPr>
          <w:rFonts w:ascii="宋体" w:cs="宋体"/>
          <w:color w:val="auto"/>
          <w:kern w:val="0"/>
          <w:sz w:val="24"/>
        </w:rPr>
      </w:pPr>
    </w:p>
    <w:p>
      <w:pPr>
        <w:autoSpaceDE w:val="0"/>
        <w:autoSpaceDN w:val="0"/>
        <w:adjustRightInd w:val="0"/>
        <w:spacing w:line="360" w:lineRule="auto"/>
        <w:jc w:val="left"/>
        <w:rPr>
          <w:rFonts w:ascii="宋体" w:cs="宋体"/>
          <w:color w:val="auto"/>
          <w:kern w:val="0"/>
          <w:sz w:val="24"/>
        </w:rPr>
      </w:pPr>
    </w:p>
    <w:p>
      <w:pPr>
        <w:autoSpaceDE w:val="0"/>
        <w:autoSpaceDN w:val="0"/>
        <w:adjustRightInd w:val="0"/>
        <w:spacing w:line="360" w:lineRule="auto"/>
        <w:jc w:val="left"/>
        <w:rPr>
          <w:rFonts w:ascii="宋体" w:cs="宋体"/>
          <w:color w:val="auto"/>
          <w:kern w:val="0"/>
          <w:sz w:val="24"/>
        </w:rPr>
      </w:pPr>
    </w:p>
    <w:p>
      <w:pPr>
        <w:pStyle w:val="6"/>
        <w:spacing w:line="360" w:lineRule="auto"/>
        <w:jc w:val="center"/>
        <w:rPr>
          <w:rFonts w:ascii="宋体" w:hAnsi="宋体" w:eastAsia="宋体" w:cs="宋体"/>
          <w:color w:val="auto"/>
        </w:rPr>
      </w:pPr>
      <w:bookmarkStart w:id="453" w:name="_Toc7304"/>
      <w:bookmarkStart w:id="454" w:name="_Toc304362810"/>
      <w:bookmarkStart w:id="455" w:name="_Toc26292"/>
      <w:bookmarkStart w:id="456" w:name="_Toc252264170"/>
      <w:bookmarkStart w:id="457" w:name="_Toc813"/>
      <w:bookmarkStart w:id="458" w:name="_Toc7508"/>
      <w:r>
        <w:rPr>
          <w:rFonts w:hint="eastAsia" w:ascii="宋体" w:hAnsi="宋体" w:eastAsia="宋体" w:cs="宋体"/>
          <w:color w:val="auto"/>
        </w:rPr>
        <w:t>二、</w:t>
      </w:r>
      <w:r>
        <w:rPr>
          <w:rFonts w:hint="eastAsia" w:ascii="宋体" w:hAnsi="宋体" w:eastAsia="宋体" w:cs="宋体"/>
          <w:color w:val="auto"/>
          <w:lang w:eastAsia="zh-CN"/>
        </w:rPr>
        <w:t>磋商函</w:t>
      </w:r>
      <w:r>
        <w:rPr>
          <w:rFonts w:hint="eastAsia" w:ascii="宋体" w:hAnsi="宋体" w:eastAsia="宋体" w:cs="宋体"/>
          <w:color w:val="auto"/>
        </w:rPr>
        <w:t>附录</w:t>
      </w:r>
      <w:bookmarkEnd w:id="453"/>
      <w:bookmarkEnd w:id="454"/>
      <w:bookmarkEnd w:id="455"/>
      <w:bookmarkEnd w:id="456"/>
      <w:bookmarkEnd w:id="457"/>
      <w:bookmarkEnd w:id="458"/>
    </w:p>
    <w:tbl>
      <w:tblPr>
        <w:tblStyle w:val="24"/>
        <w:tblW w:w="92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3"/>
        <w:gridCol w:w="2145"/>
        <w:gridCol w:w="1854"/>
        <w:gridCol w:w="3546"/>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3" w:type="dxa"/>
            <w:vAlign w:val="center"/>
          </w:tcPr>
          <w:p>
            <w:pPr>
              <w:autoSpaceDE w:val="0"/>
              <w:autoSpaceDN w:val="0"/>
              <w:adjustRightInd w:val="0"/>
              <w:spacing w:line="360" w:lineRule="auto"/>
              <w:jc w:val="center"/>
              <w:rPr>
                <w:rFonts w:ascii="宋体" w:cs="宋体"/>
                <w:color w:val="auto"/>
                <w:kern w:val="0"/>
                <w:szCs w:val="21"/>
              </w:rPr>
            </w:pPr>
            <w:r>
              <w:rPr>
                <w:rFonts w:hint="eastAsia" w:ascii="宋体" w:hAnsi="宋体" w:cs="宋体"/>
                <w:color w:val="auto"/>
                <w:kern w:val="0"/>
                <w:szCs w:val="21"/>
              </w:rPr>
              <w:t>序号</w:t>
            </w:r>
          </w:p>
        </w:tc>
        <w:tc>
          <w:tcPr>
            <w:tcW w:w="2145" w:type="dxa"/>
            <w:vAlign w:val="center"/>
          </w:tcPr>
          <w:p>
            <w:pPr>
              <w:autoSpaceDE w:val="0"/>
              <w:autoSpaceDN w:val="0"/>
              <w:adjustRightInd w:val="0"/>
              <w:spacing w:line="360" w:lineRule="auto"/>
              <w:jc w:val="center"/>
              <w:rPr>
                <w:rFonts w:ascii="宋体" w:cs="宋体"/>
                <w:color w:val="auto"/>
                <w:kern w:val="0"/>
                <w:szCs w:val="21"/>
              </w:rPr>
            </w:pPr>
            <w:r>
              <w:rPr>
                <w:rFonts w:hint="eastAsia" w:ascii="宋体" w:hAnsi="宋体" w:cs="宋体"/>
                <w:color w:val="auto"/>
                <w:kern w:val="0"/>
                <w:szCs w:val="21"/>
              </w:rPr>
              <w:t>项目内容</w:t>
            </w:r>
          </w:p>
        </w:tc>
        <w:tc>
          <w:tcPr>
            <w:tcW w:w="1854" w:type="dxa"/>
            <w:vAlign w:val="center"/>
          </w:tcPr>
          <w:p>
            <w:pPr>
              <w:autoSpaceDE w:val="0"/>
              <w:autoSpaceDN w:val="0"/>
              <w:adjustRightInd w:val="0"/>
              <w:spacing w:line="360" w:lineRule="auto"/>
              <w:jc w:val="center"/>
              <w:rPr>
                <w:rFonts w:ascii="宋体" w:cs="宋体"/>
                <w:color w:val="auto"/>
                <w:kern w:val="0"/>
                <w:szCs w:val="21"/>
              </w:rPr>
            </w:pPr>
            <w:r>
              <w:rPr>
                <w:rFonts w:hint="eastAsia" w:ascii="宋体" w:hAnsi="宋体" w:cs="宋体"/>
                <w:color w:val="auto"/>
                <w:kern w:val="0"/>
                <w:szCs w:val="21"/>
              </w:rPr>
              <w:t>合同条款号</w:t>
            </w:r>
          </w:p>
        </w:tc>
        <w:tc>
          <w:tcPr>
            <w:tcW w:w="3546" w:type="dxa"/>
            <w:vAlign w:val="center"/>
          </w:tcPr>
          <w:p>
            <w:pPr>
              <w:autoSpaceDE w:val="0"/>
              <w:autoSpaceDN w:val="0"/>
              <w:adjustRightInd w:val="0"/>
              <w:spacing w:line="360" w:lineRule="auto"/>
              <w:jc w:val="center"/>
              <w:rPr>
                <w:rFonts w:ascii="宋体" w:cs="宋体"/>
                <w:color w:val="auto"/>
                <w:kern w:val="0"/>
                <w:szCs w:val="21"/>
              </w:rPr>
            </w:pPr>
            <w:r>
              <w:rPr>
                <w:rFonts w:hint="eastAsia" w:ascii="宋体" w:hAnsi="宋体" w:cs="宋体"/>
                <w:color w:val="auto"/>
                <w:kern w:val="0"/>
                <w:szCs w:val="21"/>
              </w:rPr>
              <w:t>约定内容</w:t>
            </w:r>
          </w:p>
        </w:tc>
        <w:tc>
          <w:tcPr>
            <w:tcW w:w="900" w:type="dxa"/>
            <w:vAlign w:val="center"/>
          </w:tcPr>
          <w:p>
            <w:pPr>
              <w:autoSpaceDE w:val="0"/>
              <w:autoSpaceDN w:val="0"/>
              <w:adjustRightInd w:val="0"/>
              <w:spacing w:line="360" w:lineRule="auto"/>
              <w:jc w:val="center"/>
              <w:rPr>
                <w:rFonts w:ascii="宋体" w:cs="宋体"/>
                <w:color w:val="auto"/>
                <w:kern w:val="0"/>
                <w:szCs w:val="21"/>
              </w:rPr>
            </w:pPr>
            <w:r>
              <w:rPr>
                <w:rFonts w:hint="eastAsia" w:ascii="宋体" w:hAnsi="宋体" w:cs="宋体"/>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trPr>
        <w:tc>
          <w:tcPr>
            <w:tcW w:w="843" w:type="dxa"/>
            <w:vAlign w:val="center"/>
          </w:tcPr>
          <w:p>
            <w:pPr>
              <w:autoSpaceDE w:val="0"/>
              <w:autoSpaceDN w:val="0"/>
              <w:adjustRightInd w:val="0"/>
              <w:spacing w:line="360" w:lineRule="auto"/>
              <w:jc w:val="center"/>
              <w:rPr>
                <w:rFonts w:ascii="宋体" w:hAnsi="宋体" w:cs="宋体"/>
                <w:color w:val="auto"/>
                <w:kern w:val="0"/>
                <w:szCs w:val="21"/>
              </w:rPr>
            </w:pPr>
            <w:r>
              <w:rPr>
                <w:rFonts w:ascii="宋体" w:hAnsi="宋体" w:cs="宋体"/>
                <w:color w:val="auto"/>
                <w:kern w:val="0"/>
                <w:szCs w:val="21"/>
              </w:rPr>
              <w:t>1</w:t>
            </w:r>
          </w:p>
        </w:tc>
        <w:tc>
          <w:tcPr>
            <w:tcW w:w="2145" w:type="dxa"/>
            <w:vAlign w:val="center"/>
          </w:tcPr>
          <w:p>
            <w:pPr>
              <w:autoSpaceDE w:val="0"/>
              <w:autoSpaceDN w:val="0"/>
              <w:adjustRightInd w:val="0"/>
              <w:spacing w:line="360" w:lineRule="auto"/>
              <w:rPr>
                <w:rFonts w:ascii="宋体" w:cs="宋体"/>
                <w:color w:val="auto"/>
                <w:kern w:val="0"/>
                <w:szCs w:val="21"/>
              </w:rPr>
            </w:pPr>
            <w:r>
              <w:rPr>
                <w:rFonts w:hint="eastAsia" w:ascii="宋体" w:hAnsi="宋体" w:cs="宋体"/>
                <w:color w:val="auto"/>
                <w:kern w:val="0"/>
                <w:szCs w:val="21"/>
              </w:rPr>
              <w:t>工程</w:t>
            </w:r>
            <w:r>
              <w:rPr>
                <w:rFonts w:hint="eastAsia" w:ascii="宋体" w:hAnsi="宋体" w:cs="宋体"/>
                <w:color w:val="auto"/>
                <w:kern w:val="0"/>
                <w:szCs w:val="21"/>
                <w:lang w:eastAsia="zh-CN"/>
              </w:rPr>
              <w:t>款支付</w:t>
            </w:r>
          </w:p>
        </w:tc>
        <w:tc>
          <w:tcPr>
            <w:tcW w:w="1854" w:type="dxa"/>
            <w:vAlign w:val="center"/>
          </w:tcPr>
          <w:p>
            <w:pPr>
              <w:autoSpaceDE w:val="0"/>
              <w:autoSpaceDN w:val="0"/>
              <w:adjustRightInd w:val="0"/>
              <w:spacing w:line="360" w:lineRule="auto"/>
              <w:jc w:val="center"/>
              <w:rPr>
                <w:rFonts w:ascii="宋体" w:hAnsi="宋体" w:cs="宋体"/>
                <w:color w:val="auto"/>
                <w:kern w:val="0"/>
                <w:szCs w:val="21"/>
              </w:rPr>
            </w:pPr>
          </w:p>
        </w:tc>
        <w:tc>
          <w:tcPr>
            <w:tcW w:w="3546" w:type="dxa"/>
            <w:vAlign w:val="center"/>
          </w:tcPr>
          <w:p>
            <w:pPr>
              <w:autoSpaceDE w:val="0"/>
              <w:autoSpaceDN w:val="0"/>
              <w:adjustRightInd w:val="0"/>
              <w:spacing w:line="360" w:lineRule="auto"/>
              <w:jc w:val="center"/>
              <w:rPr>
                <w:rFonts w:ascii="宋体" w:cs="宋体"/>
                <w:color w:val="auto"/>
                <w:kern w:val="0"/>
                <w:szCs w:val="21"/>
              </w:rPr>
            </w:pPr>
          </w:p>
        </w:tc>
        <w:tc>
          <w:tcPr>
            <w:tcW w:w="900" w:type="dxa"/>
            <w:vAlign w:val="center"/>
          </w:tcPr>
          <w:p>
            <w:pPr>
              <w:autoSpaceDE w:val="0"/>
              <w:autoSpaceDN w:val="0"/>
              <w:adjustRightInd w:val="0"/>
              <w:spacing w:line="360" w:lineRule="auto"/>
              <w:jc w:val="center"/>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3" w:type="dxa"/>
            <w:vAlign w:val="center"/>
          </w:tcPr>
          <w:p>
            <w:pPr>
              <w:autoSpaceDE w:val="0"/>
              <w:autoSpaceDN w:val="0"/>
              <w:adjustRightInd w:val="0"/>
              <w:spacing w:line="360" w:lineRule="auto"/>
              <w:jc w:val="center"/>
              <w:rPr>
                <w:rFonts w:ascii="宋体" w:hAnsi="宋体" w:cs="宋体"/>
                <w:color w:val="auto"/>
                <w:kern w:val="0"/>
                <w:szCs w:val="21"/>
              </w:rPr>
            </w:pPr>
            <w:r>
              <w:rPr>
                <w:rFonts w:hint="eastAsia" w:ascii="宋体" w:hAnsi="宋体" w:cs="宋体"/>
                <w:color w:val="auto"/>
                <w:kern w:val="0"/>
                <w:szCs w:val="21"/>
                <w:lang w:val="en-US" w:eastAsia="zh-CN"/>
              </w:rPr>
              <w:t>2</w:t>
            </w:r>
          </w:p>
        </w:tc>
        <w:tc>
          <w:tcPr>
            <w:tcW w:w="2145" w:type="dxa"/>
            <w:vAlign w:val="center"/>
          </w:tcPr>
          <w:p>
            <w:pPr>
              <w:autoSpaceDE w:val="0"/>
              <w:autoSpaceDN w:val="0"/>
              <w:adjustRightInd w:val="0"/>
              <w:spacing w:line="360" w:lineRule="auto"/>
              <w:rPr>
                <w:rFonts w:ascii="宋体" w:cs="宋体"/>
                <w:color w:val="auto"/>
                <w:kern w:val="0"/>
                <w:szCs w:val="21"/>
              </w:rPr>
            </w:pPr>
            <w:r>
              <w:rPr>
                <w:rFonts w:hint="eastAsia" w:ascii="宋体" w:hAnsi="宋体" w:cs="宋体"/>
                <w:color w:val="auto"/>
                <w:kern w:val="0"/>
                <w:szCs w:val="21"/>
              </w:rPr>
              <w:t>质量保修期</w:t>
            </w:r>
          </w:p>
        </w:tc>
        <w:tc>
          <w:tcPr>
            <w:tcW w:w="1854" w:type="dxa"/>
            <w:vAlign w:val="center"/>
          </w:tcPr>
          <w:p>
            <w:pPr>
              <w:autoSpaceDE w:val="0"/>
              <w:autoSpaceDN w:val="0"/>
              <w:adjustRightInd w:val="0"/>
              <w:spacing w:line="360" w:lineRule="auto"/>
              <w:jc w:val="center"/>
              <w:rPr>
                <w:rFonts w:ascii="宋体" w:hAnsi="宋体" w:cs="宋体"/>
                <w:color w:val="auto"/>
                <w:kern w:val="0"/>
                <w:szCs w:val="21"/>
              </w:rPr>
            </w:pPr>
          </w:p>
        </w:tc>
        <w:tc>
          <w:tcPr>
            <w:tcW w:w="3546" w:type="dxa"/>
            <w:vAlign w:val="center"/>
          </w:tcPr>
          <w:p>
            <w:pPr>
              <w:autoSpaceDE w:val="0"/>
              <w:autoSpaceDN w:val="0"/>
              <w:adjustRightInd w:val="0"/>
              <w:spacing w:line="360" w:lineRule="auto"/>
              <w:jc w:val="center"/>
              <w:rPr>
                <w:rFonts w:ascii="宋体" w:cs="宋体"/>
                <w:color w:val="auto"/>
                <w:kern w:val="0"/>
                <w:szCs w:val="21"/>
              </w:rPr>
            </w:pPr>
          </w:p>
        </w:tc>
        <w:tc>
          <w:tcPr>
            <w:tcW w:w="900" w:type="dxa"/>
            <w:vAlign w:val="center"/>
          </w:tcPr>
          <w:p>
            <w:pPr>
              <w:autoSpaceDE w:val="0"/>
              <w:autoSpaceDN w:val="0"/>
              <w:adjustRightInd w:val="0"/>
              <w:spacing w:line="360" w:lineRule="auto"/>
              <w:jc w:val="center"/>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3" w:type="dxa"/>
            <w:vAlign w:val="center"/>
          </w:tcPr>
          <w:p>
            <w:pPr>
              <w:autoSpaceDE w:val="0"/>
              <w:autoSpaceDN w:val="0"/>
              <w:adjustRightInd w:val="0"/>
              <w:spacing w:line="360" w:lineRule="auto"/>
              <w:jc w:val="center"/>
              <w:rPr>
                <w:rFonts w:ascii="宋体" w:hAnsi="宋体" w:cs="宋体"/>
                <w:color w:val="auto"/>
                <w:kern w:val="0"/>
                <w:szCs w:val="21"/>
              </w:rPr>
            </w:pPr>
            <w:r>
              <w:rPr>
                <w:rFonts w:hint="eastAsia" w:ascii="宋体" w:hAnsi="宋体" w:cs="宋体"/>
                <w:color w:val="auto"/>
                <w:kern w:val="0"/>
                <w:szCs w:val="21"/>
                <w:lang w:val="en-US" w:eastAsia="zh-CN"/>
              </w:rPr>
              <w:t>3</w:t>
            </w:r>
          </w:p>
        </w:tc>
        <w:tc>
          <w:tcPr>
            <w:tcW w:w="2145" w:type="dxa"/>
            <w:vAlign w:val="center"/>
          </w:tcPr>
          <w:p>
            <w:pPr>
              <w:autoSpaceDE w:val="0"/>
              <w:autoSpaceDN w:val="0"/>
              <w:adjustRightInd w:val="0"/>
              <w:spacing w:line="360" w:lineRule="auto"/>
              <w:rPr>
                <w:rFonts w:ascii="宋体" w:cs="宋体"/>
                <w:color w:val="auto"/>
                <w:kern w:val="0"/>
                <w:szCs w:val="21"/>
              </w:rPr>
            </w:pPr>
            <w:r>
              <w:rPr>
                <w:rFonts w:hint="eastAsia" w:ascii="宋体" w:hAnsi="宋体" w:cs="宋体"/>
                <w:color w:val="auto"/>
                <w:kern w:val="0"/>
                <w:szCs w:val="21"/>
              </w:rPr>
              <w:t>质量保证金</w:t>
            </w:r>
          </w:p>
        </w:tc>
        <w:tc>
          <w:tcPr>
            <w:tcW w:w="1854" w:type="dxa"/>
            <w:vAlign w:val="center"/>
          </w:tcPr>
          <w:p>
            <w:pPr>
              <w:autoSpaceDE w:val="0"/>
              <w:autoSpaceDN w:val="0"/>
              <w:adjustRightInd w:val="0"/>
              <w:spacing w:line="360" w:lineRule="auto"/>
              <w:jc w:val="center"/>
              <w:rPr>
                <w:rFonts w:ascii="宋体" w:hAnsi="宋体" w:cs="宋体"/>
                <w:color w:val="auto"/>
                <w:kern w:val="0"/>
                <w:szCs w:val="21"/>
              </w:rPr>
            </w:pPr>
          </w:p>
        </w:tc>
        <w:tc>
          <w:tcPr>
            <w:tcW w:w="3546" w:type="dxa"/>
            <w:vAlign w:val="center"/>
          </w:tcPr>
          <w:p>
            <w:pPr>
              <w:autoSpaceDE w:val="0"/>
              <w:autoSpaceDN w:val="0"/>
              <w:adjustRightInd w:val="0"/>
              <w:spacing w:line="360" w:lineRule="auto"/>
              <w:jc w:val="center"/>
              <w:rPr>
                <w:rFonts w:ascii="宋体" w:hAnsi="宋体" w:cs="宋体"/>
                <w:color w:val="auto"/>
                <w:kern w:val="0"/>
                <w:szCs w:val="21"/>
              </w:rPr>
            </w:pPr>
          </w:p>
        </w:tc>
        <w:tc>
          <w:tcPr>
            <w:tcW w:w="900" w:type="dxa"/>
            <w:vAlign w:val="center"/>
          </w:tcPr>
          <w:p>
            <w:pPr>
              <w:autoSpaceDE w:val="0"/>
              <w:autoSpaceDN w:val="0"/>
              <w:adjustRightInd w:val="0"/>
              <w:spacing w:line="360" w:lineRule="auto"/>
              <w:jc w:val="center"/>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3" w:type="dxa"/>
            <w:vAlign w:val="center"/>
          </w:tcPr>
          <w:p>
            <w:pPr>
              <w:autoSpaceDE w:val="0"/>
              <w:autoSpaceDN w:val="0"/>
              <w:adjustRightInd w:val="0"/>
              <w:spacing w:line="360" w:lineRule="auto"/>
              <w:jc w:val="center"/>
              <w:rPr>
                <w:rFonts w:ascii="宋体" w:hAnsi="宋体" w:cs="宋体"/>
                <w:color w:val="auto"/>
                <w:kern w:val="0"/>
                <w:szCs w:val="21"/>
              </w:rPr>
            </w:pPr>
            <w:r>
              <w:rPr>
                <w:rFonts w:hint="eastAsia" w:ascii="宋体" w:hAnsi="宋体" w:cs="宋体"/>
                <w:color w:val="auto"/>
                <w:kern w:val="0"/>
                <w:szCs w:val="21"/>
                <w:lang w:val="en-US" w:eastAsia="zh-CN"/>
              </w:rPr>
              <w:t>4</w:t>
            </w:r>
          </w:p>
        </w:tc>
        <w:tc>
          <w:tcPr>
            <w:tcW w:w="2145" w:type="dxa"/>
            <w:vAlign w:val="center"/>
          </w:tcPr>
          <w:p>
            <w:pPr>
              <w:autoSpaceDE w:val="0"/>
              <w:autoSpaceDN w:val="0"/>
              <w:adjustRightInd w:val="0"/>
              <w:spacing w:line="360" w:lineRule="auto"/>
              <w:rPr>
                <w:rFonts w:ascii="宋体" w:cs="宋体"/>
                <w:color w:val="auto"/>
                <w:kern w:val="0"/>
                <w:szCs w:val="21"/>
              </w:rPr>
            </w:pPr>
            <w:r>
              <w:rPr>
                <w:rFonts w:hint="eastAsia" w:ascii="宋体" w:hAnsi="宋体" w:cs="宋体"/>
                <w:color w:val="auto"/>
                <w:kern w:val="0"/>
                <w:szCs w:val="21"/>
              </w:rPr>
              <w:t>竞标工期</w:t>
            </w:r>
          </w:p>
        </w:tc>
        <w:tc>
          <w:tcPr>
            <w:tcW w:w="1854" w:type="dxa"/>
            <w:vAlign w:val="center"/>
          </w:tcPr>
          <w:p>
            <w:pPr>
              <w:autoSpaceDE w:val="0"/>
              <w:autoSpaceDN w:val="0"/>
              <w:adjustRightInd w:val="0"/>
              <w:spacing w:line="360" w:lineRule="auto"/>
              <w:jc w:val="center"/>
              <w:rPr>
                <w:rFonts w:ascii="宋体" w:cs="宋体"/>
                <w:color w:val="auto"/>
                <w:kern w:val="0"/>
                <w:szCs w:val="21"/>
              </w:rPr>
            </w:pPr>
          </w:p>
        </w:tc>
        <w:tc>
          <w:tcPr>
            <w:tcW w:w="3546" w:type="dxa"/>
            <w:vAlign w:val="center"/>
          </w:tcPr>
          <w:p>
            <w:pPr>
              <w:autoSpaceDE w:val="0"/>
              <w:autoSpaceDN w:val="0"/>
              <w:adjustRightInd w:val="0"/>
              <w:spacing w:line="360" w:lineRule="auto"/>
              <w:jc w:val="center"/>
              <w:rPr>
                <w:rFonts w:ascii="宋体" w:cs="宋体"/>
                <w:color w:val="auto"/>
                <w:kern w:val="0"/>
                <w:szCs w:val="21"/>
              </w:rPr>
            </w:pPr>
          </w:p>
        </w:tc>
        <w:tc>
          <w:tcPr>
            <w:tcW w:w="900" w:type="dxa"/>
            <w:vAlign w:val="center"/>
          </w:tcPr>
          <w:p>
            <w:pPr>
              <w:autoSpaceDE w:val="0"/>
              <w:autoSpaceDN w:val="0"/>
              <w:adjustRightInd w:val="0"/>
              <w:spacing w:line="360" w:lineRule="auto"/>
              <w:jc w:val="center"/>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3" w:type="dxa"/>
            <w:vAlign w:val="center"/>
          </w:tcPr>
          <w:p>
            <w:pPr>
              <w:autoSpaceDE w:val="0"/>
              <w:autoSpaceDN w:val="0"/>
              <w:adjustRightInd w:val="0"/>
              <w:spacing w:line="360" w:lineRule="auto"/>
              <w:ind w:left="-567" w:leftChars="-270" w:firstLine="504" w:firstLineChars="240"/>
              <w:jc w:val="center"/>
              <w:rPr>
                <w:rFonts w:ascii="宋体" w:hAnsi="宋体" w:cs="宋体"/>
                <w:color w:val="auto"/>
                <w:kern w:val="0"/>
                <w:szCs w:val="21"/>
              </w:rPr>
            </w:pPr>
            <w:r>
              <w:rPr>
                <w:rFonts w:hint="eastAsia" w:ascii="宋体" w:hAnsi="宋体" w:cs="宋体"/>
                <w:color w:val="auto"/>
                <w:kern w:val="0"/>
                <w:szCs w:val="21"/>
                <w:lang w:val="en-US" w:eastAsia="zh-CN"/>
              </w:rPr>
              <w:t>5</w:t>
            </w:r>
          </w:p>
        </w:tc>
        <w:tc>
          <w:tcPr>
            <w:tcW w:w="2145" w:type="dxa"/>
            <w:vAlign w:val="center"/>
          </w:tcPr>
          <w:p>
            <w:pPr>
              <w:autoSpaceDE w:val="0"/>
              <w:autoSpaceDN w:val="0"/>
              <w:adjustRightInd w:val="0"/>
              <w:spacing w:line="360" w:lineRule="auto"/>
              <w:rPr>
                <w:rFonts w:ascii="宋体" w:cs="宋体"/>
                <w:color w:val="auto"/>
                <w:kern w:val="0"/>
                <w:szCs w:val="21"/>
              </w:rPr>
            </w:pPr>
            <w:r>
              <w:rPr>
                <w:rFonts w:hint="eastAsia" w:ascii="宋体" w:hAnsi="宋体" w:cs="宋体"/>
                <w:color w:val="auto"/>
                <w:kern w:val="0"/>
                <w:szCs w:val="21"/>
              </w:rPr>
              <w:t>承诺工程质量</w:t>
            </w:r>
          </w:p>
        </w:tc>
        <w:tc>
          <w:tcPr>
            <w:tcW w:w="1854" w:type="dxa"/>
            <w:vAlign w:val="center"/>
          </w:tcPr>
          <w:p>
            <w:pPr>
              <w:autoSpaceDE w:val="0"/>
              <w:autoSpaceDN w:val="0"/>
              <w:adjustRightInd w:val="0"/>
              <w:spacing w:line="360" w:lineRule="auto"/>
              <w:jc w:val="center"/>
              <w:rPr>
                <w:rFonts w:ascii="宋体" w:cs="宋体"/>
                <w:color w:val="auto"/>
                <w:kern w:val="0"/>
                <w:szCs w:val="21"/>
              </w:rPr>
            </w:pPr>
          </w:p>
        </w:tc>
        <w:tc>
          <w:tcPr>
            <w:tcW w:w="3546" w:type="dxa"/>
            <w:vAlign w:val="center"/>
          </w:tcPr>
          <w:p>
            <w:pPr>
              <w:autoSpaceDE w:val="0"/>
              <w:autoSpaceDN w:val="0"/>
              <w:adjustRightInd w:val="0"/>
              <w:spacing w:line="360" w:lineRule="auto"/>
              <w:jc w:val="center"/>
              <w:rPr>
                <w:rFonts w:ascii="宋体" w:cs="宋体"/>
                <w:color w:val="auto"/>
                <w:kern w:val="0"/>
                <w:szCs w:val="21"/>
                <w:u w:val="single"/>
              </w:rPr>
            </w:pPr>
          </w:p>
        </w:tc>
        <w:tc>
          <w:tcPr>
            <w:tcW w:w="900" w:type="dxa"/>
            <w:vAlign w:val="center"/>
          </w:tcPr>
          <w:p>
            <w:pPr>
              <w:autoSpaceDE w:val="0"/>
              <w:autoSpaceDN w:val="0"/>
              <w:adjustRightInd w:val="0"/>
              <w:spacing w:line="360" w:lineRule="auto"/>
              <w:jc w:val="center"/>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3" w:type="dxa"/>
            <w:vAlign w:val="center"/>
          </w:tcPr>
          <w:p>
            <w:pPr>
              <w:autoSpaceDE w:val="0"/>
              <w:autoSpaceDN w:val="0"/>
              <w:adjustRightInd w:val="0"/>
              <w:spacing w:line="360" w:lineRule="auto"/>
              <w:ind w:left="-567" w:leftChars="-270" w:firstLine="504" w:firstLineChars="240"/>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w:t>
            </w:r>
          </w:p>
        </w:tc>
        <w:tc>
          <w:tcPr>
            <w:tcW w:w="2145" w:type="dxa"/>
            <w:vAlign w:val="center"/>
          </w:tcPr>
          <w:p>
            <w:pPr>
              <w:autoSpaceDE w:val="0"/>
              <w:autoSpaceDN w:val="0"/>
              <w:adjustRightInd w:val="0"/>
              <w:spacing w:line="360" w:lineRule="auto"/>
              <w:rPr>
                <w:rFonts w:hint="default" w:ascii="宋体" w:eastAsia="宋体" w:cs="宋体"/>
                <w:color w:val="auto"/>
                <w:kern w:val="0"/>
                <w:szCs w:val="21"/>
                <w:lang w:val="en-US" w:eastAsia="zh-CN"/>
              </w:rPr>
            </w:pPr>
            <w:r>
              <w:rPr>
                <w:rFonts w:hint="eastAsia" w:ascii="宋体" w:cs="宋体"/>
                <w:color w:val="auto"/>
                <w:kern w:val="0"/>
                <w:szCs w:val="21"/>
                <w:lang w:val="en-US" w:eastAsia="zh-CN"/>
              </w:rPr>
              <w:t>......</w:t>
            </w:r>
          </w:p>
        </w:tc>
        <w:tc>
          <w:tcPr>
            <w:tcW w:w="1854" w:type="dxa"/>
            <w:vAlign w:val="center"/>
          </w:tcPr>
          <w:p>
            <w:pPr>
              <w:autoSpaceDE w:val="0"/>
              <w:autoSpaceDN w:val="0"/>
              <w:adjustRightInd w:val="0"/>
              <w:spacing w:line="360" w:lineRule="auto"/>
              <w:jc w:val="center"/>
              <w:rPr>
                <w:rFonts w:ascii="宋体" w:hAnsi="宋体" w:cs="宋体"/>
                <w:color w:val="auto"/>
                <w:kern w:val="0"/>
                <w:szCs w:val="21"/>
              </w:rPr>
            </w:pPr>
          </w:p>
        </w:tc>
        <w:tc>
          <w:tcPr>
            <w:tcW w:w="3546" w:type="dxa"/>
            <w:vAlign w:val="center"/>
          </w:tcPr>
          <w:p>
            <w:pPr>
              <w:autoSpaceDE w:val="0"/>
              <w:autoSpaceDN w:val="0"/>
              <w:adjustRightInd w:val="0"/>
              <w:spacing w:line="360" w:lineRule="auto"/>
              <w:jc w:val="center"/>
              <w:rPr>
                <w:rFonts w:ascii="宋体" w:cs="宋体"/>
                <w:color w:val="auto"/>
                <w:kern w:val="0"/>
                <w:szCs w:val="21"/>
              </w:rPr>
            </w:pPr>
          </w:p>
        </w:tc>
        <w:tc>
          <w:tcPr>
            <w:tcW w:w="900" w:type="dxa"/>
            <w:vAlign w:val="center"/>
          </w:tcPr>
          <w:p>
            <w:pPr>
              <w:autoSpaceDE w:val="0"/>
              <w:autoSpaceDN w:val="0"/>
              <w:adjustRightInd w:val="0"/>
              <w:spacing w:line="360" w:lineRule="auto"/>
              <w:jc w:val="center"/>
              <w:rPr>
                <w:rFonts w:ascii="宋体" w:cs="宋体"/>
                <w:color w:val="auto"/>
                <w:kern w:val="0"/>
                <w:szCs w:val="21"/>
                <w:u w:val="single"/>
              </w:rPr>
            </w:pPr>
          </w:p>
        </w:tc>
      </w:tr>
    </w:tbl>
    <w:p>
      <w:pPr>
        <w:autoSpaceDE w:val="0"/>
        <w:autoSpaceDN w:val="0"/>
        <w:adjustRightInd w:val="0"/>
        <w:spacing w:line="360" w:lineRule="auto"/>
        <w:jc w:val="left"/>
        <w:rPr>
          <w:rFonts w:ascii="宋体" w:cs="宋体"/>
          <w:color w:val="auto"/>
          <w:sz w:val="24"/>
        </w:rPr>
      </w:pPr>
    </w:p>
    <w:p>
      <w:pPr>
        <w:autoSpaceDE w:val="0"/>
        <w:autoSpaceDN w:val="0"/>
        <w:adjustRightInd w:val="0"/>
        <w:spacing w:line="360" w:lineRule="auto"/>
        <w:ind w:firstLine="840" w:firstLineChars="400"/>
        <w:jc w:val="left"/>
        <w:rPr>
          <w:rFonts w:ascii="宋体" w:cs="宋体"/>
          <w:color w:val="auto"/>
          <w:kern w:val="0"/>
          <w:sz w:val="21"/>
          <w:szCs w:val="20"/>
          <w:u w:val="single"/>
        </w:rPr>
      </w:pPr>
      <w:r>
        <w:rPr>
          <w:rFonts w:hint="eastAsia" w:ascii="宋体" w:hAnsi="宋体" w:cs="宋体"/>
          <w:color w:val="auto"/>
          <w:kern w:val="0"/>
          <w:sz w:val="21"/>
          <w:szCs w:val="20"/>
        </w:rPr>
        <w:t>磋商单位</w:t>
      </w:r>
      <w:r>
        <w:rPr>
          <w:rFonts w:hint="eastAsia" w:ascii="宋体" w:hAnsi="宋体" w:cs="宋体"/>
          <w:color w:val="auto"/>
          <w:kern w:val="0"/>
          <w:sz w:val="21"/>
          <w:szCs w:val="20"/>
          <w:u w:val="single"/>
        </w:rPr>
        <w:t>：</w:t>
      </w:r>
      <w:r>
        <w:rPr>
          <w:rFonts w:hint="eastAsia" w:ascii="宋体" w:hAnsi="宋体" w:cs="宋体"/>
          <w:color w:val="auto"/>
          <w:kern w:val="0"/>
          <w:sz w:val="21"/>
          <w:szCs w:val="20"/>
          <w:u w:val="single"/>
          <w:lang w:val="en-US" w:eastAsia="zh-CN"/>
        </w:rPr>
        <w:t xml:space="preserve">        </w:t>
      </w:r>
      <w:r>
        <w:rPr>
          <w:rFonts w:hint="eastAsia" w:ascii="宋体" w:hAnsi="宋体" w:cs="宋体"/>
          <w:color w:val="auto"/>
          <w:kern w:val="0"/>
          <w:sz w:val="21"/>
          <w:szCs w:val="20"/>
          <w:u w:val="single"/>
        </w:rPr>
        <w:t>（盖章）</w:t>
      </w:r>
    </w:p>
    <w:p>
      <w:pPr>
        <w:autoSpaceDE w:val="0"/>
        <w:autoSpaceDN w:val="0"/>
        <w:adjustRightInd w:val="0"/>
        <w:spacing w:line="360" w:lineRule="auto"/>
        <w:ind w:firstLine="840" w:firstLineChars="400"/>
        <w:jc w:val="left"/>
        <w:rPr>
          <w:rFonts w:ascii="宋体" w:cs="宋体"/>
          <w:color w:val="auto"/>
          <w:kern w:val="0"/>
          <w:sz w:val="21"/>
          <w:szCs w:val="20"/>
          <w:u w:val="single"/>
        </w:rPr>
      </w:pPr>
      <w:r>
        <w:rPr>
          <w:rFonts w:hint="eastAsia" w:ascii="宋体" w:hAnsi="宋体" w:cs="宋体"/>
          <w:color w:val="auto"/>
          <w:kern w:val="0"/>
          <w:sz w:val="21"/>
          <w:szCs w:val="20"/>
        </w:rPr>
        <w:t>法定代表人或其授权代理人</w:t>
      </w:r>
      <w:r>
        <w:rPr>
          <w:rFonts w:hint="eastAsia" w:ascii="宋体" w:hAnsi="宋体" w:cs="宋体"/>
          <w:color w:val="auto"/>
          <w:kern w:val="0"/>
          <w:sz w:val="21"/>
          <w:szCs w:val="20"/>
          <w:u w:val="single"/>
        </w:rPr>
        <w:t>：</w:t>
      </w:r>
      <w:r>
        <w:rPr>
          <w:rFonts w:hint="eastAsia" w:ascii="宋体" w:hAnsi="宋体" w:cs="宋体"/>
          <w:color w:val="auto"/>
          <w:kern w:val="0"/>
          <w:sz w:val="21"/>
          <w:szCs w:val="20"/>
          <w:u w:val="single"/>
          <w:lang w:val="en-US" w:eastAsia="zh-CN"/>
        </w:rPr>
        <w:t xml:space="preserve">          </w:t>
      </w:r>
      <w:r>
        <w:rPr>
          <w:rFonts w:hint="eastAsia" w:ascii="宋体" w:hAnsi="宋体" w:cs="宋体"/>
          <w:color w:val="auto"/>
          <w:kern w:val="0"/>
          <w:sz w:val="21"/>
          <w:szCs w:val="20"/>
          <w:u w:val="single"/>
        </w:rPr>
        <w:t>（签字或盖章）</w:t>
      </w:r>
    </w:p>
    <w:p>
      <w:pPr>
        <w:autoSpaceDE w:val="0"/>
        <w:autoSpaceDN w:val="0"/>
        <w:adjustRightInd w:val="0"/>
        <w:spacing w:line="360" w:lineRule="auto"/>
        <w:ind w:firstLine="840" w:firstLineChars="400"/>
        <w:jc w:val="left"/>
        <w:rPr>
          <w:rFonts w:hint="eastAsia" w:ascii="宋体" w:eastAsia="宋体" w:cs="宋体"/>
          <w:color w:val="auto"/>
          <w:kern w:val="0"/>
          <w:sz w:val="21"/>
          <w:szCs w:val="20"/>
          <w:lang w:val="en-US" w:eastAsia="zh-CN"/>
        </w:rPr>
        <w:sectPr>
          <w:endnotePr>
            <w:numFmt w:val="decimal"/>
          </w:endnotePr>
          <w:pgSz w:w="11906" w:h="16838"/>
          <w:pgMar w:top="1418" w:right="1418" w:bottom="1134" w:left="1418" w:header="567" w:footer="680" w:gutter="0"/>
          <w:pgNumType w:fmt="decimal"/>
          <w:cols w:space="720" w:num="1"/>
          <w:docGrid w:type="linesAndChars" w:linePitch="312" w:charSpace="0"/>
        </w:sectPr>
      </w:pPr>
      <w:r>
        <w:rPr>
          <w:rFonts w:hint="eastAsia" w:ascii="宋体" w:hAnsi="宋体" w:cs="宋体"/>
          <w:color w:val="auto"/>
          <w:kern w:val="0"/>
          <w:sz w:val="21"/>
          <w:szCs w:val="20"/>
        </w:rPr>
        <w:t>日期：</w:t>
      </w:r>
      <w:r>
        <w:rPr>
          <w:rFonts w:hint="eastAsia" w:ascii="宋体" w:hAnsi="宋体" w:cs="宋体"/>
          <w:color w:val="auto"/>
          <w:kern w:val="0"/>
          <w:sz w:val="21"/>
          <w:szCs w:val="20"/>
          <w:lang w:val="en-US" w:eastAsia="zh-CN"/>
        </w:rPr>
        <w:t xml:space="preserve">   </w:t>
      </w:r>
      <w:r>
        <w:rPr>
          <w:rFonts w:hint="eastAsia" w:ascii="宋体" w:hAnsi="宋体" w:cs="宋体"/>
          <w:color w:val="auto"/>
          <w:kern w:val="0"/>
          <w:sz w:val="21"/>
          <w:szCs w:val="20"/>
        </w:rPr>
        <w:t>年</w:t>
      </w:r>
      <w:r>
        <w:rPr>
          <w:rFonts w:hint="eastAsia" w:ascii="宋体" w:hAnsi="宋体" w:cs="宋体"/>
          <w:color w:val="auto"/>
          <w:kern w:val="0"/>
          <w:sz w:val="21"/>
          <w:szCs w:val="20"/>
          <w:lang w:val="en-US" w:eastAsia="zh-CN"/>
        </w:rPr>
        <w:t xml:space="preserve">  </w:t>
      </w:r>
      <w:r>
        <w:rPr>
          <w:rFonts w:hint="eastAsia" w:ascii="宋体" w:hAnsi="宋体" w:cs="宋体"/>
          <w:color w:val="auto"/>
          <w:kern w:val="0"/>
          <w:sz w:val="21"/>
          <w:szCs w:val="20"/>
        </w:rPr>
        <w:t>月</w:t>
      </w:r>
      <w:r>
        <w:rPr>
          <w:rFonts w:hint="eastAsia" w:ascii="宋体" w:hAnsi="宋体" w:cs="宋体"/>
          <w:color w:val="auto"/>
          <w:kern w:val="0"/>
          <w:sz w:val="21"/>
          <w:szCs w:val="20"/>
          <w:lang w:val="en-US" w:eastAsia="zh-CN"/>
        </w:rPr>
        <w:t xml:space="preserve">   日</w:t>
      </w:r>
    </w:p>
    <w:p>
      <w:pPr>
        <w:pStyle w:val="6"/>
        <w:spacing w:line="360" w:lineRule="auto"/>
        <w:jc w:val="center"/>
        <w:rPr>
          <w:rFonts w:hint="eastAsia" w:ascii="宋体" w:hAnsi="宋体" w:eastAsia="宋体" w:cs="宋体"/>
          <w:color w:val="auto"/>
          <w:lang w:eastAsia="zh-CN"/>
        </w:rPr>
      </w:pPr>
      <w:bookmarkStart w:id="459" w:name="_Toc15588"/>
      <w:bookmarkStart w:id="460" w:name="_Toc24212"/>
      <w:bookmarkStart w:id="461" w:name="_Toc6376"/>
      <w:bookmarkStart w:id="462" w:name="_Toc304362811"/>
      <w:bookmarkStart w:id="463" w:name="_Toc3893"/>
      <w:r>
        <w:rPr>
          <w:rFonts w:hint="eastAsia" w:ascii="宋体" w:hAnsi="宋体" w:eastAsia="宋体" w:cs="宋体"/>
          <w:color w:val="auto"/>
        </w:rPr>
        <w:t>三、</w:t>
      </w:r>
      <w:bookmarkEnd w:id="459"/>
      <w:bookmarkEnd w:id="460"/>
      <w:bookmarkEnd w:id="461"/>
      <w:bookmarkEnd w:id="462"/>
      <w:r>
        <w:rPr>
          <w:rFonts w:hint="eastAsia" w:ascii="宋体" w:hAnsi="宋体" w:eastAsia="宋体" w:cs="宋体"/>
          <w:color w:val="auto"/>
          <w:lang w:eastAsia="zh-CN"/>
        </w:rPr>
        <w:t>磋商报价汇总表</w:t>
      </w:r>
      <w:bookmarkEnd w:id="463"/>
    </w:p>
    <w:p>
      <w:pPr>
        <w:spacing w:line="360" w:lineRule="auto"/>
        <w:rPr>
          <w:rFonts w:ascii="宋体" w:cs="宋体"/>
          <w:color w:val="auto"/>
          <w:szCs w:val="21"/>
        </w:rPr>
      </w:pPr>
    </w:p>
    <w:p>
      <w:pPr>
        <w:spacing w:line="360" w:lineRule="auto"/>
        <w:rPr>
          <w:rFonts w:ascii="宋体" w:cs="宋体"/>
          <w:color w:val="auto"/>
          <w:kern w:val="0"/>
          <w:szCs w:val="21"/>
        </w:rPr>
      </w:pPr>
      <w:r>
        <w:rPr>
          <w:rFonts w:hint="eastAsia" w:ascii="宋体" w:hAnsi="宋体" w:cs="宋体"/>
          <w:color w:val="auto"/>
          <w:szCs w:val="21"/>
          <w:u w:val="single"/>
        </w:rPr>
        <w:t>（工程项目名称）</w:t>
      </w:r>
      <w:r>
        <w:rPr>
          <w:rFonts w:hint="eastAsia" w:ascii="宋体" w:hAnsi="宋体" w:cs="宋体"/>
          <w:color w:val="auto"/>
          <w:szCs w:val="21"/>
          <w:u w:val="single"/>
          <w:lang w:val="en-US" w:eastAsia="zh-CN"/>
        </w:rPr>
        <w:t xml:space="preserve">        </w:t>
      </w:r>
      <w:r>
        <w:rPr>
          <w:rFonts w:hint="eastAsia" w:ascii="宋体" w:hAnsi="宋体" w:cs="宋体"/>
          <w:color w:val="auto"/>
          <w:szCs w:val="21"/>
        </w:rPr>
        <w:t>工程</w:t>
      </w:r>
      <w:r>
        <w:rPr>
          <w:rFonts w:hint="eastAsia" w:ascii="宋体" w:hAnsi="宋体" w:cs="宋体"/>
          <w:color w:val="auto"/>
          <w:kern w:val="0"/>
          <w:szCs w:val="21"/>
        </w:rPr>
        <w:t>币种：人民币</w:t>
      </w:r>
    </w:p>
    <w:tbl>
      <w:tblPr>
        <w:tblStyle w:val="24"/>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8"/>
        <w:gridCol w:w="3176"/>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Cs w:val="21"/>
              </w:rPr>
            </w:pPr>
            <w:r>
              <w:rPr>
                <w:rFonts w:hint="eastAsia" w:ascii="宋体" w:hAnsi="宋体" w:cs="宋体"/>
                <w:color w:val="auto"/>
                <w:szCs w:val="21"/>
              </w:rPr>
              <w:t>项目内容</w:t>
            </w:r>
          </w:p>
        </w:tc>
        <w:tc>
          <w:tcPr>
            <w:tcW w:w="3176" w:type="dxa"/>
            <w:vAlign w:val="center"/>
          </w:tcPr>
          <w:p>
            <w:pPr>
              <w:spacing w:line="360" w:lineRule="auto"/>
              <w:jc w:val="center"/>
              <w:rPr>
                <w:rFonts w:ascii="宋体" w:cs="宋体"/>
                <w:color w:val="auto"/>
                <w:szCs w:val="21"/>
              </w:rPr>
            </w:pPr>
            <w:r>
              <w:rPr>
                <w:rFonts w:hint="eastAsia" w:ascii="宋体" w:hAnsi="宋体" w:cs="宋体"/>
                <w:color w:val="auto"/>
                <w:szCs w:val="21"/>
              </w:rPr>
              <w:t>金额</w:t>
            </w:r>
          </w:p>
        </w:tc>
        <w:tc>
          <w:tcPr>
            <w:tcW w:w="2400" w:type="dxa"/>
            <w:vAlign w:val="center"/>
          </w:tcPr>
          <w:p>
            <w:pPr>
              <w:spacing w:line="360" w:lineRule="auto"/>
              <w:jc w:val="center"/>
              <w:rPr>
                <w:rFonts w:asci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Cs w:val="21"/>
              </w:rPr>
            </w:pPr>
          </w:p>
        </w:tc>
        <w:tc>
          <w:tcPr>
            <w:tcW w:w="3176" w:type="dxa"/>
            <w:vAlign w:val="center"/>
          </w:tcPr>
          <w:p>
            <w:pPr>
              <w:spacing w:line="360" w:lineRule="auto"/>
              <w:ind w:right="140"/>
              <w:jc w:val="center"/>
              <w:rPr>
                <w:rFonts w:ascii="宋体" w:cs="宋体"/>
                <w:color w:val="auto"/>
                <w:szCs w:val="21"/>
              </w:rPr>
            </w:pPr>
            <w:r>
              <w:rPr>
                <w:rFonts w:hint="eastAsia" w:ascii="宋体" w:hAnsi="宋体" w:cs="宋体"/>
                <w:color w:val="auto"/>
                <w:szCs w:val="21"/>
              </w:rPr>
              <w:t>元</w:t>
            </w:r>
          </w:p>
        </w:tc>
        <w:tc>
          <w:tcPr>
            <w:tcW w:w="2400" w:type="dxa"/>
            <w:vAlign w:val="center"/>
          </w:tcPr>
          <w:p>
            <w:pPr>
              <w:spacing w:line="360" w:lineRule="auto"/>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Cs w:val="21"/>
              </w:rPr>
            </w:pPr>
          </w:p>
        </w:tc>
        <w:tc>
          <w:tcPr>
            <w:tcW w:w="3176" w:type="dxa"/>
            <w:vAlign w:val="center"/>
          </w:tcPr>
          <w:p>
            <w:pPr>
              <w:spacing w:line="360" w:lineRule="auto"/>
              <w:ind w:right="140"/>
              <w:jc w:val="center"/>
              <w:rPr>
                <w:rFonts w:ascii="宋体" w:cs="宋体"/>
                <w:color w:val="auto"/>
                <w:szCs w:val="21"/>
              </w:rPr>
            </w:pPr>
            <w:r>
              <w:rPr>
                <w:rFonts w:hint="eastAsia" w:ascii="宋体" w:hAnsi="宋体" w:cs="宋体"/>
                <w:color w:val="auto"/>
                <w:szCs w:val="21"/>
              </w:rPr>
              <w:t>元</w:t>
            </w:r>
          </w:p>
        </w:tc>
        <w:tc>
          <w:tcPr>
            <w:tcW w:w="2400" w:type="dxa"/>
            <w:vAlign w:val="center"/>
          </w:tcPr>
          <w:p>
            <w:pPr>
              <w:spacing w:line="360" w:lineRule="auto"/>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Cs w:val="21"/>
              </w:rPr>
            </w:pPr>
            <w:r>
              <w:rPr>
                <w:rFonts w:hint="eastAsia" w:ascii="宋体" w:hAnsi="宋体" w:cs="宋体"/>
                <w:color w:val="auto"/>
                <w:szCs w:val="21"/>
              </w:rPr>
              <w:t>合计</w:t>
            </w:r>
          </w:p>
        </w:tc>
        <w:tc>
          <w:tcPr>
            <w:tcW w:w="3176" w:type="dxa"/>
            <w:vAlign w:val="center"/>
          </w:tcPr>
          <w:p>
            <w:pPr>
              <w:spacing w:line="360" w:lineRule="auto"/>
              <w:ind w:right="140"/>
              <w:jc w:val="center"/>
              <w:rPr>
                <w:rFonts w:ascii="宋体" w:cs="宋体"/>
                <w:color w:val="auto"/>
                <w:szCs w:val="21"/>
              </w:rPr>
            </w:pPr>
            <w:r>
              <w:rPr>
                <w:rFonts w:hint="eastAsia" w:ascii="宋体" w:hAnsi="宋体" w:cs="宋体"/>
                <w:color w:val="auto"/>
                <w:szCs w:val="21"/>
              </w:rPr>
              <w:t>元</w:t>
            </w:r>
          </w:p>
        </w:tc>
        <w:tc>
          <w:tcPr>
            <w:tcW w:w="2400" w:type="dxa"/>
            <w:vAlign w:val="center"/>
          </w:tcPr>
          <w:p>
            <w:pPr>
              <w:spacing w:line="360" w:lineRule="auto"/>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9674" w:type="dxa"/>
            <w:gridSpan w:val="3"/>
            <w:vAlign w:val="center"/>
          </w:tcPr>
          <w:p>
            <w:pPr>
              <w:spacing w:line="360" w:lineRule="auto"/>
              <w:jc w:val="center"/>
              <w:rPr>
                <w:rFonts w:ascii="宋体" w:cs="宋体"/>
                <w:color w:val="auto"/>
                <w:szCs w:val="21"/>
              </w:rPr>
            </w:pPr>
            <w:r>
              <w:rPr>
                <w:rFonts w:hint="eastAsia" w:ascii="宋体" w:hAnsi="宋体" w:cs="宋体"/>
                <w:color w:val="auto"/>
                <w:szCs w:val="21"/>
              </w:rPr>
              <w:t>竞标总报价：</w:t>
            </w:r>
            <w:r>
              <w:rPr>
                <w:rFonts w:hint="eastAsia" w:ascii="宋体" w:hAnsi="宋体" w:cs="宋体"/>
                <w:color w:val="auto"/>
                <w:szCs w:val="21"/>
                <w:u w:val="single"/>
                <w:lang w:val="en-US" w:eastAsia="zh-CN"/>
              </w:rPr>
              <w:t xml:space="preserve"> 人民币                        </w:t>
            </w:r>
            <w:r>
              <w:rPr>
                <w:rFonts w:hint="eastAsia" w:ascii="宋体" w:hAnsi="宋体" w:cs="宋体"/>
                <w:color w:val="auto"/>
                <w:szCs w:val="21"/>
                <w:u w:val="single"/>
              </w:rPr>
              <w:t>（</w:t>
            </w:r>
            <w:r>
              <w:rPr>
                <w:rFonts w:hint="eastAsia" w:ascii="宋体" w:cs="宋体"/>
                <w:color w:val="auto"/>
                <w:szCs w:val="21"/>
                <w:u w:val="single"/>
              </w:rPr>
              <w:t>¥</w:t>
            </w:r>
            <w:r>
              <w:rPr>
                <w:rFonts w:hint="eastAsia" w:ascii="宋体" w:hAnsi="宋体" w:cs="宋体"/>
                <w:color w:val="auto"/>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9674" w:type="dxa"/>
            <w:gridSpan w:val="3"/>
          </w:tcPr>
          <w:p>
            <w:pPr>
              <w:spacing w:line="360" w:lineRule="auto"/>
              <w:ind w:right="700"/>
              <w:rPr>
                <w:rFonts w:ascii="宋体" w:cs="宋体"/>
                <w:color w:val="auto"/>
                <w:szCs w:val="21"/>
              </w:rPr>
            </w:pPr>
          </w:p>
          <w:p>
            <w:pPr>
              <w:spacing w:line="360" w:lineRule="auto"/>
              <w:ind w:right="700"/>
              <w:rPr>
                <w:rFonts w:ascii="宋体" w:cs="宋体"/>
                <w:color w:val="auto"/>
                <w:szCs w:val="21"/>
              </w:rPr>
            </w:pPr>
            <w:r>
              <w:rPr>
                <w:rFonts w:hint="eastAsia" w:ascii="宋体" w:hAnsi="宋体" w:cs="宋体"/>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Cs w:val="21"/>
              </w:rPr>
            </w:pPr>
            <w:r>
              <w:rPr>
                <w:rFonts w:hint="eastAsia" w:ascii="宋体" w:hAnsi="宋体" w:cs="宋体"/>
                <w:color w:val="auto"/>
                <w:szCs w:val="21"/>
              </w:rPr>
              <w:t>工期（日历日）</w:t>
            </w:r>
          </w:p>
        </w:tc>
        <w:tc>
          <w:tcPr>
            <w:tcW w:w="5576" w:type="dxa"/>
            <w:gridSpan w:val="2"/>
            <w:vAlign w:val="center"/>
          </w:tcPr>
          <w:p>
            <w:pPr>
              <w:spacing w:line="360" w:lineRule="auto"/>
              <w:ind w:right="700"/>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Cs w:val="21"/>
              </w:rPr>
            </w:pPr>
            <w:r>
              <w:rPr>
                <w:rFonts w:hint="eastAsia" w:ascii="宋体" w:hAnsi="宋体" w:cs="宋体"/>
                <w:color w:val="auto"/>
                <w:szCs w:val="21"/>
              </w:rPr>
              <w:t>承诺工程质量</w:t>
            </w:r>
          </w:p>
        </w:tc>
        <w:tc>
          <w:tcPr>
            <w:tcW w:w="5576" w:type="dxa"/>
            <w:gridSpan w:val="2"/>
            <w:vAlign w:val="center"/>
          </w:tcPr>
          <w:p>
            <w:pPr>
              <w:spacing w:line="360" w:lineRule="auto"/>
              <w:ind w:right="700"/>
              <w:jc w:val="center"/>
              <w:rPr>
                <w:rFonts w:ascii="宋体" w:cs="宋体"/>
                <w:color w:val="auto"/>
                <w:szCs w:val="21"/>
              </w:rPr>
            </w:pPr>
          </w:p>
        </w:tc>
      </w:tr>
    </w:tbl>
    <w:p>
      <w:pPr>
        <w:spacing w:line="360" w:lineRule="auto"/>
        <w:ind w:right="700" w:firstLine="315" w:firstLineChars="150"/>
        <w:rPr>
          <w:rFonts w:ascii="宋体" w:cs="宋体"/>
          <w:color w:val="auto"/>
          <w:szCs w:val="21"/>
        </w:rPr>
      </w:pPr>
    </w:p>
    <w:p>
      <w:pPr>
        <w:spacing w:line="360" w:lineRule="auto"/>
        <w:ind w:firstLine="840" w:firstLineChars="400"/>
        <w:rPr>
          <w:rFonts w:ascii="宋体" w:cs="宋体"/>
          <w:color w:val="auto"/>
          <w:szCs w:val="21"/>
        </w:rPr>
      </w:pPr>
    </w:p>
    <w:p>
      <w:pPr>
        <w:spacing w:line="360" w:lineRule="auto"/>
        <w:ind w:firstLine="840" w:firstLineChars="400"/>
        <w:rPr>
          <w:rFonts w:ascii="宋体" w:cs="宋体"/>
          <w:color w:val="auto"/>
          <w:szCs w:val="21"/>
          <w:u w:val="single"/>
        </w:rPr>
      </w:pPr>
      <w:r>
        <w:rPr>
          <w:rFonts w:hint="eastAsia" w:ascii="宋体" w:hAnsi="宋体" w:cs="宋体"/>
          <w:color w:val="auto"/>
          <w:szCs w:val="21"/>
        </w:rPr>
        <w:t>磋商单位：</w:t>
      </w:r>
      <w:r>
        <w:rPr>
          <w:rFonts w:hint="eastAsia" w:ascii="宋体" w:hAnsi="宋体" w:cs="宋体"/>
          <w:color w:val="auto"/>
          <w:szCs w:val="21"/>
          <w:u w:val="single"/>
        </w:rPr>
        <w:t>（盖章）</w:t>
      </w:r>
    </w:p>
    <w:p>
      <w:pPr>
        <w:spacing w:line="360" w:lineRule="auto"/>
        <w:ind w:firstLine="840" w:firstLineChars="400"/>
        <w:rPr>
          <w:rFonts w:ascii="宋体" w:cs="宋体"/>
          <w:color w:val="auto"/>
          <w:szCs w:val="21"/>
          <w:u w:val="single"/>
        </w:rPr>
      </w:pPr>
      <w:r>
        <w:rPr>
          <w:rFonts w:hint="eastAsia" w:ascii="宋体" w:hAnsi="宋体" w:cs="宋体"/>
          <w:color w:val="auto"/>
          <w:szCs w:val="21"/>
        </w:rPr>
        <w:t>法定代表人或其授权代理人：</w:t>
      </w:r>
      <w:r>
        <w:rPr>
          <w:rFonts w:hint="eastAsia" w:ascii="宋体" w:hAnsi="宋体" w:cs="宋体"/>
          <w:color w:val="auto"/>
          <w:szCs w:val="21"/>
          <w:u w:val="single"/>
        </w:rPr>
        <w:t>（签字或盖章）</w:t>
      </w:r>
    </w:p>
    <w:p>
      <w:pPr>
        <w:pStyle w:val="21"/>
        <w:spacing w:line="360" w:lineRule="auto"/>
        <w:ind w:firstLine="840" w:firstLineChars="400"/>
        <w:rPr>
          <w:rFonts w:ascii="宋体" w:cs="宋体"/>
          <w:color w:val="auto"/>
          <w:szCs w:val="21"/>
        </w:rPr>
        <w:sectPr>
          <w:endnotePr>
            <w:numFmt w:val="decimal"/>
          </w:endnotePr>
          <w:pgSz w:w="11906" w:h="16838"/>
          <w:pgMar w:top="1418" w:right="1418" w:bottom="1134" w:left="1418" w:header="567" w:footer="680" w:gutter="0"/>
          <w:pgNumType w:fmt="decimal"/>
          <w:cols w:space="720" w:num="1"/>
          <w:docGrid w:type="linesAndChars" w:linePitch="312" w:charSpace="0"/>
        </w:sectPr>
      </w:pPr>
      <w:r>
        <w:rPr>
          <w:rFonts w:hint="eastAsia" w:ascii="宋体" w:hAnsi="宋体" w:cs="宋体"/>
          <w:color w:val="auto"/>
          <w:szCs w:val="21"/>
        </w:rPr>
        <w:t>日期：</w:t>
      </w:r>
      <w:r>
        <w:rPr>
          <w:rFonts w:hint="eastAsia" w:ascii="宋体" w:hAnsi="宋体" w:cs="宋体"/>
          <w:color w:val="auto"/>
          <w:szCs w:val="21"/>
          <w:lang w:val="en-US" w:eastAsia="zh-CN"/>
        </w:rPr>
        <w:t xml:space="preserve">     </w:t>
      </w:r>
      <w:r>
        <w:rPr>
          <w:rFonts w:hint="eastAsia" w:ascii="宋体" w:hAnsi="宋体" w:cs="宋体"/>
          <w:color w:val="auto"/>
          <w:szCs w:val="21"/>
        </w:rPr>
        <w:t>年</w:t>
      </w:r>
      <w:r>
        <w:rPr>
          <w:rFonts w:hint="eastAsia" w:ascii="宋体" w:hAnsi="宋体" w:cs="宋体"/>
          <w:color w:val="auto"/>
          <w:szCs w:val="21"/>
          <w:lang w:val="en-US" w:eastAsia="zh-CN"/>
        </w:rPr>
        <w:t xml:space="preserve">  </w:t>
      </w:r>
      <w:r>
        <w:rPr>
          <w:rFonts w:hint="eastAsia" w:ascii="宋体" w:hAnsi="宋体" w:cs="宋体"/>
          <w:color w:val="auto"/>
          <w:szCs w:val="21"/>
        </w:rPr>
        <w:t>月</w:t>
      </w:r>
      <w:r>
        <w:rPr>
          <w:rFonts w:hint="eastAsia" w:ascii="宋体" w:hAnsi="宋体" w:cs="宋体"/>
          <w:color w:val="auto"/>
          <w:szCs w:val="21"/>
          <w:lang w:val="en-US" w:eastAsia="zh-CN"/>
        </w:rPr>
        <w:t xml:space="preserve">  </w:t>
      </w:r>
      <w:r>
        <w:rPr>
          <w:rFonts w:hint="eastAsia" w:ascii="宋体" w:hAnsi="宋体" w:cs="宋体"/>
          <w:color w:val="auto"/>
          <w:szCs w:val="21"/>
        </w:rPr>
        <w:t>日</w:t>
      </w:r>
    </w:p>
    <w:p>
      <w:pPr>
        <w:pStyle w:val="6"/>
        <w:spacing w:line="360" w:lineRule="auto"/>
        <w:jc w:val="center"/>
        <w:rPr>
          <w:rFonts w:ascii="宋体" w:hAnsi="宋体" w:eastAsia="宋体" w:cs="宋体"/>
          <w:color w:val="auto"/>
        </w:rPr>
      </w:pPr>
      <w:bookmarkStart w:id="464" w:name="_Toc28472"/>
      <w:bookmarkStart w:id="465" w:name="_Toc28375"/>
      <w:bookmarkStart w:id="466" w:name="_Toc304362812"/>
      <w:bookmarkStart w:id="467" w:name="_Toc3938"/>
      <w:bookmarkStart w:id="468" w:name="_Toc9373"/>
      <w:r>
        <w:rPr>
          <w:rFonts w:hint="eastAsia" w:ascii="宋体" w:hAnsi="宋体" w:eastAsia="宋体" w:cs="宋体"/>
          <w:color w:val="auto"/>
        </w:rPr>
        <w:t>四、</w:t>
      </w:r>
      <w:bookmarkEnd w:id="464"/>
      <w:bookmarkEnd w:id="465"/>
      <w:bookmarkEnd w:id="466"/>
      <w:r>
        <w:rPr>
          <w:rFonts w:hint="eastAsia" w:ascii="宋体" w:hAnsi="宋体" w:eastAsia="宋体" w:cs="宋体"/>
          <w:color w:val="auto"/>
        </w:rPr>
        <w:t>已标价工程量清单</w:t>
      </w:r>
      <w:bookmarkEnd w:id="467"/>
      <w:bookmarkEnd w:id="468"/>
    </w:p>
    <w:p>
      <w:pPr>
        <w:spacing w:line="360" w:lineRule="auto"/>
        <w:rPr>
          <w:rFonts w:ascii="宋体" w:cs="宋体"/>
          <w:color w:val="auto"/>
          <w:sz w:val="28"/>
          <w:szCs w:val="28"/>
        </w:rPr>
      </w:pPr>
    </w:p>
    <w:p>
      <w:pPr>
        <w:spacing w:line="360" w:lineRule="auto"/>
        <w:rPr>
          <w:rFonts w:ascii="宋体" w:cs="宋体"/>
          <w:color w:val="auto"/>
          <w:szCs w:val="21"/>
        </w:rPr>
      </w:pPr>
      <w:r>
        <w:rPr>
          <w:rFonts w:hint="eastAsia" w:ascii="宋体" w:hAnsi="宋体" w:cs="宋体"/>
          <w:color w:val="auto"/>
          <w:szCs w:val="21"/>
        </w:rPr>
        <w:t>注：已标价工程量清单应根据采购人提供的工程量清单相应表格及有关规定执行</w:t>
      </w:r>
      <w:r>
        <w:rPr>
          <w:rFonts w:ascii="宋体" w:cs="宋体"/>
          <w:color w:val="auto"/>
          <w:szCs w:val="21"/>
        </w:rPr>
        <w:t>,</w:t>
      </w:r>
      <w:r>
        <w:rPr>
          <w:rFonts w:hint="eastAsia" w:ascii="宋体" w:hAnsi="宋体" w:cs="宋体"/>
          <w:color w:val="auto"/>
          <w:szCs w:val="21"/>
        </w:rPr>
        <w:t>可按预结算软件打印格式提供</w:t>
      </w:r>
      <w:r>
        <w:rPr>
          <w:rFonts w:ascii="宋体" w:cs="宋体"/>
          <w:color w:val="auto"/>
          <w:szCs w:val="21"/>
        </w:rPr>
        <w:t>,</w:t>
      </w:r>
      <w:r>
        <w:rPr>
          <w:rFonts w:hint="eastAsia" w:ascii="宋体" w:hAnsi="宋体" w:cs="宋体"/>
          <w:color w:val="auto"/>
          <w:szCs w:val="21"/>
        </w:rPr>
        <w:t>本采购文件不另提供参考格式。</w:t>
      </w:r>
    </w:p>
    <w:p>
      <w:pPr>
        <w:spacing w:line="360" w:lineRule="auto"/>
        <w:rPr>
          <w:rFonts w:ascii="宋体" w:cs="宋体"/>
          <w:color w:val="auto"/>
          <w:szCs w:val="21"/>
        </w:rPr>
      </w:pPr>
    </w:p>
    <w:p>
      <w:pPr>
        <w:spacing w:line="360" w:lineRule="auto"/>
        <w:rPr>
          <w:rFonts w:ascii="宋体" w:cs="宋体"/>
          <w:color w:val="auto"/>
          <w:szCs w:val="21"/>
        </w:rPr>
      </w:pPr>
    </w:p>
    <w:p>
      <w:pPr>
        <w:spacing w:line="360" w:lineRule="auto"/>
        <w:rPr>
          <w:rFonts w:ascii="宋体" w:cs="宋体"/>
          <w:color w:val="auto"/>
          <w:sz w:val="24"/>
          <w:szCs w:val="24"/>
        </w:rPr>
      </w:pPr>
    </w:p>
    <w:p>
      <w:pPr>
        <w:spacing w:line="360" w:lineRule="auto"/>
        <w:rPr>
          <w:rFonts w:ascii="宋体" w:cs="宋体"/>
          <w:color w:val="auto"/>
          <w:sz w:val="24"/>
          <w:szCs w:val="24"/>
        </w:rPr>
      </w:pPr>
    </w:p>
    <w:p>
      <w:pPr>
        <w:spacing w:line="360" w:lineRule="auto"/>
        <w:rPr>
          <w:rFonts w:ascii="宋体" w:cs="宋体"/>
          <w:color w:val="auto"/>
          <w:sz w:val="24"/>
          <w:szCs w:val="24"/>
        </w:rPr>
      </w:pPr>
    </w:p>
    <w:p>
      <w:pPr>
        <w:spacing w:line="360" w:lineRule="auto"/>
        <w:rPr>
          <w:rFonts w:ascii="宋体" w:cs="宋体"/>
          <w:color w:val="auto"/>
          <w:sz w:val="24"/>
          <w:szCs w:val="24"/>
        </w:rPr>
      </w:pPr>
    </w:p>
    <w:p>
      <w:pPr>
        <w:spacing w:line="360" w:lineRule="auto"/>
        <w:rPr>
          <w:rFonts w:ascii="宋体" w:cs="宋体"/>
          <w:color w:val="auto"/>
          <w:sz w:val="24"/>
          <w:szCs w:val="24"/>
        </w:rPr>
      </w:pPr>
    </w:p>
    <w:p>
      <w:pPr>
        <w:spacing w:line="360" w:lineRule="auto"/>
        <w:rPr>
          <w:rFonts w:ascii="宋体" w:cs="宋体"/>
          <w:color w:val="auto"/>
          <w:sz w:val="24"/>
          <w:szCs w:val="24"/>
        </w:rPr>
      </w:pPr>
    </w:p>
    <w:p>
      <w:pPr>
        <w:spacing w:line="360" w:lineRule="auto"/>
        <w:rPr>
          <w:rFonts w:ascii="宋体" w:cs="宋体"/>
          <w:color w:val="auto"/>
          <w:sz w:val="24"/>
          <w:szCs w:val="24"/>
        </w:rPr>
      </w:pPr>
    </w:p>
    <w:p>
      <w:pPr>
        <w:spacing w:line="360" w:lineRule="auto"/>
        <w:rPr>
          <w:rFonts w:ascii="宋体" w:cs="宋体"/>
          <w:color w:val="auto"/>
          <w:sz w:val="24"/>
          <w:szCs w:val="24"/>
        </w:rPr>
      </w:pPr>
    </w:p>
    <w:p>
      <w:pPr>
        <w:spacing w:line="360" w:lineRule="auto"/>
        <w:rPr>
          <w:rFonts w:ascii="宋体" w:cs="宋体"/>
          <w:color w:val="auto"/>
          <w:sz w:val="24"/>
          <w:szCs w:val="24"/>
        </w:rPr>
      </w:pPr>
    </w:p>
    <w:p>
      <w:pPr>
        <w:spacing w:line="360" w:lineRule="auto"/>
        <w:rPr>
          <w:rFonts w:ascii="宋体" w:cs="宋体"/>
          <w:color w:val="auto"/>
          <w:sz w:val="24"/>
          <w:szCs w:val="24"/>
        </w:rPr>
      </w:pPr>
    </w:p>
    <w:p>
      <w:pPr>
        <w:spacing w:line="360" w:lineRule="auto"/>
        <w:rPr>
          <w:rFonts w:ascii="宋体" w:cs="宋体"/>
          <w:color w:val="auto"/>
          <w:sz w:val="24"/>
          <w:szCs w:val="24"/>
        </w:rPr>
      </w:pPr>
    </w:p>
    <w:p>
      <w:pPr>
        <w:spacing w:line="360" w:lineRule="auto"/>
        <w:rPr>
          <w:rFonts w:ascii="宋体" w:cs="宋体"/>
          <w:color w:val="auto"/>
          <w:sz w:val="24"/>
          <w:szCs w:val="24"/>
        </w:rPr>
      </w:pPr>
    </w:p>
    <w:p>
      <w:pPr>
        <w:spacing w:line="360" w:lineRule="auto"/>
        <w:rPr>
          <w:rFonts w:ascii="宋体" w:cs="宋体"/>
          <w:color w:val="auto"/>
          <w:sz w:val="24"/>
          <w:szCs w:val="24"/>
        </w:rPr>
      </w:pPr>
    </w:p>
    <w:p>
      <w:pPr>
        <w:spacing w:line="360" w:lineRule="auto"/>
        <w:rPr>
          <w:rFonts w:ascii="宋体" w:cs="宋体"/>
          <w:color w:val="auto"/>
          <w:sz w:val="24"/>
          <w:szCs w:val="24"/>
        </w:rPr>
      </w:pPr>
    </w:p>
    <w:p>
      <w:pPr>
        <w:spacing w:line="360" w:lineRule="auto"/>
        <w:rPr>
          <w:rFonts w:ascii="宋体" w:cs="宋体"/>
          <w:color w:val="auto"/>
          <w:sz w:val="24"/>
          <w:szCs w:val="24"/>
        </w:rPr>
      </w:pPr>
    </w:p>
    <w:p>
      <w:pPr>
        <w:spacing w:line="360" w:lineRule="auto"/>
        <w:rPr>
          <w:rFonts w:ascii="宋体" w:cs="宋体"/>
          <w:color w:val="auto"/>
          <w:sz w:val="24"/>
          <w:szCs w:val="24"/>
        </w:rPr>
      </w:pPr>
    </w:p>
    <w:p>
      <w:pPr>
        <w:spacing w:line="360" w:lineRule="auto"/>
        <w:rPr>
          <w:rFonts w:ascii="宋体" w:cs="宋体"/>
          <w:color w:val="auto"/>
          <w:sz w:val="24"/>
          <w:szCs w:val="24"/>
        </w:rPr>
      </w:pPr>
    </w:p>
    <w:p>
      <w:pPr>
        <w:spacing w:line="360" w:lineRule="auto"/>
        <w:rPr>
          <w:rFonts w:ascii="宋体" w:cs="宋体"/>
          <w:color w:val="auto"/>
          <w:sz w:val="24"/>
          <w:szCs w:val="24"/>
        </w:rPr>
      </w:pPr>
    </w:p>
    <w:p>
      <w:pPr>
        <w:spacing w:line="360" w:lineRule="auto"/>
        <w:rPr>
          <w:rFonts w:ascii="宋体" w:cs="宋体"/>
          <w:color w:val="auto"/>
          <w:sz w:val="24"/>
          <w:szCs w:val="24"/>
        </w:rPr>
      </w:pPr>
    </w:p>
    <w:p>
      <w:pPr>
        <w:spacing w:line="360" w:lineRule="auto"/>
        <w:rPr>
          <w:rFonts w:ascii="宋体" w:cs="宋体"/>
          <w:color w:val="auto"/>
          <w:sz w:val="24"/>
        </w:rPr>
      </w:pPr>
    </w:p>
    <w:p>
      <w:pPr>
        <w:spacing w:line="360" w:lineRule="auto"/>
        <w:rPr>
          <w:rFonts w:ascii="宋体" w:cs="宋体"/>
          <w:color w:val="auto"/>
          <w:sz w:val="24"/>
        </w:rPr>
      </w:pPr>
    </w:p>
    <w:p>
      <w:pPr>
        <w:spacing w:line="360" w:lineRule="auto"/>
        <w:rPr>
          <w:rFonts w:ascii="宋体" w:cs="宋体"/>
          <w:color w:val="auto"/>
          <w:sz w:val="24"/>
        </w:rPr>
      </w:pPr>
    </w:p>
    <w:p>
      <w:pPr>
        <w:spacing w:line="360" w:lineRule="auto"/>
        <w:rPr>
          <w:rFonts w:ascii="宋体" w:cs="宋体"/>
          <w:color w:val="auto"/>
          <w:sz w:val="24"/>
        </w:rPr>
      </w:pPr>
    </w:p>
    <w:p>
      <w:pPr>
        <w:pStyle w:val="3"/>
        <w:spacing w:line="360" w:lineRule="auto"/>
        <w:jc w:val="center"/>
        <w:rPr>
          <w:rFonts w:ascii="宋体" w:cs="宋体"/>
          <w:color w:val="auto"/>
          <w:sz w:val="36"/>
        </w:rPr>
      </w:pPr>
      <w:bookmarkStart w:id="469" w:name="_Toc16105"/>
      <w:bookmarkStart w:id="470" w:name="_Toc23492"/>
      <w:r>
        <w:rPr>
          <w:rFonts w:hint="eastAsia" w:ascii="宋体" w:hAnsi="宋体" w:cs="宋体"/>
          <w:color w:val="auto"/>
          <w:sz w:val="36"/>
        </w:rPr>
        <w:t>响应文件技术标部分</w:t>
      </w:r>
      <w:bookmarkEnd w:id="469"/>
      <w:bookmarkEnd w:id="470"/>
    </w:p>
    <w:p>
      <w:pPr>
        <w:pStyle w:val="4"/>
        <w:spacing w:line="360" w:lineRule="auto"/>
        <w:jc w:val="center"/>
        <w:rPr>
          <w:rFonts w:ascii="宋体" w:hAnsi="宋体" w:eastAsia="宋体" w:cs="宋体"/>
          <w:color w:val="auto"/>
          <w:kern w:val="0"/>
        </w:rPr>
      </w:pPr>
      <w:bookmarkStart w:id="471" w:name="_Toc13855"/>
      <w:bookmarkStart w:id="472" w:name="_Toc9157"/>
      <w:r>
        <w:rPr>
          <w:rFonts w:hint="eastAsia" w:ascii="宋体" w:hAnsi="宋体" w:eastAsia="宋体" w:cs="宋体"/>
          <w:color w:val="auto"/>
          <w:kern w:val="0"/>
        </w:rPr>
        <w:t>封面格式</w:t>
      </w:r>
      <w:bookmarkEnd w:id="471"/>
      <w:bookmarkEnd w:id="472"/>
    </w:p>
    <w:tbl>
      <w:tblPr>
        <w:tblStyle w:val="24"/>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4" w:hRule="atLeast"/>
        </w:trPr>
        <w:tc>
          <w:tcPr>
            <w:tcW w:w="9180" w:type="dxa"/>
          </w:tcPr>
          <w:p>
            <w:pPr>
              <w:autoSpaceDE w:val="0"/>
              <w:autoSpaceDN w:val="0"/>
              <w:adjustRightInd w:val="0"/>
              <w:spacing w:line="360" w:lineRule="auto"/>
              <w:jc w:val="center"/>
              <w:outlineLvl w:val="0"/>
              <w:rPr>
                <w:rFonts w:ascii="宋体" w:cs="宋体"/>
                <w:b/>
                <w:color w:val="auto"/>
                <w:kern w:val="0"/>
                <w:sz w:val="40"/>
                <w:szCs w:val="21"/>
              </w:rPr>
            </w:pPr>
          </w:p>
          <w:p>
            <w:pPr>
              <w:autoSpaceDE w:val="0"/>
              <w:autoSpaceDN w:val="0"/>
              <w:adjustRightInd w:val="0"/>
              <w:spacing w:line="360" w:lineRule="auto"/>
              <w:jc w:val="center"/>
              <w:outlineLvl w:val="0"/>
              <w:rPr>
                <w:rFonts w:ascii="宋体" w:cs="宋体"/>
                <w:b/>
                <w:color w:val="auto"/>
                <w:kern w:val="0"/>
                <w:sz w:val="40"/>
                <w:szCs w:val="21"/>
              </w:rPr>
            </w:pPr>
          </w:p>
          <w:p>
            <w:pPr>
              <w:autoSpaceDE w:val="0"/>
              <w:autoSpaceDN w:val="0"/>
              <w:adjustRightInd w:val="0"/>
              <w:spacing w:line="360" w:lineRule="auto"/>
              <w:jc w:val="center"/>
              <w:outlineLvl w:val="0"/>
              <w:rPr>
                <w:rFonts w:ascii="宋体" w:cs="宋体"/>
                <w:b/>
                <w:color w:val="auto"/>
                <w:kern w:val="0"/>
                <w:sz w:val="32"/>
                <w:szCs w:val="21"/>
              </w:rPr>
            </w:pPr>
            <w:r>
              <w:rPr>
                <w:rFonts w:hint="eastAsia" w:ascii="宋体" w:hAnsi="宋体" w:cs="宋体"/>
                <w:b/>
                <w:color w:val="auto"/>
                <w:kern w:val="0"/>
                <w:sz w:val="32"/>
                <w:szCs w:val="21"/>
                <w:lang w:val="en-US" w:eastAsia="zh-CN"/>
              </w:rPr>
              <w:t>xx</w:t>
            </w:r>
            <w:r>
              <w:rPr>
                <w:rFonts w:hint="eastAsia" w:ascii="宋体" w:hAnsi="宋体" w:cs="宋体"/>
                <w:b/>
                <w:color w:val="auto"/>
                <w:kern w:val="0"/>
                <w:sz w:val="32"/>
                <w:szCs w:val="21"/>
                <w:lang w:eastAsia="zh-CN"/>
              </w:rPr>
              <w:t>项目</w:t>
            </w:r>
            <w:r>
              <w:rPr>
                <w:rFonts w:hint="eastAsia" w:ascii="宋体" w:hAnsi="宋体" w:cs="宋体"/>
                <w:b/>
                <w:color w:val="auto"/>
                <w:kern w:val="0"/>
                <w:sz w:val="32"/>
                <w:szCs w:val="21"/>
              </w:rPr>
              <w:t>工程</w:t>
            </w:r>
          </w:p>
          <w:p>
            <w:pPr>
              <w:autoSpaceDE w:val="0"/>
              <w:autoSpaceDN w:val="0"/>
              <w:adjustRightInd w:val="0"/>
              <w:spacing w:line="360" w:lineRule="auto"/>
              <w:jc w:val="center"/>
              <w:outlineLvl w:val="0"/>
              <w:rPr>
                <w:rFonts w:ascii="宋体" w:cs="宋体"/>
                <w:b/>
                <w:color w:val="auto"/>
                <w:kern w:val="0"/>
                <w:sz w:val="22"/>
                <w:szCs w:val="21"/>
              </w:rPr>
            </w:pPr>
          </w:p>
          <w:p>
            <w:pPr>
              <w:autoSpaceDE w:val="0"/>
              <w:autoSpaceDN w:val="0"/>
              <w:adjustRightInd w:val="0"/>
              <w:spacing w:line="360" w:lineRule="auto"/>
              <w:jc w:val="center"/>
              <w:outlineLvl w:val="0"/>
              <w:rPr>
                <w:rFonts w:ascii="宋体" w:cs="宋体"/>
                <w:color w:val="auto"/>
                <w:kern w:val="0"/>
                <w:sz w:val="22"/>
                <w:szCs w:val="21"/>
              </w:rPr>
            </w:pPr>
          </w:p>
          <w:p>
            <w:pPr>
              <w:autoSpaceDE w:val="0"/>
              <w:autoSpaceDN w:val="0"/>
              <w:adjustRightInd w:val="0"/>
              <w:spacing w:line="360" w:lineRule="auto"/>
              <w:jc w:val="center"/>
              <w:outlineLvl w:val="0"/>
              <w:rPr>
                <w:rFonts w:ascii="宋体" w:cs="宋体"/>
                <w:color w:val="auto"/>
                <w:kern w:val="0"/>
                <w:sz w:val="22"/>
                <w:szCs w:val="21"/>
              </w:rPr>
            </w:pPr>
          </w:p>
          <w:p>
            <w:pPr>
              <w:autoSpaceDE w:val="0"/>
              <w:autoSpaceDN w:val="0"/>
              <w:adjustRightInd w:val="0"/>
              <w:spacing w:line="360" w:lineRule="auto"/>
              <w:jc w:val="center"/>
              <w:outlineLvl w:val="0"/>
              <w:rPr>
                <w:rFonts w:ascii="宋体" w:cs="宋体"/>
                <w:b/>
                <w:color w:val="auto"/>
                <w:kern w:val="0"/>
                <w:sz w:val="56"/>
                <w:szCs w:val="21"/>
              </w:rPr>
            </w:pPr>
            <w:r>
              <w:rPr>
                <w:rFonts w:hint="eastAsia" w:ascii="宋体" w:hAnsi="宋体" w:cs="宋体"/>
                <w:b/>
                <w:color w:val="auto"/>
                <w:kern w:val="0"/>
                <w:sz w:val="56"/>
                <w:szCs w:val="21"/>
              </w:rPr>
              <w:t>响应文件</w:t>
            </w:r>
          </w:p>
          <w:p>
            <w:pPr>
              <w:autoSpaceDE w:val="0"/>
              <w:autoSpaceDN w:val="0"/>
              <w:adjustRightInd w:val="0"/>
              <w:spacing w:line="360" w:lineRule="auto"/>
              <w:jc w:val="center"/>
              <w:outlineLvl w:val="0"/>
              <w:rPr>
                <w:rFonts w:ascii="宋体" w:cs="宋体"/>
                <w:b/>
                <w:color w:val="auto"/>
                <w:kern w:val="0"/>
                <w:sz w:val="56"/>
                <w:szCs w:val="21"/>
              </w:rPr>
            </w:pPr>
            <w:r>
              <w:rPr>
                <w:rFonts w:hint="eastAsia" w:ascii="宋体" w:hAnsi="宋体" w:cs="宋体"/>
                <w:b/>
                <w:color w:val="auto"/>
                <w:kern w:val="0"/>
                <w:sz w:val="32"/>
                <w:szCs w:val="32"/>
              </w:rPr>
              <w:t>（正本</w:t>
            </w:r>
            <w:r>
              <w:rPr>
                <w:rFonts w:ascii="宋体" w:hAnsi="宋体" w:cs="宋体"/>
                <w:b/>
                <w:color w:val="auto"/>
                <w:kern w:val="0"/>
                <w:sz w:val="32"/>
                <w:szCs w:val="32"/>
              </w:rPr>
              <w:t>/</w:t>
            </w:r>
            <w:r>
              <w:rPr>
                <w:rFonts w:hint="eastAsia" w:ascii="宋体" w:hAnsi="宋体" w:cs="宋体"/>
                <w:b/>
                <w:color w:val="auto"/>
                <w:kern w:val="0"/>
                <w:sz w:val="32"/>
                <w:szCs w:val="32"/>
              </w:rPr>
              <w:t>副本）</w:t>
            </w:r>
          </w:p>
          <w:p>
            <w:pPr>
              <w:autoSpaceDE w:val="0"/>
              <w:autoSpaceDN w:val="0"/>
              <w:adjustRightInd w:val="0"/>
              <w:spacing w:line="360" w:lineRule="auto"/>
              <w:jc w:val="center"/>
              <w:outlineLvl w:val="0"/>
              <w:rPr>
                <w:rFonts w:ascii="宋体" w:cs="宋体"/>
                <w:color w:val="auto"/>
                <w:kern w:val="0"/>
                <w:sz w:val="22"/>
                <w:szCs w:val="21"/>
              </w:rPr>
            </w:pPr>
          </w:p>
          <w:p>
            <w:pPr>
              <w:autoSpaceDE w:val="0"/>
              <w:autoSpaceDN w:val="0"/>
              <w:adjustRightInd w:val="0"/>
              <w:spacing w:line="360" w:lineRule="auto"/>
              <w:jc w:val="center"/>
              <w:outlineLvl w:val="0"/>
              <w:rPr>
                <w:rFonts w:ascii="宋体" w:cs="宋体"/>
                <w:color w:val="auto"/>
                <w:kern w:val="0"/>
                <w:sz w:val="22"/>
                <w:szCs w:val="21"/>
              </w:rPr>
            </w:pPr>
          </w:p>
          <w:p>
            <w:pPr>
              <w:autoSpaceDE w:val="0"/>
              <w:autoSpaceDN w:val="0"/>
              <w:adjustRightInd w:val="0"/>
              <w:spacing w:line="360" w:lineRule="auto"/>
              <w:jc w:val="center"/>
              <w:outlineLvl w:val="0"/>
              <w:rPr>
                <w:rFonts w:ascii="宋体" w:cs="宋体"/>
                <w:color w:val="auto"/>
                <w:kern w:val="0"/>
                <w:sz w:val="22"/>
                <w:szCs w:val="21"/>
              </w:rPr>
            </w:pPr>
          </w:p>
          <w:p>
            <w:pPr>
              <w:autoSpaceDE w:val="0"/>
              <w:autoSpaceDN w:val="0"/>
              <w:adjustRightInd w:val="0"/>
              <w:spacing w:line="360" w:lineRule="auto"/>
              <w:jc w:val="center"/>
              <w:outlineLvl w:val="0"/>
              <w:rPr>
                <w:rFonts w:ascii="宋体" w:cs="宋体"/>
                <w:color w:val="auto"/>
                <w:kern w:val="0"/>
                <w:sz w:val="22"/>
                <w:szCs w:val="21"/>
              </w:rPr>
            </w:pPr>
          </w:p>
          <w:p>
            <w:pPr>
              <w:autoSpaceDE w:val="0"/>
              <w:autoSpaceDN w:val="0"/>
              <w:adjustRightInd w:val="0"/>
              <w:spacing w:line="360" w:lineRule="auto"/>
              <w:jc w:val="center"/>
              <w:outlineLvl w:val="0"/>
              <w:rPr>
                <w:rFonts w:ascii="宋体" w:cs="宋体"/>
                <w:color w:val="auto"/>
                <w:kern w:val="0"/>
                <w:sz w:val="22"/>
                <w:szCs w:val="21"/>
              </w:rPr>
            </w:pPr>
          </w:p>
          <w:p>
            <w:pPr>
              <w:autoSpaceDE w:val="0"/>
              <w:autoSpaceDN w:val="0"/>
              <w:adjustRightInd w:val="0"/>
              <w:spacing w:line="360" w:lineRule="auto"/>
              <w:jc w:val="center"/>
              <w:outlineLvl w:val="0"/>
              <w:rPr>
                <w:rFonts w:ascii="宋体" w:hAnsi="宋体" w:cs="宋体"/>
                <w:color w:val="auto"/>
                <w:kern w:val="0"/>
                <w:sz w:val="22"/>
                <w:szCs w:val="21"/>
              </w:rPr>
            </w:pPr>
          </w:p>
          <w:p>
            <w:pPr>
              <w:autoSpaceDE w:val="0"/>
              <w:autoSpaceDN w:val="0"/>
              <w:adjustRightInd w:val="0"/>
              <w:spacing w:line="360" w:lineRule="auto"/>
              <w:ind w:firstLine="480" w:firstLineChars="200"/>
              <w:outlineLvl w:val="0"/>
              <w:rPr>
                <w:rFonts w:ascii="宋体" w:hAnsi="宋体" w:cs="宋体"/>
                <w:color w:val="auto"/>
                <w:kern w:val="0"/>
                <w:sz w:val="24"/>
                <w:szCs w:val="21"/>
                <w:u w:val="single"/>
              </w:rPr>
            </w:pPr>
            <w:r>
              <w:rPr>
                <w:rFonts w:hint="eastAsia" w:ascii="宋体" w:hAnsi="宋体" w:cs="宋体"/>
                <w:color w:val="auto"/>
                <w:kern w:val="0"/>
                <w:sz w:val="24"/>
                <w:szCs w:val="21"/>
              </w:rPr>
              <w:t>项目名称：</w:t>
            </w:r>
          </w:p>
          <w:p>
            <w:pPr>
              <w:autoSpaceDE w:val="0"/>
              <w:autoSpaceDN w:val="0"/>
              <w:adjustRightInd w:val="0"/>
              <w:spacing w:line="360" w:lineRule="auto"/>
              <w:ind w:firstLine="480" w:firstLineChars="200"/>
              <w:rPr>
                <w:rFonts w:ascii="宋体" w:cs="宋体"/>
                <w:color w:val="auto"/>
                <w:kern w:val="0"/>
                <w:sz w:val="24"/>
                <w:szCs w:val="21"/>
              </w:rPr>
            </w:pPr>
            <w:r>
              <w:rPr>
                <w:rFonts w:hint="eastAsia" w:ascii="宋体" w:hAnsi="宋体" w:cs="宋体"/>
                <w:color w:val="auto"/>
                <w:kern w:val="0"/>
                <w:sz w:val="24"/>
                <w:szCs w:val="21"/>
              </w:rPr>
              <w:t>响应文件内容：</w:t>
            </w:r>
            <w:r>
              <w:rPr>
                <w:rFonts w:hint="eastAsia" w:ascii="宋体" w:hAnsi="宋体" w:cs="宋体"/>
                <w:color w:val="auto"/>
                <w:kern w:val="0"/>
                <w:sz w:val="24"/>
                <w:szCs w:val="21"/>
                <w:u w:val="single"/>
              </w:rPr>
              <w:t>响应文件技术标部分</w:t>
            </w:r>
          </w:p>
          <w:p>
            <w:pPr>
              <w:autoSpaceDE w:val="0"/>
              <w:autoSpaceDN w:val="0"/>
              <w:adjustRightInd w:val="0"/>
              <w:spacing w:line="360" w:lineRule="auto"/>
              <w:ind w:firstLine="480" w:firstLineChars="200"/>
              <w:outlineLvl w:val="0"/>
              <w:rPr>
                <w:rFonts w:ascii="宋体" w:hAnsi="宋体" w:cs="宋体"/>
                <w:color w:val="auto"/>
                <w:kern w:val="0"/>
                <w:sz w:val="24"/>
                <w:szCs w:val="21"/>
                <w:u w:val="single"/>
              </w:rPr>
            </w:pPr>
            <w:r>
              <w:rPr>
                <w:rFonts w:hint="eastAsia" w:ascii="宋体" w:hAnsi="宋体" w:cs="宋体"/>
                <w:color w:val="auto"/>
                <w:kern w:val="0"/>
                <w:sz w:val="24"/>
                <w:szCs w:val="21"/>
              </w:rPr>
              <w:t>磋商单位：</w:t>
            </w:r>
            <w:r>
              <w:rPr>
                <w:rFonts w:hint="eastAsia" w:ascii="宋体" w:hAnsi="宋体" w:cs="宋体"/>
                <w:color w:val="auto"/>
                <w:kern w:val="0"/>
                <w:sz w:val="24"/>
                <w:szCs w:val="21"/>
                <w:u w:val="single"/>
              </w:rPr>
              <w:t>（盖章）</w:t>
            </w:r>
          </w:p>
          <w:p>
            <w:pPr>
              <w:autoSpaceDE w:val="0"/>
              <w:autoSpaceDN w:val="0"/>
              <w:adjustRightInd w:val="0"/>
              <w:spacing w:line="360" w:lineRule="auto"/>
              <w:ind w:firstLine="480" w:firstLineChars="200"/>
              <w:outlineLvl w:val="0"/>
              <w:rPr>
                <w:rFonts w:ascii="宋体" w:cs="宋体"/>
                <w:color w:val="auto"/>
                <w:kern w:val="0"/>
                <w:sz w:val="24"/>
                <w:szCs w:val="21"/>
              </w:rPr>
            </w:pPr>
            <w:r>
              <w:rPr>
                <w:rFonts w:hint="eastAsia" w:ascii="宋体" w:hAnsi="宋体" w:cs="宋体"/>
                <w:color w:val="auto"/>
                <w:kern w:val="0"/>
                <w:sz w:val="24"/>
                <w:szCs w:val="21"/>
              </w:rPr>
              <w:t>法定代表人或其授权代理人：</w:t>
            </w:r>
            <w:r>
              <w:rPr>
                <w:rFonts w:hint="eastAsia" w:ascii="宋体" w:hAnsi="宋体" w:cs="宋体"/>
                <w:color w:val="auto"/>
                <w:kern w:val="0"/>
                <w:sz w:val="24"/>
                <w:szCs w:val="21"/>
                <w:u w:val="single"/>
              </w:rPr>
              <w:t>（签字或盖章）</w:t>
            </w:r>
          </w:p>
          <w:p>
            <w:pPr>
              <w:spacing w:line="360" w:lineRule="auto"/>
              <w:ind w:firstLine="480" w:firstLineChars="200"/>
              <w:rPr>
                <w:rFonts w:ascii="宋体" w:cs="宋体"/>
                <w:color w:val="auto"/>
                <w:kern w:val="0"/>
                <w:sz w:val="24"/>
                <w:szCs w:val="21"/>
              </w:rPr>
            </w:pPr>
            <w:r>
              <w:rPr>
                <w:rFonts w:hint="eastAsia" w:ascii="宋体" w:hAnsi="宋体" w:cs="宋体"/>
                <w:color w:val="auto"/>
                <w:kern w:val="0"/>
                <w:sz w:val="24"/>
                <w:szCs w:val="21"/>
              </w:rPr>
              <w:t>日期：</w:t>
            </w:r>
            <w:r>
              <w:rPr>
                <w:rFonts w:hint="eastAsia" w:ascii="宋体" w:hAnsi="宋体" w:cs="宋体"/>
                <w:color w:val="auto"/>
                <w:kern w:val="0"/>
                <w:sz w:val="24"/>
                <w:szCs w:val="21"/>
                <w:lang w:val="en-US" w:eastAsia="zh-CN"/>
              </w:rPr>
              <w:t xml:space="preserve">  </w:t>
            </w:r>
            <w:r>
              <w:rPr>
                <w:rFonts w:hint="eastAsia" w:ascii="宋体" w:hAnsi="宋体" w:cs="宋体"/>
                <w:color w:val="auto"/>
                <w:kern w:val="0"/>
                <w:sz w:val="24"/>
                <w:szCs w:val="21"/>
              </w:rPr>
              <w:t>年</w:t>
            </w:r>
            <w:r>
              <w:rPr>
                <w:rFonts w:hint="eastAsia" w:ascii="宋体" w:hAnsi="宋体" w:cs="宋体"/>
                <w:color w:val="auto"/>
                <w:kern w:val="0"/>
                <w:sz w:val="24"/>
                <w:szCs w:val="21"/>
                <w:lang w:val="en-US" w:eastAsia="zh-CN"/>
              </w:rPr>
              <w:t xml:space="preserve">  </w:t>
            </w:r>
            <w:r>
              <w:rPr>
                <w:rFonts w:hint="eastAsia" w:ascii="宋体" w:hAnsi="宋体" w:cs="宋体"/>
                <w:color w:val="auto"/>
                <w:kern w:val="0"/>
                <w:sz w:val="24"/>
                <w:szCs w:val="21"/>
              </w:rPr>
              <w:t>月</w:t>
            </w:r>
            <w:r>
              <w:rPr>
                <w:rFonts w:hint="eastAsia" w:ascii="宋体" w:hAnsi="宋体" w:cs="宋体"/>
                <w:color w:val="auto"/>
                <w:kern w:val="0"/>
                <w:sz w:val="24"/>
                <w:szCs w:val="21"/>
                <w:lang w:val="en-US" w:eastAsia="zh-CN"/>
              </w:rPr>
              <w:t xml:space="preserve">  </w:t>
            </w:r>
            <w:r>
              <w:rPr>
                <w:rFonts w:hint="eastAsia" w:ascii="宋体" w:hAnsi="宋体" w:cs="宋体"/>
                <w:color w:val="auto"/>
                <w:kern w:val="0"/>
                <w:sz w:val="24"/>
                <w:szCs w:val="21"/>
              </w:rPr>
              <w:t>日</w:t>
            </w:r>
          </w:p>
        </w:tc>
      </w:tr>
    </w:tbl>
    <w:p>
      <w:pPr>
        <w:spacing w:line="360" w:lineRule="auto"/>
        <w:rPr>
          <w:color w:val="auto"/>
        </w:rPr>
      </w:pPr>
    </w:p>
    <w:p>
      <w:pPr>
        <w:pStyle w:val="6"/>
        <w:spacing w:line="360" w:lineRule="auto"/>
        <w:jc w:val="center"/>
        <w:rPr>
          <w:rFonts w:ascii="宋体" w:hAnsi="宋体" w:eastAsia="宋体" w:cs="宋体"/>
          <w:color w:val="auto"/>
        </w:rPr>
      </w:pPr>
      <w:bookmarkStart w:id="473" w:name="_Toc15694"/>
      <w:bookmarkStart w:id="474" w:name="_Toc6674"/>
      <w:r>
        <w:rPr>
          <w:rFonts w:hint="eastAsia" w:ascii="宋体" w:hAnsi="宋体" w:eastAsia="宋体" w:cs="宋体"/>
          <w:color w:val="auto"/>
        </w:rPr>
        <w:t>技术标部分目录</w:t>
      </w:r>
      <w:bookmarkEnd w:id="473"/>
      <w:bookmarkEnd w:id="474"/>
    </w:p>
    <w:p>
      <w:pPr>
        <w:spacing w:line="360" w:lineRule="auto"/>
        <w:rPr>
          <w:color w:val="auto"/>
        </w:rPr>
      </w:pPr>
    </w:p>
    <w:p>
      <w:pPr>
        <w:spacing w:line="360" w:lineRule="auto"/>
        <w:rPr>
          <w:b/>
          <w:bCs/>
          <w:color w:val="auto"/>
          <w:sz w:val="24"/>
          <w:szCs w:val="28"/>
        </w:rPr>
      </w:pPr>
      <w:r>
        <w:rPr>
          <w:rFonts w:hint="eastAsia"/>
          <w:b/>
          <w:bCs/>
          <w:color w:val="auto"/>
          <w:sz w:val="24"/>
          <w:szCs w:val="28"/>
        </w:rPr>
        <w:t>1、</w:t>
      </w:r>
      <w:r>
        <w:rPr>
          <w:b/>
          <w:bCs/>
          <w:color w:val="auto"/>
          <w:sz w:val="24"/>
          <w:szCs w:val="28"/>
        </w:rPr>
        <w:t>施工组织设计；</w:t>
      </w:r>
    </w:p>
    <w:p>
      <w:pPr>
        <w:spacing w:line="360" w:lineRule="auto"/>
        <w:rPr>
          <w:b/>
          <w:bCs/>
          <w:color w:val="auto"/>
          <w:sz w:val="24"/>
          <w:szCs w:val="28"/>
        </w:rPr>
      </w:pPr>
      <w:r>
        <w:rPr>
          <w:rFonts w:hint="eastAsia"/>
          <w:b/>
          <w:bCs/>
          <w:color w:val="auto"/>
          <w:sz w:val="24"/>
          <w:szCs w:val="28"/>
        </w:rPr>
        <w:t>2、</w:t>
      </w:r>
      <w:r>
        <w:rPr>
          <w:b/>
          <w:bCs/>
          <w:color w:val="auto"/>
          <w:sz w:val="24"/>
          <w:szCs w:val="28"/>
        </w:rPr>
        <w:t>项目管理机构</w:t>
      </w:r>
      <w:r>
        <w:rPr>
          <w:rFonts w:hint="eastAsia"/>
          <w:b/>
          <w:bCs/>
          <w:color w:val="auto"/>
          <w:sz w:val="24"/>
          <w:szCs w:val="28"/>
        </w:rPr>
        <w:t>：</w:t>
      </w:r>
    </w:p>
    <w:p>
      <w:pPr>
        <w:pStyle w:val="48"/>
        <w:spacing w:line="460" w:lineRule="exact"/>
        <w:rPr>
          <w:color w:val="auto"/>
        </w:rPr>
      </w:pPr>
      <w:r>
        <w:rPr>
          <w:rFonts w:hint="eastAsia"/>
          <w:color w:val="auto"/>
        </w:rPr>
        <w:t>（1）</w:t>
      </w:r>
      <w:r>
        <w:rPr>
          <w:color w:val="auto"/>
        </w:rPr>
        <w:t>项目管理机构配备情况表；</w:t>
      </w:r>
    </w:p>
    <w:p>
      <w:pPr>
        <w:pStyle w:val="48"/>
        <w:spacing w:line="460" w:lineRule="exact"/>
        <w:rPr>
          <w:color w:val="auto"/>
        </w:rPr>
      </w:pPr>
      <w:r>
        <w:rPr>
          <w:rFonts w:hint="eastAsia"/>
          <w:color w:val="auto"/>
        </w:rPr>
        <w:t>（2）</w:t>
      </w:r>
      <w:r>
        <w:rPr>
          <w:color w:val="auto"/>
        </w:rPr>
        <w:t>项目经理（注册建造师）简历表；</w:t>
      </w:r>
    </w:p>
    <w:p>
      <w:pPr>
        <w:pStyle w:val="48"/>
        <w:spacing w:line="460" w:lineRule="exact"/>
        <w:rPr>
          <w:color w:val="auto"/>
        </w:rPr>
      </w:pPr>
      <w:r>
        <w:rPr>
          <w:rFonts w:hint="eastAsia"/>
          <w:color w:val="auto"/>
        </w:rPr>
        <w:t>（3）</w:t>
      </w:r>
      <w:r>
        <w:rPr>
          <w:color w:val="auto"/>
        </w:rPr>
        <w:t>项目技术负责人简历表。</w:t>
      </w:r>
    </w:p>
    <w:p>
      <w:pPr>
        <w:spacing w:line="460" w:lineRule="exact"/>
        <w:ind w:firstLine="420" w:firstLineChars="200"/>
        <w:rPr>
          <w:color w:val="auto"/>
          <w:szCs w:val="28"/>
        </w:rPr>
      </w:pPr>
    </w:p>
    <w:p>
      <w:pPr>
        <w:pStyle w:val="2"/>
        <w:rPr>
          <w:color w:val="auto"/>
        </w:rPr>
      </w:pPr>
    </w:p>
    <w:p>
      <w:pPr>
        <w:pStyle w:val="3"/>
        <w:spacing w:line="360" w:lineRule="auto"/>
        <w:jc w:val="center"/>
        <w:rPr>
          <w:rFonts w:ascii="宋体" w:hAnsi="宋体" w:cs="宋体"/>
          <w:color w:val="auto"/>
          <w:sz w:val="36"/>
        </w:rPr>
      </w:pPr>
    </w:p>
    <w:p>
      <w:pPr>
        <w:pStyle w:val="3"/>
        <w:spacing w:line="360" w:lineRule="auto"/>
        <w:jc w:val="center"/>
        <w:rPr>
          <w:rFonts w:ascii="宋体" w:hAnsi="宋体" w:cs="宋体"/>
          <w:color w:val="auto"/>
          <w:sz w:val="36"/>
        </w:rPr>
      </w:pPr>
    </w:p>
    <w:p>
      <w:pPr>
        <w:pStyle w:val="3"/>
        <w:spacing w:line="360" w:lineRule="auto"/>
        <w:jc w:val="center"/>
        <w:rPr>
          <w:rFonts w:ascii="宋体" w:hAnsi="宋体" w:cs="宋体"/>
          <w:color w:val="auto"/>
          <w:sz w:val="36"/>
        </w:rPr>
      </w:pPr>
    </w:p>
    <w:p>
      <w:pPr>
        <w:rPr>
          <w:rFonts w:ascii="宋体" w:hAnsi="宋体" w:cs="宋体"/>
          <w:color w:val="auto"/>
          <w:sz w:val="36"/>
        </w:rPr>
      </w:pPr>
    </w:p>
    <w:p>
      <w:pPr>
        <w:pStyle w:val="2"/>
        <w:rPr>
          <w:rFonts w:ascii="宋体" w:hAnsi="宋体" w:cs="宋体"/>
          <w:color w:val="auto"/>
          <w:sz w:val="36"/>
        </w:rPr>
      </w:pPr>
    </w:p>
    <w:p>
      <w:pPr>
        <w:pStyle w:val="2"/>
        <w:rPr>
          <w:rFonts w:ascii="宋体" w:hAnsi="宋体" w:cs="宋体"/>
          <w:color w:val="auto"/>
          <w:sz w:val="36"/>
        </w:rPr>
      </w:pPr>
    </w:p>
    <w:p>
      <w:pPr>
        <w:pStyle w:val="2"/>
        <w:rPr>
          <w:rFonts w:ascii="宋体" w:hAnsi="宋体" w:cs="宋体"/>
          <w:color w:val="auto"/>
          <w:sz w:val="36"/>
        </w:rPr>
      </w:pPr>
    </w:p>
    <w:p>
      <w:pPr>
        <w:pStyle w:val="2"/>
        <w:rPr>
          <w:rFonts w:ascii="宋体" w:hAnsi="宋体" w:cs="宋体"/>
          <w:color w:val="auto"/>
          <w:sz w:val="36"/>
        </w:rPr>
      </w:pPr>
    </w:p>
    <w:p>
      <w:pPr>
        <w:pStyle w:val="2"/>
        <w:rPr>
          <w:rFonts w:ascii="宋体" w:hAnsi="宋体" w:cs="宋体"/>
          <w:color w:val="auto"/>
          <w:sz w:val="36"/>
        </w:rPr>
      </w:pPr>
    </w:p>
    <w:p>
      <w:pPr>
        <w:pStyle w:val="2"/>
        <w:rPr>
          <w:rFonts w:ascii="宋体" w:hAnsi="宋体" w:cs="宋体"/>
          <w:color w:val="auto"/>
          <w:sz w:val="36"/>
        </w:rPr>
      </w:pPr>
    </w:p>
    <w:p>
      <w:pPr>
        <w:pStyle w:val="2"/>
        <w:rPr>
          <w:rFonts w:ascii="宋体" w:hAnsi="宋体" w:cs="宋体"/>
          <w:color w:val="auto"/>
          <w:sz w:val="36"/>
        </w:rPr>
      </w:pPr>
    </w:p>
    <w:p>
      <w:pPr>
        <w:pStyle w:val="2"/>
        <w:rPr>
          <w:rFonts w:ascii="宋体" w:hAnsi="宋体" w:cs="宋体"/>
          <w:color w:val="auto"/>
          <w:sz w:val="36"/>
        </w:rPr>
      </w:pPr>
    </w:p>
    <w:p>
      <w:pPr>
        <w:pStyle w:val="2"/>
        <w:rPr>
          <w:rFonts w:ascii="宋体" w:hAnsi="宋体" w:cs="宋体"/>
          <w:color w:val="auto"/>
          <w:sz w:val="36"/>
        </w:rPr>
      </w:pPr>
    </w:p>
    <w:p>
      <w:pPr>
        <w:pStyle w:val="2"/>
        <w:rPr>
          <w:rFonts w:ascii="宋体" w:hAnsi="宋体" w:cs="宋体"/>
          <w:color w:val="auto"/>
          <w:sz w:val="36"/>
        </w:rPr>
      </w:pPr>
    </w:p>
    <w:p>
      <w:pPr>
        <w:pStyle w:val="2"/>
        <w:rPr>
          <w:rFonts w:ascii="宋体" w:hAnsi="宋体" w:cs="宋体"/>
          <w:color w:val="auto"/>
          <w:sz w:val="36"/>
        </w:rPr>
      </w:pPr>
    </w:p>
    <w:p>
      <w:pPr>
        <w:pStyle w:val="2"/>
        <w:rPr>
          <w:rFonts w:ascii="宋体" w:hAnsi="宋体" w:cs="宋体"/>
          <w:color w:val="auto"/>
          <w:sz w:val="36"/>
        </w:rPr>
      </w:pPr>
    </w:p>
    <w:p>
      <w:pPr>
        <w:pStyle w:val="2"/>
        <w:rPr>
          <w:rFonts w:ascii="宋体" w:hAnsi="宋体" w:cs="宋体"/>
          <w:color w:val="auto"/>
          <w:sz w:val="36"/>
        </w:rPr>
      </w:pPr>
    </w:p>
    <w:p>
      <w:pPr>
        <w:pStyle w:val="2"/>
        <w:rPr>
          <w:rFonts w:ascii="宋体" w:hAnsi="宋体" w:cs="宋体"/>
          <w:color w:val="auto"/>
          <w:sz w:val="36"/>
        </w:rPr>
      </w:pPr>
    </w:p>
    <w:p>
      <w:pPr>
        <w:pStyle w:val="2"/>
        <w:rPr>
          <w:rFonts w:ascii="宋体" w:hAnsi="宋体" w:cs="宋体"/>
          <w:color w:val="auto"/>
          <w:sz w:val="36"/>
        </w:rPr>
      </w:pPr>
    </w:p>
    <w:p>
      <w:pPr>
        <w:pStyle w:val="2"/>
        <w:rPr>
          <w:rFonts w:ascii="宋体" w:hAnsi="宋体" w:cs="宋体"/>
          <w:color w:val="auto"/>
          <w:sz w:val="36"/>
        </w:rPr>
      </w:pPr>
    </w:p>
    <w:p>
      <w:pPr>
        <w:pStyle w:val="2"/>
        <w:jc w:val="center"/>
        <w:rPr>
          <w:rFonts w:ascii="宋体" w:hAnsi="宋体" w:cs="宋体"/>
          <w:b/>
          <w:bCs w:val="0"/>
          <w:color w:val="auto"/>
          <w:sz w:val="28"/>
          <w:szCs w:val="20"/>
        </w:rPr>
      </w:pPr>
      <w:r>
        <w:rPr>
          <w:rFonts w:hint="eastAsia" w:ascii="宋体" w:hAnsi="宋体" w:cs="宋体"/>
          <w:b/>
          <w:bCs w:val="0"/>
          <w:color w:val="auto"/>
          <w:sz w:val="28"/>
          <w:szCs w:val="20"/>
        </w:rPr>
        <w:t>一、施工组织设计</w:t>
      </w:r>
    </w:p>
    <w:p>
      <w:pPr>
        <w:spacing w:line="460" w:lineRule="exact"/>
        <w:ind w:firstLine="420" w:firstLineChars="200"/>
        <w:rPr>
          <w:color w:val="auto"/>
          <w:szCs w:val="21"/>
        </w:rPr>
      </w:pPr>
      <w:r>
        <w:rPr>
          <w:color w:val="auto"/>
          <w:szCs w:val="21"/>
        </w:rPr>
        <w:t>1、</w:t>
      </w:r>
      <w:r>
        <w:rPr>
          <w:rFonts w:hint="eastAsia"/>
          <w:color w:val="auto"/>
          <w:szCs w:val="21"/>
        </w:rPr>
        <w:t>磋商单位</w:t>
      </w:r>
      <w:r>
        <w:rPr>
          <w:color w:val="auto"/>
          <w:szCs w:val="21"/>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r>
        <w:rPr>
          <w:rFonts w:hint="eastAsia"/>
          <w:color w:val="auto"/>
          <w:szCs w:val="21"/>
          <w:lang w:eastAsia="zh-CN"/>
        </w:rPr>
        <w:t>，具体按照工程实际情况编制服务方案</w:t>
      </w:r>
      <w:r>
        <w:rPr>
          <w:color w:val="auto"/>
          <w:szCs w:val="21"/>
        </w:rPr>
        <w:t>。</w:t>
      </w:r>
    </w:p>
    <w:p>
      <w:pPr>
        <w:spacing w:line="460" w:lineRule="exact"/>
        <w:ind w:firstLine="420" w:firstLineChars="200"/>
        <w:rPr>
          <w:color w:val="auto"/>
          <w:szCs w:val="21"/>
        </w:rPr>
      </w:pPr>
      <w:r>
        <w:rPr>
          <w:color w:val="auto"/>
          <w:szCs w:val="21"/>
        </w:rPr>
        <w:t>2．施工组织设计除采用文字表述外可附下列图表，图表及格式要求附后。</w:t>
      </w:r>
    </w:p>
    <w:p>
      <w:pPr>
        <w:spacing w:line="460" w:lineRule="exact"/>
        <w:ind w:firstLine="420" w:firstLineChars="200"/>
        <w:rPr>
          <w:color w:val="auto"/>
          <w:szCs w:val="21"/>
        </w:rPr>
      </w:pPr>
      <w:r>
        <w:rPr>
          <w:color w:val="auto"/>
          <w:szCs w:val="21"/>
        </w:rPr>
        <w:t>附表一  拟投入本工程的主要施工设备表</w:t>
      </w:r>
    </w:p>
    <w:p>
      <w:pPr>
        <w:spacing w:line="460" w:lineRule="exact"/>
        <w:ind w:firstLine="420" w:firstLineChars="200"/>
        <w:rPr>
          <w:color w:val="auto"/>
          <w:szCs w:val="21"/>
        </w:rPr>
      </w:pPr>
      <w:r>
        <w:rPr>
          <w:color w:val="auto"/>
          <w:szCs w:val="21"/>
        </w:rPr>
        <w:t>附表二  拟配备本工程的试验和检测仪器设备表</w:t>
      </w:r>
    </w:p>
    <w:p>
      <w:pPr>
        <w:spacing w:line="460" w:lineRule="exact"/>
        <w:ind w:firstLine="420" w:firstLineChars="200"/>
        <w:rPr>
          <w:color w:val="auto"/>
          <w:szCs w:val="21"/>
        </w:rPr>
      </w:pPr>
      <w:r>
        <w:rPr>
          <w:color w:val="auto"/>
          <w:szCs w:val="21"/>
        </w:rPr>
        <w:t>附表三  劳动力计划表</w:t>
      </w:r>
    </w:p>
    <w:p>
      <w:pPr>
        <w:spacing w:line="460" w:lineRule="exact"/>
        <w:ind w:firstLine="420" w:firstLineChars="200"/>
        <w:rPr>
          <w:color w:val="auto"/>
          <w:szCs w:val="21"/>
        </w:rPr>
      </w:pPr>
      <w:r>
        <w:rPr>
          <w:color w:val="auto"/>
          <w:szCs w:val="21"/>
        </w:rPr>
        <w:t>附表四  计划开、竣工日期和施工进度网络图</w:t>
      </w:r>
    </w:p>
    <w:p>
      <w:pPr>
        <w:spacing w:line="460" w:lineRule="exact"/>
        <w:ind w:firstLine="420" w:firstLineChars="200"/>
        <w:rPr>
          <w:color w:val="auto"/>
          <w:szCs w:val="21"/>
        </w:rPr>
      </w:pPr>
      <w:r>
        <w:rPr>
          <w:color w:val="auto"/>
          <w:szCs w:val="21"/>
        </w:rPr>
        <w:t>附表五  施工总平面图</w:t>
      </w:r>
    </w:p>
    <w:p>
      <w:pPr>
        <w:spacing w:line="460" w:lineRule="exact"/>
        <w:ind w:firstLine="420" w:firstLineChars="200"/>
        <w:rPr>
          <w:color w:val="auto"/>
          <w:szCs w:val="21"/>
        </w:rPr>
      </w:pPr>
      <w:r>
        <w:rPr>
          <w:color w:val="auto"/>
          <w:szCs w:val="21"/>
        </w:rPr>
        <w:t>附表六  临时用地表</w:t>
      </w:r>
    </w:p>
    <w:p>
      <w:pPr>
        <w:spacing w:line="460" w:lineRule="exact"/>
        <w:ind w:firstLine="420" w:firstLineChars="200"/>
        <w:rPr>
          <w:color w:val="auto"/>
          <w:szCs w:val="21"/>
        </w:rPr>
      </w:pPr>
    </w:p>
    <w:p>
      <w:pPr>
        <w:rPr>
          <w:color w:val="auto"/>
          <w:szCs w:val="21"/>
        </w:rPr>
      </w:pPr>
      <w:r>
        <w:rPr>
          <w:color w:val="auto"/>
        </w:rPr>
        <w:t>附表一：拟投入本</w:t>
      </w:r>
      <w:r>
        <w:rPr>
          <w:color w:val="auto"/>
          <w:szCs w:val="21"/>
        </w:rPr>
        <w:t>工程</w:t>
      </w:r>
      <w:r>
        <w:rPr>
          <w:color w:val="auto"/>
        </w:rPr>
        <w:t>的主要施工设备表</w:t>
      </w:r>
      <w:r>
        <w:rPr>
          <w:rFonts w:hint="eastAsia"/>
          <w:color w:val="auto"/>
        </w:rPr>
        <w:t>（可根据项目实际情况增减内容）</w:t>
      </w:r>
    </w:p>
    <w:tbl>
      <w:tblPr>
        <w:tblStyle w:val="24"/>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pPr>
              <w:jc w:val="center"/>
              <w:rPr>
                <w:color w:val="auto"/>
                <w:szCs w:val="21"/>
              </w:rPr>
            </w:pPr>
            <w:r>
              <w:rPr>
                <w:color w:val="auto"/>
                <w:szCs w:val="21"/>
              </w:rPr>
              <w:t>序号</w:t>
            </w:r>
          </w:p>
        </w:tc>
        <w:tc>
          <w:tcPr>
            <w:tcW w:w="1226" w:type="dxa"/>
            <w:vAlign w:val="center"/>
          </w:tcPr>
          <w:p>
            <w:pPr>
              <w:jc w:val="center"/>
              <w:rPr>
                <w:color w:val="auto"/>
                <w:szCs w:val="21"/>
              </w:rPr>
            </w:pPr>
            <w:r>
              <w:rPr>
                <w:color w:val="auto"/>
                <w:szCs w:val="21"/>
              </w:rPr>
              <w:t>设备名称</w:t>
            </w:r>
          </w:p>
        </w:tc>
        <w:tc>
          <w:tcPr>
            <w:tcW w:w="851" w:type="dxa"/>
            <w:vAlign w:val="center"/>
          </w:tcPr>
          <w:p>
            <w:pPr>
              <w:jc w:val="center"/>
              <w:rPr>
                <w:color w:val="auto"/>
                <w:szCs w:val="21"/>
              </w:rPr>
            </w:pPr>
            <w:r>
              <w:rPr>
                <w:color w:val="auto"/>
                <w:szCs w:val="21"/>
              </w:rPr>
              <w:t>型号</w:t>
            </w:r>
          </w:p>
          <w:p>
            <w:pPr>
              <w:jc w:val="center"/>
              <w:rPr>
                <w:color w:val="auto"/>
                <w:szCs w:val="21"/>
              </w:rPr>
            </w:pPr>
            <w:r>
              <w:rPr>
                <w:color w:val="auto"/>
                <w:szCs w:val="21"/>
              </w:rPr>
              <w:t>规格</w:t>
            </w:r>
          </w:p>
        </w:tc>
        <w:tc>
          <w:tcPr>
            <w:tcW w:w="708" w:type="dxa"/>
            <w:vAlign w:val="center"/>
          </w:tcPr>
          <w:p>
            <w:pPr>
              <w:jc w:val="center"/>
              <w:rPr>
                <w:color w:val="auto"/>
                <w:szCs w:val="21"/>
              </w:rPr>
            </w:pPr>
            <w:r>
              <w:rPr>
                <w:color w:val="auto"/>
                <w:szCs w:val="21"/>
              </w:rPr>
              <w:t>数量</w:t>
            </w:r>
          </w:p>
        </w:tc>
        <w:tc>
          <w:tcPr>
            <w:tcW w:w="709" w:type="dxa"/>
            <w:vAlign w:val="center"/>
          </w:tcPr>
          <w:p>
            <w:pPr>
              <w:jc w:val="center"/>
              <w:rPr>
                <w:color w:val="auto"/>
                <w:szCs w:val="21"/>
              </w:rPr>
            </w:pPr>
            <w:r>
              <w:rPr>
                <w:color w:val="auto"/>
                <w:szCs w:val="21"/>
              </w:rPr>
              <w:t>国别</w:t>
            </w:r>
          </w:p>
          <w:p>
            <w:pPr>
              <w:jc w:val="center"/>
              <w:rPr>
                <w:color w:val="auto"/>
                <w:szCs w:val="21"/>
              </w:rPr>
            </w:pPr>
            <w:r>
              <w:rPr>
                <w:color w:val="auto"/>
                <w:szCs w:val="21"/>
              </w:rPr>
              <w:t>产地</w:t>
            </w:r>
          </w:p>
        </w:tc>
        <w:tc>
          <w:tcPr>
            <w:tcW w:w="851" w:type="dxa"/>
            <w:vAlign w:val="center"/>
          </w:tcPr>
          <w:p>
            <w:pPr>
              <w:jc w:val="center"/>
              <w:rPr>
                <w:color w:val="auto"/>
                <w:szCs w:val="21"/>
              </w:rPr>
            </w:pPr>
            <w:r>
              <w:rPr>
                <w:color w:val="auto"/>
                <w:szCs w:val="21"/>
              </w:rPr>
              <w:t>制造</w:t>
            </w:r>
          </w:p>
          <w:p>
            <w:pPr>
              <w:jc w:val="center"/>
              <w:rPr>
                <w:color w:val="auto"/>
                <w:szCs w:val="21"/>
              </w:rPr>
            </w:pPr>
            <w:r>
              <w:rPr>
                <w:color w:val="auto"/>
                <w:szCs w:val="21"/>
              </w:rPr>
              <w:t>年份</w:t>
            </w:r>
          </w:p>
        </w:tc>
        <w:tc>
          <w:tcPr>
            <w:tcW w:w="1134" w:type="dxa"/>
            <w:vAlign w:val="center"/>
          </w:tcPr>
          <w:p>
            <w:pPr>
              <w:jc w:val="center"/>
              <w:rPr>
                <w:color w:val="auto"/>
                <w:szCs w:val="21"/>
              </w:rPr>
            </w:pPr>
            <w:r>
              <w:rPr>
                <w:color w:val="auto"/>
                <w:szCs w:val="21"/>
              </w:rPr>
              <w:t>额定功率</w:t>
            </w:r>
          </w:p>
          <w:p>
            <w:pPr>
              <w:jc w:val="center"/>
              <w:rPr>
                <w:color w:val="auto"/>
                <w:szCs w:val="21"/>
              </w:rPr>
            </w:pPr>
            <w:r>
              <w:rPr>
                <w:color w:val="auto"/>
                <w:szCs w:val="21"/>
              </w:rPr>
              <w:t>（KW）</w:t>
            </w:r>
          </w:p>
        </w:tc>
        <w:tc>
          <w:tcPr>
            <w:tcW w:w="992" w:type="dxa"/>
            <w:vAlign w:val="center"/>
          </w:tcPr>
          <w:p>
            <w:pPr>
              <w:jc w:val="center"/>
              <w:rPr>
                <w:color w:val="auto"/>
                <w:szCs w:val="21"/>
              </w:rPr>
            </w:pPr>
            <w:r>
              <w:rPr>
                <w:color w:val="auto"/>
                <w:szCs w:val="21"/>
              </w:rPr>
              <w:t>生产</w:t>
            </w:r>
          </w:p>
          <w:p>
            <w:pPr>
              <w:jc w:val="center"/>
              <w:rPr>
                <w:color w:val="auto"/>
                <w:szCs w:val="21"/>
              </w:rPr>
            </w:pPr>
            <w:r>
              <w:rPr>
                <w:color w:val="auto"/>
                <w:szCs w:val="21"/>
              </w:rPr>
              <w:t>能力</w:t>
            </w:r>
          </w:p>
        </w:tc>
        <w:tc>
          <w:tcPr>
            <w:tcW w:w="1134" w:type="dxa"/>
            <w:vAlign w:val="center"/>
          </w:tcPr>
          <w:p>
            <w:pPr>
              <w:jc w:val="center"/>
              <w:rPr>
                <w:color w:val="auto"/>
                <w:szCs w:val="21"/>
              </w:rPr>
            </w:pPr>
            <w:r>
              <w:rPr>
                <w:color w:val="auto"/>
                <w:szCs w:val="21"/>
              </w:rPr>
              <w:t>用于施</w:t>
            </w:r>
          </w:p>
          <w:p>
            <w:pPr>
              <w:jc w:val="center"/>
              <w:rPr>
                <w:color w:val="auto"/>
                <w:szCs w:val="21"/>
              </w:rPr>
            </w:pPr>
            <w:r>
              <w:rPr>
                <w:color w:val="auto"/>
                <w:szCs w:val="21"/>
              </w:rPr>
              <w:t>工部位</w:t>
            </w:r>
          </w:p>
        </w:tc>
        <w:tc>
          <w:tcPr>
            <w:tcW w:w="992" w:type="dxa"/>
            <w:vAlign w:val="center"/>
          </w:tcPr>
          <w:p>
            <w:pPr>
              <w:jc w:val="center"/>
              <w:rPr>
                <w:color w:val="auto"/>
                <w:szCs w:val="21"/>
              </w:rPr>
            </w:pPr>
            <w:r>
              <w:rPr>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auto"/>
                <w:szCs w:val="21"/>
              </w:rPr>
            </w:pPr>
          </w:p>
        </w:tc>
        <w:tc>
          <w:tcPr>
            <w:tcW w:w="1226" w:type="dxa"/>
          </w:tcPr>
          <w:p>
            <w:pPr>
              <w:spacing w:line="360" w:lineRule="auto"/>
              <w:ind w:firstLine="420" w:firstLineChars="200"/>
              <w:rPr>
                <w:color w:val="auto"/>
                <w:szCs w:val="21"/>
              </w:rPr>
            </w:pPr>
          </w:p>
        </w:tc>
        <w:tc>
          <w:tcPr>
            <w:tcW w:w="851" w:type="dxa"/>
          </w:tcPr>
          <w:p>
            <w:pPr>
              <w:spacing w:line="360" w:lineRule="auto"/>
              <w:rPr>
                <w:color w:val="auto"/>
                <w:szCs w:val="21"/>
              </w:rPr>
            </w:pPr>
          </w:p>
        </w:tc>
        <w:tc>
          <w:tcPr>
            <w:tcW w:w="708" w:type="dxa"/>
          </w:tcPr>
          <w:p>
            <w:pPr>
              <w:spacing w:line="360" w:lineRule="auto"/>
              <w:rPr>
                <w:color w:val="auto"/>
                <w:szCs w:val="21"/>
              </w:rPr>
            </w:pPr>
          </w:p>
        </w:tc>
        <w:tc>
          <w:tcPr>
            <w:tcW w:w="709" w:type="dxa"/>
          </w:tcPr>
          <w:p>
            <w:pPr>
              <w:spacing w:line="360" w:lineRule="auto"/>
              <w:rPr>
                <w:color w:val="auto"/>
                <w:szCs w:val="21"/>
              </w:rPr>
            </w:pPr>
          </w:p>
        </w:tc>
        <w:tc>
          <w:tcPr>
            <w:tcW w:w="851" w:type="dxa"/>
          </w:tcPr>
          <w:p>
            <w:pPr>
              <w:spacing w:line="360" w:lineRule="auto"/>
              <w:rPr>
                <w:color w:val="auto"/>
                <w:szCs w:val="21"/>
              </w:rPr>
            </w:pPr>
          </w:p>
        </w:tc>
        <w:tc>
          <w:tcPr>
            <w:tcW w:w="1134" w:type="dxa"/>
          </w:tcPr>
          <w:p>
            <w:pPr>
              <w:spacing w:line="360" w:lineRule="auto"/>
              <w:rPr>
                <w:color w:val="auto"/>
                <w:szCs w:val="21"/>
              </w:rPr>
            </w:pPr>
          </w:p>
        </w:tc>
        <w:tc>
          <w:tcPr>
            <w:tcW w:w="992" w:type="dxa"/>
          </w:tcPr>
          <w:p>
            <w:pPr>
              <w:spacing w:line="360" w:lineRule="auto"/>
              <w:rPr>
                <w:color w:val="auto"/>
                <w:szCs w:val="21"/>
              </w:rPr>
            </w:pPr>
          </w:p>
        </w:tc>
        <w:tc>
          <w:tcPr>
            <w:tcW w:w="1134" w:type="dxa"/>
          </w:tcPr>
          <w:p>
            <w:pPr>
              <w:spacing w:line="360" w:lineRule="auto"/>
              <w:rPr>
                <w:color w:val="auto"/>
                <w:szCs w:val="21"/>
              </w:rPr>
            </w:pPr>
          </w:p>
        </w:tc>
        <w:tc>
          <w:tcPr>
            <w:tcW w:w="992" w:type="dxa"/>
          </w:tcPr>
          <w:p>
            <w:pPr>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auto"/>
                <w:szCs w:val="21"/>
              </w:rPr>
            </w:pPr>
          </w:p>
        </w:tc>
        <w:tc>
          <w:tcPr>
            <w:tcW w:w="1226" w:type="dxa"/>
          </w:tcPr>
          <w:p>
            <w:pPr>
              <w:spacing w:line="360" w:lineRule="auto"/>
              <w:rPr>
                <w:color w:val="auto"/>
                <w:szCs w:val="21"/>
              </w:rPr>
            </w:pPr>
          </w:p>
        </w:tc>
        <w:tc>
          <w:tcPr>
            <w:tcW w:w="851" w:type="dxa"/>
          </w:tcPr>
          <w:p>
            <w:pPr>
              <w:spacing w:line="360" w:lineRule="auto"/>
              <w:rPr>
                <w:color w:val="auto"/>
                <w:szCs w:val="21"/>
              </w:rPr>
            </w:pPr>
          </w:p>
        </w:tc>
        <w:tc>
          <w:tcPr>
            <w:tcW w:w="708" w:type="dxa"/>
          </w:tcPr>
          <w:p>
            <w:pPr>
              <w:spacing w:line="360" w:lineRule="auto"/>
              <w:rPr>
                <w:color w:val="auto"/>
                <w:szCs w:val="21"/>
              </w:rPr>
            </w:pPr>
          </w:p>
        </w:tc>
        <w:tc>
          <w:tcPr>
            <w:tcW w:w="709" w:type="dxa"/>
          </w:tcPr>
          <w:p>
            <w:pPr>
              <w:spacing w:line="360" w:lineRule="auto"/>
              <w:rPr>
                <w:color w:val="auto"/>
                <w:szCs w:val="21"/>
              </w:rPr>
            </w:pPr>
          </w:p>
        </w:tc>
        <w:tc>
          <w:tcPr>
            <w:tcW w:w="851" w:type="dxa"/>
          </w:tcPr>
          <w:p>
            <w:pPr>
              <w:spacing w:line="360" w:lineRule="auto"/>
              <w:rPr>
                <w:color w:val="auto"/>
                <w:szCs w:val="21"/>
              </w:rPr>
            </w:pPr>
          </w:p>
        </w:tc>
        <w:tc>
          <w:tcPr>
            <w:tcW w:w="1134" w:type="dxa"/>
          </w:tcPr>
          <w:p>
            <w:pPr>
              <w:spacing w:line="360" w:lineRule="auto"/>
              <w:rPr>
                <w:color w:val="auto"/>
                <w:szCs w:val="21"/>
              </w:rPr>
            </w:pPr>
          </w:p>
        </w:tc>
        <w:tc>
          <w:tcPr>
            <w:tcW w:w="992" w:type="dxa"/>
          </w:tcPr>
          <w:p>
            <w:pPr>
              <w:spacing w:line="360" w:lineRule="auto"/>
              <w:rPr>
                <w:color w:val="auto"/>
                <w:szCs w:val="21"/>
              </w:rPr>
            </w:pPr>
          </w:p>
        </w:tc>
        <w:tc>
          <w:tcPr>
            <w:tcW w:w="1134" w:type="dxa"/>
          </w:tcPr>
          <w:p>
            <w:pPr>
              <w:spacing w:line="360" w:lineRule="auto"/>
              <w:rPr>
                <w:color w:val="auto"/>
                <w:szCs w:val="21"/>
              </w:rPr>
            </w:pPr>
          </w:p>
        </w:tc>
        <w:tc>
          <w:tcPr>
            <w:tcW w:w="992" w:type="dxa"/>
          </w:tcPr>
          <w:p>
            <w:pPr>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auto"/>
                <w:szCs w:val="21"/>
              </w:rPr>
            </w:pPr>
          </w:p>
        </w:tc>
        <w:tc>
          <w:tcPr>
            <w:tcW w:w="1226" w:type="dxa"/>
          </w:tcPr>
          <w:p>
            <w:pPr>
              <w:spacing w:line="360" w:lineRule="auto"/>
              <w:rPr>
                <w:color w:val="auto"/>
                <w:szCs w:val="21"/>
              </w:rPr>
            </w:pPr>
          </w:p>
        </w:tc>
        <w:tc>
          <w:tcPr>
            <w:tcW w:w="851" w:type="dxa"/>
          </w:tcPr>
          <w:p>
            <w:pPr>
              <w:spacing w:line="360" w:lineRule="auto"/>
              <w:rPr>
                <w:color w:val="auto"/>
                <w:szCs w:val="21"/>
              </w:rPr>
            </w:pPr>
          </w:p>
        </w:tc>
        <w:tc>
          <w:tcPr>
            <w:tcW w:w="708" w:type="dxa"/>
          </w:tcPr>
          <w:p>
            <w:pPr>
              <w:spacing w:line="360" w:lineRule="auto"/>
              <w:rPr>
                <w:color w:val="auto"/>
                <w:szCs w:val="21"/>
              </w:rPr>
            </w:pPr>
          </w:p>
        </w:tc>
        <w:tc>
          <w:tcPr>
            <w:tcW w:w="709" w:type="dxa"/>
          </w:tcPr>
          <w:p>
            <w:pPr>
              <w:spacing w:line="360" w:lineRule="auto"/>
              <w:rPr>
                <w:color w:val="auto"/>
                <w:szCs w:val="21"/>
              </w:rPr>
            </w:pPr>
          </w:p>
        </w:tc>
        <w:tc>
          <w:tcPr>
            <w:tcW w:w="851" w:type="dxa"/>
          </w:tcPr>
          <w:p>
            <w:pPr>
              <w:spacing w:line="360" w:lineRule="auto"/>
              <w:rPr>
                <w:color w:val="auto"/>
                <w:szCs w:val="21"/>
              </w:rPr>
            </w:pPr>
          </w:p>
        </w:tc>
        <w:tc>
          <w:tcPr>
            <w:tcW w:w="1134" w:type="dxa"/>
          </w:tcPr>
          <w:p>
            <w:pPr>
              <w:spacing w:line="360" w:lineRule="auto"/>
              <w:rPr>
                <w:color w:val="auto"/>
                <w:szCs w:val="21"/>
              </w:rPr>
            </w:pPr>
          </w:p>
        </w:tc>
        <w:tc>
          <w:tcPr>
            <w:tcW w:w="992" w:type="dxa"/>
          </w:tcPr>
          <w:p>
            <w:pPr>
              <w:spacing w:line="360" w:lineRule="auto"/>
              <w:rPr>
                <w:color w:val="auto"/>
                <w:szCs w:val="21"/>
              </w:rPr>
            </w:pPr>
          </w:p>
        </w:tc>
        <w:tc>
          <w:tcPr>
            <w:tcW w:w="1134" w:type="dxa"/>
          </w:tcPr>
          <w:p>
            <w:pPr>
              <w:spacing w:line="360" w:lineRule="auto"/>
              <w:rPr>
                <w:color w:val="auto"/>
                <w:szCs w:val="21"/>
              </w:rPr>
            </w:pPr>
          </w:p>
        </w:tc>
        <w:tc>
          <w:tcPr>
            <w:tcW w:w="992" w:type="dxa"/>
          </w:tcPr>
          <w:p>
            <w:pPr>
              <w:spacing w:line="360" w:lineRule="auto"/>
              <w:rPr>
                <w:color w:val="auto"/>
                <w:szCs w:val="21"/>
              </w:rPr>
            </w:pPr>
          </w:p>
        </w:tc>
      </w:tr>
    </w:tbl>
    <w:p>
      <w:pPr>
        <w:rPr>
          <w:color w:val="auto"/>
        </w:rPr>
      </w:pPr>
    </w:p>
    <w:p>
      <w:pPr>
        <w:rPr>
          <w:color w:val="auto"/>
        </w:rPr>
      </w:pPr>
    </w:p>
    <w:p>
      <w:pPr>
        <w:rPr>
          <w:color w:val="auto"/>
          <w:szCs w:val="21"/>
        </w:rPr>
      </w:pPr>
      <w:r>
        <w:rPr>
          <w:color w:val="auto"/>
        </w:rPr>
        <w:t>附表二：拟配备本工程的试验和检测仪器设备表</w:t>
      </w:r>
      <w:r>
        <w:rPr>
          <w:rFonts w:hint="eastAsia"/>
          <w:color w:val="auto"/>
        </w:rPr>
        <w:t>（可根据项目实际情况增减内容）</w:t>
      </w:r>
    </w:p>
    <w:p>
      <w:pPr>
        <w:rPr>
          <w:color w:val="auto"/>
        </w:rPr>
      </w:pPr>
    </w:p>
    <w:tbl>
      <w:tblPr>
        <w:tblStyle w:val="24"/>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jc w:val="center"/>
              <w:rPr>
                <w:color w:val="auto"/>
                <w:szCs w:val="21"/>
              </w:rPr>
            </w:pPr>
            <w:r>
              <w:rPr>
                <w:color w:val="auto"/>
                <w:szCs w:val="21"/>
              </w:rPr>
              <w:t>序号</w:t>
            </w:r>
          </w:p>
        </w:tc>
        <w:tc>
          <w:tcPr>
            <w:tcW w:w="1226" w:type="dxa"/>
            <w:vAlign w:val="center"/>
          </w:tcPr>
          <w:p>
            <w:pPr>
              <w:jc w:val="center"/>
              <w:rPr>
                <w:color w:val="auto"/>
                <w:szCs w:val="21"/>
              </w:rPr>
            </w:pPr>
            <w:r>
              <w:rPr>
                <w:color w:val="auto"/>
                <w:szCs w:val="21"/>
              </w:rPr>
              <w:t>仪器设备名称</w:t>
            </w:r>
          </w:p>
        </w:tc>
        <w:tc>
          <w:tcPr>
            <w:tcW w:w="851" w:type="dxa"/>
            <w:vAlign w:val="center"/>
          </w:tcPr>
          <w:p>
            <w:pPr>
              <w:jc w:val="center"/>
              <w:rPr>
                <w:color w:val="auto"/>
                <w:szCs w:val="21"/>
              </w:rPr>
            </w:pPr>
            <w:r>
              <w:rPr>
                <w:color w:val="auto"/>
                <w:szCs w:val="21"/>
              </w:rPr>
              <w:t>型号</w:t>
            </w:r>
          </w:p>
          <w:p>
            <w:pPr>
              <w:jc w:val="center"/>
              <w:rPr>
                <w:color w:val="auto"/>
                <w:szCs w:val="21"/>
              </w:rPr>
            </w:pPr>
            <w:r>
              <w:rPr>
                <w:color w:val="auto"/>
                <w:szCs w:val="21"/>
              </w:rPr>
              <w:t>规格</w:t>
            </w:r>
          </w:p>
        </w:tc>
        <w:tc>
          <w:tcPr>
            <w:tcW w:w="708" w:type="dxa"/>
            <w:vAlign w:val="center"/>
          </w:tcPr>
          <w:p>
            <w:pPr>
              <w:jc w:val="center"/>
              <w:rPr>
                <w:color w:val="auto"/>
                <w:szCs w:val="21"/>
              </w:rPr>
            </w:pPr>
            <w:r>
              <w:rPr>
                <w:color w:val="auto"/>
                <w:szCs w:val="21"/>
              </w:rPr>
              <w:t>数量</w:t>
            </w:r>
          </w:p>
        </w:tc>
        <w:tc>
          <w:tcPr>
            <w:tcW w:w="709" w:type="dxa"/>
            <w:vAlign w:val="center"/>
          </w:tcPr>
          <w:p>
            <w:pPr>
              <w:jc w:val="center"/>
              <w:rPr>
                <w:color w:val="auto"/>
                <w:szCs w:val="21"/>
              </w:rPr>
            </w:pPr>
            <w:r>
              <w:rPr>
                <w:color w:val="auto"/>
                <w:szCs w:val="21"/>
              </w:rPr>
              <w:t>国别</w:t>
            </w:r>
          </w:p>
          <w:p>
            <w:pPr>
              <w:jc w:val="center"/>
              <w:rPr>
                <w:color w:val="auto"/>
                <w:szCs w:val="21"/>
              </w:rPr>
            </w:pPr>
            <w:r>
              <w:rPr>
                <w:color w:val="auto"/>
                <w:szCs w:val="21"/>
              </w:rPr>
              <w:t>产地</w:t>
            </w:r>
          </w:p>
        </w:tc>
        <w:tc>
          <w:tcPr>
            <w:tcW w:w="1134" w:type="dxa"/>
            <w:vAlign w:val="center"/>
          </w:tcPr>
          <w:p>
            <w:pPr>
              <w:jc w:val="center"/>
              <w:rPr>
                <w:color w:val="auto"/>
                <w:szCs w:val="21"/>
              </w:rPr>
            </w:pPr>
            <w:r>
              <w:rPr>
                <w:color w:val="auto"/>
                <w:szCs w:val="21"/>
              </w:rPr>
              <w:t>制造年份</w:t>
            </w:r>
          </w:p>
        </w:tc>
        <w:tc>
          <w:tcPr>
            <w:tcW w:w="1276" w:type="dxa"/>
            <w:vAlign w:val="center"/>
          </w:tcPr>
          <w:p>
            <w:pPr>
              <w:jc w:val="center"/>
              <w:rPr>
                <w:color w:val="auto"/>
                <w:szCs w:val="21"/>
              </w:rPr>
            </w:pPr>
            <w:r>
              <w:rPr>
                <w:color w:val="auto"/>
                <w:szCs w:val="21"/>
              </w:rPr>
              <w:t>已使用</w:t>
            </w:r>
          </w:p>
          <w:p>
            <w:pPr>
              <w:jc w:val="center"/>
              <w:rPr>
                <w:color w:val="auto"/>
                <w:szCs w:val="21"/>
              </w:rPr>
            </w:pPr>
            <w:r>
              <w:rPr>
                <w:color w:val="auto"/>
                <w:szCs w:val="21"/>
              </w:rPr>
              <w:t>台时数</w:t>
            </w:r>
          </w:p>
        </w:tc>
        <w:tc>
          <w:tcPr>
            <w:tcW w:w="1134" w:type="dxa"/>
            <w:vAlign w:val="center"/>
          </w:tcPr>
          <w:p>
            <w:pPr>
              <w:jc w:val="center"/>
              <w:rPr>
                <w:color w:val="auto"/>
                <w:szCs w:val="21"/>
              </w:rPr>
            </w:pPr>
            <w:r>
              <w:rPr>
                <w:color w:val="auto"/>
                <w:szCs w:val="21"/>
              </w:rPr>
              <w:t>用途</w:t>
            </w:r>
          </w:p>
        </w:tc>
        <w:tc>
          <w:tcPr>
            <w:tcW w:w="1559" w:type="dxa"/>
            <w:vAlign w:val="center"/>
          </w:tcPr>
          <w:p>
            <w:pPr>
              <w:jc w:val="center"/>
              <w:rPr>
                <w:color w:val="auto"/>
                <w:szCs w:val="21"/>
              </w:rPr>
            </w:pPr>
            <w:r>
              <w:rPr>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auto"/>
                <w:szCs w:val="21"/>
              </w:rPr>
            </w:pPr>
          </w:p>
        </w:tc>
        <w:tc>
          <w:tcPr>
            <w:tcW w:w="1226" w:type="dxa"/>
            <w:vAlign w:val="center"/>
          </w:tcPr>
          <w:p>
            <w:pPr>
              <w:spacing w:line="360" w:lineRule="auto"/>
              <w:ind w:firstLine="420" w:firstLineChars="200"/>
              <w:rPr>
                <w:color w:val="auto"/>
                <w:szCs w:val="21"/>
              </w:rPr>
            </w:pPr>
          </w:p>
        </w:tc>
        <w:tc>
          <w:tcPr>
            <w:tcW w:w="851" w:type="dxa"/>
            <w:vAlign w:val="center"/>
          </w:tcPr>
          <w:p>
            <w:pPr>
              <w:spacing w:line="360" w:lineRule="auto"/>
              <w:ind w:firstLine="420" w:firstLineChars="200"/>
              <w:rPr>
                <w:color w:val="auto"/>
                <w:szCs w:val="21"/>
              </w:rPr>
            </w:pPr>
          </w:p>
        </w:tc>
        <w:tc>
          <w:tcPr>
            <w:tcW w:w="708" w:type="dxa"/>
            <w:vAlign w:val="center"/>
          </w:tcPr>
          <w:p>
            <w:pPr>
              <w:spacing w:line="360" w:lineRule="auto"/>
              <w:ind w:firstLine="420" w:firstLineChars="200"/>
              <w:rPr>
                <w:color w:val="auto"/>
                <w:szCs w:val="21"/>
              </w:rPr>
            </w:pPr>
          </w:p>
        </w:tc>
        <w:tc>
          <w:tcPr>
            <w:tcW w:w="709" w:type="dxa"/>
            <w:vAlign w:val="center"/>
          </w:tcPr>
          <w:p>
            <w:pPr>
              <w:spacing w:line="360" w:lineRule="auto"/>
              <w:ind w:firstLine="420" w:firstLineChars="200"/>
              <w:rPr>
                <w:color w:val="auto"/>
                <w:szCs w:val="21"/>
              </w:rPr>
            </w:pPr>
          </w:p>
        </w:tc>
        <w:tc>
          <w:tcPr>
            <w:tcW w:w="1134" w:type="dxa"/>
            <w:vAlign w:val="center"/>
          </w:tcPr>
          <w:p>
            <w:pPr>
              <w:spacing w:line="360" w:lineRule="auto"/>
              <w:ind w:firstLine="420" w:firstLineChars="200"/>
              <w:rPr>
                <w:color w:val="auto"/>
                <w:szCs w:val="21"/>
              </w:rPr>
            </w:pPr>
          </w:p>
        </w:tc>
        <w:tc>
          <w:tcPr>
            <w:tcW w:w="1276" w:type="dxa"/>
            <w:vAlign w:val="center"/>
          </w:tcPr>
          <w:p>
            <w:pPr>
              <w:spacing w:line="360" w:lineRule="auto"/>
              <w:ind w:firstLine="420" w:firstLineChars="200"/>
              <w:rPr>
                <w:color w:val="auto"/>
                <w:szCs w:val="21"/>
              </w:rPr>
            </w:pPr>
          </w:p>
        </w:tc>
        <w:tc>
          <w:tcPr>
            <w:tcW w:w="1134" w:type="dxa"/>
            <w:vAlign w:val="center"/>
          </w:tcPr>
          <w:p>
            <w:pPr>
              <w:spacing w:line="360" w:lineRule="auto"/>
              <w:ind w:firstLine="420" w:firstLineChars="200"/>
              <w:rPr>
                <w:color w:val="auto"/>
                <w:szCs w:val="21"/>
              </w:rPr>
            </w:pPr>
          </w:p>
        </w:tc>
        <w:tc>
          <w:tcPr>
            <w:tcW w:w="1559" w:type="dxa"/>
            <w:vAlign w:val="center"/>
          </w:tcPr>
          <w:p>
            <w:pPr>
              <w:spacing w:line="360" w:lineRule="auto"/>
              <w:ind w:firstLine="420" w:firstLineChars="200"/>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auto"/>
                <w:szCs w:val="21"/>
              </w:rPr>
            </w:pPr>
          </w:p>
        </w:tc>
        <w:tc>
          <w:tcPr>
            <w:tcW w:w="1226" w:type="dxa"/>
            <w:vAlign w:val="center"/>
          </w:tcPr>
          <w:p>
            <w:pPr>
              <w:spacing w:line="360" w:lineRule="auto"/>
              <w:ind w:firstLine="420" w:firstLineChars="200"/>
              <w:rPr>
                <w:color w:val="auto"/>
                <w:szCs w:val="21"/>
              </w:rPr>
            </w:pPr>
          </w:p>
        </w:tc>
        <w:tc>
          <w:tcPr>
            <w:tcW w:w="851" w:type="dxa"/>
            <w:vAlign w:val="center"/>
          </w:tcPr>
          <w:p>
            <w:pPr>
              <w:spacing w:line="360" w:lineRule="auto"/>
              <w:ind w:firstLine="420" w:firstLineChars="200"/>
              <w:rPr>
                <w:color w:val="auto"/>
                <w:szCs w:val="21"/>
              </w:rPr>
            </w:pPr>
          </w:p>
        </w:tc>
        <w:tc>
          <w:tcPr>
            <w:tcW w:w="708" w:type="dxa"/>
            <w:vAlign w:val="center"/>
          </w:tcPr>
          <w:p>
            <w:pPr>
              <w:spacing w:line="360" w:lineRule="auto"/>
              <w:ind w:firstLine="420" w:firstLineChars="200"/>
              <w:rPr>
                <w:color w:val="auto"/>
                <w:szCs w:val="21"/>
              </w:rPr>
            </w:pPr>
          </w:p>
        </w:tc>
        <w:tc>
          <w:tcPr>
            <w:tcW w:w="709" w:type="dxa"/>
            <w:vAlign w:val="center"/>
          </w:tcPr>
          <w:p>
            <w:pPr>
              <w:spacing w:line="360" w:lineRule="auto"/>
              <w:ind w:firstLine="420" w:firstLineChars="200"/>
              <w:rPr>
                <w:color w:val="auto"/>
                <w:szCs w:val="21"/>
              </w:rPr>
            </w:pPr>
          </w:p>
        </w:tc>
        <w:tc>
          <w:tcPr>
            <w:tcW w:w="1134" w:type="dxa"/>
            <w:vAlign w:val="center"/>
          </w:tcPr>
          <w:p>
            <w:pPr>
              <w:spacing w:line="360" w:lineRule="auto"/>
              <w:ind w:firstLine="420" w:firstLineChars="200"/>
              <w:rPr>
                <w:color w:val="auto"/>
                <w:szCs w:val="21"/>
              </w:rPr>
            </w:pPr>
          </w:p>
        </w:tc>
        <w:tc>
          <w:tcPr>
            <w:tcW w:w="1276" w:type="dxa"/>
            <w:vAlign w:val="center"/>
          </w:tcPr>
          <w:p>
            <w:pPr>
              <w:spacing w:line="360" w:lineRule="auto"/>
              <w:ind w:firstLine="420" w:firstLineChars="200"/>
              <w:rPr>
                <w:color w:val="auto"/>
                <w:szCs w:val="21"/>
              </w:rPr>
            </w:pPr>
          </w:p>
        </w:tc>
        <w:tc>
          <w:tcPr>
            <w:tcW w:w="1134" w:type="dxa"/>
            <w:vAlign w:val="center"/>
          </w:tcPr>
          <w:p>
            <w:pPr>
              <w:spacing w:line="360" w:lineRule="auto"/>
              <w:ind w:firstLine="420" w:firstLineChars="200"/>
              <w:rPr>
                <w:color w:val="auto"/>
                <w:szCs w:val="21"/>
              </w:rPr>
            </w:pPr>
          </w:p>
        </w:tc>
        <w:tc>
          <w:tcPr>
            <w:tcW w:w="1559" w:type="dxa"/>
            <w:vAlign w:val="center"/>
          </w:tcPr>
          <w:p>
            <w:pPr>
              <w:spacing w:line="360" w:lineRule="auto"/>
              <w:ind w:firstLine="420" w:firstLineChars="200"/>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auto"/>
                <w:szCs w:val="21"/>
              </w:rPr>
            </w:pPr>
          </w:p>
        </w:tc>
        <w:tc>
          <w:tcPr>
            <w:tcW w:w="1226" w:type="dxa"/>
            <w:vAlign w:val="center"/>
          </w:tcPr>
          <w:p>
            <w:pPr>
              <w:spacing w:line="360" w:lineRule="auto"/>
              <w:ind w:firstLine="420" w:firstLineChars="200"/>
              <w:rPr>
                <w:color w:val="auto"/>
                <w:szCs w:val="21"/>
              </w:rPr>
            </w:pPr>
          </w:p>
        </w:tc>
        <w:tc>
          <w:tcPr>
            <w:tcW w:w="851" w:type="dxa"/>
            <w:vAlign w:val="center"/>
          </w:tcPr>
          <w:p>
            <w:pPr>
              <w:spacing w:line="360" w:lineRule="auto"/>
              <w:ind w:firstLine="420" w:firstLineChars="200"/>
              <w:rPr>
                <w:color w:val="auto"/>
                <w:szCs w:val="21"/>
              </w:rPr>
            </w:pPr>
          </w:p>
        </w:tc>
        <w:tc>
          <w:tcPr>
            <w:tcW w:w="708" w:type="dxa"/>
            <w:vAlign w:val="center"/>
          </w:tcPr>
          <w:p>
            <w:pPr>
              <w:spacing w:line="360" w:lineRule="auto"/>
              <w:ind w:firstLine="420" w:firstLineChars="200"/>
              <w:rPr>
                <w:color w:val="auto"/>
                <w:szCs w:val="21"/>
              </w:rPr>
            </w:pPr>
          </w:p>
        </w:tc>
        <w:tc>
          <w:tcPr>
            <w:tcW w:w="709" w:type="dxa"/>
            <w:vAlign w:val="center"/>
          </w:tcPr>
          <w:p>
            <w:pPr>
              <w:spacing w:line="360" w:lineRule="auto"/>
              <w:ind w:firstLine="420" w:firstLineChars="200"/>
              <w:rPr>
                <w:color w:val="auto"/>
                <w:szCs w:val="21"/>
              </w:rPr>
            </w:pPr>
          </w:p>
        </w:tc>
        <w:tc>
          <w:tcPr>
            <w:tcW w:w="1134" w:type="dxa"/>
            <w:vAlign w:val="center"/>
          </w:tcPr>
          <w:p>
            <w:pPr>
              <w:spacing w:line="360" w:lineRule="auto"/>
              <w:ind w:firstLine="420" w:firstLineChars="200"/>
              <w:rPr>
                <w:color w:val="auto"/>
                <w:szCs w:val="21"/>
              </w:rPr>
            </w:pPr>
          </w:p>
        </w:tc>
        <w:tc>
          <w:tcPr>
            <w:tcW w:w="1276" w:type="dxa"/>
            <w:vAlign w:val="center"/>
          </w:tcPr>
          <w:p>
            <w:pPr>
              <w:spacing w:line="360" w:lineRule="auto"/>
              <w:ind w:firstLine="420" w:firstLineChars="200"/>
              <w:rPr>
                <w:color w:val="auto"/>
                <w:szCs w:val="21"/>
              </w:rPr>
            </w:pPr>
          </w:p>
        </w:tc>
        <w:tc>
          <w:tcPr>
            <w:tcW w:w="1134" w:type="dxa"/>
            <w:vAlign w:val="center"/>
          </w:tcPr>
          <w:p>
            <w:pPr>
              <w:spacing w:line="360" w:lineRule="auto"/>
              <w:ind w:firstLine="420" w:firstLineChars="200"/>
              <w:rPr>
                <w:color w:val="auto"/>
                <w:szCs w:val="21"/>
              </w:rPr>
            </w:pPr>
          </w:p>
        </w:tc>
        <w:tc>
          <w:tcPr>
            <w:tcW w:w="1559" w:type="dxa"/>
            <w:vAlign w:val="center"/>
          </w:tcPr>
          <w:p>
            <w:pPr>
              <w:spacing w:line="360" w:lineRule="auto"/>
              <w:ind w:firstLine="420" w:firstLineChars="200"/>
              <w:rPr>
                <w:color w:val="auto"/>
                <w:szCs w:val="21"/>
              </w:rPr>
            </w:pPr>
          </w:p>
        </w:tc>
      </w:tr>
    </w:tbl>
    <w:p>
      <w:pPr>
        <w:rPr>
          <w:color w:val="auto"/>
        </w:rPr>
      </w:pPr>
    </w:p>
    <w:p>
      <w:pPr>
        <w:rPr>
          <w:color w:val="auto"/>
        </w:rPr>
      </w:pPr>
    </w:p>
    <w:p>
      <w:pPr>
        <w:rPr>
          <w:color w:val="auto"/>
        </w:rPr>
      </w:pPr>
    </w:p>
    <w:p>
      <w:pPr>
        <w:rPr>
          <w:color w:val="auto"/>
        </w:rPr>
      </w:pPr>
    </w:p>
    <w:p>
      <w:pPr>
        <w:pStyle w:val="2"/>
        <w:rPr>
          <w:color w:val="auto"/>
        </w:rPr>
      </w:pPr>
    </w:p>
    <w:p>
      <w:pPr>
        <w:pStyle w:val="2"/>
        <w:rPr>
          <w:color w:val="auto"/>
        </w:rPr>
      </w:pPr>
    </w:p>
    <w:p>
      <w:pPr>
        <w:rPr>
          <w:color w:val="auto"/>
        </w:rPr>
      </w:pPr>
      <w:r>
        <w:rPr>
          <w:color w:val="auto"/>
        </w:rPr>
        <w:t>附表三：劳动力计划表</w:t>
      </w:r>
    </w:p>
    <w:p>
      <w:pPr>
        <w:ind w:firstLine="7245" w:firstLineChars="3450"/>
        <w:rPr>
          <w:color w:val="auto"/>
          <w:szCs w:val="21"/>
        </w:rPr>
      </w:pPr>
      <w:r>
        <w:rPr>
          <w:color w:val="auto"/>
          <w:szCs w:val="21"/>
        </w:rPr>
        <w:t xml:space="preserve">    单位：人</w:t>
      </w:r>
    </w:p>
    <w:tbl>
      <w:tblPr>
        <w:tblStyle w:val="24"/>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Cs w:val="21"/>
              </w:rPr>
            </w:pPr>
            <w:r>
              <w:rPr>
                <w:color w:val="auto"/>
                <w:szCs w:val="21"/>
              </w:rPr>
              <w:t>工种</w:t>
            </w:r>
          </w:p>
        </w:tc>
        <w:tc>
          <w:tcPr>
            <w:tcW w:w="8506" w:type="dxa"/>
            <w:gridSpan w:val="7"/>
            <w:vAlign w:val="center"/>
          </w:tcPr>
          <w:p>
            <w:pPr>
              <w:spacing w:line="360" w:lineRule="auto"/>
              <w:jc w:val="center"/>
              <w:rPr>
                <w:color w:val="auto"/>
                <w:szCs w:val="21"/>
              </w:rPr>
            </w:pPr>
            <w:r>
              <w:rPr>
                <w:color w:val="auto"/>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Cs w:val="21"/>
              </w:rPr>
            </w:pPr>
          </w:p>
        </w:tc>
        <w:tc>
          <w:tcPr>
            <w:tcW w:w="961"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 w:type="dxa"/>
            <w:vAlign w:val="center"/>
          </w:tcPr>
          <w:p>
            <w:pPr>
              <w:spacing w:line="360" w:lineRule="auto"/>
              <w:jc w:val="center"/>
              <w:rPr>
                <w:color w:val="auto"/>
                <w:szCs w:val="21"/>
              </w:rPr>
            </w:pPr>
          </w:p>
        </w:tc>
        <w:tc>
          <w:tcPr>
            <w:tcW w:w="961"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Cs w:val="21"/>
              </w:rPr>
            </w:pPr>
          </w:p>
        </w:tc>
        <w:tc>
          <w:tcPr>
            <w:tcW w:w="961"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Cs w:val="21"/>
              </w:rPr>
            </w:pPr>
          </w:p>
        </w:tc>
        <w:tc>
          <w:tcPr>
            <w:tcW w:w="961"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Cs w:val="21"/>
              </w:rPr>
            </w:pPr>
          </w:p>
        </w:tc>
        <w:tc>
          <w:tcPr>
            <w:tcW w:w="961"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r>
    </w:tbl>
    <w:p>
      <w:pPr>
        <w:rPr>
          <w:color w:val="auto"/>
        </w:rPr>
      </w:pPr>
    </w:p>
    <w:p>
      <w:pPr>
        <w:rPr>
          <w:b/>
          <w:color w:val="auto"/>
        </w:rPr>
      </w:pPr>
    </w:p>
    <w:p>
      <w:pPr>
        <w:rPr>
          <w:color w:val="auto"/>
        </w:rPr>
      </w:pPr>
      <w:r>
        <w:rPr>
          <w:color w:val="auto"/>
        </w:rPr>
        <w:t>附表四：计划开、竣工日期和施工进度</w:t>
      </w:r>
      <w:r>
        <w:rPr>
          <w:rFonts w:hint="eastAsia"/>
          <w:color w:val="auto"/>
        </w:rPr>
        <w:t>计划（网络图或横道图）</w:t>
      </w:r>
    </w:p>
    <w:p>
      <w:pPr>
        <w:spacing w:line="460" w:lineRule="exact"/>
        <w:ind w:left="-6" w:firstLine="420"/>
        <w:rPr>
          <w:color w:val="auto"/>
        </w:rPr>
      </w:pPr>
      <w:r>
        <w:rPr>
          <w:color w:val="auto"/>
        </w:rPr>
        <w:t>1.</w:t>
      </w:r>
      <w:r>
        <w:rPr>
          <w:rFonts w:hint="eastAsia"/>
          <w:color w:val="auto"/>
        </w:rPr>
        <w:t>磋商单位</w:t>
      </w:r>
      <w:r>
        <w:rPr>
          <w:color w:val="auto"/>
        </w:rPr>
        <w:t>应提交施工进度</w:t>
      </w:r>
      <w:r>
        <w:rPr>
          <w:rFonts w:hint="eastAsia"/>
          <w:color w:val="auto"/>
        </w:rPr>
        <w:t>计划</w:t>
      </w:r>
      <w:r>
        <w:rPr>
          <w:color w:val="auto"/>
        </w:rPr>
        <w:t>，说明按招标文件要求的工期进行施工的各个关键日期。中标的</w:t>
      </w:r>
      <w:r>
        <w:rPr>
          <w:rFonts w:hint="eastAsia"/>
          <w:color w:val="auto"/>
        </w:rPr>
        <w:t>磋商单位</w:t>
      </w:r>
      <w:r>
        <w:rPr>
          <w:color w:val="auto"/>
        </w:rPr>
        <w:t>还应按合同条件有关条款的要求提交详细的施工进度计划。</w:t>
      </w:r>
    </w:p>
    <w:p>
      <w:pPr>
        <w:spacing w:line="460" w:lineRule="exact"/>
        <w:ind w:left="-6" w:firstLine="420"/>
        <w:rPr>
          <w:color w:val="auto"/>
        </w:rPr>
      </w:pPr>
      <w:r>
        <w:rPr>
          <w:color w:val="auto"/>
        </w:rPr>
        <w:t>2.施工进度</w:t>
      </w:r>
      <w:r>
        <w:rPr>
          <w:rFonts w:hint="eastAsia"/>
          <w:color w:val="auto"/>
        </w:rPr>
        <w:t>计划</w:t>
      </w:r>
      <w:r>
        <w:rPr>
          <w:color w:val="auto"/>
        </w:rPr>
        <w:t>可采用网络图（或横道图）表示，说明计划开工日期和各分项工程各阶段的完工日期。</w:t>
      </w:r>
    </w:p>
    <w:p>
      <w:pPr>
        <w:spacing w:line="460" w:lineRule="exact"/>
        <w:ind w:left="-6" w:firstLine="420"/>
        <w:rPr>
          <w:color w:val="auto"/>
        </w:rPr>
      </w:pPr>
      <w:r>
        <w:rPr>
          <w:color w:val="auto"/>
        </w:rPr>
        <w:t>3.施工进度计划应与施工组织设计相适应。</w:t>
      </w:r>
    </w:p>
    <w:p>
      <w:pPr>
        <w:rPr>
          <w:color w:val="auto"/>
        </w:rPr>
      </w:pPr>
    </w:p>
    <w:p>
      <w:pPr>
        <w:rPr>
          <w:color w:val="auto"/>
        </w:rPr>
      </w:pPr>
      <w:r>
        <w:rPr>
          <w:color w:val="auto"/>
        </w:rPr>
        <w:t>附表五：施工总平面图</w:t>
      </w:r>
    </w:p>
    <w:p>
      <w:pPr>
        <w:spacing w:line="460" w:lineRule="exact"/>
        <w:ind w:firstLine="420" w:firstLineChars="200"/>
        <w:rPr>
          <w:color w:val="auto"/>
          <w:szCs w:val="21"/>
        </w:rPr>
      </w:pPr>
      <w:r>
        <w:rPr>
          <w:rFonts w:hint="eastAsia"/>
          <w:color w:val="auto"/>
          <w:szCs w:val="21"/>
        </w:rPr>
        <w:t>磋商单位</w:t>
      </w:r>
      <w:r>
        <w:rPr>
          <w:color w:val="auto"/>
          <w:szCs w:val="21"/>
        </w:rPr>
        <w:t>应递交一份施工总平面图，绘出现场临时设施布置图表并附文字说明，说明临时设施、加工车间、现场办公、设备及仓储、供电、供水、卫生、生活、道路、消防等设施的情况和布置。</w:t>
      </w:r>
    </w:p>
    <w:p>
      <w:pPr>
        <w:rPr>
          <w:color w:val="auto"/>
        </w:rPr>
      </w:pPr>
    </w:p>
    <w:p>
      <w:pPr>
        <w:rPr>
          <w:color w:val="auto"/>
        </w:rPr>
      </w:pPr>
    </w:p>
    <w:p>
      <w:pPr>
        <w:rPr>
          <w:color w:val="auto"/>
        </w:rPr>
      </w:pPr>
      <w:r>
        <w:rPr>
          <w:color w:val="auto"/>
        </w:rPr>
        <w:t>附表六：临时用地表</w:t>
      </w:r>
    </w:p>
    <w:tbl>
      <w:tblPr>
        <w:tblStyle w:val="24"/>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pPr>
              <w:jc w:val="center"/>
              <w:rPr>
                <w:color w:val="auto"/>
              </w:rPr>
            </w:pPr>
            <w:r>
              <w:rPr>
                <w:color w:val="auto"/>
                <w:szCs w:val="21"/>
              </w:rPr>
              <w:t>用途</w:t>
            </w:r>
          </w:p>
        </w:tc>
        <w:tc>
          <w:tcPr>
            <w:tcW w:w="2357" w:type="dxa"/>
            <w:vAlign w:val="center"/>
          </w:tcPr>
          <w:p>
            <w:pPr>
              <w:jc w:val="center"/>
              <w:rPr>
                <w:color w:val="auto"/>
              </w:rPr>
            </w:pPr>
            <w:r>
              <w:rPr>
                <w:color w:val="auto"/>
                <w:szCs w:val="21"/>
              </w:rPr>
              <w:t>面积（平方米）</w:t>
            </w:r>
          </w:p>
        </w:tc>
        <w:tc>
          <w:tcPr>
            <w:tcW w:w="2356" w:type="dxa"/>
            <w:vAlign w:val="center"/>
          </w:tcPr>
          <w:p>
            <w:pPr>
              <w:jc w:val="center"/>
              <w:rPr>
                <w:color w:val="auto"/>
              </w:rPr>
            </w:pPr>
            <w:r>
              <w:rPr>
                <w:color w:val="auto"/>
                <w:szCs w:val="21"/>
              </w:rPr>
              <w:t>位置</w:t>
            </w:r>
          </w:p>
        </w:tc>
        <w:tc>
          <w:tcPr>
            <w:tcW w:w="2357" w:type="dxa"/>
            <w:vAlign w:val="center"/>
          </w:tcPr>
          <w:p>
            <w:pPr>
              <w:jc w:val="center"/>
              <w:rPr>
                <w:color w:val="auto"/>
              </w:rPr>
            </w:pPr>
            <w:r>
              <w:rPr>
                <w:color w:val="auto"/>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color w:val="auto"/>
              </w:rPr>
            </w:pPr>
          </w:p>
        </w:tc>
        <w:tc>
          <w:tcPr>
            <w:tcW w:w="2357" w:type="dxa"/>
          </w:tcPr>
          <w:p>
            <w:pPr>
              <w:rPr>
                <w:color w:val="auto"/>
              </w:rPr>
            </w:pPr>
          </w:p>
        </w:tc>
        <w:tc>
          <w:tcPr>
            <w:tcW w:w="2356" w:type="dxa"/>
          </w:tcPr>
          <w:p>
            <w:pPr>
              <w:rPr>
                <w:color w:val="auto"/>
              </w:rPr>
            </w:pPr>
          </w:p>
        </w:tc>
        <w:tc>
          <w:tcPr>
            <w:tcW w:w="235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color w:val="auto"/>
              </w:rPr>
            </w:pPr>
          </w:p>
        </w:tc>
        <w:tc>
          <w:tcPr>
            <w:tcW w:w="2357" w:type="dxa"/>
          </w:tcPr>
          <w:p>
            <w:pPr>
              <w:rPr>
                <w:color w:val="auto"/>
              </w:rPr>
            </w:pPr>
          </w:p>
        </w:tc>
        <w:tc>
          <w:tcPr>
            <w:tcW w:w="2356" w:type="dxa"/>
          </w:tcPr>
          <w:p>
            <w:pPr>
              <w:rPr>
                <w:color w:val="auto"/>
              </w:rPr>
            </w:pPr>
          </w:p>
        </w:tc>
        <w:tc>
          <w:tcPr>
            <w:tcW w:w="235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pPr>
              <w:rPr>
                <w:color w:val="auto"/>
              </w:rPr>
            </w:pPr>
          </w:p>
        </w:tc>
        <w:tc>
          <w:tcPr>
            <w:tcW w:w="2357" w:type="dxa"/>
          </w:tcPr>
          <w:p>
            <w:pPr>
              <w:rPr>
                <w:color w:val="auto"/>
              </w:rPr>
            </w:pPr>
          </w:p>
        </w:tc>
        <w:tc>
          <w:tcPr>
            <w:tcW w:w="2356" w:type="dxa"/>
          </w:tcPr>
          <w:p>
            <w:pPr>
              <w:rPr>
                <w:color w:val="auto"/>
              </w:rPr>
            </w:pPr>
          </w:p>
        </w:tc>
        <w:tc>
          <w:tcPr>
            <w:tcW w:w="235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color w:val="auto"/>
              </w:rPr>
            </w:pPr>
          </w:p>
        </w:tc>
        <w:tc>
          <w:tcPr>
            <w:tcW w:w="2357" w:type="dxa"/>
          </w:tcPr>
          <w:p>
            <w:pPr>
              <w:rPr>
                <w:color w:val="auto"/>
              </w:rPr>
            </w:pPr>
          </w:p>
        </w:tc>
        <w:tc>
          <w:tcPr>
            <w:tcW w:w="2356" w:type="dxa"/>
          </w:tcPr>
          <w:p>
            <w:pPr>
              <w:rPr>
                <w:color w:val="auto"/>
              </w:rPr>
            </w:pPr>
          </w:p>
        </w:tc>
        <w:tc>
          <w:tcPr>
            <w:tcW w:w="2357" w:type="dxa"/>
          </w:tcPr>
          <w:p>
            <w:pPr>
              <w:rPr>
                <w:color w:val="auto"/>
              </w:rPr>
            </w:pPr>
          </w:p>
        </w:tc>
      </w:tr>
    </w:tbl>
    <w:p>
      <w:pPr>
        <w:rPr>
          <w:color w:val="auto"/>
        </w:rPr>
      </w:pPr>
    </w:p>
    <w:p>
      <w:pPr>
        <w:spacing w:beforeLines="50" w:afterLines="100" w:line="440" w:lineRule="exact"/>
        <w:ind w:right="420"/>
        <w:jc w:val="center"/>
        <w:outlineLvl w:val="0"/>
        <w:rPr>
          <w:color w:val="auto"/>
          <w:sz w:val="28"/>
          <w:szCs w:val="28"/>
        </w:rPr>
        <w:sectPr>
          <w:pgSz w:w="11907" w:h="16840"/>
          <w:pgMar w:top="1440" w:right="1440" w:bottom="1440" w:left="1797" w:header="851" w:footer="851" w:gutter="0"/>
          <w:pgNumType w:fmt="decimal"/>
          <w:cols w:space="720" w:num="1"/>
          <w:docGrid w:linePitch="312" w:charSpace="0"/>
        </w:sectPr>
      </w:pPr>
    </w:p>
    <w:p>
      <w:pPr>
        <w:pStyle w:val="48"/>
        <w:jc w:val="center"/>
        <w:rPr>
          <w:b/>
          <w:bCs/>
          <w:color w:val="auto"/>
          <w:sz w:val="32"/>
        </w:rPr>
      </w:pPr>
      <w:r>
        <w:rPr>
          <w:b/>
          <w:bCs/>
          <w:color w:val="auto"/>
          <w:sz w:val="32"/>
        </w:rPr>
        <w:t>项目管理机构</w:t>
      </w:r>
    </w:p>
    <w:p>
      <w:pPr>
        <w:pStyle w:val="48"/>
        <w:jc w:val="center"/>
        <w:rPr>
          <w:b/>
          <w:color w:val="auto"/>
          <w:sz w:val="28"/>
          <w:szCs w:val="28"/>
        </w:rPr>
      </w:pPr>
      <w:bookmarkStart w:id="475" w:name="_Toc173579005"/>
      <w:bookmarkStart w:id="476" w:name="_Toc172364025"/>
      <w:bookmarkStart w:id="477" w:name="_Toc251052184"/>
      <w:bookmarkStart w:id="478" w:name="_Toc153274947"/>
      <w:r>
        <w:rPr>
          <w:b/>
          <w:bCs/>
          <w:color w:val="auto"/>
          <w:sz w:val="24"/>
        </w:rPr>
        <w:t>1</w:t>
      </w:r>
      <w:r>
        <w:rPr>
          <w:b/>
          <w:color w:val="auto"/>
          <w:sz w:val="24"/>
        </w:rPr>
        <w:t>、项目管理机构配备情况表</w:t>
      </w:r>
      <w:bookmarkEnd w:id="475"/>
      <w:bookmarkEnd w:id="476"/>
      <w:bookmarkEnd w:id="477"/>
      <w:bookmarkEnd w:id="478"/>
    </w:p>
    <w:p>
      <w:pPr>
        <w:pStyle w:val="48"/>
        <w:rPr>
          <w:color w:val="auto"/>
          <w:u w:val="single"/>
        </w:rPr>
      </w:pPr>
    </w:p>
    <w:p>
      <w:pPr>
        <w:pStyle w:val="48"/>
        <w:rPr>
          <w:color w:val="auto"/>
        </w:rPr>
      </w:pPr>
      <w:bookmarkStart w:id="479" w:name="_Toc251052185"/>
      <w:r>
        <w:rPr>
          <w:rFonts w:hint="eastAsia"/>
          <w:color w:val="auto"/>
          <w:u w:val="single"/>
        </w:rPr>
        <w:t>（</w:t>
      </w:r>
      <w:r>
        <w:rPr>
          <w:color w:val="auto"/>
          <w:u w:val="single"/>
        </w:rPr>
        <w:t>项目名称</w:t>
      </w:r>
      <w:r>
        <w:rPr>
          <w:rFonts w:hint="eastAsia"/>
          <w:color w:val="auto"/>
          <w:u w:val="single"/>
        </w:rPr>
        <w:t>）</w:t>
      </w:r>
      <w:r>
        <w:rPr>
          <w:color w:val="auto"/>
        </w:rPr>
        <w:t xml:space="preserve"> 工程 </w:t>
      </w:r>
      <w:bookmarkEnd w:id="479"/>
    </w:p>
    <w:tbl>
      <w:tblPr>
        <w:tblStyle w:val="2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pPr>
              <w:ind w:left="223" w:hanging="222" w:hangingChars="106"/>
              <w:jc w:val="center"/>
              <w:rPr>
                <w:color w:val="auto"/>
              </w:rPr>
            </w:pPr>
            <w:r>
              <w:rPr>
                <w:color w:val="auto"/>
              </w:rPr>
              <w:t>岗位</w:t>
            </w:r>
          </w:p>
        </w:tc>
        <w:tc>
          <w:tcPr>
            <w:tcW w:w="829" w:type="dxa"/>
            <w:vMerge w:val="restart"/>
            <w:vAlign w:val="center"/>
          </w:tcPr>
          <w:p>
            <w:pPr>
              <w:ind w:left="223" w:hanging="222" w:hangingChars="106"/>
              <w:jc w:val="center"/>
              <w:rPr>
                <w:color w:val="auto"/>
              </w:rPr>
            </w:pPr>
            <w:bookmarkStart w:id="480" w:name="_Toc251052187"/>
            <w:r>
              <w:rPr>
                <w:color w:val="auto"/>
              </w:rPr>
              <w:t>姓名</w:t>
            </w:r>
            <w:bookmarkEnd w:id="480"/>
          </w:p>
        </w:tc>
        <w:tc>
          <w:tcPr>
            <w:tcW w:w="816" w:type="dxa"/>
            <w:vMerge w:val="restart"/>
            <w:vAlign w:val="center"/>
          </w:tcPr>
          <w:p>
            <w:pPr>
              <w:ind w:left="223" w:hanging="222" w:hangingChars="106"/>
              <w:jc w:val="center"/>
              <w:rPr>
                <w:color w:val="auto"/>
              </w:rPr>
            </w:pPr>
            <w:bookmarkStart w:id="481" w:name="_Toc251052188"/>
            <w:r>
              <w:rPr>
                <w:color w:val="auto"/>
              </w:rPr>
              <w:t>职称</w:t>
            </w:r>
            <w:bookmarkEnd w:id="481"/>
          </w:p>
        </w:tc>
        <w:tc>
          <w:tcPr>
            <w:tcW w:w="4592" w:type="dxa"/>
            <w:gridSpan w:val="4"/>
            <w:vAlign w:val="center"/>
          </w:tcPr>
          <w:p>
            <w:pPr>
              <w:ind w:left="223" w:hanging="222" w:hangingChars="106"/>
              <w:jc w:val="center"/>
              <w:rPr>
                <w:color w:val="auto"/>
              </w:rPr>
            </w:pPr>
            <w:bookmarkStart w:id="482" w:name="_Toc251052189"/>
            <w:r>
              <w:rPr>
                <w:color w:val="auto"/>
              </w:rPr>
              <w:t>执业或职业资格证明</w:t>
            </w:r>
            <w:bookmarkEnd w:id="482"/>
          </w:p>
        </w:tc>
        <w:tc>
          <w:tcPr>
            <w:tcW w:w="2126" w:type="dxa"/>
            <w:gridSpan w:val="2"/>
            <w:vAlign w:val="center"/>
          </w:tcPr>
          <w:p>
            <w:pPr>
              <w:ind w:left="223" w:hanging="222" w:hangingChars="106"/>
              <w:jc w:val="center"/>
              <w:rPr>
                <w:color w:val="auto"/>
              </w:rPr>
            </w:pPr>
            <w:bookmarkStart w:id="483" w:name="_Toc251052190"/>
            <w:r>
              <w:rPr>
                <w:color w:val="auto"/>
              </w:rPr>
              <w:t>承担完工</w:t>
            </w:r>
            <w:bookmarkEnd w:id="483"/>
            <w:bookmarkStart w:id="484" w:name="_Toc251052191"/>
            <w:r>
              <w:rPr>
                <w:color w:val="auto"/>
              </w:rPr>
              <w:t>工程情况</w:t>
            </w:r>
            <w:bookmarkEnd w:id="4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pPr>
              <w:ind w:left="223" w:hanging="222" w:hangingChars="106"/>
              <w:jc w:val="center"/>
              <w:rPr>
                <w:color w:val="auto"/>
              </w:rPr>
            </w:pPr>
          </w:p>
        </w:tc>
        <w:tc>
          <w:tcPr>
            <w:tcW w:w="829" w:type="dxa"/>
            <w:vMerge w:val="continue"/>
            <w:vAlign w:val="center"/>
          </w:tcPr>
          <w:p>
            <w:pPr>
              <w:ind w:left="223" w:hanging="222" w:hangingChars="106"/>
              <w:jc w:val="center"/>
              <w:rPr>
                <w:color w:val="auto"/>
              </w:rPr>
            </w:pPr>
          </w:p>
        </w:tc>
        <w:tc>
          <w:tcPr>
            <w:tcW w:w="816" w:type="dxa"/>
            <w:vMerge w:val="continue"/>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bookmarkStart w:id="485" w:name="_Toc251052192"/>
            <w:r>
              <w:rPr>
                <w:color w:val="auto"/>
              </w:rPr>
              <w:t>证书名称</w:t>
            </w:r>
            <w:bookmarkEnd w:id="485"/>
          </w:p>
        </w:tc>
        <w:tc>
          <w:tcPr>
            <w:tcW w:w="1148" w:type="dxa"/>
            <w:vAlign w:val="center"/>
          </w:tcPr>
          <w:p>
            <w:pPr>
              <w:ind w:left="223" w:hanging="222" w:hangingChars="106"/>
              <w:jc w:val="center"/>
              <w:rPr>
                <w:color w:val="auto"/>
              </w:rPr>
            </w:pPr>
            <w:bookmarkStart w:id="486" w:name="_Toc251052193"/>
            <w:r>
              <w:rPr>
                <w:color w:val="auto"/>
              </w:rPr>
              <w:t>级别</w:t>
            </w:r>
            <w:bookmarkEnd w:id="486"/>
          </w:p>
        </w:tc>
        <w:tc>
          <w:tcPr>
            <w:tcW w:w="1148" w:type="dxa"/>
            <w:vAlign w:val="center"/>
          </w:tcPr>
          <w:p>
            <w:pPr>
              <w:ind w:left="223" w:hanging="222" w:hangingChars="106"/>
              <w:jc w:val="center"/>
              <w:rPr>
                <w:color w:val="auto"/>
              </w:rPr>
            </w:pPr>
            <w:bookmarkStart w:id="487" w:name="_Toc251052194"/>
            <w:r>
              <w:rPr>
                <w:color w:val="auto"/>
              </w:rPr>
              <w:t>证号</w:t>
            </w:r>
            <w:bookmarkEnd w:id="487"/>
          </w:p>
        </w:tc>
        <w:tc>
          <w:tcPr>
            <w:tcW w:w="1148" w:type="dxa"/>
            <w:vAlign w:val="center"/>
          </w:tcPr>
          <w:p>
            <w:pPr>
              <w:ind w:left="223" w:hanging="222" w:hangingChars="106"/>
              <w:jc w:val="center"/>
              <w:rPr>
                <w:color w:val="auto"/>
              </w:rPr>
            </w:pPr>
            <w:bookmarkStart w:id="488" w:name="_Toc251052195"/>
            <w:r>
              <w:rPr>
                <w:color w:val="auto"/>
              </w:rPr>
              <w:t>专业</w:t>
            </w:r>
            <w:bookmarkEnd w:id="488"/>
          </w:p>
        </w:tc>
        <w:tc>
          <w:tcPr>
            <w:tcW w:w="850" w:type="dxa"/>
            <w:vAlign w:val="center"/>
          </w:tcPr>
          <w:p>
            <w:pPr>
              <w:ind w:left="223" w:hanging="222" w:hangingChars="106"/>
              <w:jc w:val="center"/>
              <w:rPr>
                <w:color w:val="auto"/>
              </w:rPr>
            </w:pPr>
            <w:bookmarkStart w:id="489" w:name="_Toc251052197"/>
            <w:r>
              <w:rPr>
                <w:color w:val="auto"/>
              </w:rPr>
              <w:t>项目数</w:t>
            </w:r>
            <w:bookmarkEnd w:id="489"/>
          </w:p>
        </w:tc>
        <w:tc>
          <w:tcPr>
            <w:tcW w:w="1276" w:type="dxa"/>
            <w:vAlign w:val="center"/>
          </w:tcPr>
          <w:p>
            <w:pPr>
              <w:ind w:left="223" w:hanging="222" w:hangingChars="106"/>
              <w:jc w:val="center"/>
              <w:rPr>
                <w:color w:val="auto"/>
              </w:rPr>
            </w:pPr>
            <w:bookmarkStart w:id="490" w:name="_Toc251052198"/>
            <w:r>
              <w:rPr>
                <w:color w:val="auto"/>
              </w:rPr>
              <w:t>主要项目</w:t>
            </w:r>
          </w:p>
          <w:p>
            <w:pPr>
              <w:ind w:left="223" w:hanging="222" w:hangingChars="106"/>
              <w:jc w:val="center"/>
              <w:rPr>
                <w:color w:val="auto"/>
              </w:rPr>
            </w:pPr>
            <w:r>
              <w:rPr>
                <w:color w:val="auto"/>
              </w:rPr>
              <w:t>名称</w:t>
            </w:r>
            <w:bookmarkEnd w:id="4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szCs w:val="21"/>
              </w:rPr>
            </w:pPr>
            <w:r>
              <w:rPr>
                <w:color w:val="auto"/>
                <w:szCs w:val="21"/>
              </w:rPr>
              <w:t>施工员</w:t>
            </w:r>
          </w:p>
        </w:tc>
        <w:tc>
          <w:tcPr>
            <w:tcW w:w="829" w:type="dxa"/>
            <w:vAlign w:val="center"/>
          </w:tcPr>
          <w:p>
            <w:pPr>
              <w:ind w:left="223" w:hanging="222" w:hangingChars="106"/>
              <w:jc w:val="center"/>
              <w:rPr>
                <w:color w:val="auto"/>
              </w:rPr>
            </w:pPr>
          </w:p>
        </w:tc>
        <w:tc>
          <w:tcPr>
            <w:tcW w:w="816"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850" w:type="dxa"/>
            <w:vAlign w:val="center"/>
          </w:tcPr>
          <w:p>
            <w:pPr>
              <w:ind w:left="223" w:hanging="222" w:hangingChars="106"/>
              <w:jc w:val="center"/>
              <w:rPr>
                <w:color w:val="auto"/>
              </w:rPr>
            </w:pPr>
          </w:p>
        </w:tc>
        <w:tc>
          <w:tcPr>
            <w:tcW w:w="1276" w:type="dxa"/>
            <w:vAlign w:val="center"/>
          </w:tcPr>
          <w:p>
            <w:pPr>
              <w:ind w:left="223" w:hanging="222" w:hangingChars="10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szCs w:val="21"/>
              </w:rPr>
            </w:pPr>
            <w:r>
              <w:rPr>
                <w:color w:val="auto"/>
                <w:szCs w:val="21"/>
              </w:rPr>
              <w:t>质检员</w:t>
            </w:r>
          </w:p>
        </w:tc>
        <w:tc>
          <w:tcPr>
            <w:tcW w:w="829" w:type="dxa"/>
            <w:vAlign w:val="center"/>
          </w:tcPr>
          <w:p>
            <w:pPr>
              <w:ind w:left="223" w:hanging="222" w:hangingChars="106"/>
              <w:jc w:val="center"/>
              <w:rPr>
                <w:color w:val="auto"/>
              </w:rPr>
            </w:pPr>
          </w:p>
        </w:tc>
        <w:tc>
          <w:tcPr>
            <w:tcW w:w="816"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850" w:type="dxa"/>
            <w:vAlign w:val="center"/>
          </w:tcPr>
          <w:p>
            <w:pPr>
              <w:ind w:left="223" w:hanging="222" w:hangingChars="106"/>
              <w:jc w:val="center"/>
              <w:rPr>
                <w:color w:val="auto"/>
              </w:rPr>
            </w:pPr>
          </w:p>
        </w:tc>
        <w:tc>
          <w:tcPr>
            <w:tcW w:w="1276" w:type="dxa"/>
            <w:vAlign w:val="center"/>
          </w:tcPr>
          <w:p>
            <w:pPr>
              <w:ind w:left="223" w:hanging="222" w:hangingChars="10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restart"/>
            <w:vAlign w:val="center"/>
          </w:tcPr>
          <w:p>
            <w:pPr>
              <w:ind w:left="223" w:hanging="222" w:hangingChars="106"/>
              <w:jc w:val="center"/>
              <w:rPr>
                <w:color w:val="auto"/>
                <w:szCs w:val="21"/>
              </w:rPr>
            </w:pPr>
            <w:r>
              <w:rPr>
                <w:color w:val="auto"/>
                <w:szCs w:val="21"/>
              </w:rPr>
              <w:t>安全员</w:t>
            </w:r>
          </w:p>
        </w:tc>
        <w:tc>
          <w:tcPr>
            <w:tcW w:w="829" w:type="dxa"/>
            <w:vAlign w:val="center"/>
          </w:tcPr>
          <w:p>
            <w:pPr>
              <w:ind w:left="223" w:hanging="222" w:hangingChars="106"/>
              <w:jc w:val="center"/>
              <w:rPr>
                <w:color w:val="auto"/>
              </w:rPr>
            </w:pPr>
          </w:p>
        </w:tc>
        <w:tc>
          <w:tcPr>
            <w:tcW w:w="816"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850" w:type="dxa"/>
            <w:vAlign w:val="center"/>
          </w:tcPr>
          <w:p>
            <w:pPr>
              <w:ind w:left="223" w:hanging="222" w:hangingChars="106"/>
              <w:jc w:val="center"/>
              <w:rPr>
                <w:color w:val="auto"/>
              </w:rPr>
            </w:pPr>
          </w:p>
        </w:tc>
        <w:tc>
          <w:tcPr>
            <w:tcW w:w="1276" w:type="dxa"/>
            <w:vAlign w:val="center"/>
          </w:tcPr>
          <w:p>
            <w:pPr>
              <w:ind w:left="223" w:hanging="222" w:hangingChars="10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pPr>
              <w:ind w:left="223" w:hanging="222" w:hangingChars="106"/>
              <w:jc w:val="center"/>
              <w:rPr>
                <w:color w:val="auto"/>
                <w:szCs w:val="21"/>
              </w:rPr>
            </w:pPr>
          </w:p>
        </w:tc>
        <w:tc>
          <w:tcPr>
            <w:tcW w:w="829" w:type="dxa"/>
            <w:vAlign w:val="center"/>
          </w:tcPr>
          <w:p>
            <w:pPr>
              <w:ind w:left="223" w:hanging="222" w:hangingChars="106"/>
              <w:jc w:val="center"/>
              <w:rPr>
                <w:color w:val="auto"/>
              </w:rPr>
            </w:pPr>
          </w:p>
        </w:tc>
        <w:tc>
          <w:tcPr>
            <w:tcW w:w="816"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850" w:type="dxa"/>
            <w:vAlign w:val="center"/>
          </w:tcPr>
          <w:p>
            <w:pPr>
              <w:ind w:left="223" w:hanging="222" w:hangingChars="106"/>
              <w:jc w:val="center"/>
              <w:rPr>
                <w:color w:val="auto"/>
              </w:rPr>
            </w:pPr>
          </w:p>
        </w:tc>
        <w:tc>
          <w:tcPr>
            <w:tcW w:w="1276" w:type="dxa"/>
            <w:vAlign w:val="center"/>
          </w:tcPr>
          <w:p>
            <w:pPr>
              <w:ind w:left="223" w:hanging="222" w:hangingChars="10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pPr>
              <w:ind w:left="223" w:hanging="222" w:hangingChars="106"/>
              <w:jc w:val="center"/>
              <w:rPr>
                <w:color w:val="auto"/>
                <w:szCs w:val="21"/>
              </w:rPr>
            </w:pPr>
          </w:p>
        </w:tc>
        <w:tc>
          <w:tcPr>
            <w:tcW w:w="829" w:type="dxa"/>
            <w:vAlign w:val="center"/>
          </w:tcPr>
          <w:p>
            <w:pPr>
              <w:ind w:left="223" w:hanging="222" w:hangingChars="106"/>
              <w:jc w:val="center"/>
              <w:rPr>
                <w:color w:val="auto"/>
              </w:rPr>
            </w:pPr>
          </w:p>
        </w:tc>
        <w:tc>
          <w:tcPr>
            <w:tcW w:w="816"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850" w:type="dxa"/>
            <w:vAlign w:val="center"/>
          </w:tcPr>
          <w:p>
            <w:pPr>
              <w:ind w:left="223" w:hanging="222" w:hangingChars="106"/>
              <w:jc w:val="center"/>
              <w:rPr>
                <w:color w:val="auto"/>
              </w:rPr>
            </w:pPr>
          </w:p>
        </w:tc>
        <w:tc>
          <w:tcPr>
            <w:tcW w:w="1276" w:type="dxa"/>
            <w:vAlign w:val="center"/>
          </w:tcPr>
          <w:p>
            <w:pPr>
              <w:ind w:left="223" w:hanging="222" w:hangingChars="10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szCs w:val="21"/>
              </w:rPr>
            </w:pPr>
            <w:r>
              <w:rPr>
                <w:color w:val="auto"/>
                <w:szCs w:val="21"/>
              </w:rPr>
              <w:t>材料员</w:t>
            </w:r>
          </w:p>
        </w:tc>
        <w:tc>
          <w:tcPr>
            <w:tcW w:w="829" w:type="dxa"/>
            <w:vAlign w:val="center"/>
          </w:tcPr>
          <w:p>
            <w:pPr>
              <w:ind w:left="223" w:hanging="222" w:hangingChars="106"/>
              <w:jc w:val="center"/>
              <w:rPr>
                <w:color w:val="auto"/>
              </w:rPr>
            </w:pPr>
          </w:p>
        </w:tc>
        <w:tc>
          <w:tcPr>
            <w:tcW w:w="816"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850" w:type="dxa"/>
            <w:vAlign w:val="center"/>
          </w:tcPr>
          <w:p>
            <w:pPr>
              <w:ind w:left="223" w:hanging="222" w:hangingChars="106"/>
              <w:jc w:val="center"/>
              <w:rPr>
                <w:color w:val="auto"/>
              </w:rPr>
            </w:pPr>
          </w:p>
        </w:tc>
        <w:tc>
          <w:tcPr>
            <w:tcW w:w="1276" w:type="dxa"/>
            <w:vAlign w:val="center"/>
          </w:tcPr>
          <w:p>
            <w:pPr>
              <w:ind w:left="223" w:hanging="222" w:hangingChars="10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szCs w:val="21"/>
              </w:rPr>
            </w:pPr>
          </w:p>
        </w:tc>
        <w:tc>
          <w:tcPr>
            <w:tcW w:w="829" w:type="dxa"/>
            <w:vAlign w:val="center"/>
          </w:tcPr>
          <w:p>
            <w:pPr>
              <w:ind w:left="223" w:hanging="222" w:hangingChars="106"/>
              <w:jc w:val="center"/>
              <w:rPr>
                <w:color w:val="auto"/>
              </w:rPr>
            </w:pPr>
          </w:p>
        </w:tc>
        <w:tc>
          <w:tcPr>
            <w:tcW w:w="816"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850" w:type="dxa"/>
            <w:vAlign w:val="center"/>
          </w:tcPr>
          <w:p>
            <w:pPr>
              <w:ind w:left="223" w:hanging="222" w:hangingChars="106"/>
              <w:jc w:val="center"/>
              <w:rPr>
                <w:color w:val="auto"/>
              </w:rPr>
            </w:pPr>
          </w:p>
        </w:tc>
        <w:tc>
          <w:tcPr>
            <w:tcW w:w="1276" w:type="dxa"/>
            <w:vAlign w:val="center"/>
          </w:tcPr>
          <w:p>
            <w:pPr>
              <w:ind w:left="223" w:hanging="222" w:hangingChars="10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rPr>
            </w:pPr>
            <w:r>
              <w:rPr>
                <w:color w:val="auto"/>
              </w:rPr>
              <w:t>……</w:t>
            </w:r>
          </w:p>
        </w:tc>
        <w:tc>
          <w:tcPr>
            <w:tcW w:w="829" w:type="dxa"/>
            <w:vAlign w:val="center"/>
          </w:tcPr>
          <w:p>
            <w:pPr>
              <w:ind w:left="223" w:hanging="222" w:hangingChars="106"/>
              <w:jc w:val="center"/>
              <w:rPr>
                <w:color w:val="auto"/>
              </w:rPr>
            </w:pPr>
          </w:p>
        </w:tc>
        <w:tc>
          <w:tcPr>
            <w:tcW w:w="816"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850" w:type="dxa"/>
            <w:vAlign w:val="center"/>
          </w:tcPr>
          <w:p>
            <w:pPr>
              <w:ind w:left="223" w:hanging="222" w:hangingChars="106"/>
              <w:jc w:val="center"/>
              <w:rPr>
                <w:color w:val="auto"/>
              </w:rPr>
            </w:pPr>
          </w:p>
        </w:tc>
        <w:tc>
          <w:tcPr>
            <w:tcW w:w="1276" w:type="dxa"/>
            <w:vAlign w:val="center"/>
          </w:tcPr>
          <w:p>
            <w:pPr>
              <w:ind w:left="223" w:hanging="222" w:hangingChars="10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pPr>
              <w:spacing w:line="360" w:lineRule="auto"/>
              <w:rPr>
                <w:color w:val="auto"/>
                <w:szCs w:val="21"/>
              </w:rPr>
            </w:pPr>
            <w:bookmarkStart w:id="491" w:name="_Toc251052199"/>
            <w:r>
              <w:rPr>
                <w:color w:val="auto"/>
                <w:szCs w:val="21"/>
              </w:rPr>
              <w:t>一旦我单位中标，将实行项目经理负责制，我方保证并配备上述项目管理机构。上述填报内容真实，若不真实，愿按有关规定接受处理。项目管理班子机构设置、职责分工等情况另附资料说明。</w:t>
            </w:r>
            <w:bookmarkEnd w:id="491"/>
          </w:p>
        </w:tc>
      </w:tr>
    </w:tbl>
    <w:p>
      <w:pPr>
        <w:tabs>
          <w:tab w:val="left" w:pos="0"/>
        </w:tabs>
        <w:spacing w:line="360" w:lineRule="auto"/>
        <w:ind w:right="-210"/>
        <w:rPr>
          <w:color w:val="auto"/>
        </w:rPr>
      </w:pPr>
    </w:p>
    <w:p>
      <w:pPr>
        <w:spacing w:line="360" w:lineRule="auto"/>
        <w:rPr>
          <w:color w:val="auto"/>
          <w:szCs w:val="21"/>
        </w:rPr>
      </w:pPr>
      <w:r>
        <w:rPr>
          <w:rFonts w:eastAsia="楷体_GB2312"/>
          <w:color w:val="auto"/>
          <w:szCs w:val="21"/>
        </w:rPr>
        <w:t>【</w:t>
      </w:r>
      <w:r>
        <w:rPr>
          <w:rFonts w:eastAsia="楷体_GB2312"/>
          <w:color w:val="auto"/>
        </w:rPr>
        <w:t>备注：</w:t>
      </w:r>
      <w:r>
        <w:rPr>
          <w:rFonts w:hint="eastAsia" w:eastAsia="楷体_GB2312"/>
          <w:color w:val="auto"/>
        </w:rPr>
        <w:t>附以上各岗位人员资格证件等相关证明材料的复印件，以及磋商单位认为需要增加的其他证明材料复印件，以上复印件均须加盖磋商单位单位公章。】</w:t>
      </w:r>
    </w:p>
    <w:p>
      <w:pPr>
        <w:spacing w:line="360" w:lineRule="auto"/>
        <w:rPr>
          <w:rFonts w:eastAsia="楷体_GB2312"/>
          <w:color w:val="auto"/>
        </w:rPr>
      </w:pPr>
    </w:p>
    <w:p>
      <w:pPr>
        <w:tabs>
          <w:tab w:val="left" w:pos="0"/>
        </w:tabs>
        <w:spacing w:line="360" w:lineRule="auto"/>
        <w:ind w:right="-210"/>
        <w:rPr>
          <w:color w:val="auto"/>
        </w:rPr>
      </w:pPr>
    </w:p>
    <w:p>
      <w:pPr>
        <w:tabs>
          <w:tab w:val="left" w:pos="0"/>
        </w:tabs>
        <w:spacing w:line="360" w:lineRule="auto"/>
        <w:ind w:right="-210"/>
        <w:rPr>
          <w:color w:val="auto"/>
        </w:rPr>
      </w:pPr>
    </w:p>
    <w:p>
      <w:pPr>
        <w:tabs>
          <w:tab w:val="left" w:pos="0"/>
        </w:tabs>
        <w:spacing w:line="360" w:lineRule="auto"/>
        <w:ind w:right="-210"/>
        <w:rPr>
          <w:color w:val="auto"/>
        </w:rPr>
        <w:sectPr>
          <w:pgSz w:w="11907" w:h="16840"/>
          <w:pgMar w:top="1440" w:right="1440" w:bottom="1440" w:left="1797" w:header="851" w:footer="851" w:gutter="0"/>
          <w:pgNumType w:fmt="decimal"/>
          <w:cols w:space="720" w:num="1"/>
          <w:docGrid w:linePitch="312" w:charSpace="0"/>
        </w:sectPr>
      </w:pPr>
    </w:p>
    <w:p>
      <w:pPr>
        <w:pStyle w:val="48"/>
        <w:jc w:val="center"/>
        <w:outlineLvl w:val="0"/>
        <w:rPr>
          <w:color w:val="auto"/>
          <w:u w:val="single"/>
        </w:rPr>
      </w:pPr>
      <w:bookmarkStart w:id="492" w:name="_Toc173579006"/>
      <w:bookmarkStart w:id="493" w:name="_Toc389065364"/>
      <w:bookmarkStart w:id="494" w:name="_Toc153274948"/>
      <w:bookmarkStart w:id="495" w:name="_Toc251052200"/>
      <w:bookmarkStart w:id="496" w:name="_Toc172364026"/>
      <w:r>
        <w:rPr>
          <w:b/>
          <w:color w:val="auto"/>
          <w:sz w:val="24"/>
        </w:rPr>
        <w:t>2、项目经理（注册建造师）简历表</w:t>
      </w:r>
      <w:bookmarkEnd w:id="492"/>
      <w:bookmarkEnd w:id="493"/>
      <w:bookmarkEnd w:id="494"/>
      <w:bookmarkEnd w:id="495"/>
      <w:bookmarkEnd w:id="496"/>
    </w:p>
    <w:p>
      <w:pPr>
        <w:pStyle w:val="48"/>
        <w:rPr>
          <w:color w:val="auto"/>
          <w:u w:val="single"/>
        </w:rPr>
      </w:pPr>
    </w:p>
    <w:p>
      <w:pPr>
        <w:pStyle w:val="48"/>
        <w:rPr>
          <w:color w:val="auto"/>
        </w:rPr>
      </w:pPr>
      <w:r>
        <w:rPr>
          <w:rFonts w:hint="eastAsia"/>
          <w:color w:val="auto"/>
          <w:u w:val="single"/>
        </w:rPr>
        <w:t>（</w:t>
      </w:r>
      <w:r>
        <w:rPr>
          <w:color w:val="auto"/>
          <w:u w:val="single"/>
        </w:rPr>
        <w:t>项目名称</w:t>
      </w:r>
      <w:r>
        <w:rPr>
          <w:rFonts w:hint="eastAsia"/>
          <w:color w:val="auto"/>
          <w:u w:val="single"/>
        </w:rPr>
        <w:t>）</w:t>
      </w:r>
      <w:r>
        <w:rPr>
          <w:color w:val="auto"/>
          <w:u w:val="single"/>
        </w:rPr>
        <w:t xml:space="preserve"> 工程</w:t>
      </w:r>
    </w:p>
    <w:tbl>
      <w:tblPr>
        <w:tblStyle w:val="24"/>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jc w:val="center"/>
              <w:rPr>
                <w:color w:val="auto"/>
              </w:rPr>
            </w:pPr>
            <w:r>
              <w:rPr>
                <w:color w:val="auto"/>
              </w:rPr>
              <w:t>姓名</w:t>
            </w:r>
          </w:p>
        </w:tc>
        <w:tc>
          <w:tcPr>
            <w:tcW w:w="2340" w:type="dxa"/>
            <w:gridSpan w:val="3"/>
            <w:vAlign w:val="center"/>
          </w:tcPr>
          <w:p>
            <w:pPr>
              <w:jc w:val="center"/>
              <w:rPr>
                <w:color w:val="auto"/>
              </w:rPr>
            </w:pPr>
          </w:p>
        </w:tc>
        <w:tc>
          <w:tcPr>
            <w:tcW w:w="1893" w:type="dxa"/>
            <w:gridSpan w:val="2"/>
            <w:vAlign w:val="center"/>
          </w:tcPr>
          <w:p>
            <w:pPr>
              <w:jc w:val="center"/>
              <w:rPr>
                <w:color w:val="auto"/>
              </w:rPr>
            </w:pPr>
            <w:r>
              <w:rPr>
                <w:color w:val="auto"/>
              </w:rPr>
              <w:t>性别</w:t>
            </w:r>
          </w:p>
        </w:tc>
        <w:tc>
          <w:tcPr>
            <w:tcW w:w="1585" w:type="dxa"/>
            <w:gridSpan w:val="2"/>
            <w:vAlign w:val="center"/>
          </w:tcPr>
          <w:p>
            <w:pPr>
              <w:jc w:val="center"/>
              <w:rPr>
                <w:color w:val="auto"/>
              </w:rPr>
            </w:pPr>
          </w:p>
        </w:tc>
        <w:tc>
          <w:tcPr>
            <w:tcW w:w="1108" w:type="dxa"/>
            <w:gridSpan w:val="2"/>
            <w:vAlign w:val="center"/>
          </w:tcPr>
          <w:p>
            <w:pPr>
              <w:jc w:val="center"/>
              <w:rPr>
                <w:color w:val="auto"/>
              </w:rPr>
            </w:pPr>
            <w:r>
              <w:rPr>
                <w:color w:val="auto"/>
              </w:rPr>
              <w:t>年龄</w:t>
            </w:r>
          </w:p>
        </w:tc>
        <w:tc>
          <w:tcPr>
            <w:tcW w:w="1276"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rPr>
                <w:color w:val="auto"/>
              </w:rPr>
            </w:pPr>
            <w:r>
              <w:rPr>
                <w:color w:val="auto"/>
              </w:rPr>
              <w:t>职务</w:t>
            </w:r>
          </w:p>
        </w:tc>
        <w:tc>
          <w:tcPr>
            <w:tcW w:w="2340" w:type="dxa"/>
            <w:gridSpan w:val="3"/>
            <w:vAlign w:val="center"/>
          </w:tcPr>
          <w:p>
            <w:pPr>
              <w:jc w:val="center"/>
              <w:rPr>
                <w:color w:val="auto"/>
              </w:rPr>
            </w:pPr>
          </w:p>
        </w:tc>
        <w:tc>
          <w:tcPr>
            <w:tcW w:w="1893" w:type="dxa"/>
            <w:gridSpan w:val="2"/>
            <w:vAlign w:val="center"/>
          </w:tcPr>
          <w:p>
            <w:pPr>
              <w:jc w:val="center"/>
              <w:rPr>
                <w:color w:val="auto"/>
              </w:rPr>
            </w:pPr>
            <w:r>
              <w:rPr>
                <w:color w:val="auto"/>
              </w:rPr>
              <w:t>职称</w:t>
            </w:r>
          </w:p>
        </w:tc>
        <w:tc>
          <w:tcPr>
            <w:tcW w:w="1585" w:type="dxa"/>
            <w:gridSpan w:val="2"/>
            <w:vAlign w:val="center"/>
          </w:tcPr>
          <w:p>
            <w:pPr>
              <w:jc w:val="center"/>
              <w:rPr>
                <w:color w:val="auto"/>
              </w:rPr>
            </w:pPr>
          </w:p>
        </w:tc>
        <w:tc>
          <w:tcPr>
            <w:tcW w:w="1108" w:type="dxa"/>
            <w:gridSpan w:val="2"/>
            <w:vAlign w:val="center"/>
          </w:tcPr>
          <w:p>
            <w:pPr>
              <w:jc w:val="center"/>
              <w:rPr>
                <w:color w:val="auto"/>
              </w:rPr>
            </w:pPr>
            <w:r>
              <w:rPr>
                <w:color w:val="auto"/>
              </w:rPr>
              <w:t>学历</w:t>
            </w:r>
          </w:p>
        </w:tc>
        <w:tc>
          <w:tcPr>
            <w:tcW w:w="1276"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jc w:val="center"/>
              <w:rPr>
                <w:color w:val="auto"/>
              </w:rPr>
            </w:pPr>
            <w:r>
              <w:rPr>
                <w:color w:val="auto"/>
              </w:rPr>
              <w:t>参加工作时间</w:t>
            </w:r>
          </w:p>
        </w:tc>
        <w:tc>
          <w:tcPr>
            <w:tcW w:w="1893" w:type="dxa"/>
            <w:gridSpan w:val="2"/>
            <w:vAlign w:val="center"/>
          </w:tcPr>
          <w:p>
            <w:pPr>
              <w:jc w:val="center"/>
              <w:rPr>
                <w:color w:val="auto"/>
              </w:rPr>
            </w:pPr>
          </w:p>
        </w:tc>
        <w:tc>
          <w:tcPr>
            <w:tcW w:w="2693" w:type="dxa"/>
            <w:gridSpan w:val="4"/>
            <w:vAlign w:val="center"/>
          </w:tcPr>
          <w:p>
            <w:pPr>
              <w:jc w:val="center"/>
              <w:rPr>
                <w:color w:val="auto"/>
              </w:rPr>
            </w:pPr>
            <w:r>
              <w:rPr>
                <w:color w:val="auto"/>
              </w:rPr>
              <w:t>担任项目经理年限</w:t>
            </w:r>
          </w:p>
        </w:tc>
        <w:tc>
          <w:tcPr>
            <w:tcW w:w="1276"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pPr>
              <w:jc w:val="center"/>
              <w:rPr>
                <w:rFonts w:hint="eastAsia" w:eastAsia="宋体"/>
                <w:color w:val="auto"/>
                <w:lang w:eastAsia="zh-CN"/>
              </w:rPr>
            </w:pPr>
            <w:r>
              <w:rPr>
                <w:rFonts w:hint="eastAsia"/>
                <w:color w:val="auto"/>
                <w:lang w:eastAsia="zh-CN"/>
              </w:rPr>
              <w:t>建造师注册编号和安全生产考核合格证编号</w:t>
            </w:r>
          </w:p>
        </w:tc>
        <w:tc>
          <w:tcPr>
            <w:tcW w:w="5862" w:type="dxa"/>
            <w:gridSpan w:val="7"/>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jc w:val="center"/>
              <w:rPr>
                <w:color w:val="auto"/>
              </w:rPr>
            </w:pPr>
            <w:r>
              <w:rPr>
                <w:color w:val="auto"/>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jc w:val="center"/>
              <w:rPr>
                <w:color w:val="auto"/>
              </w:rPr>
            </w:pPr>
            <w:r>
              <w:rPr>
                <w:color w:val="auto"/>
              </w:rPr>
              <w:t>建设单位</w:t>
            </w:r>
          </w:p>
        </w:tc>
        <w:tc>
          <w:tcPr>
            <w:tcW w:w="1548" w:type="dxa"/>
            <w:vAlign w:val="center"/>
          </w:tcPr>
          <w:p>
            <w:pPr>
              <w:jc w:val="center"/>
              <w:rPr>
                <w:color w:val="auto"/>
              </w:rPr>
            </w:pPr>
            <w:r>
              <w:rPr>
                <w:color w:val="auto"/>
              </w:rPr>
              <w:t>项目名称</w:t>
            </w:r>
          </w:p>
        </w:tc>
        <w:tc>
          <w:tcPr>
            <w:tcW w:w="1547" w:type="dxa"/>
            <w:gridSpan w:val="2"/>
            <w:vAlign w:val="center"/>
          </w:tcPr>
          <w:p>
            <w:pPr>
              <w:jc w:val="center"/>
              <w:rPr>
                <w:color w:val="auto"/>
              </w:rPr>
            </w:pPr>
            <w:r>
              <w:rPr>
                <w:color w:val="auto"/>
              </w:rPr>
              <w:t>建设规模</w:t>
            </w:r>
          </w:p>
        </w:tc>
        <w:tc>
          <w:tcPr>
            <w:tcW w:w="1548" w:type="dxa"/>
            <w:gridSpan w:val="2"/>
            <w:vAlign w:val="center"/>
          </w:tcPr>
          <w:p>
            <w:pPr>
              <w:jc w:val="center"/>
              <w:rPr>
                <w:color w:val="auto"/>
              </w:rPr>
            </w:pPr>
            <w:r>
              <w:rPr>
                <w:color w:val="auto"/>
              </w:rPr>
              <w:t>开、竣工日期</w:t>
            </w:r>
          </w:p>
        </w:tc>
        <w:tc>
          <w:tcPr>
            <w:tcW w:w="1547" w:type="dxa"/>
            <w:gridSpan w:val="2"/>
            <w:vAlign w:val="center"/>
          </w:tcPr>
          <w:p>
            <w:pPr>
              <w:jc w:val="center"/>
              <w:rPr>
                <w:color w:val="auto"/>
              </w:rPr>
            </w:pPr>
            <w:r>
              <w:rPr>
                <w:color w:val="auto"/>
              </w:rPr>
              <w:t>在建或已完</w:t>
            </w:r>
          </w:p>
        </w:tc>
        <w:tc>
          <w:tcPr>
            <w:tcW w:w="1548" w:type="dxa"/>
            <w:gridSpan w:val="2"/>
            <w:vAlign w:val="center"/>
          </w:tcPr>
          <w:p>
            <w:pPr>
              <w:jc w:val="center"/>
              <w:rPr>
                <w:color w:val="auto"/>
              </w:rPr>
            </w:pPr>
            <w:r>
              <w:rPr>
                <w:color w:val="auto"/>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rPr>
            </w:pPr>
          </w:p>
        </w:tc>
        <w:tc>
          <w:tcPr>
            <w:tcW w:w="1548" w:type="dxa"/>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rPr>
            </w:pPr>
          </w:p>
        </w:tc>
        <w:tc>
          <w:tcPr>
            <w:tcW w:w="1548" w:type="dxa"/>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rPr>
            </w:pPr>
          </w:p>
        </w:tc>
        <w:tc>
          <w:tcPr>
            <w:tcW w:w="1548" w:type="dxa"/>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jc w:val="center"/>
              <w:rPr>
                <w:color w:val="auto"/>
              </w:rPr>
            </w:pPr>
          </w:p>
        </w:tc>
        <w:tc>
          <w:tcPr>
            <w:tcW w:w="1548" w:type="dxa"/>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r>
    </w:tbl>
    <w:p>
      <w:pPr>
        <w:spacing w:line="360" w:lineRule="auto"/>
        <w:rPr>
          <w:color w:val="auto"/>
          <w:szCs w:val="21"/>
        </w:rPr>
      </w:pPr>
    </w:p>
    <w:p>
      <w:pPr>
        <w:spacing w:line="360" w:lineRule="auto"/>
        <w:ind w:firstLine="420" w:firstLineChars="200"/>
        <w:rPr>
          <w:rFonts w:eastAsia="楷体_GB2312"/>
          <w:color w:val="auto"/>
        </w:rPr>
      </w:pPr>
      <w:r>
        <w:rPr>
          <w:rFonts w:hint="eastAsia" w:eastAsia="楷体_GB2312"/>
          <w:color w:val="auto"/>
        </w:rPr>
        <w:t>备注：</w:t>
      </w:r>
    </w:p>
    <w:p>
      <w:pPr>
        <w:spacing w:line="360" w:lineRule="auto"/>
        <w:ind w:firstLine="420" w:firstLineChars="200"/>
        <w:rPr>
          <w:rFonts w:eastAsia="楷体_GB2312"/>
          <w:color w:val="auto"/>
        </w:rPr>
      </w:pPr>
      <w:r>
        <w:rPr>
          <w:rFonts w:hint="eastAsia" w:eastAsia="楷体_GB2312"/>
          <w:color w:val="auto"/>
        </w:rPr>
        <w:t>1、附项目经理资格证书和已完工程中标通知书（如有）、工程合同协议书的复印件，以及磋商单位认为需要增加的其他证明材料复印件，以上复印件均须加盖磋商单位单位公章。</w:t>
      </w:r>
    </w:p>
    <w:p>
      <w:pPr>
        <w:spacing w:beforeLines="50"/>
        <w:ind w:firstLine="420" w:firstLineChars="200"/>
        <w:rPr>
          <w:rFonts w:eastAsia="楷体_GB2312"/>
          <w:color w:val="auto"/>
        </w:rPr>
      </w:pPr>
    </w:p>
    <w:p>
      <w:pPr>
        <w:spacing w:line="360" w:lineRule="auto"/>
        <w:ind w:firstLine="525" w:firstLineChars="250"/>
        <w:rPr>
          <w:color w:val="auto"/>
        </w:rPr>
      </w:pPr>
    </w:p>
    <w:p>
      <w:pPr>
        <w:spacing w:line="360" w:lineRule="auto"/>
        <w:ind w:firstLine="525" w:firstLineChars="250"/>
        <w:rPr>
          <w:color w:val="auto"/>
        </w:rPr>
        <w:sectPr>
          <w:pgSz w:w="11907" w:h="16840"/>
          <w:pgMar w:top="1440" w:right="1440" w:bottom="1440" w:left="1797" w:header="851" w:footer="851" w:gutter="0"/>
          <w:pgNumType w:fmt="decimal"/>
          <w:cols w:space="720" w:num="1"/>
          <w:docGrid w:linePitch="312" w:charSpace="0"/>
        </w:sectPr>
      </w:pPr>
    </w:p>
    <w:p>
      <w:pPr>
        <w:spacing w:line="360" w:lineRule="auto"/>
        <w:ind w:firstLine="525" w:firstLineChars="250"/>
        <w:rPr>
          <w:color w:val="auto"/>
        </w:rPr>
      </w:pPr>
    </w:p>
    <w:p>
      <w:pPr>
        <w:pStyle w:val="48"/>
        <w:jc w:val="center"/>
        <w:outlineLvl w:val="0"/>
        <w:rPr>
          <w:b/>
          <w:color w:val="auto"/>
          <w:sz w:val="24"/>
        </w:rPr>
      </w:pPr>
      <w:bookmarkStart w:id="497" w:name="_Toc173579007"/>
      <w:bookmarkStart w:id="498" w:name="_Toc251052219"/>
      <w:bookmarkStart w:id="499" w:name="_Toc172364027"/>
      <w:bookmarkStart w:id="500" w:name="_Toc389065365"/>
      <w:bookmarkStart w:id="501" w:name="_Toc153274949"/>
      <w:r>
        <w:rPr>
          <w:b/>
          <w:color w:val="auto"/>
          <w:sz w:val="24"/>
        </w:rPr>
        <w:t>3、项目技术负责人简历表</w:t>
      </w:r>
      <w:bookmarkEnd w:id="497"/>
      <w:bookmarkEnd w:id="498"/>
      <w:bookmarkEnd w:id="499"/>
      <w:bookmarkEnd w:id="500"/>
      <w:bookmarkEnd w:id="501"/>
    </w:p>
    <w:p>
      <w:pPr>
        <w:pStyle w:val="48"/>
        <w:rPr>
          <w:color w:val="auto"/>
          <w:u w:val="single"/>
        </w:rPr>
      </w:pPr>
    </w:p>
    <w:p>
      <w:pPr>
        <w:pStyle w:val="48"/>
        <w:rPr>
          <w:color w:val="auto"/>
        </w:rPr>
      </w:pPr>
      <w:r>
        <w:rPr>
          <w:rFonts w:hint="eastAsia"/>
          <w:color w:val="auto"/>
          <w:u w:val="single"/>
        </w:rPr>
        <w:t>（</w:t>
      </w:r>
      <w:r>
        <w:rPr>
          <w:color w:val="auto"/>
          <w:u w:val="single"/>
        </w:rPr>
        <w:t>项目名称</w:t>
      </w:r>
      <w:r>
        <w:rPr>
          <w:rFonts w:hint="eastAsia"/>
          <w:color w:val="auto"/>
          <w:u w:val="single"/>
        </w:rPr>
        <w:t>）</w:t>
      </w:r>
      <w:r>
        <w:rPr>
          <w:color w:val="auto"/>
        </w:rPr>
        <w:t xml:space="preserve"> 工程</w:t>
      </w:r>
    </w:p>
    <w:tbl>
      <w:tblPr>
        <w:tblStyle w:val="24"/>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jc w:val="center"/>
              <w:rPr>
                <w:color w:val="auto"/>
              </w:rPr>
            </w:pPr>
            <w:r>
              <w:rPr>
                <w:color w:val="auto"/>
              </w:rPr>
              <w:t>姓名</w:t>
            </w:r>
          </w:p>
        </w:tc>
        <w:tc>
          <w:tcPr>
            <w:tcW w:w="2340" w:type="dxa"/>
            <w:gridSpan w:val="3"/>
            <w:vAlign w:val="center"/>
          </w:tcPr>
          <w:p>
            <w:pPr>
              <w:jc w:val="center"/>
              <w:rPr>
                <w:color w:val="auto"/>
              </w:rPr>
            </w:pPr>
          </w:p>
        </w:tc>
        <w:tc>
          <w:tcPr>
            <w:tcW w:w="1893" w:type="dxa"/>
            <w:gridSpan w:val="2"/>
            <w:vAlign w:val="center"/>
          </w:tcPr>
          <w:p>
            <w:pPr>
              <w:jc w:val="center"/>
              <w:rPr>
                <w:color w:val="auto"/>
              </w:rPr>
            </w:pPr>
            <w:r>
              <w:rPr>
                <w:color w:val="auto"/>
              </w:rPr>
              <w:t>性别</w:t>
            </w:r>
          </w:p>
        </w:tc>
        <w:tc>
          <w:tcPr>
            <w:tcW w:w="1585" w:type="dxa"/>
            <w:gridSpan w:val="2"/>
            <w:vAlign w:val="center"/>
          </w:tcPr>
          <w:p>
            <w:pPr>
              <w:jc w:val="center"/>
              <w:rPr>
                <w:color w:val="auto"/>
              </w:rPr>
            </w:pPr>
          </w:p>
        </w:tc>
        <w:tc>
          <w:tcPr>
            <w:tcW w:w="1108" w:type="dxa"/>
            <w:gridSpan w:val="2"/>
            <w:vAlign w:val="center"/>
          </w:tcPr>
          <w:p>
            <w:pPr>
              <w:jc w:val="center"/>
              <w:rPr>
                <w:color w:val="auto"/>
              </w:rPr>
            </w:pPr>
            <w:r>
              <w:rPr>
                <w:color w:val="auto"/>
              </w:rPr>
              <w:t>年龄</w:t>
            </w:r>
          </w:p>
        </w:tc>
        <w:tc>
          <w:tcPr>
            <w:tcW w:w="1276"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rPr>
                <w:color w:val="auto"/>
              </w:rPr>
            </w:pPr>
            <w:r>
              <w:rPr>
                <w:color w:val="auto"/>
              </w:rPr>
              <w:t>职务</w:t>
            </w:r>
          </w:p>
        </w:tc>
        <w:tc>
          <w:tcPr>
            <w:tcW w:w="2340" w:type="dxa"/>
            <w:gridSpan w:val="3"/>
            <w:vAlign w:val="center"/>
          </w:tcPr>
          <w:p>
            <w:pPr>
              <w:jc w:val="center"/>
              <w:rPr>
                <w:color w:val="auto"/>
              </w:rPr>
            </w:pPr>
          </w:p>
        </w:tc>
        <w:tc>
          <w:tcPr>
            <w:tcW w:w="1893" w:type="dxa"/>
            <w:gridSpan w:val="2"/>
            <w:vAlign w:val="center"/>
          </w:tcPr>
          <w:p>
            <w:pPr>
              <w:jc w:val="center"/>
              <w:rPr>
                <w:color w:val="auto"/>
              </w:rPr>
            </w:pPr>
            <w:r>
              <w:rPr>
                <w:color w:val="auto"/>
              </w:rPr>
              <w:t>职称</w:t>
            </w:r>
          </w:p>
        </w:tc>
        <w:tc>
          <w:tcPr>
            <w:tcW w:w="1585" w:type="dxa"/>
            <w:gridSpan w:val="2"/>
            <w:vAlign w:val="center"/>
          </w:tcPr>
          <w:p>
            <w:pPr>
              <w:jc w:val="center"/>
              <w:rPr>
                <w:color w:val="auto"/>
              </w:rPr>
            </w:pPr>
          </w:p>
        </w:tc>
        <w:tc>
          <w:tcPr>
            <w:tcW w:w="1108" w:type="dxa"/>
            <w:gridSpan w:val="2"/>
            <w:vAlign w:val="center"/>
          </w:tcPr>
          <w:p>
            <w:pPr>
              <w:jc w:val="center"/>
              <w:rPr>
                <w:color w:val="auto"/>
              </w:rPr>
            </w:pPr>
            <w:r>
              <w:rPr>
                <w:color w:val="auto"/>
              </w:rPr>
              <w:t>学历</w:t>
            </w:r>
          </w:p>
        </w:tc>
        <w:tc>
          <w:tcPr>
            <w:tcW w:w="1276"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jc w:val="center"/>
              <w:rPr>
                <w:color w:val="auto"/>
              </w:rPr>
            </w:pPr>
            <w:r>
              <w:rPr>
                <w:color w:val="auto"/>
              </w:rPr>
              <w:t>参加工作时间</w:t>
            </w:r>
          </w:p>
        </w:tc>
        <w:tc>
          <w:tcPr>
            <w:tcW w:w="1893" w:type="dxa"/>
            <w:gridSpan w:val="2"/>
            <w:vAlign w:val="center"/>
          </w:tcPr>
          <w:p>
            <w:pPr>
              <w:jc w:val="center"/>
              <w:rPr>
                <w:color w:val="auto"/>
              </w:rPr>
            </w:pPr>
          </w:p>
        </w:tc>
        <w:tc>
          <w:tcPr>
            <w:tcW w:w="2693" w:type="dxa"/>
            <w:gridSpan w:val="4"/>
            <w:vAlign w:val="center"/>
          </w:tcPr>
          <w:p>
            <w:pPr>
              <w:jc w:val="center"/>
              <w:rPr>
                <w:color w:val="auto"/>
              </w:rPr>
            </w:pPr>
            <w:r>
              <w:rPr>
                <w:color w:val="auto"/>
              </w:rPr>
              <w:t>担任</w:t>
            </w:r>
            <w:r>
              <w:rPr>
                <w:rFonts w:hint="eastAsia"/>
                <w:color w:val="auto"/>
              </w:rPr>
              <w:t>技术负责人</w:t>
            </w:r>
            <w:r>
              <w:rPr>
                <w:color w:val="auto"/>
              </w:rPr>
              <w:t>年限</w:t>
            </w:r>
          </w:p>
        </w:tc>
        <w:tc>
          <w:tcPr>
            <w:tcW w:w="1276"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jc w:val="center"/>
              <w:rPr>
                <w:color w:val="auto"/>
              </w:rPr>
            </w:pPr>
            <w:r>
              <w:rPr>
                <w:color w:val="auto"/>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jc w:val="center"/>
              <w:rPr>
                <w:color w:val="auto"/>
              </w:rPr>
            </w:pPr>
            <w:r>
              <w:rPr>
                <w:color w:val="auto"/>
              </w:rPr>
              <w:t>建设单位</w:t>
            </w:r>
          </w:p>
        </w:tc>
        <w:tc>
          <w:tcPr>
            <w:tcW w:w="1548" w:type="dxa"/>
            <w:vAlign w:val="center"/>
          </w:tcPr>
          <w:p>
            <w:pPr>
              <w:jc w:val="center"/>
              <w:rPr>
                <w:color w:val="auto"/>
              </w:rPr>
            </w:pPr>
            <w:r>
              <w:rPr>
                <w:color w:val="auto"/>
              </w:rPr>
              <w:t>项目名称</w:t>
            </w:r>
          </w:p>
        </w:tc>
        <w:tc>
          <w:tcPr>
            <w:tcW w:w="1547" w:type="dxa"/>
            <w:gridSpan w:val="2"/>
            <w:vAlign w:val="center"/>
          </w:tcPr>
          <w:p>
            <w:pPr>
              <w:jc w:val="center"/>
              <w:rPr>
                <w:color w:val="auto"/>
              </w:rPr>
            </w:pPr>
            <w:r>
              <w:rPr>
                <w:color w:val="auto"/>
              </w:rPr>
              <w:t>建设规模</w:t>
            </w:r>
          </w:p>
        </w:tc>
        <w:tc>
          <w:tcPr>
            <w:tcW w:w="1548" w:type="dxa"/>
            <w:gridSpan w:val="2"/>
            <w:vAlign w:val="center"/>
          </w:tcPr>
          <w:p>
            <w:pPr>
              <w:jc w:val="center"/>
              <w:rPr>
                <w:color w:val="auto"/>
              </w:rPr>
            </w:pPr>
            <w:r>
              <w:rPr>
                <w:color w:val="auto"/>
              </w:rPr>
              <w:t>开、竣工日期</w:t>
            </w:r>
          </w:p>
        </w:tc>
        <w:tc>
          <w:tcPr>
            <w:tcW w:w="1547" w:type="dxa"/>
            <w:gridSpan w:val="2"/>
            <w:vAlign w:val="center"/>
          </w:tcPr>
          <w:p>
            <w:pPr>
              <w:jc w:val="center"/>
              <w:rPr>
                <w:color w:val="auto"/>
              </w:rPr>
            </w:pPr>
            <w:r>
              <w:rPr>
                <w:color w:val="auto"/>
              </w:rPr>
              <w:t>在建或已完</w:t>
            </w:r>
          </w:p>
        </w:tc>
        <w:tc>
          <w:tcPr>
            <w:tcW w:w="1548" w:type="dxa"/>
            <w:gridSpan w:val="2"/>
            <w:vAlign w:val="center"/>
          </w:tcPr>
          <w:p>
            <w:pPr>
              <w:jc w:val="center"/>
              <w:rPr>
                <w:color w:val="auto"/>
              </w:rPr>
            </w:pPr>
            <w:r>
              <w:rPr>
                <w:color w:val="auto"/>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rPr>
            </w:pPr>
          </w:p>
        </w:tc>
        <w:tc>
          <w:tcPr>
            <w:tcW w:w="1548" w:type="dxa"/>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rPr>
            </w:pPr>
          </w:p>
        </w:tc>
        <w:tc>
          <w:tcPr>
            <w:tcW w:w="1548" w:type="dxa"/>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rPr>
            </w:pPr>
          </w:p>
        </w:tc>
        <w:tc>
          <w:tcPr>
            <w:tcW w:w="1548" w:type="dxa"/>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jc w:val="center"/>
              <w:rPr>
                <w:color w:val="auto"/>
              </w:rPr>
            </w:pPr>
          </w:p>
        </w:tc>
        <w:tc>
          <w:tcPr>
            <w:tcW w:w="1548" w:type="dxa"/>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r>
    </w:tbl>
    <w:p>
      <w:pPr>
        <w:spacing w:line="360" w:lineRule="auto"/>
        <w:rPr>
          <w:color w:val="auto"/>
          <w:szCs w:val="21"/>
        </w:rPr>
      </w:pPr>
    </w:p>
    <w:p>
      <w:pPr>
        <w:spacing w:line="360" w:lineRule="auto"/>
        <w:rPr>
          <w:rFonts w:eastAsia="楷体_GB2312"/>
          <w:color w:val="auto"/>
        </w:rPr>
      </w:pPr>
      <w:r>
        <w:rPr>
          <w:rFonts w:eastAsia="楷体_GB2312"/>
          <w:color w:val="auto"/>
        </w:rPr>
        <w:t>备注：</w:t>
      </w:r>
    </w:p>
    <w:p>
      <w:pPr>
        <w:spacing w:line="360" w:lineRule="auto"/>
        <w:ind w:firstLine="420" w:firstLineChars="200"/>
        <w:rPr>
          <w:rFonts w:eastAsia="楷体_GB2312"/>
          <w:color w:val="auto"/>
        </w:rPr>
      </w:pPr>
      <w:r>
        <w:rPr>
          <w:rFonts w:eastAsia="楷体_GB2312"/>
          <w:color w:val="auto"/>
        </w:rPr>
        <w:t>1、</w:t>
      </w:r>
      <w:r>
        <w:rPr>
          <w:rFonts w:hint="eastAsia" w:eastAsia="楷体_GB2312"/>
          <w:color w:val="auto"/>
        </w:rPr>
        <w:t>附技术负责人资格证和已完工程</w:t>
      </w:r>
      <w:r>
        <w:rPr>
          <w:rFonts w:eastAsia="楷体_GB2312"/>
          <w:color w:val="auto"/>
        </w:rPr>
        <w:t>中标通知书</w:t>
      </w:r>
      <w:r>
        <w:rPr>
          <w:rFonts w:hint="eastAsia" w:eastAsia="楷体_GB2312"/>
          <w:color w:val="auto"/>
        </w:rPr>
        <w:t>（如有）、</w:t>
      </w:r>
      <w:r>
        <w:rPr>
          <w:rFonts w:eastAsia="楷体_GB2312"/>
          <w:color w:val="auto"/>
        </w:rPr>
        <w:t>工程合同协议书</w:t>
      </w:r>
      <w:r>
        <w:rPr>
          <w:rFonts w:hint="eastAsia" w:eastAsia="楷体_GB2312"/>
          <w:color w:val="auto"/>
        </w:rPr>
        <w:t>的复印件，以及磋商单位认为需要增加的其他证明材料复印件，以上复印件均须加盖磋商单位单位公章。</w:t>
      </w:r>
    </w:p>
    <w:p>
      <w:pPr>
        <w:spacing w:line="360" w:lineRule="auto"/>
        <w:ind w:firstLine="420" w:firstLineChars="200"/>
        <w:rPr>
          <w:rFonts w:eastAsia="楷体_GB2312"/>
          <w:color w:val="auto"/>
        </w:rPr>
      </w:pPr>
      <w:r>
        <w:rPr>
          <w:rFonts w:hint="eastAsia" w:eastAsia="楷体_GB2312"/>
          <w:color w:val="auto"/>
        </w:rPr>
        <w:t>2、在建工程和该项目经理在磋商单位以外的其他单位完成的工程项目，其相关证明材料不需提供复印件。</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3"/>
        <w:ind w:firstLine="1807" w:firstLineChars="500"/>
        <w:rPr>
          <w:rFonts w:ascii="宋体" w:hAnsi="宋体" w:cs="宋体"/>
          <w:color w:val="auto"/>
          <w:sz w:val="36"/>
        </w:rPr>
      </w:pPr>
      <w:bookmarkStart w:id="509" w:name="_GoBack"/>
      <w:bookmarkEnd w:id="509"/>
      <w:bookmarkStart w:id="502" w:name="_Toc9913"/>
      <w:r>
        <w:rPr>
          <w:rFonts w:hint="eastAsia" w:ascii="宋体" w:hAnsi="宋体" w:cs="宋体"/>
          <w:color w:val="auto"/>
          <w:sz w:val="36"/>
        </w:rPr>
        <w:t>第七章</w:t>
      </w:r>
      <w:bookmarkEnd w:id="449"/>
      <w:bookmarkEnd w:id="450"/>
      <w:bookmarkEnd w:id="451"/>
      <w:bookmarkEnd w:id="452"/>
      <w:r>
        <w:rPr>
          <w:rFonts w:hint="eastAsia" w:ascii="宋体" w:hAnsi="宋体" w:cs="宋体"/>
          <w:color w:val="auto"/>
          <w:sz w:val="36"/>
          <w:lang w:val="en-US" w:eastAsia="zh-CN"/>
        </w:rPr>
        <w:t xml:space="preserve"> </w:t>
      </w:r>
      <w:r>
        <w:rPr>
          <w:rFonts w:hint="eastAsia" w:ascii="宋体" w:hAnsi="宋体" w:cs="宋体"/>
          <w:color w:val="auto"/>
          <w:sz w:val="36"/>
        </w:rPr>
        <w:t>评标办法（综合评估法）</w:t>
      </w:r>
      <w:bookmarkEnd w:id="502"/>
    </w:p>
    <w:p>
      <w:pPr>
        <w:ind w:left="480"/>
        <w:rPr>
          <w:color w:val="auto"/>
        </w:rPr>
      </w:pPr>
    </w:p>
    <w:p>
      <w:pPr>
        <w:pStyle w:val="3"/>
        <w:jc w:val="center"/>
        <w:rPr>
          <w:rFonts w:ascii="宋体" w:hAnsi="宋体" w:cs="宋体"/>
          <w:color w:val="auto"/>
          <w:sz w:val="36"/>
        </w:rPr>
      </w:pPr>
      <w:bookmarkStart w:id="503" w:name="_Toc22262"/>
      <w:bookmarkStart w:id="504" w:name="_Toc389065239"/>
      <w:bookmarkStart w:id="505" w:name="_Toc21060"/>
      <w:bookmarkStart w:id="506" w:name="_Toc21974"/>
      <w:bookmarkStart w:id="507" w:name="_Toc28631"/>
      <w:bookmarkStart w:id="508" w:name="_Toc465114828"/>
      <w:r>
        <w:rPr>
          <w:rFonts w:hint="eastAsia" w:ascii="宋体" w:hAnsi="宋体" w:cs="宋体"/>
          <w:color w:val="auto"/>
          <w:sz w:val="36"/>
        </w:rPr>
        <w:t>评标办法前附表</w:t>
      </w:r>
      <w:bookmarkEnd w:id="503"/>
      <w:bookmarkEnd w:id="504"/>
      <w:bookmarkEnd w:id="505"/>
      <w:bookmarkEnd w:id="506"/>
      <w:bookmarkEnd w:id="507"/>
      <w:bookmarkEnd w:id="508"/>
    </w:p>
    <w:p>
      <w:pPr>
        <w:rPr>
          <w:color w:val="auto"/>
        </w:rPr>
      </w:pPr>
    </w:p>
    <w:tbl>
      <w:tblPr>
        <w:tblStyle w:val="24"/>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426"/>
        <w:gridCol w:w="919"/>
        <w:gridCol w:w="948"/>
        <w:gridCol w:w="969"/>
        <w:gridCol w:w="575"/>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2" w:type="dxa"/>
            <w:shd w:val="clear" w:color="auto" w:fill="E6E6E6"/>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r>
              <w:rPr>
                <w:color w:val="auto"/>
                <w:szCs w:val="21"/>
              </w:rPr>
              <w:t>条款号</w:t>
            </w:r>
          </w:p>
        </w:tc>
        <w:tc>
          <w:tcPr>
            <w:tcW w:w="3837" w:type="dxa"/>
            <w:gridSpan w:val="5"/>
            <w:shd w:val="clear" w:color="auto" w:fill="E6E6E6"/>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r>
              <w:rPr>
                <w:color w:val="auto"/>
                <w:szCs w:val="21"/>
              </w:rPr>
              <w:t>评审因素</w:t>
            </w:r>
          </w:p>
        </w:tc>
        <w:tc>
          <w:tcPr>
            <w:tcW w:w="4830" w:type="dxa"/>
            <w:shd w:val="clear" w:color="auto" w:fill="E6E6E6"/>
          </w:tcPr>
          <w:p>
            <w:pPr>
              <w:keepNext w:val="0"/>
              <w:keepLines w:val="0"/>
              <w:pageBreakBefore w:val="0"/>
              <w:kinsoku/>
              <w:wordWrap/>
              <w:overflowPunct/>
              <w:topLinePunct w:val="0"/>
              <w:autoSpaceDE/>
              <w:autoSpaceDN/>
              <w:bidi w:val="0"/>
              <w:snapToGrid/>
              <w:spacing w:line="312" w:lineRule="auto"/>
              <w:jc w:val="center"/>
              <w:rPr>
                <w:color w:val="auto"/>
                <w:szCs w:val="21"/>
              </w:rPr>
            </w:pPr>
            <w:r>
              <w:rPr>
                <w:color w:val="auto"/>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Merge w:val="restart"/>
            <w:vAlign w:val="center"/>
          </w:tcPr>
          <w:p>
            <w:pPr>
              <w:keepNext w:val="0"/>
              <w:keepLines w:val="0"/>
              <w:pageBreakBefore w:val="0"/>
              <w:kinsoku/>
              <w:wordWrap/>
              <w:overflowPunct/>
              <w:topLinePunct w:val="0"/>
              <w:autoSpaceDE/>
              <w:autoSpaceDN/>
              <w:bidi w:val="0"/>
              <w:snapToGrid/>
              <w:spacing w:line="312" w:lineRule="auto"/>
              <w:jc w:val="center"/>
              <w:rPr>
                <w:b/>
                <w:bCs/>
                <w:color w:val="auto"/>
                <w:szCs w:val="21"/>
              </w:rPr>
            </w:pPr>
            <w:r>
              <w:rPr>
                <w:b/>
                <w:bCs/>
                <w:color w:val="auto"/>
                <w:szCs w:val="21"/>
              </w:rPr>
              <w:t>2.1.1</w:t>
            </w:r>
          </w:p>
        </w:tc>
        <w:tc>
          <w:tcPr>
            <w:tcW w:w="426" w:type="dxa"/>
            <w:vMerge w:val="restart"/>
            <w:vAlign w:val="center"/>
          </w:tcPr>
          <w:p>
            <w:pPr>
              <w:keepNext w:val="0"/>
              <w:keepLines w:val="0"/>
              <w:pageBreakBefore w:val="0"/>
              <w:kinsoku/>
              <w:wordWrap/>
              <w:overflowPunct/>
              <w:topLinePunct w:val="0"/>
              <w:autoSpaceDE/>
              <w:autoSpaceDN/>
              <w:bidi w:val="0"/>
              <w:snapToGrid/>
              <w:spacing w:line="312" w:lineRule="auto"/>
              <w:rPr>
                <w:b/>
                <w:bCs/>
                <w:color w:val="auto"/>
                <w:szCs w:val="21"/>
              </w:rPr>
            </w:pPr>
            <w:r>
              <w:rPr>
                <w:b/>
                <w:bCs/>
                <w:color w:val="auto"/>
                <w:szCs w:val="21"/>
              </w:rPr>
              <w:t>资格评审标准</w:t>
            </w:r>
          </w:p>
        </w:tc>
        <w:tc>
          <w:tcPr>
            <w:tcW w:w="919" w:type="dxa"/>
            <w:vMerge w:val="restart"/>
            <w:vAlign w:val="center"/>
          </w:tcPr>
          <w:p>
            <w:pPr>
              <w:keepNext w:val="0"/>
              <w:keepLines w:val="0"/>
              <w:pageBreakBefore w:val="0"/>
              <w:kinsoku/>
              <w:wordWrap/>
              <w:overflowPunct/>
              <w:topLinePunct w:val="0"/>
              <w:autoSpaceDE/>
              <w:autoSpaceDN/>
              <w:bidi w:val="0"/>
              <w:snapToGrid/>
              <w:spacing w:line="312" w:lineRule="auto"/>
              <w:rPr>
                <w:b/>
                <w:bCs/>
                <w:color w:val="auto"/>
                <w:szCs w:val="21"/>
              </w:rPr>
            </w:pPr>
            <w:r>
              <w:rPr>
                <w:b/>
                <w:bCs/>
                <w:color w:val="auto"/>
                <w:szCs w:val="21"/>
              </w:rPr>
              <w:t>合格制</w:t>
            </w:r>
          </w:p>
        </w:tc>
        <w:tc>
          <w:tcPr>
            <w:tcW w:w="7322" w:type="dxa"/>
            <w:gridSpan w:val="4"/>
            <w:vAlign w:val="center"/>
          </w:tcPr>
          <w:p>
            <w:pPr>
              <w:keepNext w:val="0"/>
              <w:keepLines w:val="0"/>
              <w:pageBreakBefore w:val="0"/>
              <w:kinsoku/>
              <w:wordWrap/>
              <w:overflowPunct/>
              <w:topLinePunct w:val="0"/>
              <w:autoSpaceDE/>
              <w:autoSpaceDN/>
              <w:bidi w:val="0"/>
              <w:snapToGrid/>
              <w:spacing w:line="312" w:lineRule="auto"/>
              <w:rPr>
                <w:color w:val="auto"/>
                <w:szCs w:val="21"/>
              </w:rPr>
            </w:pPr>
            <w:r>
              <w:rPr>
                <w:b/>
                <w:color w:val="auto"/>
                <w:szCs w:val="21"/>
              </w:rPr>
              <w:t>合格标准：缺少任何一项或有任何一项不合格者</w:t>
            </w:r>
            <w:r>
              <w:rPr>
                <w:rFonts w:hint="eastAsia"/>
                <w:b/>
                <w:color w:val="auto"/>
                <w:szCs w:val="21"/>
              </w:rPr>
              <w:t>，</w:t>
            </w:r>
            <w:r>
              <w:rPr>
                <w:b/>
                <w:color w:val="auto"/>
                <w:szCs w:val="21"/>
              </w:rPr>
              <w:t>其资格审查视为不合格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p>
        </w:tc>
        <w:tc>
          <w:tcPr>
            <w:tcW w:w="426" w:type="dxa"/>
            <w:vMerge w:val="continue"/>
            <w:vAlign w:val="center"/>
          </w:tcPr>
          <w:p>
            <w:pPr>
              <w:keepNext w:val="0"/>
              <w:keepLines w:val="0"/>
              <w:pageBreakBefore w:val="0"/>
              <w:kinsoku/>
              <w:wordWrap/>
              <w:overflowPunct/>
              <w:topLinePunct w:val="0"/>
              <w:autoSpaceDE/>
              <w:autoSpaceDN/>
              <w:bidi w:val="0"/>
              <w:snapToGrid/>
              <w:spacing w:line="312" w:lineRule="auto"/>
              <w:rPr>
                <w:color w:val="auto"/>
                <w:szCs w:val="21"/>
              </w:rPr>
            </w:pPr>
          </w:p>
        </w:tc>
        <w:tc>
          <w:tcPr>
            <w:tcW w:w="919" w:type="dxa"/>
            <w:vMerge w:val="continue"/>
            <w:vAlign w:val="center"/>
          </w:tcPr>
          <w:p>
            <w:pPr>
              <w:keepNext w:val="0"/>
              <w:keepLines w:val="0"/>
              <w:pageBreakBefore w:val="0"/>
              <w:kinsoku/>
              <w:wordWrap/>
              <w:overflowPunct/>
              <w:topLinePunct w:val="0"/>
              <w:autoSpaceDE/>
              <w:autoSpaceDN/>
              <w:bidi w:val="0"/>
              <w:snapToGrid/>
              <w:spacing w:line="312" w:lineRule="auto"/>
              <w:rPr>
                <w:color w:val="auto"/>
                <w:szCs w:val="21"/>
              </w:rPr>
            </w:pPr>
          </w:p>
        </w:tc>
        <w:tc>
          <w:tcPr>
            <w:tcW w:w="2492" w:type="dxa"/>
            <w:gridSpan w:val="3"/>
            <w:vAlign w:val="center"/>
          </w:tcPr>
          <w:p>
            <w:pPr>
              <w:spacing w:line="360" w:lineRule="auto"/>
              <w:rPr>
                <w:rFonts w:hint="eastAsia"/>
                <w:color w:val="auto"/>
              </w:rPr>
            </w:pPr>
            <w:r>
              <w:rPr>
                <w:rFonts w:hint="eastAsia" w:ascii="宋体" w:hAnsi="宋体" w:cs="宋体"/>
                <w:b w:val="0"/>
                <w:bCs/>
                <w:color w:val="auto"/>
                <w:lang w:eastAsia="zh-CN"/>
              </w:rPr>
              <w:t>响应</w:t>
            </w:r>
            <w:r>
              <w:rPr>
                <w:rFonts w:hint="eastAsia" w:ascii="宋体" w:hAnsi="宋体" w:eastAsia="宋体" w:cs="宋体"/>
                <w:b w:val="0"/>
                <w:bCs/>
                <w:color w:val="auto"/>
              </w:rPr>
              <w:t>文件签署</w:t>
            </w:r>
          </w:p>
        </w:tc>
        <w:tc>
          <w:tcPr>
            <w:tcW w:w="4830" w:type="dxa"/>
            <w:vAlign w:val="center"/>
          </w:tcPr>
          <w:p>
            <w:pPr>
              <w:spacing w:line="360" w:lineRule="auto"/>
              <w:rPr>
                <w:rFonts w:hint="eastAsia"/>
                <w:color w:val="auto"/>
              </w:rPr>
            </w:pPr>
            <w:r>
              <w:rPr>
                <w:rFonts w:hint="eastAsia" w:ascii="宋体" w:hAnsi="宋体" w:eastAsia="宋体" w:cs="宋体"/>
                <w:b w:val="0"/>
                <w:bCs/>
                <w:color w:val="auto"/>
                <w:szCs w:val="21"/>
              </w:rPr>
              <w:t>有效的法定代表人身份证明（附身份证复印件）或法定代表人授权委托书（附身份证复印件，授权代理时提供）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p>
        </w:tc>
        <w:tc>
          <w:tcPr>
            <w:tcW w:w="426" w:type="dxa"/>
            <w:vMerge w:val="continue"/>
            <w:vAlign w:val="center"/>
          </w:tcPr>
          <w:p>
            <w:pPr>
              <w:keepNext w:val="0"/>
              <w:keepLines w:val="0"/>
              <w:pageBreakBefore w:val="0"/>
              <w:kinsoku/>
              <w:wordWrap/>
              <w:overflowPunct/>
              <w:topLinePunct w:val="0"/>
              <w:autoSpaceDE/>
              <w:autoSpaceDN/>
              <w:bidi w:val="0"/>
              <w:snapToGrid/>
              <w:spacing w:line="312" w:lineRule="auto"/>
              <w:rPr>
                <w:color w:val="auto"/>
                <w:szCs w:val="21"/>
              </w:rPr>
            </w:pPr>
          </w:p>
        </w:tc>
        <w:tc>
          <w:tcPr>
            <w:tcW w:w="919" w:type="dxa"/>
            <w:vMerge w:val="continue"/>
            <w:vAlign w:val="center"/>
          </w:tcPr>
          <w:p>
            <w:pPr>
              <w:keepNext w:val="0"/>
              <w:keepLines w:val="0"/>
              <w:pageBreakBefore w:val="0"/>
              <w:kinsoku/>
              <w:wordWrap/>
              <w:overflowPunct/>
              <w:topLinePunct w:val="0"/>
              <w:autoSpaceDE/>
              <w:autoSpaceDN/>
              <w:bidi w:val="0"/>
              <w:snapToGrid/>
              <w:spacing w:line="312" w:lineRule="auto"/>
              <w:rPr>
                <w:color w:val="auto"/>
                <w:szCs w:val="21"/>
              </w:rPr>
            </w:pPr>
          </w:p>
        </w:tc>
        <w:tc>
          <w:tcPr>
            <w:tcW w:w="2492" w:type="dxa"/>
            <w:gridSpan w:val="3"/>
            <w:vAlign w:val="center"/>
          </w:tcPr>
          <w:p>
            <w:pPr>
              <w:spacing w:line="360" w:lineRule="auto"/>
              <w:rPr>
                <w:rFonts w:hint="eastAsia"/>
                <w:color w:val="auto"/>
              </w:rPr>
            </w:pPr>
            <w:r>
              <w:rPr>
                <w:rFonts w:hint="eastAsia" w:ascii="宋体" w:hAnsi="宋体" w:eastAsia="宋体" w:cs="宋体"/>
                <w:b w:val="0"/>
                <w:bCs/>
                <w:color w:val="auto"/>
                <w:szCs w:val="21"/>
              </w:rPr>
              <w:t>营业执照</w:t>
            </w:r>
          </w:p>
        </w:tc>
        <w:tc>
          <w:tcPr>
            <w:tcW w:w="4830" w:type="dxa"/>
            <w:vAlign w:val="top"/>
          </w:tcPr>
          <w:p>
            <w:pPr>
              <w:spacing w:line="360" w:lineRule="auto"/>
              <w:rPr>
                <w:rFonts w:hint="eastAsia"/>
                <w:color w:val="auto"/>
              </w:rPr>
            </w:pPr>
            <w:r>
              <w:rPr>
                <w:rFonts w:hint="eastAsia" w:ascii="宋体" w:hAnsi="宋体" w:eastAsia="宋体" w:cs="宋体"/>
                <w:b w:val="0"/>
                <w:bCs/>
                <w:color w:val="auto"/>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p>
        </w:tc>
        <w:tc>
          <w:tcPr>
            <w:tcW w:w="426" w:type="dxa"/>
            <w:vMerge w:val="continue"/>
            <w:vAlign w:val="center"/>
          </w:tcPr>
          <w:p>
            <w:pPr>
              <w:keepNext w:val="0"/>
              <w:keepLines w:val="0"/>
              <w:pageBreakBefore w:val="0"/>
              <w:kinsoku/>
              <w:wordWrap/>
              <w:overflowPunct/>
              <w:topLinePunct w:val="0"/>
              <w:autoSpaceDE/>
              <w:autoSpaceDN/>
              <w:bidi w:val="0"/>
              <w:snapToGrid/>
              <w:spacing w:line="312" w:lineRule="auto"/>
              <w:rPr>
                <w:color w:val="auto"/>
                <w:szCs w:val="21"/>
              </w:rPr>
            </w:pPr>
          </w:p>
        </w:tc>
        <w:tc>
          <w:tcPr>
            <w:tcW w:w="919" w:type="dxa"/>
            <w:vMerge w:val="continue"/>
            <w:vAlign w:val="center"/>
          </w:tcPr>
          <w:p>
            <w:pPr>
              <w:keepNext w:val="0"/>
              <w:keepLines w:val="0"/>
              <w:pageBreakBefore w:val="0"/>
              <w:kinsoku/>
              <w:wordWrap/>
              <w:overflowPunct/>
              <w:topLinePunct w:val="0"/>
              <w:autoSpaceDE/>
              <w:autoSpaceDN/>
              <w:bidi w:val="0"/>
              <w:snapToGrid/>
              <w:spacing w:line="312" w:lineRule="auto"/>
              <w:rPr>
                <w:color w:val="auto"/>
                <w:szCs w:val="21"/>
              </w:rPr>
            </w:pPr>
          </w:p>
        </w:tc>
        <w:tc>
          <w:tcPr>
            <w:tcW w:w="2492" w:type="dxa"/>
            <w:gridSpan w:val="3"/>
            <w:vAlign w:val="center"/>
          </w:tcPr>
          <w:p>
            <w:pPr>
              <w:spacing w:line="360" w:lineRule="auto"/>
              <w:rPr>
                <w:rFonts w:hint="eastAsia"/>
                <w:color w:val="auto"/>
              </w:rPr>
            </w:pPr>
            <w:r>
              <w:rPr>
                <w:rFonts w:hint="eastAsia" w:ascii="宋体" w:hAnsi="宋体" w:eastAsia="宋体" w:cs="宋体"/>
                <w:b w:val="0"/>
                <w:bCs/>
                <w:color w:val="auto"/>
                <w:szCs w:val="21"/>
              </w:rPr>
              <w:t>资质等级</w:t>
            </w:r>
          </w:p>
        </w:tc>
        <w:tc>
          <w:tcPr>
            <w:tcW w:w="4830" w:type="dxa"/>
            <w:vAlign w:val="top"/>
          </w:tcPr>
          <w:p>
            <w:pPr>
              <w:spacing w:line="360" w:lineRule="auto"/>
              <w:rPr>
                <w:rFonts w:hint="eastAsia" w:eastAsia="宋体"/>
                <w:color w:val="auto"/>
                <w:lang w:eastAsia="zh-CN"/>
              </w:rPr>
            </w:pPr>
            <w:r>
              <w:rPr>
                <w:rFonts w:hint="eastAsia" w:ascii="宋体" w:hAnsi="宋体" w:cs="宋体"/>
                <w:b w:val="0"/>
                <w:bCs/>
                <w:color w:val="auto"/>
                <w:szCs w:val="21"/>
                <w:lang w:eastAsia="zh-CN"/>
              </w:rPr>
              <w:t>符合竞争性磋商采购文件的要求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p>
        </w:tc>
        <w:tc>
          <w:tcPr>
            <w:tcW w:w="426" w:type="dxa"/>
            <w:vMerge w:val="continue"/>
            <w:vAlign w:val="center"/>
          </w:tcPr>
          <w:p>
            <w:pPr>
              <w:keepNext w:val="0"/>
              <w:keepLines w:val="0"/>
              <w:pageBreakBefore w:val="0"/>
              <w:kinsoku/>
              <w:wordWrap/>
              <w:overflowPunct/>
              <w:topLinePunct w:val="0"/>
              <w:autoSpaceDE/>
              <w:autoSpaceDN/>
              <w:bidi w:val="0"/>
              <w:snapToGrid/>
              <w:spacing w:line="312" w:lineRule="auto"/>
              <w:rPr>
                <w:color w:val="auto"/>
                <w:szCs w:val="21"/>
              </w:rPr>
            </w:pPr>
          </w:p>
        </w:tc>
        <w:tc>
          <w:tcPr>
            <w:tcW w:w="919" w:type="dxa"/>
            <w:vMerge w:val="continue"/>
            <w:vAlign w:val="center"/>
          </w:tcPr>
          <w:p>
            <w:pPr>
              <w:keepNext w:val="0"/>
              <w:keepLines w:val="0"/>
              <w:pageBreakBefore w:val="0"/>
              <w:kinsoku/>
              <w:wordWrap/>
              <w:overflowPunct/>
              <w:topLinePunct w:val="0"/>
              <w:autoSpaceDE/>
              <w:autoSpaceDN/>
              <w:bidi w:val="0"/>
              <w:snapToGrid/>
              <w:spacing w:line="312" w:lineRule="auto"/>
              <w:rPr>
                <w:color w:val="auto"/>
                <w:szCs w:val="21"/>
              </w:rPr>
            </w:pPr>
          </w:p>
        </w:tc>
        <w:tc>
          <w:tcPr>
            <w:tcW w:w="2492" w:type="dxa"/>
            <w:gridSpan w:val="3"/>
            <w:vAlign w:val="center"/>
          </w:tcPr>
          <w:p>
            <w:pPr>
              <w:spacing w:line="360" w:lineRule="auto"/>
              <w:rPr>
                <w:rFonts w:hint="eastAsia"/>
                <w:color w:val="auto"/>
              </w:rPr>
            </w:pPr>
            <w:r>
              <w:rPr>
                <w:rFonts w:hint="eastAsia" w:ascii="宋体" w:hAnsi="宋体" w:eastAsia="宋体" w:cs="宋体"/>
                <w:b w:val="0"/>
                <w:bCs/>
                <w:color w:val="auto"/>
                <w:szCs w:val="21"/>
              </w:rPr>
              <w:t>安全生产许可证</w:t>
            </w:r>
          </w:p>
        </w:tc>
        <w:tc>
          <w:tcPr>
            <w:tcW w:w="4830" w:type="dxa"/>
            <w:vAlign w:val="top"/>
          </w:tcPr>
          <w:p>
            <w:pPr>
              <w:spacing w:line="360" w:lineRule="auto"/>
              <w:rPr>
                <w:rFonts w:hint="eastAsia"/>
                <w:color w:val="auto"/>
              </w:rPr>
            </w:pPr>
            <w:r>
              <w:rPr>
                <w:rFonts w:hint="eastAsia" w:ascii="宋体" w:hAnsi="宋体" w:eastAsia="宋体" w:cs="宋体"/>
                <w:b w:val="0"/>
                <w:bCs/>
                <w:color w:val="auto"/>
                <w:szCs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p>
        </w:tc>
        <w:tc>
          <w:tcPr>
            <w:tcW w:w="426" w:type="dxa"/>
            <w:vMerge w:val="continue"/>
            <w:vAlign w:val="center"/>
          </w:tcPr>
          <w:p>
            <w:pPr>
              <w:keepNext w:val="0"/>
              <w:keepLines w:val="0"/>
              <w:pageBreakBefore w:val="0"/>
              <w:kinsoku/>
              <w:wordWrap/>
              <w:overflowPunct/>
              <w:topLinePunct w:val="0"/>
              <w:autoSpaceDE/>
              <w:autoSpaceDN/>
              <w:bidi w:val="0"/>
              <w:snapToGrid/>
              <w:spacing w:line="312" w:lineRule="auto"/>
              <w:rPr>
                <w:color w:val="auto"/>
                <w:szCs w:val="21"/>
              </w:rPr>
            </w:pPr>
          </w:p>
        </w:tc>
        <w:tc>
          <w:tcPr>
            <w:tcW w:w="919" w:type="dxa"/>
            <w:vMerge w:val="continue"/>
            <w:vAlign w:val="center"/>
          </w:tcPr>
          <w:p>
            <w:pPr>
              <w:keepNext w:val="0"/>
              <w:keepLines w:val="0"/>
              <w:pageBreakBefore w:val="0"/>
              <w:kinsoku/>
              <w:wordWrap/>
              <w:overflowPunct/>
              <w:topLinePunct w:val="0"/>
              <w:autoSpaceDE/>
              <w:autoSpaceDN/>
              <w:bidi w:val="0"/>
              <w:snapToGrid/>
              <w:spacing w:line="312" w:lineRule="auto"/>
              <w:rPr>
                <w:color w:val="auto"/>
                <w:szCs w:val="21"/>
              </w:rPr>
            </w:pPr>
          </w:p>
        </w:tc>
        <w:tc>
          <w:tcPr>
            <w:tcW w:w="2492" w:type="dxa"/>
            <w:gridSpan w:val="3"/>
            <w:vAlign w:val="center"/>
          </w:tcPr>
          <w:p>
            <w:pPr>
              <w:spacing w:line="360" w:lineRule="auto"/>
              <w:rPr>
                <w:rFonts w:hint="eastAsia"/>
                <w:color w:val="auto"/>
              </w:rPr>
            </w:pPr>
            <w:r>
              <w:rPr>
                <w:rFonts w:hint="eastAsia" w:ascii="宋体" w:hAnsi="宋体" w:eastAsia="宋体" w:cs="宋体"/>
                <w:b w:val="0"/>
                <w:bCs/>
                <w:color w:val="auto"/>
                <w:szCs w:val="21"/>
              </w:rPr>
              <w:t>财务要求</w:t>
            </w:r>
          </w:p>
        </w:tc>
        <w:tc>
          <w:tcPr>
            <w:tcW w:w="4830" w:type="dxa"/>
            <w:vAlign w:val="top"/>
          </w:tcPr>
          <w:p>
            <w:pPr>
              <w:spacing w:line="360" w:lineRule="auto"/>
              <w:rPr>
                <w:rFonts w:hint="eastAsia" w:eastAsia="宋体"/>
                <w:color w:val="auto"/>
                <w:lang w:eastAsia="zh-CN"/>
              </w:rPr>
            </w:pPr>
            <w:r>
              <w:rPr>
                <w:rFonts w:hint="eastAsia" w:ascii="宋体" w:hAnsi="宋体" w:cs="宋体"/>
                <w:b w:val="0"/>
                <w:bCs/>
                <w:color w:val="auto"/>
                <w:szCs w:val="21"/>
                <w:lang w:eastAsia="zh-CN"/>
              </w:rPr>
              <w:t>符合竞争性磋商采购文件的要求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p>
        </w:tc>
        <w:tc>
          <w:tcPr>
            <w:tcW w:w="426" w:type="dxa"/>
            <w:vMerge w:val="continue"/>
            <w:vAlign w:val="center"/>
          </w:tcPr>
          <w:p>
            <w:pPr>
              <w:keepNext w:val="0"/>
              <w:keepLines w:val="0"/>
              <w:pageBreakBefore w:val="0"/>
              <w:kinsoku/>
              <w:wordWrap/>
              <w:overflowPunct/>
              <w:topLinePunct w:val="0"/>
              <w:autoSpaceDE/>
              <w:autoSpaceDN/>
              <w:bidi w:val="0"/>
              <w:snapToGrid/>
              <w:spacing w:line="312" w:lineRule="auto"/>
              <w:rPr>
                <w:color w:val="auto"/>
                <w:szCs w:val="21"/>
              </w:rPr>
            </w:pPr>
          </w:p>
        </w:tc>
        <w:tc>
          <w:tcPr>
            <w:tcW w:w="919" w:type="dxa"/>
            <w:vMerge w:val="continue"/>
            <w:vAlign w:val="center"/>
          </w:tcPr>
          <w:p>
            <w:pPr>
              <w:keepNext w:val="0"/>
              <w:keepLines w:val="0"/>
              <w:pageBreakBefore w:val="0"/>
              <w:kinsoku/>
              <w:wordWrap/>
              <w:overflowPunct/>
              <w:topLinePunct w:val="0"/>
              <w:autoSpaceDE/>
              <w:autoSpaceDN/>
              <w:bidi w:val="0"/>
              <w:snapToGrid/>
              <w:spacing w:line="312" w:lineRule="auto"/>
              <w:rPr>
                <w:color w:val="auto"/>
                <w:szCs w:val="21"/>
              </w:rPr>
            </w:pPr>
          </w:p>
        </w:tc>
        <w:tc>
          <w:tcPr>
            <w:tcW w:w="2492" w:type="dxa"/>
            <w:gridSpan w:val="3"/>
            <w:vAlign w:val="center"/>
          </w:tcPr>
          <w:p>
            <w:pPr>
              <w:spacing w:line="360" w:lineRule="auto"/>
              <w:rPr>
                <w:rFonts w:hint="eastAsia"/>
                <w:color w:val="auto"/>
              </w:rPr>
            </w:pPr>
            <w:r>
              <w:rPr>
                <w:rFonts w:hint="eastAsia" w:ascii="宋体" w:hAnsi="宋体" w:eastAsia="宋体" w:cs="宋体"/>
                <w:b w:val="0"/>
                <w:bCs/>
                <w:color w:val="auto"/>
                <w:szCs w:val="21"/>
              </w:rPr>
              <w:t>信誉要求</w:t>
            </w:r>
          </w:p>
        </w:tc>
        <w:tc>
          <w:tcPr>
            <w:tcW w:w="4830" w:type="dxa"/>
            <w:vAlign w:val="top"/>
          </w:tcPr>
          <w:p>
            <w:pPr>
              <w:spacing w:line="360" w:lineRule="auto"/>
              <w:rPr>
                <w:rFonts w:hint="eastAsia"/>
                <w:color w:val="auto"/>
              </w:rPr>
            </w:pPr>
            <w:r>
              <w:rPr>
                <w:rFonts w:hint="eastAsia" w:ascii="宋体" w:hAnsi="宋体" w:cs="宋体"/>
                <w:color w:val="auto"/>
                <w:szCs w:val="21"/>
                <w:highlight w:val="none"/>
                <w:lang w:eastAsia="zh-CN"/>
              </w:rPr>
              <w:t>参加本次采购活动前三年内在经营活动中没有重大违法记录和不良信用记录的和网上查询证明截图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p>
        </w:tc>
        <w:tc>
          <w:tcPr>
            <w:tcW w:w="426" w:type="dxa"/>
            <w:vMerge w:val="continue"/>
            <w:vAlign w:val="center"/>
          </w:tcPr>
          <w:p>
            <w:pPr>
              <w:keepNext w:val="0"/>
              <w:keepLines w:val="0"/>
              <w:pageBreakBefore w:val="0"/>
              <w:kinsoku/>
              <w:wordWrap/>
              <w:overflowPunct/>
              <w:topLinePunct w:val="0"/>
              <w:autoSpaceDE/>
              <w:autoSpaceDN/>
              <w:bidi w:val="0"/>
              <w:snapToGrid/>
              <w:spacing w:line="312" w:lineRule="auto"/>
              <w:rPr>
                <w:color w:val="auto"/>
                <w:szCs w:val="21"/>
              </w:rPr>
            </w:pPr>
          </w:p>
        </w:tc>
        <w:tc>
          <w:tcPr>
            <w:tcW w:w="919" w:type="dxa"/>
            <w:vMerge w:val="continue"/>
            <w:vAlign w:val="center"/>
          </w:tcPr>
          <w:p>
            <w:pPr>
              <w:keepNext w:val="0"/>
              <w:keepLines w:val="0"/>
              <w:pageBreakBefore w:val="0"/>
              <w:kinsoku/>
              <w:wordWrap/>
              <w:overflowPunct/>
              <w:topLinePunct w:val="0"/>
              <w:autoSpaceDE/>
              <w:autoSpaceDN/>
              <w:bidi w:val="0"/>
              <w:snapToGrid/>
              <w:spacing w:line="312" w:lineRule="auto"/>
              <w:rPr>
                <w:color w:val="auto"/>
                <w:szCs w:val="21"/>
              </w:rPr>
            </w:pPr>
          </w:p>
        </w:tc>
        <w:tc>
          <w:tcPr>
            <w:tcW w:w="2492" w:type="dxa"/>
            <w:gridSpan w:val="3"/>
            <w:vAlign w:val="center"/>
          </w:tcPr>
          <w:p>
            <w:pPr>
              <w:spacing w:line="360" w:lineRule="auto"/>
              <w:rPr>
                <w:rFonts w:hint="eastAsia" w:eastAsia="宋体"/>
                <w:color w:val="auto"/>
                <w:lang w:eastAsia="zh-CN"/>
              </w:rPr>
            </w:pPr>
            <w:r>
              <w:rPr>
                <w:rFonts w:hint="eastAsia" w:ascii="宋体" w:hAnsi="宋体" w:eastAsia="宋体" w:cs="宋体"/>
                <w:b w:val="0"/>
                <w:bCs/>
                <w:color w:val="auto"/>
                <w:szCs w:val="21"/>
              </w:rPr>
              <w:t>项目</w:t>
            </w:r>
            <w:r>
              <w:rPr>
                <w:rFonts w:hint="eastAsia" w:ascii="宋体" w:hAnsi="宋体" w:cs="宋体"/>
                <w:b w:val="0"/>
                <w:bCs/>
                <w:color w:val="auto"/>
                <w:szCs w:val="21"/>
                <w:lang w:eastAsia="zh-CN"/>
              </w:rPr>
              <w:t>经理</w:t>
            </w:r>
          </w:p>
        </w:tc>
        <w:tc>
          <w:tcPr>
            <w:tcW w:w="4830" w:type="dxa"/>
            <w:vAlign w:val="top"/>
          </w:tcPr>
          <w:p>
            <w:pPr>
              <w:spacing w:line="360" w:lineRule="auto"/>
              <w:rPr>
                <w:rFonts w:hint="eastAsia" w:eastAsia="宋体"/>
                <w:color w:val="auto"/>
                <w:lang w:eastAsia="zh-CN"/>
              </w:rPr>
            </w:pPr>
            <w:r>
              <w:rPr>
                <w:rFonts w:hint="eastAsia" w:ascii="宋体" w:hAnsi="宋体" w:cs="宋体"/>
                <w:b w:val="0"/>
                <w:bCs/>
                <w:color w:val="auto"/>
                <w:szCs w:val="21"/>
                <w:lang w:eastAsia="zh-CN"/>
              </w:rPr>
              <w:t>符合竞争性磋商采购文件的要求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p>
        </w:tc>
        <w:tc>
          <w:tcPr>
            <w:tcW w:w="426" w:type="dxa"/>
            <w:vMerge w:val="continue"/>
            <w:vAlign w:val="center"/>
          </w:tcPr>
          <w:p>
            <w:pPr>
              <w:keepNext w:val="0"/>
              <w:keepLines w:val="0"/>
              <w:pageBreakBefore w:val="0"/>
              <w:kinsoku/>
              <w:wordWrap/>
              <w:overflowPunct/>
              <w:topLinePunct w:val="0"/>
              <w:autoSpaceDE/>
              <w:autoSpaceDN/>
              <w:bidi w:val="0"/>
              <w:snapToGrid/>
              <w:spacing w:line="312" w:lineRule="auto"/>
              <w:rPr>
                <w:color w:val="auto"/>
                <w:szCs w:val="21"/>
              </w:rPr>
            </w:pPr>
          </w:p>
        </w:tc>
        <w:tc>
          <w:tcPr>
            <w:tcW w:w="919" w:type="dxa"/>
            <w:vMerge w:val="continue"/>
            <w:vAlign w:val="center"/>
          </w:tcPr>
          <w:p>
            <w:pPr>
              <w:keepNext w:val="0"/>
              <w:keepLines w:val="0"/>
              <w:pageBreakBefore w:val="0"/>
              <w:kinsoku/>
              <w:wordWrap/>
              <w:overflowPunct/>
              <w:topLinePunct w:val="0"/>
              <w:autoSpaceDE/>
              <w:autoSpaceDN/>
              <w:bidi w:val="0"/>
              <w:snapToGrid/>
              <w:spacing w:line="312" w:lineRule="auto"/>
              <w:rPr>
                <w:color w:val="auto"/>
                <w:szCs w:val="21"/>
              </w:rPr>
            </w:pPr>
          </w:p>
        </w:tc>
        <w:tc>
          <w:tcPr>
            <w:tcW w:w="2492" w:type="dxa"/>
            <w:gridSpan w:val="3"/>
            <w:vAlign w:val="center"/>
          </w:tcPr>
          <w:p>
            <w:pPr>
              <w:spacing w:line="360" w:lineRule="auto"/>
              <w:rPr>
                <w:rFonts w:hint="eastAsia"/>
                <w:color w:val="auto"/>
              </w:rPr>
            </w:pPr>
            <w:r>
              <w:rPr>
                <w:rFonts w:hint="eastAsia" w:ascii="宋体" w:hAnsi="宋体" w:eastAsia="宋体" w:cs="宋体"/>
                <w:b w:val="0"/>
                <w:bCs/>
                <w:color w:val="auto"/>
                <w:szCs w:val="21"/>
              </w:rPr>
              <w:t>专职安全员</w:t>
            </w:r>
          </w:p>
        </w:tc>
        <w:tc>
          <w:tcPr>
            <w:tcW w:w="4830" w:type="dxa"/>
            <w:vAlign w:val="center"/>
          </w:tcPr>
          <w:p>
            <w:pPr>
              <w:spacing w:line="360" w:lineRule="auto"/>
              <w:rPr>
                <w:rFonts w:hint="eastAsia" w:eastAsia="宋体"/>
                <w:color w:val="auto"/>
                <w:lang w:eastAsia="zh-CN"/>
              </w:rPr>
            </w:pPr>
            <w:r>
              <w:rPr>
                <w:rFonts w:hint="eastAsia" w:ascii="宋体" w:hAnsi="宋体" w:cs="宋体"/>
                <w:b w:val="0"/>
                <w:bCs/>
                <w:color w:val="auto"/>
                <w:szCs w:val="21"/>
                <w:lang w:eastAsia="zh-CN"/>
              </w:rPr>
              <w:t>符合竞争性磋商采购文件的要求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p>
        </w:tc>
        <w:tc>
          <w:tcPr>
            <w:tcW w:w="426" w:type="dxa"/>
            <w:vMerge w:val="continue"/>
            <w:vAlign w:val="center"/>
          </w:tcPr>
          <w:p>
            <w:pPr>
              <w:keepNext w:val="0"/>
              <w:keepLines w:val="0"/>
              <w:pageBreakBefore w:val="0"/>
              <w:kinsoku/>
              <w:wordWrap/>
              <w:overflowPunct/>
              <w:topLinePunct w:val="0"/>
              <w:autoSpaceDE/>
              <w:autoSpaceDN/>
              <w:bidi w:val="0"/>
              <w:snapToGrid/>
              <w:spacing w:line="312" w:lineRule="auto"/>
              <w:rPr>
                <w:color w:val="auto"/>
                <w:szCs w:val="21"/>
              </w:rPr>
            </w:pPr>
          </w:p>
        </w:tc>
        <w:tc>
          <w:tcPr>
            <w:tcW w:w="919" w:type="dxa"/>
            <w:vMerge w:val="continue"/>
            <w:vAlign w:val="center"/>
          </w:tcPr>
          <w:p>
            <w:pPr>
              <w:keepNext w:val="0"/>
              <w:keepLines w:val="0"/>
              <w:pageBreakBefore w:val="0"/>
              <w:kinsoku/>
              <w:wordWrap/>
              <w:overflowPunct/>
              <w:topLinePunct w:val="0"/>
              <w:autoSpaceDE/>
              <w:autoSpaceDN/>
              <w:bidi w:val="0"/>
              <w:snapToGrid/>
              <w:spacing w:line="312" w:lineRule="auto"/>
              <w:rPr>
                <w:color w:val="auto"/>
                <w:szCs w:val="21"/>
              </w:rPr>
            </w:pPr>
          </w:p>
        </w:tc>
        <w:tc>
          <w:tcPr>
            <w:tcW w:w="2492" w:type="dxa"/>
            <w:gridSpan w:val="3"/>
            <w:vAlign w:val="center"/>
          </w:tcPr>
          <w:p>
            <w:pPr>
              <w:spacing w:line="360" w:lineRule="auto"/>
              <w:rPr>
                <w:rFonts w:hint="eastAsia"/>
                <w:color w:val="auto"/>
              </w:rPr>
            </w:pPr>
            <w:r>
              <w:rPr>
                <w:rFonts w:hint="eastAsia" w:ascii="宋体" w:hAnsi="宋体" w:eastAsia="宋体" w:cs="宋体"/>
                <w:b w:val="0"/>
                <w:bCs/>
                <w:color w:val="auto"/>
                <w:szCs w:val="21"/>
              </w:rPr>
              <w:t>其他要求</w:t>
            </w:r>
          </w:p>
        </w:tc>
        <w:tc>
          <w:tcPr>
            <w:tcW w:w="4830" w:type="dxa"/>
            <w:vAlign w:val="center"/>
          </w:tcPr>
          <w:p>
            <w:pPr>
              <w:pStyle w:val="12"/>
              <w:keepNext w:val="0"/>
              <w:keepLines w:val="0"/>
              <w:pageBreakBefore w:val="0"/>
              <w:kinsoku/>
              <w:wordWrap/>
              <w:overflowPunct/>
              <w:topLinePunct w:val="0"/>
              <w:autoSpaceDE/>
              <w:autoSpaceDN/>
              <w:bidi w:val="0"/>
              <w:snapToGrid/>
              <w:spacing w:line="312" w:lineRule="auto"/>
              <w:rPr>
                <w:rFonts w:hint="eastAsia" w:eastAsia="宋体"/>
                <w:color w:val="auto"/>
                <w:lang w:eastAsia="zh-CN"/>
              </w:rPr>
            </w:pPr>
            <w:r>
              <w:rPr>
                <w:rFonts w:hint="eastAsia" w:asciiTheme="minorEastAsia" w:hAnsiTheme="minorEastAsia" w:cstheme="minorEastAsia"/>
                <w:color w:val="auto"/>
                <w:szCs w:val="21"/>
                <w:lang w:eastAsia="zh-CN"/>
              </w:rPr>
              <w:t>竞标截止前一年内磋商单位连续三个月依法依法缴纳税费或依法免缴税费的证明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2" w:type="dxa"/>
            <w:vMerge w:val="restart"/>
            <w:vAlign w:val="center"/>
          </w:tcPr>
          <w:p>
            <w:pPr>
              <w:keepNext w:val="0"/>
              <w:keepLines w:val="0"/>
              <w:pageBreakBefore w:val="0"/>
              <w:kinsoku/>
              <w:wordWrap/>
              <w:overflowPunct/>
              <w:topLinePunct w:val="0"/>
              <w:autoSpaceDE/>
              <w:autoSpaceDN/>
              <w:bidi w:val="0"/>
              <w:snapToGrid/>
              <w:spacing w:line="312" w:lineRule="auto"/>
              <w:jc w:val="center"/>
              <w:rPr>
                <w:b/>
                <w:bCs/>
                <w:color w:val="auto"/>
                <w:szCs w:val="21"/>
              </w:rPr>
            </w:pPr>
            <w:r>
              <w:rPr>
                <w:b/>
                <w:bCs/>
                <w:color w:val="auto"/>
                <w:szCs w:val="21"/>
              </w:rPr>
              <w:t>2.1.2</w:t>
            </w:r>
          </w:p>
        </w:tc>
        <w:tc>
          <w:tcPr>
            <w:tcW w:w="1345" w:type="dxa"/>
            <w:gridSpan w:val="2"/>
            <w:vMerge w:val="restart"/>
            <w:vAlign w:val="center"/>
          </w:tcPr>
          <w:p>
            <w:pPr>
              <w:keepNext w:val="0"/>
              <w:keepLines w:val="0"/>
              <w:pageBreakBefore w:val="0"/>
              <w:kinsoku/>
              <w:wordWrap/>
              <w:overflowPunct/>
              <w:topLinePunct w:val="0"/>
              <w:autoSpaceDE/>
              <w:autoSpaceDN/>
              <w:bidi w:val="0"/>
              <w:snapToGrid/>
              <w:spacing w:line="312" w:lineRule="auto"/>
              <w:jc w:val="center"/>
              <w:rPr>
                <w:b/>
                <w:bCs/>
                <w:color w:val="auto"/>
                <w:szCs w:val="21"/>
              </w:rPr>
            </w:pPr>
            <w:r>
              <w:rPr>
                <w:b/>
                <w:bCs/>
                <w:color w:val="auto"/>
                <w:szCs w:val="21"/>
              </w:rPr>
              <w:t>形式</w:t>
            </w:r>
          </w:p>
          <w:p>
            <w:pPr>
              <w:keepNext w:val="0"/>
              <w:keepLines w:val="0"/>
              <w:pageBreakBefore w:val="0"/>
              <w:kinsoku/>
              <w:wordWrap/>
              <w:overflowPunct/>
              <w:topLinePunct w:val="0"/>
              <w:autoSpaceDE/>
              <w:autoSpaceDN/>
              <w:bidi w:val="0"/>
              <w:snapToGrid/>
              <w:spacing w:line="312" w:lineRule="auto"/>
              <w:jc w:val="center"/>
              <w:rPr>
                <w:b/>
                <w:bCs/>
                <w:color w:val="auto"/>
                <w:szCs w:val="21"/>
              </w:rPr>
            </w:pPr>
            <w:r>
              <w:rPr>
                <w:b/>
                <w:bCs/>
                <w:color w:val="auto"/>
                <w:szCs w:val="21"/>
              </w:rPr>
              <w:t>评审标准</w:t>
            </w:r>
          </w:p>
        </w:tc>
        <w:tc>
          <w:tcPr>
            <w:tcW w:w="7322" w:type="dxa"/>
            <w:gridSpan w:val="4"/>
            <w:vAlign w:val="center"/>
          </w:tcPr>
          <w:p>
            <w:pPr>
              <w:keepNext w:val="0"/>
              <w:keepLines w:val="0"/>
              <w:pageBreakBefore w:val="0"/>
              <w:kinsoku/>
              <w:wordWrap/>
              <w:overflowPunct/>
              <w:topLinePunct w:val="0"/>
              <w:autoSpaceDE/>
              <w:autoSpaceDN/>
              <w:bidi w:val="0"/>
              <w:snapToGrid/>
              <w:spacing w:line="312" w:lineRule="auto"/>
              <w:rPr>
                <w:color w:val="auto"/>
                <w:szCs w:val="21"/>
              </w:rPr>
            </w:pPr>
            <w:r>
              <w:rPr>
                <w:b/>
                <w:color w:val="auto"/>
                <w:szCs w:val="21"/>
              </w:rPr>
              <w:t>合格标准：缺少任何一项或有任何一项不合格者</w:t>
            </w:r>
            <w:r>
              <w:rPr>
                <w:rFonts w:hint="eastAsia"/>
                <w:b/>
                <w:color w:val="auto"/>
                <w:szCs w:val="21"/>
              </w:rPr>
              <w:t>，</w:t>
            </w:r>
            <w:r>
              <w:rPr>
                <w:b/>
                <w:color w:val="auto"/>
                <w:szCs w:val="21"/>
              </w:rPr>
              <w:t>其</w:t>
            </w:r>
            <w:r>
              <w:rPr>
                <w:rFonts w:hint="eastAsia"/>
                <w:b/>
                <w:color w:val="auto"/>
                <w:szCs w:val="21"/>
              </w:rPr>
              <w:t>形式评审</w:t>
            </w:r>
            <w:r>
              <w:rPr>
                <w:b/>
                <w:color w:val="auto"/>
                <w:szCs w:val="21"/>
              </w:rPr>
              <w:t>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b/>
                <w:bCs/>
                <w:color w:val="auto"/>
                <w:szCs w:val="21"/>
              </w:rPr>
            </w:pPr>
          </w:p>
        </w:tc>
        <w:tc>
          <w:tcPr>
            <w:tcW w:w="1345" w:type="dxa"/>
            <w:gridSpan w:val="2"/>
            <w:vMerge w:val="continue"/>
            <w:vAlign w:val="center"/>
          </w:tcPr>
          <w:p>
            <w:pPr>
              <w:keepNext w:val="0"/>
              <w:keepLines w:val="0"/>
              <w:pageBreakBefore w:val="0"/>
              <w:kinsoku/>
              <w:wordWrap/>
              <w:overflowPunct/>
              <w:topLinePunct w:val="0"/>
              <w:autoSpaceDE/>
              <w:autoSpaceDN/>
              <w:bidi w:val="0"/>
              <w:snapToGrid/>
              <w:spacing w:line="312" w:lineRule="auto"/>
              <w:jc w:val="center"/>
              <w:rPr>
                <w:b/>
                <w:bCs/>
                <w:color w:val="auto"/>
                <w:szCs w:val="21"/>
              </w:rPr>
            </w:pPr>
          </w:p>
        </w:tc>
        <w:tc>
          <w:tcPr>
            <w:tcW w:w="2492" w:type="dxa"/>
            <w:gridSpan w:val="3"/>
            <w:vAlign w:val="center"/>
          </w:tcPr>
          <w:p>
            <w:pPr>
              <w:keepNext w:val="0"/>
              <w:keepLines w:val="0"/>
              <w:pageBreakBefore w:val="0"/>
              <w:kinsoku/>
              <w:wordWrap/>
              <w:overflowPunct/>
              <w:topLinePunct w:val="0"/>
              <w:autoSpaceDE/>
              <w:autoSpaceDN/>
              <w:bidi w:val="0"/>
              <w:snapToGrid/>
              <w:spacing w:line="312" w:lineRule="auto"/>
              <w:rPr>
                <w:color w:val="auto"/>
                <w:szCs w:val="21"/>
              </w:rPr>
            </w:pPr>
            <w:r>
              <w:rPr>
                <w:rFonts w:hint="eastAsia"/>
                <w:color w:val="auto"/>
                <w:szCs w:val="21"/>
              </w:rPr>
              <w:t>磋商单位</w:t>
            </w:r>
            <w:r>
              <w:rPr>
                <w:color w:val="auto"/>
                <w:szCs w:val="21"/>
              </w:rPr>
              <w:t>名称</w:t>
            </w:r>
          </w:p>
        </w:tc>
        <w:tc>
          <w:tcPr>
            <w:tcW w:w="4830" w:type="dxa"/>
            <w:vAlign w:val="center"/>
          </w:tcPr>
          <w:p>
            <w:pPr>
              <w:keepNext w:val="0"/>
              <w:keepLines w:val="0"/>
              <w:pageBreakBefore w:val="0"/>
              <w:kinsoku/>
              <w:wordWrap/>
              <w:overflowPunct/>
              <w:topLinePunct w:val="0"/>
              <w:autoSpaceDE/>
              <w:autoSpaceDN/>
              <w:bidi w:val="0"/>
              <w:snapToGrid/>
              <w:spacing w:line="312" w:lineRule="auto"/>
              <w:rPr>
                <w:color w:val="auto"/>
                <w:szCs w:val="21"/>
              </w:rPr>
            </w:pPr>
            <w:r>
              <w:rPr>
                <w:color w:val="auto"/>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b/>
                <w:bCs/>
                <w:color w:val="auto"/>
                <w:szCs w:val="21"/>
              </w:rPr>
            </w:pPr>
          </w:p>
        </w:tc>
        <w:tc>
          <w:tcPr>
            <w:tcW w:w="1345" w:type="dxa"/>
            <w:gridSpan w:val="2"/>
            <w:vMerge w:val="continue"/>
            <w:vAlign w:val="center"/>
          </w:tcPr>
          <w:p>
            <w:pPr>
              <w:keepNext w:val="0"/>
              <w:keepLines w:val="0"/>
              <w:pageBreakBefore w:val="0"/>
              <w:kinsoku/>
              <w:wordWrap/>
              <w:overflowPunct/>
              <w:topLinePunct w:val="0"/>
              <w:autoSpaceDE/>
              <w:autoSpaceDN/>
              <w:bidi w:val="0"/>
              <w:snapToGrid/>
              <w:spacing w:line="312" w:lineRule="auto"/>
              <w:jc w:val="center"/>
              <w:rPr>
                <w:b/>
                <w:bCs/>
                <w:color w:val="auto"/>
                <w:szCs w:val="21"/>
              </w:rPr>
            </w:pPr>
          </w:p>
        </w:tc>
        <w:tc>
          <w:tcPr>
            <w:tcW w:w="2492" w:type="dxa"/>
            <w:gridSpan w:val="3"/>
            <w:vAlign w:val="center"/>
          </w:tcPr>
          <w:p>
            <w:pPr>
              <w:keepNext w:val="0"/>
              <w:keepLines w:val="0"/>
              <w:pageBreakBefore w:val="0"/>
              <w:kinsoku/>
              <w:wordWrap/>
              <w:overflowPunct/>
              <w:topLinePunct w:val="0"/>
              <w:autoSpaceDE/>
              <w:autoSpaceDN/>
              <w:bidi w:val="0"/>
              <w:snapToGrid/>
              <w:spacing w:line="312" w:lineRule="auto"/>
              <w:rPr>
                <w:color w:val="auto"/>
                <w:szCs w:val="21"/>
              </w:rPr>
            </w:pPr>
            <w:r>
              <w:rPr>
                <w:color w:val="auto"/>
                <w:szCs w:val="21"/>
              </w:rPr>
              <w:t>投标函签字盖章</w:t>
            </w:r>
          </w:p>
        </w:tc>
        <w:tc>
          <w:tcPr>
            <w:tcW w:w="4830" w:type="dxa"/>
            <w:vAlign w:val="center"/>
          </w:tcPr>
          <w:p>
            <w:pPr>
              <w:keepNext w:val="0"/>
              <w:keepLines w:val="0"/>
              <w:pageBreakBefore w:val="0"/>
              <w:kinsoku/>
              <w:wordWrap/>
              <w:overflowPunct/>
              <w:topLinePunct w:val="0"/>
              <w:autoSpaceDE/>
              <w:autoSpaceDN/>
              <w:bidi w:val="0"/>
              <w:snapToGrid/>
              <w:spacing w:line="312" w:lineRule="auto"/>
              <w:rPr>
                <w:color w:val="auto"/>
                <w:szCs w:val="21"/>
              </w:rPr>
            </w:pPr>
            <w:r>
              <w:rPr>
                <w:color w:val="auto"/>
                <w:szCs w:val="21"/>
              </w:rPr>
              <w:t>法定代表人或其委托代理人签字或盖章及加盖</w:t>
            </w:r>
            <w:r>
              <w:rPr>
                <w:rFonts w:hint="eastAsia"/>
                <w:color w:val="auto"/>
                <w:szCs w:val="21"/>
              </w:rPr>
              <w:t>磋商单位</w:t>
            </w:r>
            <w:r>
              <w:rPr>
                <w:color w:val="auto"/>
                <w:szCs w:val="21"/>
              </w:rPr>
              <w:t>单位公章</w:t>
            </w:r>
            <w:r>
              <w:rPr>
                <w:rFonts w:hint="eastAsia"/>
                <w:color w:val="auto"/>
                <w:szCs w:val="21"/>
              </w:rPr>
              <w:t>或其他采购文件的要求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b/>
                <w:bCs/>
                <w:color w:val="auto"/>
                <w:szCs w:val="21"/>
              </w:rPr>
            </w:pPr>
          </w:p>
        </w:tc>
        <w:tc>
          <w:tcPr>
            <w:tcW w:w="1345" w:type="dxa"/>
            <w:gridSpan w:val="2"/>
            <w:vMerge w:val="continue"/>
            <w:vAlign w:val="center"/>
          </w:tcPr>
          <w:p>
            <w:pPr>
              <w:keepNext w:val="0"/>
              <w:keepLines w:val="0"/>
              <w:pageBreakBefore w:val="0"/>
              <w:kinsoku/>
              <w:wordWrap/>
              <w:overflowPunct/>
              <w:topLinePunct w:val="0"/>
              <w:autoSpaceDE/>
              <w:autoSpaceDN/>
              <w:bidi w:val="0"/>
              <w:snapToGrid/>
              <w:spacing w:line="312" w:lineRule="auto"/>
              <w:jc w:val="center"/>
              <w:rPr>
                <w:b/>
                <w:bCs/>
                <w:color w:val="auto"/>
                <w:szCs w:val="21"/>
              </w:rPr>
            </w:pPr>
          </w:p>
        </w:tc>
        <w:tc>
          <w:tcPr>
            <w:tcW w:w="2492" w:type="dxa"/>
            <w:gridSpan w:val="3"/>
            <w:vAlign w:val="center"/>
          </w:tcPr>
          <w:p>
            <w:pPr>
              <w:keepNext w:val="0"/>
              <w:keepLines w:val="0"/>
              <w:pageBreakBefore w:val="0"/>
              <w:kinsoku/>
              <w:wordWrap/>
              <w:overflowPunct/>
              <w:topLinePunct w:val="0"/>
              <w:autoSpaceDE/>
              <w:autoSpaceDN/>
              <w:bidi w:val="0"/>
              <w:snapToGrid/>
              <w:spacing w:line="312" w:lineRule="auto"/>
              <w:rPr>
                <w:rFonts w:hint="eastAsia" w:eastAsia="宋体"/>
                <w:color w:val="auto"/>
                <w:szCs w:val="21"/>
                <w:lang w:eastAsia="zh-CN"/>
              </w:rPr>
            </w:pPr>
            <w:r>
              <w:rPr>
                <w:color w:val="auto"/>
                <w:szCs w:val="21"/>
              </w:rPr>
              <w:t>投标文件</w:t>
            </w:r>
            <w:r>
              <w:rPr>
                <w:rFonts w:hint="eastAsia"/>
                <w:color w:val="auto"/>
                <w:szCs w:val="21"/>
                <w:lang w:eastAsia="zh-CN"/>
              </w:rPr>
              <w:t>格式</w:t>
            </w:r>
          </w:p>
        </w:tc>
        <w:tc>
          <w:tcPr>
            <w:tcW w:w="4830" w:type="dxa"/>
            <w:vAlign w:val="center"/>
          </w:tcPr>
          <w:p>
            <w:pPr>
              <w:keepNext w:val="0"/>
              <w:keepLines w:val="0"/>
              <w:pageBreakBefore w:val="0"/>
              <w:kinsoku/>
              <w:wordWrap/>
              <w:overflowPunct/>
              <w:topLinePunct w:val="0"/>
              <w:autoSpaceDE/>
              <w:autoSpaceDN/>
              <w:bidi w:val="0"/>
              <w:snapToGrid/>
              <w:spacing w:line="312" w:lineRule="auto"/>
              <w:rPr>
                <w:color w:val="auto"/>
                <w:szCs w:val="21"/>
              </w:rPr>
            </w:pPr>
            <w:r>
              <w:rPr>
                <w:color w:val="auto"/>
                <w:szCs w:val="21"/>
              </w:rPr>
              <w:t>符合</w:t>
            </w:r>
            <w:r>
              <w:rPr>
                <w:rFonts w:hint="eastAsia"/>
                <w:color w:val="auto"/>
                <w:szCs w:val="21"/>
                <w:lang w:eastAsia="zh-CN"/>
              </w:rPr>
              <w:t>采购文件的</w:t>
            </w:r>
            <w:r>
              <w:rPr>
                <w:color w:val="auto"/>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b/>
                <w:bCs/>
                <w:color w:val="auto"/>
                <w:szCs w:val="21"/>
              </w:rPr>
            </w:pPr>
          </w:p>
        </w:tc>
        <w:tc>
          <w:tcPr>
            <w:tcW w:w="1345" w:type="dxa"/>
            <w:gridSpan w:val="2"/>
            <w:vMerge w:val="continue"/>
            <w:vAlign w:val="center"/>
          </w:tcPr>
          <w:p>
            <w:pPr>
              <w:keepNext w:val="0"/>
              <w:keepLines w:val="0"/>
              <w:pageBreakBefore w:val="0"/>
              <w:kinsoku/>
              <w:wordWrap/>
              <w:overflowPunct/>
              <w:topLinePunct w:val="0"/>
              <w:autoSpaceDE/>
              <w:autoSpaceDN/>
              <w:bidi w:val="0"/>
              <w:snapToGrid/>
              <w:spacing w:line="312" w:lineRule="auto"/>
              <w:jc w:val="center"/>
              <w:rPr>
                <w:b/>
                <w:bCs/>
                <w:color w:val="auto"/>
                <w:szCs w:val="21"/>
              </w:rPr>
            </w:pPr>
          </w:p>
        </w:tc>
        <w:tc>
          <w:tcPr>
            <w:tcW w:w="2492" w:type="dxa"/>
            <w:gridSpan w:val="3"/>
            <w:vAlign w:val="center"/>
          </w:tcPr>
          <w:p>
            <w:pPr>
              <w:keepNext w:val="0"/>
              <w:keepLines w:val="0"/>
              <w:pageBreakBefore w:val="0"/>
              <w:kinsoku/>
              <w:wordWrap/>
              <w:overflowPunct/>
              <w:topLinePunct w:val="0"/>
              <w:autoSpaceDE/>
              <w:autoSpaceDN/>
              <w:bidi w:val="0"/>
              <w:snapToGrid/>
              <w:spacing w:line="312" w:lineRule="auto"/>
              <w:rPr>
                <w:color w:val="auto"/>
                <w:szCs w:val="21"/>
              </w:rPr>
            </w:pPr>
            <w:r>
              <w:rPr>
                <w:color w:val="auto"/>
                <w:szCs w:val="21"/>
              </w:rPr>
              <w:t>报价唯一</w:t>
            </w:r>
          </w:p>
        </w:tc>
        <w:tc>
          <w:tcPr>
            <w:tcW w:w="4830" w:type="dxa"/>
            <w:vAlign w:val="center"/>
          </w:tcPr>
          <w:p>
            <w:pPr>
              <w:keepNext w:val="0"/>
              <w:keepLines w:val="0"/>
              <w:pageBreakBefore w:val="0"/>
              <w:kinsoku/>
              <w:wordWrap/>
              <w:overflowPunct/>
              <w:topLinePunct w:val="0"/>
              <w:autoSpaceDE/>
              <w:autoSpaceDN/>
              <w:bidi w:val="0"/>
              <w:snapToGrid/>
              <w:spacing w:line="312" w:lineRule="auto"/>
              <w:rPr>
                <w:color w:val="auto"/>
                <w:szCs w:val="21"/>
              </w:rPr>
            </w:pPr>
            <w:r>
              <w:rPr>
                <w:color w:val="auto"/>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restart"/>
            <w:vAlign w:val="center"/>
          </w:tcPr>
          <w:p>
            <w:pPr>
              <w:keepNext w:val="0"/>
              <w:keepLines w:val="0"/>
              <w:pageBreakBefore w:val="0"/>
              <w:kinsoku/>
              <w:wordWrap/>
              <w:overflowPunct/>
              <w:topLinePunct w:val="0"/>
              <w:autoSpaceDE/>
              <w:autoSpaceDN/>
              <w:bidi w:val="0"/>
              <w:snapToGrid/>
              <w:spacing w:line="312" w:lineRule="auto"/>
              <w:jc w:val="center"/>
              <w:rPr>
                <w:b/>
                <w:bCs/>
                <w:color w:val="auto"/>
                <w:szCs w:val="21"/>
              </w:rPr>
            </w:pPr>
            <w:r>
              <w:rPr>
                <w:b/>
                <w:bCs/>
                <w:color w:val="auto"/>
                <w:szCs w:val="21"/>
              </w:rPr>
              <w:t>2.1.3</w:t>
            </w:r>
          </w:p>
        </w:tc>
        <w:tc>
          <w:tcPr>
            <w:tcW w:w="1345" w:type="dxa"/>
            <w:gridSpan w:val="2"/>
            <w:vMerge w:val="restart"/>
            <w:vAlign w:val="center"/>
          </w:tcPr>
          <w:p>
            <w:pPr>
              <w:keepNext w:val="0"/>
              <w:keepLines w:val="0"/>
              <w:pageBreakBefore w:val="0"/>
              <w:kinsoku/>
              <w:wordWrap/>
              <w:overflowPunct/>
              <w:topLinePunct w:val="0"/>
              <w:autoSpaceDE/>
              <w:autoSpaceDN/>
              <w:bidi w:val="0"/>
              <w:snapToGrid/>
              <w:spacing w:line="312" w:lineRule="auto"/>
              <w:jc w:val="center"/>
              <w:rPr>
                <w:b/>
                <w:bCs/>
                <w:color w:val="auto"/>
                <w:szCs w:val="21"/>
              </w:rPr>
            </w:pPr>
            <w:r>
              <w:rPr>
                <w:b/>
                <w:bCs/>
                <w:color w:val="auto"/>
                <w:szCs w:val="21"/>
              </w:rPr>
              <w:t>响应性</w:t>
            </w:r>
          </w:p>
          <w:p>
            <w:pPr>
              <w:keepNext w:val="0"/>
              <w:keepLines w:val="0"/>
              <w:pageBreakBefore w:val="0"/>
              <w:kinsoku/>
              <w:wordWrap/>
              <w:overflowPunct/>
              <w:topLinePunct w:val="0"/>
              <w:autoSpaceDE/>
              <w:autoSpaceDN/>
              <w:bidi w:val="0"/>
              <w:snapToGrid/>
              <w:spacing w:line="312" w:lineRule="auto"/>
              <w:jc w:val="center"/>
              <w:rPr>
                <w:b/>
                <w:bCs/>
                <w:color w:val="auto"/>
                <w:szCs w:val="21"/>
              </w:rPr>
            </w:pPr>
            <w:r>
              <w:rPr>
                <w:b/>
                <w:bCs/>
                <w:color w:val="auto"/>
                <w:szCs w:val="21"/>
              </w:rPr>
              <w:t>评审标准</w:t>
            </w:r>
          </w:p>
          <w:p>
            <w:pPr>
              <w:keepNext w:val="0"/>
              <w:keepLines w:val="0"/>
              <w:pageBreakBefore w:val="0"/>
              <w:kinsoku/>
              <w:wordWrap/>
              <w:overflowPunct/>
              <w:topLinePunct w:val="0"/>
              <w:autoSpaceDE/>
              <w:autoSpaceDN/>
              <w:bidi w:val="0"/>
              <w:snapToGrid/>
              <w:spacing w:line="312" w:lineRule="auto"/>
              <w:jc w:val="center"/>
              <w:rPr>
                <w:b/>
                <w:bCs/>
                <w:color w:val="auto"/>
                <w:szCs w:val="21"/>
              </w:rPr>
            </w:pPr>
          </w:p>
        </w:tc>
        <w:tc>
          <w:tcPr>
            <w:tcW w:w="7322" w:type="dxa"/>
            <w:gridSpan w:val="4"/>
            <w:vAlign w:val="center"/>
          </w:tcPr>
          <w:p>
            <w:pPr>
              <w:keepNext w:val="0"/>
              <w:keepLines w:val="0"/>
              <w:pageBreakBefore w:val="0"/>
              <w:kinsoku/>
              <w:wordWrap/>
              <w:overflowPunct/>
              <w:topLinePunct w:val="0"/>
              <w:autoSpaceDE/>
              <w:autoSpaceDN/>
              <w:bidi w:val="0"/>
              <w:snapToGrid/>
              <w:spacing w:line="312" w:lineRule="auto"/>
              <w:rPr>
                <w:color w:val="auto"/>
                <w:szCs w:val="21"/>
              </w:rPr>
            </w:pPr>
            <w:r>
              <w:rPr>
                <w:b/>
                <w:color w:val="auto"/>
                <w:szCs w:val="21"/>
              </w:rPr>
              <w:t>合格标准：缺少任何一项或有任何一项不合格者</w:t>
            </w:r>
            <w:r>
              <w:rPr>
                <w:rFonts w:hint="eastAsia"/>
                <w:b/>
                <w:color w:val="auto"/>
                <w:szCs w:val="21"/>
              </w:rPr>
              <w:t>，</w:t>
            </w:r>
            <w:r>
              <w:rPr>
                <w:b/>
                <w:color w:val="auto"/>
                <w:szCs w:val="21"/>
              </w:rPr>
              <w:t>其</w:t>
            </w:r>
            <w:r>
              <w:rPr>
                <w:rFonts w:hint="eastAsia"/>
                <w:b/>
                <w:color w:val="auto"/>
                <w:szCs w:val="21"/>
              </w:rPr>
              <w:t>响应性评审</w:t>
            </w:r>
            <w:r>
              <w:rPr>
                <w:b/>
                <w:color w:val="auto"/>
                <w:szCs w:val="21"/>
              </w:rPr>
              <w:t>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p>
        </w:tc>
        <w:tc>
          <w:tcPr>
            <w:tcW w:w="1345" w:type="dxa"/>
            <w:gridSpan w:val="2"/>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p>
        </w:tc>
        <w:tc>
          <w:tcPr>
            <w:tcW w:w="2492" w:type="dxa"/>
            <w:gridSpan w:val="3"/>
            <w:vAlign w:val="center"/>
          </w:tcPr>
          <w:p>
            <w:pPr>
              <w:keepNext w:val="0"/>
              <w:keepLines w:val="0"/>
              <w:pageBreakBefore w:val="0"/>
              <w:kinsoku/>
              <w:wordWrap/>
              <w:overflowPunct/>
              <w:topLinePunct w:val="0"/>
              <w:autoSpaceDE/>
              <w:autoSpaceDN/>
              <w:bidi w:val="0"/>
              <w:snapToGrid/>
              <w:spacing w:line="312" w:lineRule="auto"/>
              <w:rPr>
                <w:color w:val="auto"/>
                <w:szCs w:val="21"/>
              </w:rPr>
            </w:pPr>
            <w:r>
              <w:rPr>
                <w:color w:val="auto"/>
                <w:szCs w:val="21"/>
              </w:rPr>
              <w:t>投标内容</w:t>
            </w:r>
          </w:p>
        </w:tc>
        <w:tc>
          <w:tcPr>
            <w:tcW w:w="4830" w:type="dxa"/>
            <w:vAlign w:val="center"/>
          </w:tcPr>
          <w:p>
            <w:pPr>
              <w:keepNext w:val="0"/>
              <w:keepLines w:val="0"/>
              <w:pageBreakBefore w:val="0"/>
              <w:kinsoku/>
              <w:wordWrap/>
              <w:overflowPunct/>
              <w:topLinePunct w:val="0"/>
              <w:autoSpaceDE/>
              <w:autoSpaceDN/>
              <w:bidi w:val="0"/>
              <w:snapToGrid/>
              <w:spacing w:line="312" w:lineRule="auto"/>
              <w:rPr>
                <w:color w:val="auto"/>
                <w:szCs w:val="21"/>
              </w:rPr>
            </w:pPr>
            <w:r>
              <w:rPr>
                <w:color w:val="auto"/>
                <w:szCs w:val="21"/>
              </w:rPr>
              <w:t>符合</w:t>
            </w:r>
            <w:r>
              <w:rPr>
                <w:rFonts w:hint="eastAsia"/>
                <w:color w:val="auto"/>
                <w:szCs w:val="21"/>
              </w:rPr>
              <w:t>竞争性磋商采购文件的要求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p>
        </w:tc>
        <w:tc>
          <w:tcPr>
            <w:tcW w:w="1345" w:type="dxa"/>
            <w:gridSpan w:val="2"/>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p>
        </w:tc>
        <w:tc>
          <w:tcPr>
            <w:tcW w:w="2492" w:type="dxa"/>
            <w:gridSpan w:val="3"/>
            <w:vAlign w:val="center"/>
          </w:tcPr>
          <w:p>
            <w:pPr>
              <w:keepNext w:val="0"/>
              <w:keepLines w:val="0"/>
              <w:pageBreakBefore w:val="0"/>
              <w:kinsoku/>
              <w:wordWrap/>
              <w:overflowPunct/>
              <w:topLinePunct w:val="0"/>
              <w:autoSpaceDE/>
              <w:autoSpaceDN/>
              <w:bidi w:val="0"/>
              <w:snapToGrid/>
              <w:spacing w:line="312" w:lineRule="auto"/>
              <w:rPr>
                <w:color w:val="auto"/>
                <w:szCs w:val="21"/>
              </w:rPr>
            </w:pPr>
            <w:r>
              <w:rPr>
                <w:color w:val="auto"/>
                <w:szCs w:val="21"/>
              </w:rPr>
              <w:t>工期</w:t>
            </w:r>
          </w:p>
        </w:tc>
        <w:tc>
          <w:tcPr>
            <w:tcW w:w="4830" w:type="dxa"/>
            <w:vAlign w:val="center"/>
          </w:tcPr>
          <w:p>
            <w:pPr>
              <w:keepNext w:val="0"/>
              <w:keepLines w:val="0"/>
              <w:pageBreakBefore w:val="0"/>
              <w:kinsoku/>
              <w:wordWrap/>
              <w:overflowPunct/>
              <w:topLinePunct w:val="0"/>
              <w:autoSpaceDE/>
              <w:autoSpaceDN/>
              <w:bidi w:val="0"/>
              <w:snapToGrid/>
              <w:spacing w:line="312" w:lineRule="auto"/>
              <w:rPr>
                <w:color w:val="auto"/>
                <w:szCs w:val="21"/>
              </w:rPr>
            </w:pPr>
            <w:r>
              <w:rPr>
                <w:color w:val="auto"/>
                <w:szCs w:val="21"/>
              </w:rPr>
              <w:t>符合</w:t>
            </w:r>
            <w:r>
              <w:rPr>
                <w:rFonts w:hint="eastAsia"/>
                <w:color w:val="auto"/>
                <w:szCs w:val="21"/>
              </w:rPr>
              <w:t>竞争性磋商采购文件的要求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p>
        </w:tc>
        <w:tc>
          <w:tcPr>
            <w:tcW w:w="1345" w:type="dxa"/>
            <w:gridSpan w:val="2"/>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p>
        </w:tc>
        <w:tc>
          <w:tcPr>
            <w:tcW w:w="2492" w:type="dxa"/>
            <w:gridSpan w:val="3"/>
            <w:vAlign w:val="center"/>
          </w:tcPr>
          <w:p>
            <w:pPr>
              <w:keepNext w:val="0"/>
              <w:keepLines w:val="0"/>
              <w:pageBreakBefore w:val="0"/>
              <w:kinsoku/>
              <w:wordWrap/>
              <w:overflowPunct/>
              <w:topLinePunct w:val="0"/>
              <w:autoSpaceDE/>
              <w:autoSpaceDN/>
              <w:bidi w:val="0"/>
              <w:snapToGrid/>
              <w:spacing w:line="312" w:lineRule="auto"/>
              <w:rPr>
                <w:color w:val="auto"/>
                <w:szCs w:val="21"/>
              </w:rPr>
            </w:pPr>
            <w:r>
              <w:rPr>
                <w:color w:val="auto"/>
                <w:szCs w:val="21"/>
              </w:rPr>
              <w:t>工程质量</w:t>
            </w:r>
          </w:p>
        </w:tc>
        <w:tc>
          <w:tcPr>
            <w:tcW w:w="4830" w:type="dxa"/>
            <w:vAlign w:val="center"/>
          </w:tcPr>
          <w:p>
            <w:pPr>
              <w:keepNext w:val="0"/>
              <w:keepLines w:val="0"/>
              <w:pageBreakBefore w:val="0"/>
              <w:kinsoku/>
              <w:wordWrap/>
              <w:overflowPunct/>
              <w:topLinePunct w:val="0"/>
              <w:autoSpaceDE/>
              <w:autoSpaceDN/>
              <w:bidi w:val="0"/>
              <w:snapToGrid/>
              <w:spacing w:line="312" w:lineRule="auto"/>
              <w:rPr>
                <w:color w:val="auto"/>
                <w:szCs w:val="21"/>
              </w:rPr>
            </w:pPr>
            <w:r>
              <w:rPr>
                <w:rFonts w:hint="eastAsia" w:ascii="宋体" w:hAnsi="宋体" w:cs="宋体"/>
                <w:bCs/>
                <w:color w:val="auto"/>
                <w:szCs w:val="21"/>
              </w:rPr>
              <w:t>达到国家竣工验收规范合格标准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p>
        </w:tc>
        <w:tc>
          <w:tcPr>
            <w:tcW w:w="1345" w:type="dxa"/>
            <w:gridSpan w:val="2"/>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p>
        </w:tc>
        <w:tc>
          <w:tcPr>
            <w:tcW w:w="2492" w:type="dxa"/>
            <w:gridSpan w:val="3"/>
            <w:vAlign w:val="center"/>
          </w:tcPr>
          <w:p>
            <w:pPr>
              <w:keepNext w:val="0"/>
              <w:keepLines w:val="0"/>
              <w:pageBreakBefore w:val="0"/>
              <w:kinsoku/>
              <w:wordWrap/>
              <w:overflowPunct/>
              <w:topLinePunct w:val="0"/>
              <w:autoSpaceDE/>
              <w:autoSpaceDN/>
              <w:bidi w:val="0"/>
              <w:snapToGrid/>
              <w:spacing w:line="312" w:lineRule="auto"/>
              <w:rPr>
                <w:color w:val="auto"/>
                <w:szCs w:val="21"/>
              </w:rPr>
            </w:pPr>
            <w:r>
              <w:rPr>
                <w:color w:val="auto"/>
                <w:szCs w:val="21"/>
              </w:rPr>
              <w:t>投标有效期</w:t>
            </w:r>
          </w:p>
        </w:tc>
        <w:tc>
          <w:tcPr>
            <w:tcW w:w="4830" w:type="dxa"/>
            <w:vAlign w:val="center"/>
          </w:tcPr>
          <w:p>
            <w:pPr>
              <w:keepNext w:val="0"/>
              <w:keepLines w:val="0"/>
              <w:pageBreakBefore w:val="0"/>
              <w:kinsoku/>
              <w:wordWrap/>
              <w:overflowPunct/>
              <w:topLinePunct w:val="0"/>
              <w:autoSpaceDE/>
              <w:autoSpaceDN/>
              <w:bidi w:val="0"/>
              <w:snapToGrid/>
              <w:spacing w:line="312" w:lineRule="auto"/>
              <w:rPr>
                <w:color w:val="auto"/>
                <w:szCs w:val="21"/>
              </w:rPr>
            </w:pPr>
            <w:r>
              <w:rPr>
                <w:rFonts w:hint="eastAsia"/>
                <w:color w:val="auto"/>
                <w:szCs w:val="21"/>
              </w:rPr>
              <w:t>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p>
        </w:tc>
        <w:tc>
          <w:tcPr>
            <w:tcW w:w="1345" w:type="dxa"/>
            <w:gridSpan w:val="2"/>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p>
        </w:tc>
        <w:tc>
          <w:tcPr>
            <w:tcW w:w="2492" w:type="dxa"/>
            <w:gridSpan w:val="3"/>
            <w:vAlign w:val="center"/>
          </w:tcPr>
          <w:p>
            <w:pPr>
              <w:keepNext w:val="0"/>
              <w:keepLines w:val="0"/>
              <w:pageBreakBefore w:val="0"/>
              <w:kinsoku/>
              <w:wordWrap/>
              <w:overflowPunct/>
              <w:topLinePunct w:val="0"/>
              <w:autoSpaceDE/>
              <w:autoSpaceDN/>
              <w:bidi w:val="0"/>
              <w:snapToGrid/>
              <w:spacing w:line="312" w:lineRule="auto"/>
              <w:rPr>
                <w:color w:val="auto"/>
                <w:szCs w:val="21"/>
              </w:rPr>
            </w:pPr>
            <w:r>
              <w:rPr>
                <w:color w:val="auto"/>
                <w:szCs w:val="21"/>
              </w:rPr>
              <w:t>权利义务</w:t>
            </w:r>
          </w:p>
        </w:tc>
        <w:tc>
          <w:tcPr>
            <w:tcW w:w="4830" w:type="dxa"/>
            <w:vAlign w:val="center"/>
          </w:tcPr>
          <w:p>
            <w:pPr>
              <w:keepNext w:val="0"/>
              <w:keepLines w:val="0"/>
              <w:pageBreakBefore w:val="0"/>
              <w:kinsoku/>
              <w:wordWrap/>
              <w:overflowPunct/>
              <w:topLinePunct w:val="0"/>
              <w:autoSpaceDE/>
              <w:autoSpaceDN/>
              <w:bidi w:val="0"/>
              <w:snapToGrid/>
              <w:spacing w:line="312" w:lineRule="auto"/>
              <w:rPr>
                <w:color w:val="auto"/>
                <w:szCs w:val="21"/>
              </w:rPr>
            </w:pPr>
            <w:r>
              <w:rPr>
                <w:color w:val="auto"/>
                <w:szCs w:val="21"/>
              </w:rPr>
              <w:t>符合</w:t>
            </w:r>
            <w:r>
              <w:rPr>
                <w:rFonts w:hint="eastAsia"/>
                <w:color w:val="auto"/>
                <w:szCs w:val="21"/>
              </w:rPr>
              <w:t>竞争性磋商采购文件的</w:t>
            </w:r>
            <w:r>
              <w:rPr>
                <w:color w:val="auto"/>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p>
        </w:tc>
        <w:tc>
          <w:tcPr>
            <w:tcW w:w="1345" w:type="dxa"/>
            <w:gridSpan w:val="2"/>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p>
        </w:tc>
        <w:tc>
          <w:tcPr>
            <w:tcW w:w="2492" w:type="dxa"/>
            <w:gridSpan w:val="3"/>
            <w:vAlign w:val="center"/>
          </w:tcPr>
          <w:p>
            <w:pPr>
              <w:keepNext w:val="0"/>
              <w:keepLines w:val="0"/>
              <w:pageBreakBefore w:val="0"/>
              <w:kinsoku/>
              <w:wordWrap/>
              <w:overflowPunct/>
              <w:topLinePunct w:val="0"/>
              <w:autoSpaceDE/>
              <w:autoSpaceDN/>
              <w:bidi w:val="0"/>
              <w:snapToGrid/>
              <w:spacing w:line="312" w:lineRule="auto"/>
              <w:rPr>
                <w:color w:val="auto"/>
                <w:szCs w:val="21"/>
              </w:rPr>
            </w:pPr>
            <w:r>
              <w:rPr>
                <w:color w:val="auto"/>
                <w:szCs w:val="21"/>
              </w:rPr>
              <w:t>投标价格</w:t>
            </w:r>
          </w:p>
        </w:tc>
        <w:tc>
          <w:tcPr>
            <w:tcW w:w="4830" w:type="dxa"/>
            <w:vAlign w:val="center"/>
          </w:tcPr>
          <w:p>
            <w:pPr>
              <w:keepNext w:val="0"/>
              <w:keepLines w:val="0"/>
              <w:pageBreakBefore w:val="0"/>
              <w:kinsoku/>
              <w:wordWrap/>
              <w:overflowPunct/>
              <w:topLinePunct w:val="0"/>
              <w:autoSpaceDE/>
              <w:autoSpaceDN/>
              <w:bidi w:val="0"/>
              <w:snapToGrid/>
              <w:spacing w:line="312" w:lineRule="auto"/>
              <w:rPr>
                <w:color w:val="auto"/>
              </w:rPr>
            </w:pPr>
            <w:r>
              <w:rPr>
                <w:color w:val="auto"/>
                <w:szCs w:val="21"/>
              </w:rPr>
              <w:t>符合</w:t>
            </w:r>
            <w:r>
              <w:rPr>
                <w:rFonts w:hint="eastAsia"/>
                <w:color w:val="auto"/>
                <w:szCs w:val="21"/>
              </w:rPr>
              <w:t>竞争性磋商采购文件的</w:t>
            </w:r>
            <w:r>
              <w:rPr>
                <w:color w:val="auto"/>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p>
        </w:tc>
        <w:tc>
          <w:tcPr>
            <w:tcW w:w="1345" w:type="dxa"/>
            <w:gridSpan w:val="2"/>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p>
        </w:tc>
        <w:tc>
          <w:tcPr>
            <w:tcW w:w="2492" w:type="dxa"/>
            <w:gridSpan w:val="3"/>
            <w:vAlign w:val="center"/>
          </w:tcPr>
          <w:p>
            <w:pPr>
              <w:keepNext w:val="0"/>
              <w:keepLines w:val="0"/>
              <w:pageBreakBefore w:val="0"/>
              <w:kinsoku/>
              <w:wordWrap/>
              <w:overflowPunct/>
              <w:topLinePunct w:val="0"/>
              <w:autoSpaceDE/>
              <w:autoSpaceDN/>
              <w:bidi w:val="0"/>
              <w:snapToGrid/>
              <w:spacing w:line="312" w:lineRule="auto"/>
              <w:rPr>
                <w:color w:val="auto"/>
                <w:szCs w:val="21"/>
              </w:rPr>
            </w:pPr>
            <w:r>
              <w:rPr>
                <w:color w:val="auto"/>
                <w:szCs w:val="21"/>
              </w:rPr>
              <w:t>已标价工程量清单</w:t>
            </w:r>
          </w:p>
        </w:tc>
        <w:tc>
          <w:tcPr>
            <w:tcW w:w="4830" w:type="dxa"/>
            <w:vAlign w:val="center"/>
          </w:tcPr>
          <w:p>
            <w:pPr>
              <w:keepNext w:val="0"/>
              <w:keepLines w:val="0"/>
              <w:pageBreakBefore w:val="0"/>
              <w:kinsoku/>
              <w:wordWrap/>
              <w:overflowPunct/>
              <w:topLinePunct w:val="0"/>
              <w:autoSpaceDE/>
              <w:autoSpaceDN/>
              <w:bidi w:val="0"/>
              <w:snapToGrid/>
              <w:spacing w:line="312" w:lineRule="auto"/>
              <w:rPr>
                <w:color w:val="auto"/>
                <w:szCs w:val="21"/>
              </w:rPr>
            </w:pPr>
            <w:r>
              <w:rPr>
                <w:color w:val="auto"/>
                <w:szCs w:val="21"/>
              </w:rPr>
              <w:t>符合</w:t>
            </w:r>
            <w:r>
              <w:rPr>
                <w:rFonts w:hint="eastAsia"/>
                <w:color w:val="auto"/>
                <w:szCs w:val="21"/>
              </w:rPr>
              <w:t>竞争性磋商采购文件的</w:t>
            </w:r>
            <w:r>
              <w:rPr>
                <w:color w:val="auto"/>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Align w:val="center"/>
          </w:tcPr>
          <w:p>
            <w:pPr>
              <w:keepNext w:val="0"/>
              <w:keepLines w:val="0"/>
              <w:pageBreakBefore w:val="0"/>
              <w:kinsoku/>
              <w:wordWrap/>
              <w:overflowPunct/>
              <w:topLinePunct w:val="0"/>
              <w:autoSpaceDE/>
              <w:autoSpaceDN/>
              <w:bidi w:val="0"/>
              <w:snapToGrid/>
              <w:spacing w:line="312" w:lineRule="auto"/>
              <w:jc w:val="center"/>
              <w:rPr>
                <w:b/>
                <w:bCs/>
                <w:color w:val="auto"/>
                <w:szCs w:val="21"/>
              </w:rPr>
            </w:pPr>
            <w:r>
              <w:rPr>
                <w:b/>
                <w:bCs/>
                <w:color w:val="auto"/>
                <w:szCs w:val="21"/>
              </w:rPr>
              <w:t>2.2</w:t>
            </w:r>
          </w:p>
        </w:tc>
        <w:tc>
          <w:tcPr>
            <w:tcW w:w="1345" w:type="dxa"/>
            <w:gridSpan w:val="2"/>
            <w:vAlign w:val="center"/>
          </w:tcPr>
          <w:p>
            <w:pPr>
              <w:keepNext w:val="0"/>
              <w:keepLines w:val="0"/>
              <w:pageBreakBefore w:val="0"/>
              <w:kinsoku/>
              <w:wordWrap/>
              <w:overflowPunct/>
              <w:topLinePunct w:val="0"/>
              <w:autoSpaceDE/>
              <w:autoSpaceDN/>
              <w:bidi w:val="0"/>
              <w:snapToGrid/>
              <w:spacing w:line="312" w:lineRule="auto"/>
              <w:jc w:val="center"/>
              <w:rPr>
                <w:b/>
                <w:bCs/>
                <w:color w:val="auto"/>
                <w:szCs w:val="21"/>
              </w:rPr>
            </w:pPr>
            <w:r>
              <w:rPr>
                <w:b/>
                <w:bCs/>
                <w:color w:val="auto"/>
                <w:szCs w:val="21"/>
              </w:rPr>
              <w:t>详细评审</w:t>
            </w:r>
          </w:p>
        </w:tc>
        <w:tc>
          <w:tcPr>
            <w:tcW w:w="7322" w:type="dxa"/>
            <w:gridSpan w:val="4"/>
            <w:vAlign w:val="center"/>
          </w:tcPr>
          <w:p>
            <w:pPr>
              <w:keepNext w:val="0"/>
              <w:keepLines w:val="0"/>
              <w:pageBreakBefore w:val="0"/>
              <w:kinsoku/>
              <w:wordWrap/>
              <w:overflowPunct/>
              <w:topLinePunct w:val="0"/>
              <w:autoSpaceDE/>
              <w:autoSpaceDN/>
              <w:bidi w:val="0"/>
              <w:snapToGrid/>
              <w:spacing w:line="312" w:lineRule="auto"/>
              <w:ind w:firstLine="420" w:firstLineChars="200"/>
              <w:rPr>
                <w:color w:val="auto"/>
                <w:szCs w:val="21"/>
              </w:rPr>
            </w:pPr>
            <w:r>
              <w:rPr>
                <w:color w:val="auto"/>
                <w:szCs w:val="21"/>
              </w:rPr>
              <w:t>通过资格审查的合格</w:t>
            </w:r>
            <w:r>
              <w:rPr>
                <w:rFonts w:hint="eastAsia"/>
                <w:color w:val="auto"/>
                <w:szCs w:val="21"/>
              </w:rPr>
              <w:t>磋商单位</w:t>
            </w:r>
            <w:r>
              <w:rPr>
                <w:color w:val="auto"/>
                <w:szCs w:val="21"/>
              </w:rPr>
              <w:t>，只有通过了形式评审和响应性评审，才能进入详细评审程序。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Align w:val="center"/>
          </w:tcPr>
          <w:p>
            <w:pPr>
              <w:keepNext w:val="0"/>
              <w:keepLines w:val="0"/>
              <w:pageBreakBefore w:val="0"/>
              <w:kinsoku/>
              <w:wordWrap/>
              <w:overflowPunct/>
              <w:topLinePunct w:val="0"/>
              <w:autoSpaceDE/>
              <w:autoSpaceDN/>
              <w:bidi w:val="0"/>
              <w:snapToGrid/>
              <w:spacing w:line="312" w:lineRule="auto"/>
              <w:jc w:val="center"/>
              <w:rPr>
                <w:b/>
                <w:bCs/>
                <w:color w:val="auto"/>
                <w:szCs w:val="21"/>
                <w:highlight w:val="none"/>
              </w:rPr>
            </w:pPr>
            <w:r>
              <w:rPr>
                <w:b/>
                <w:bCs/>
                <w:color w:val="auto"/>
                <w:szCs w:val="21"/>
                <w:highlight w:val="none"/>
              </w:rPr>
              <w:t>2.2.1</w:t>
            </w:r>
          </w:p>
        </w:tc>
        <w:tc>
          <w:tcPr>
            <w:tcW w:w="1345" w:type="dxa"/>
            <w:gridSpan w:val="2"/>
            <w:vAlign w:val="center"/>
          </w:tcPr>
          <w:p>
            <w:pPr>
              <w:keepNext w:val="0"/>
              <w:keepLines w:val="0"/>
              <w:pageBreakBefore w:val="0"/>
              <w:kinsoku/>
              <w:wordWrap/>
              <w:overflowPunct/>
              <w:topLinePunct w:val="0"/>
              <w:autoSpaceDE/>
              <w:autoSpaceDN/>
              <w:bidi w:val="0"/>
              <w:snapToGrid/>
              <w:spacing w:line="312" w:lineRule="auto"/>
              <w:jc w:val="center"/>
              <w:rPr>
                <w:b/>
                <w:bCs/>
                <w:color w:val="auto"/>
                <w:szCs w:val="21"/>
                <w:highlight w:val="none"/>
              </w:rPr>
            </w:pPr>
            <w:r>
              <w:rPr>
                <w:b/>
                <w:bCs/>
                <w:color w:val="auto"/>
                <w:szCs w:val="21"/>
                <w:highlight w:val="none"/>
              </w:rPr>
              <w:t>分值构成</w:t>
            </w:r>
          </w:p>
        </w:tc>
        <w:tc>
          <w:tcPr>
            <w:tcW w:w="1917" w:type="dxa"/>
            <w:gridSpan w:val="2"/>
            <w:vAlign w:val="center"/>
          </w:tcPr>
          <w:p>
            <w:pPr>
              <w:keepNext w:val="0"/>
              <w:keepLines w:val="0"/>
              <w:pageBreakBefore w:val="0"/>
              <w:kinsoku/>
              <w:wordWrap/>
              <w:overflowPunct/>
              <w:topLinePunct w:val="0"/>
              <w:autoSpaceDE/>
              <w:autoSpaceDN/>
              <w:bidi w:val="0"/>
              <w:snapToGrid/>
              <w:spacing w:line="312" w:lineRule="auto"/>
              <w:rPr>
                <w:color w:val="auto"/>
                <w:szCs w:val="21"/>
                <w:highlight w:val="none"/>
              </w:rPr>
            </w:pPr>
            <w:r>
              <w:rPr>
                <w:color w:val="auto"/>
                <w:szCs w:val="21"/>
                <w:highlight w:val="none"/>
              </w:rPr>
              <w:t>分值构成（总分100分）</w:t>
            </w:r>
          </w:p>
        </w:tc>
        <w:tc>
          <w:tcPr>
            <w:tcW w:w="5405" w:type="dxa"/>
            <w:gridSpan w:val="2"/>
            <w:vAlign w:val="top"/>
          </w:tcPr>
          <w:p>
            <w:pPr>
              <w:keepNext w:val="0"/>
              <w:keepLines w:val="0"/>
              <w:pageBreakBefore w:val="0"/>
              <w:kinsoku/>
              <w:wordWrap/>
              <w:overflowPunct/>
              <w:topLinePunct w:val="0"/>
              <w:autoSpaceDE/>
              <w:autoSpaceDN/>
              <w:bidi w:val="0"/>
              <w:snapToGrid/>
              <w:spacing w:line="312" w:lineRule="auto"/>
              <w:rPr>
                <w:rFonts w:hint="default" w:eastAsia="宋体"/>
                <w:color w:val="auto"/>
                <w:szCs w:val="21"/>
                <w:highlight w:val="none"/>
                <w:lang w:val="en-US" w:eastAsia="zh-CN"/>
              </w:rPr>
            </w:pPr>
            <w:r>
              <w:rPr>
                <w:color w:val="auto"/>
                <w:szCs w:val="21"/>
                <w:highlight w:val="none"/>
              </w:rPr>
              <w:t>技术标评审部分：</w:t>
            </w:r>
            <w:r>
              <w:rPr>
                <w:rFonts w:hint="eastAsia"/>
                <w:color w:val="auto"/>
                <w:szCs w:val="21"/>
                <w:highlight w:val="none"/>
                <w:lang w:val="en-US" w:eastAsia="zh-CN"/>
              </w:rPr>
              <w:t>65</w:t>
            </w:r>
            <w:r>
              <w:rPr>
                <w:color w:val="auto"/>
                <w:szCs w:val="21"/>
                <w:highlight w:val="none"/>
              </w:rPr>
              <w:t>分</w:t>
            </w:r>
            <w:r>
              <w:rPr>
                <w:rFonts w:hint="eastAsia"/>
                <w:color w:val="auto"/>
                <w:szCs w:val="21"/>
                <w:highlight w:val="none"/>
              </w:rPr>
              <w:t>；商务</w:t>
            </w:r>
            <w:r>
              <w:rPr>
                <w:color w:val="auto"/>
                <w:szCs w:val="21"/>
                <w:highlight w:val="none"/>
              </w:rPr>
              <w:t>标评审部分：</w:t>
            </w:r>
            <w:r>
              <w:rPr>
                <w:rFonts w:hint="eastAsia"/>
                <w:color w:val="auto"/>
                <w:szCs w:val="21"/>
                <w:highlight w:val="none"/>
                <w:lang w:val="en-US" w:eastAsia="zh-CN"/>
              </w:rPr>
              <w:t>3</w:t>
            </w:r>
            <w:r>
              <w:rPr>
                <w:rFonts w:hint="eastAsia"/>
                <w:color w:val="auto"/>
                <w:szCs w:val="21"/>
                <w:highlight w:val="none"/>
              </w:rPr>
              <w:t>0</w:t>
            </w:r>
            <w:r>
              <w:rPr>
                <w:color w:val="auto"/>
                <w:szCs w:val="21"/>
                <w:highlight w:val="none"/>
              </w:rPr>
              <w:t>分</w:t>
            </w:r>
            <w:r>
              <w:rPr>
                <w:rFonts w:hint="eastAsia"/>
                <w:color w:val="auto"/>
                <w:szCs w:val="21"/>
                <w:highlight w:val="none"/>
                <w:lang w:eastAsia="zh-CN"/>
              </w:rPr>
              <w:t>，业绩部分：</w:t>
            </w:r>
            <w:r>
              <w:rPr>
                <w:rFonts w:hint="eastAsia"/>
                <w:color w:val="auto"/>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vMerge w:val="restart"/>
            <w:vAlign w:val="center"/>
          </w:tcPr>
          <w:p>
            <w:pPr>
              <w:keepNext w:val="0"/>
              <w:keepLines w:val="0"/>
              <w:pageBreakBefore w:val="0"/>
              <w:kinsoku/>
              <w:wordWrap/>
              <w:overflowPunct/>
              <w:topLinePunct w:val="0"/>
              <w:autoSpaceDE/>
              <w:autoSpaceDN/>
              <w:bidi w:val="0"/>
              <w:snapToGrid/>
              <w:spacing w:line="312" w:lineRule="auto"/>
              <w:jc w:val="center"/>
              <w:rPr>
                <w:rFonts w:hint="default" w:eastAsia="宋体"/>
                <w:color w:val="auto"/>
                <w:szCs w:val="21"/>
                <w:highlight w:val="none"/>
                <w:lang w:val="en-US" w:eastAsia="zh-CN"/>
              </w:rPr>
            </w:pPr>
            <w:r>
              <w:rPr>
                <w:rFonts w:hint="eastAsia"/>
                <w:color w:val="auto"/>
                <w:szCs w:val="21"/>
                <w:highlight w:val="none"/>
                <w:lang w:val="en-US" w:eastAsia="zh-CN"/>
              </w:rPr>
              <w:t>2.2.1（1）</w:t>
            </w:r>
          </w:p>
        </w:tc>
        <w:tc>
          <w:tcPr>
            <w:tcW w:w="1345" w:type="dxa"/>
            <w:gridSpan w:val="2"/>
            <w:vMerge w:val="restart"/>
            <w:vAlign w:val="center"/>
          </w:tcPr>
          <w:p>
            <w:pPr>
              <w:keepNext w:val="0"/>
              <w:keepLines w:val="0"/>
              <w:pageBreakBefore w:val="0"/>
              <w:kinsoku/>
              <w:wordWrap/>
              <w:overflowPunct/>
              <w:topLinePunct w:val="0"/>
              <w:autoSpaceDE/>
              <w:autoSpaceDN/>
              <w:bidi w:val="0"/>
              <w:snapToGrid/>
              <w:spacing w:line="312" w:lineRule="auto"/>
              <w:jc w:val="center"/>
              <w:rPr>
                <w:rFonts w:hint="eastAsia" w:eastAsia="宋体"/>
                <w:color w:val="auto"/>
                <w:szCs w:val="21"/>
                <w:highlight w:val="none"/>
                <w:lang w:eastAsia="zh-CN"/>
              </w:rPr>
            </w:pPr>
            <w:r>
              <w:rPr>
                <w:color w:val="auto"/>
                <w:szCs w:val="21"/>
                <w:highlight w:val="none"/>
              </w:rPr>
              <w:t>施工组织设计</w:t>
            </w:r>
            <w:r>
              <w:rPr>
                <w:rFonts w:hint="eastAsia"/>
                <w:color w:val="auto"/>
                <w:szCs w:val="21"/>
                <w:highlight w:val="none"/>
                <w:lang w:val="en-US" w:eastAsia="zh-CN"/>
              </w:rPr>
              <w:t>65</w:t>
            </w:r>
            <w:r>
              <w:rPr>
                <w:rFonts w:hint="eastAsia"/>
                <w:color w:val="auto"/>
                <w:szCs w:val="21"/>
                <w:highlight w:val="none"/>
              </w:rPr>
              <w:t>分）</w:t>
            </w:r>
          </w:p>
        </w:tc>
        <w:tc>
          <w:tcPr>
            <w:tcW w:w="948" w:type="dxa"/>
            <w:vAlign w:val="center"/>
          </w:tcPr>
          <w:p>
            <w:pPr>
              <w:spacing w:line="360" w:lineRule="auto"/>
              <w:rPr>
                <w:color w:val="auto"/>
                <w:kern w:val="0"/>
                <w:highlight w:val="none"/>
              </w:rPr>
            </w:pPr>
            <w:r>
              <w:rPr>
                <w:rFonts w:hint="eastAsia" w:cs="宋体"/>
                <w:color w:val="auto"/>
                <w:kern w:val="0"/>
                <w:highlight w:val="none"/>
              </w:rPr>
              <w:t>主要施工方法</w:t>
            </w:r>
          </w:p>
          <w:p>
            <w:pPr>
              <w:spacing w:line="360" w:lineRule="auto"/>
              <w:rPr>
                <w:color w:val="auto"/>
                <w:szCs w:val="21"/>
                <w:highlight w:val="none"/>
              </w:rPr>
            </w:pPr>
            <w:r>
              <w:rPr>
                <w:rFonts w:hint="eastAsia" w:cs="宋体"/>
                <w:color w:val="auto"/>
                <w:kern w:val="0"/>
                <w:highlight w:val="none"/>
              </w:rPr>
              <w:t>（</w:t>
            </w:r>
            <w:r>
              <w:rPr>
                <w:rFonts w:hint="eastAsia"/>
                <w:color w:val="auto"/>
                <w:kern w:val="0"/>
                <w:highlight w:val="none"/>
                <w:lang w:val="en-US" w:eastAsia="zh-CN"/>
              </w:rPr>
              <w:t>8</w:t>
            </w:r>
            <w:r>
              <w:rPr>
                <w:rFonts w:hint="eastAsia" w:cs="宋体"/>
                <w:color w:val="auto"/>
                <w:kern w:val="0"/>
                <w:highlight w:val="none"/>
              </w:rPr>
              <w:t>分）</w:t>
            </w:r>
          </w:p>
        </w:tc>
        <w:tc>
          <w:tcPr>
            <w:tcW w:w="6374" w:type="dxa"/>
            <w:gridSpan w:val="3"/>
            <w:vAlign w:val="center"/>
          </w:tcPr>
          <w:p>
            <w:pPr>
              <w:spacing w:line="360" w:lineRule="auto"/>
              <w:rPr>
                <w:color w:val="auto"/>
                <w:highlight w:val="none"/>
              </w:rPr>
            </w:pPr>
            <w:r>
              <w:rPr>
                <w:color w:val="auto"/>
                <w:highlight w:val="none"/>
              </w:rPr>
              <w:t>优（</w:t>
            </w:r>
            <w:r>
              <w:rPr>
                <w:rFonts w:hint="eastAsia"/>
                <w:color w:val="auto"/>
                <w:highlight w:val="none"/>
                <w:lang w:val="en-US" w:eastAsia="zh-CN"/>
              </w:rPr>
              <w:t>8</w:t>
            </w:r>
            <w:r>
              <w:rPr>
                <w:color w:val="auto"/>
                <w:highlight w:val="none"/>
              </w:rPr>
              <w:t>分）：各主要分部施工方法针对性强，施工技术方案详尽周密，工艺先进、方法科学、可行，能很好的指导具体施工合确保安全。</w:t>
            </w:r>
          </w:p>
          <w:p>
            <w:pPr>
              <w:spacing w:line="360" w:lineRule="auto"/>
              <w:rPr>
                <w:color w:val="auto"/>
                <w:highlight w:val="none"/>
              </w:rPr>
            </w:pPr>
            <w:r>
              <w:rPr>
                <w:rFonts w:hint="eastAsia"/>
                <w:color w:val="auto"/>
                <w:highlight w:val="none"/>
                <w:lang w:eastAsia="zh-CN"/>
              </w:rPr>
              <w:t>良（</w:t>
            </w:r>
            <w:r>
              <w:rPr>
                <w:rFonts w:hint="eastAsia"/>
                <w:color w:val="auto"/>
                <w:highlight w:val="none"/>
                <w:lang w:val="en-US" w:eastAsia="zh-CN"/>
              </w:rPr>
              <w:t>6</w:t>
            </w:r>
            <w:r>
              <w:rPr>
                <w:rFonts w:hint="eastAsia"/>
                <w:color w:val="auto"/>
                <w:highlight w:val="none"/>
                <w:lang w:eastAsia="zh-CN"/>
              </w:rPr>
              <w:t>分）</w:t>
            </w:r>
            <w:r>
              <w:rPr>
                <w:color w:val="auto"/>
                <w:highlight w:val="none"/>
              </w:rPr>
              <w:t>：各主要分部施工方法符合项目实际，施工技术方案齐全，工艺成熟、方法合理、可行，能指导具体施工并确保安全。</w:t>
            </w:r>
          </w:p>
          <w:p>
            <w:pPr>
              <w:spacing w:line="360" w:lineRule="auto"/>
              <w:rPr>
                <w:color w:val="auto"/>
                <w:highlight w:val="none"/>
              </w:rPr>
            </w:pPr>
            <w:r>
              <w:rPr>
                <w:color w:val="auto"/>
                <w:highlight w:val="none"/>
              </w:rPr>
              <w:t>中（</w:t>
            </w:r>
            <w:r>
              <w:rPr>
                <w:rFonts w:hint="eastAsia"/>
                <w:color w:val="auto"/>
                <w:highlight w:val="none"/>
                <w:lang w:val="en-US" w:eastAsia="zh-CN"/>
              </w:rPr>
              <w:t>5</w:t>
            </w:r>
            <w:r>
              <w:rPr>
                <w:color w:val="auto"/>
                <w:highlight w:val="none"/>
              </w:rPr>
              <w:t xml:space="preserve">分）：各主要分部施工方法基本符合项目实际，施工技术方案基本齐全，方法基本合理、基本可行，基本能指导具体施 工并确保安全。 </w:t>
            </w:r>
          </w:p>
          <w:p>
            <w:pPr>
              <w:spacing w:line="360" w:lineRule="auto"/>
              <w:rPr>
                <w:color w:val="auto"/>
                <w:highlight w:val="none"/>
              </w:rPr>
            </w:pPr>
            <w:r>
              <w:rPr>
                <w:rFonts w:hint="eastAsia"/>
                <w:color w:val="auto"/>
                <w:highlight w:val="none"/>
                <w:lang w:eastAsia="zh-CN"/>
              </w:rPr>
              <w:t>差（</w:t>
            </w:r>
            <w:r>
              <w:rPr>
                <w:rFonts w:hint="eastAsia"/>
                <w:color w:val="auto"/>
                <w:highlight w:val="none"/>
                <w:lang w:val="en-US" w:eastAsia="zh-CN"/>
              </w:rPr>
              <w:t>3</w:t>
            </w:r>
            <w:r>
              <w:rPr>
                <w:rFonts w:hint="eastAsia"/>
                <w:color w:val="auto"/>
                <w:highlight w:val="none"/>
                <w:lang w:eastAsia="zh-CN"/>
              </w:rPr>
              <w:t>分）</w:t>
            </w:r>
            <w:r>
              <w:rPr>
                <w:color w:val="auto"/>
                <w:highlight w:val="none"/>
              </w:rPr>
              <w:t>：各主要分部施工方法针对性差，施工技术方案差， 工艺落后、方法不合理， 不能指导具体施工和确保安全。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highlight w:val="none"/>
              </w:rPr>
            </w:pPr>
          </w:p>
        </w:tc>
        <w:tc>
          <w:tcPr>
            <w:tcW w:w="1345" w:type="dxa"/>
            <w:gridSpan w:val="2"/>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highlight w:val="none"/>
              </w:rPr>
            </w:pPr>
          </w:p>
        </w:tc>
        <w:tc>
          <w:tcPr>
            <w:tcW w:w="948" w:type="dxa"/>
            <w:vAlign w:val="center"/>
          </w:tcPr>
          <w:p>
            <w:pPr>
              <w:widowControl/>
              <w:spacing w:line="360" w:lineRule="auto"/>
              <w:rPr>
                <w:color w:val="auto"/>
                <w:szCs w:val="21"/>
                <w:highlight w:val="none"/>
              </w:rPr>
            </w:pPr>
            <w:r>
              <w:rPr>
                <w:rFonts w:hint="eastAsia" w:cs="宋体"/>
                <w:color w:val="auto"/>
                <w:kern w:val="0"/>
                <w:highlight w:val="none"/>
              </w:rPr>
              <w:t>拟投入的主要物资计划（</w:t>
            </w:r>
            <w:r>
              <w:rPr>
                <w:rFonts w:hint="eastAsia"/>
                <w:color w:val="auto"/>
                <w:kern w:val="0"/>
                <w:highlight w:val="none"/>
                <w:lang w:val="en-US" w:eastAsia="zh-CN"/>
              </w:rPr>
              <w:t>8</w:t>
            </w:r>
            <w:r>
              <w:rPr>
                <w:rFonts w:hint="eastAsia" w:cs="宋体"/>
                <w:color w:val="auto"/>
                <w:kern w:val="0"/>
                <w:highlight w:val="none"/>
              </w:rPr>
              <w:t>分）</w:t>
            </w:r>
          </w:p>
        </w:tc>
        <w:tc>
          <w:tcPr>
            <w:tcW w:w="6374" w:type="dxa"/>
            <w:gridSpan w:val="3"/>
            <w:vAlign w:val="center"/>
          </w:tcPr>
          <w:p>
            <w:pPr>
              <w:pStyle w:val="49"/>
              <w:spacing w:before="100" w:line="360" w:lineRule="auto"/>
              <w:ind w:left="107"/>
              <w:rPr>
                <w:color w:val="auto"/>
                <w:sz w:val="21"/>
                <w:highlight w:val="none"/>
              </w:rPr>
            </w:pPr>
            <w:r>
              <w:rPr>
                <w:rFonts w:hint="eastAsia"/>
                <w:color w:val="auto"/>
                <w:sz w:val="21"/>
                <w:highlight w:val="none"/>
                <w:lang w:eastAsia="zh-CN"/>
              </w:rPr>
              <w:t>优（8分）</w:t>
            </w:r>
            <w:r>
              <w:rPr>
                <w:color w:val="auto"/>
                <w:sz w:val="21"/>
                <w:highlight w:val="none"/>
              </w:rPr>
              <w:t>：投入的施工材料有详细的组织计划且计划周密，投入计划与进度计划呼应，</w:t>
            </w:r>
            <w:r>
              <w:rPr>
                <w:rFonts w:hint="eastAsia"/>
                <w:color w:val="auto"/>
                <w:sz w:val="21"/>
                <w:highlight w:val="none"/>
                <w:lang w:eastAsia="zh-CN"/>
              </w:rPr>
              <w:t>完全</w:t>
            </w:r>
            <w:r>
              <w:rPr>
                <w:color w:val="auto"/>
                <w:sz w:val="21"/>
                <w:highlight w:val="none"/>
              </w:rPr>
              <w:t>满足施工需要，调配投入计划合理、准确</w:t>
            </w:r>
            <w:r>
              <w:rPr>
                <w:rFonts w:hint="eastAsia"/>
                <w:color w:val="auto"/>
                <w:sz w:val="21"/>
                <w:highlight w:val="none"/>
                <w:lang w:eastAsia="zh-CN"/>
              </w:rPr>
              <w:t>、完整</w:t>
            </w:r>
            <w:r>
              <w:rPr>
                <w:color w:val="auto"/>
                <w:sz w:val="21"/>
                <w:highlight w:val="none"/>
              </w:rPr>
              <w:t>。</w:t>
            </w:r>
          </w:p>
          <w:p>
            <w:pPr>
              <w:pStyle w:val="49"/>
              <w:spacing w:line="360" w:lineRule="auto"/>
              <w:ind w:left="107"/>
              <w:rPr>
                <w:color w:val="auto"/>
                <w:sz w:val="21"/>
                <w:highlight w:val="none"/>
              </w:rPr>
            </w:pPr>
            <w:r>
              <w:rPr>
                <w:rFonts w:hint="eastAsia"/>
                <w:color w:val="auto"/>
                <w:sz w:val="21"/>
                <w:highlight w:val="none"/>
                <w:lang w:eastAsia="zh-CN"/>
              </w:rPr>
              <w:t>良（</w:t>
            </w:r>
            <w:r>
              <w:rPr>
                <w:rFonts w:hint="eastAsia"/>
                <w:color w:val="auto"/>
                <w:sz w:val="21"/>
                <w:highlight w:val="none"/>
                <w:lang w:val="en-US" w:eastAsia="zh-CN"/>
              </w:rPr>
              <w:t>6</w:t>
            </w:r>
            <w:r>
              <w:rPr>
                <w:rFonts w:hint="eastAsia"/>
                <w:color w:val="auto"/>
                <w:sz w:val="21"/>
                <w:highlight w:val="none"/>
                <w:lang w:eastAsia="zh-CN"/>
              </w:rPr>
              <w:t>分）</w:t>
            </w:r>
            <w:r>
              <w:rPr>
                <w:color w:val="auto"/>
                <w:sz w:val="21"/>
                <w:highlight w:val="none"/>
              </w:rPr>
              <w:t>：投入的施工材料有详细的组织计划，投入计划与进度计划呼应，</w:t>
            </w:r>
            <w:r>
              <w:rPr>
                <w:rFonts w:hint="eastAsia"/>
                <w:color w:val="auto"/>
                <w:sz w:val="21"/>
                <w:highlight w:val="none"/>
                <w:lang w:eastAsia="zh-CN"/>
              </w:rPr>
              <w:t>可以</w:t>
            </w:r>
            <w:r>
              <w:rPr>
                <w:color w:val="auto"/>
                <w:sz w:val="21"/>
                <w:highlight w:val="none"/>
              </w:rPr>
              <w:t xml:space="preserve">满足施工需要，调配投入计划基本合理、准确。 </w:t>
            </w:r>
          </w:p>
          <w:p>
            <w:pPr>
              <w:pStyle w:val="49"/>
              <w:spacing w:line="360" w:lineRule="auto"/>
              <w:ind w:left="107" w:leftChars="0"/>
              <w:rPr>
                <w:color w:val="auto"/>
                <w:sz w:val="21"/>
                <w:highlight w:val="none"/>
              </w:rPr>
            </w:pPr>
            <w:r>
              <w:rPr>
                <w:color w:val="auto"/>
                <w:sz w:val="21"/>
                <w:highlight w:val="none"/>
              </w:rPr>
              <w:t>中（</w:t>
            </w:r>
            <w:r>
              <w:rPr>
                <w:rFonts w:hint="eastAsia"/>
                <w:color w:val="auto"/>
                <w:sz w:val="21"/>
                <w:highlight w:val="none"/>
                <w:lang w:val="en-US" w:eastAsia="zh-CN"/>
              </w:rPr>
              <w:t>5</w:t>
            </w:r>
            <w:r>
              <w:rPr>
                <w:color w:val="auto"/>
                <w:sz w:val="21"/>
                <w:highlight w:val="none"/>
              </w:rPr>
              <w:t>分）：投入的施工材料有</w:t>
            </w:r>
            <w:r>
              <w:rPr>
                <w:rFonts w:hint="eastAsia"/>
                <w:color w:val="auto"/>
                <w:sz w:val="21"/>
                <w:highlight w:val="none"/>
                <w:lang w:eastAsia="zh-CN"/>
              </w:rPr>
              <w:t>完整</w:t>
            </w:r>
            <w:r>
              <w:rPr>
                <w:color w:val="auto"/>
                <w:sz w:val="21"/>
                <w:highlight w:val="none"/>
              </w:rPr>
              <w:t>的组织计划，投入计划与进度计划呼</w:t>
            </w:r>
            <w:r>
              <w:rPr>
                <w:color w:val="auto"/>
                <w:spacing w:val="-10"/>
                <w:sz w:val="21"/>
                <w:highlight w:val="none"/>
              </w:rPr>
              <w:t>应，基本满足施工需要，</w:t>
            </w:r>
            <w:r>
              <w:rPr>
                <w:color w:val="auto"/>
                <w:sz w:val="21"/>
                <w:highlight w:val="none"/>
              </w:rPr>
              <w:t xml:space="preserve">调配投入计划基本合理。 </w:t>
            </w:r>
          </w:p>
          <w:p>
            <w:pPr>
              <w:pStyle w:val="49"/>
              <w:spacing w:line="360" w:lineRule="auto"/>
              <w:ind w:left="107" w:leftChars="0"/>
              <w:rPr>
                <w:color w:val="auto"/>
                <w:szCs w:val="21"/>
                <w:highlight w:val="none"/>
              </w:rPr>
            </w:pPr>
            <w:r>
              <w:rPr>
                <w:rFonts w:hint="eastAsia"/>
                <w:color w:val="auto"/>
                <w:sz w:val="21"/>
                <w:highlight w:val="none"/>
                <w:lang w:eastAsia="zh-CN"/>
              </w:rPr>
              <w:t>差（</w:t>
            </w:r>
            <w:r>
              <w:rPr>
                <w:rFonts w:hint="eastAsia"/>
                <w:color w:val="auto"/>
                <w:sz w:val="21"/>
                <w:highlight w:val="none"/>
                <w:lang w:val="en-US" w:eastAsia="zh-CN"/>
              </w:rPr>
              <w:t>3</w:t>
            </w:r>
            <w:r>
              <w:rPr>
                <w:rFonts w:hint="eastAsia"/>
                <w:color w:val="auto"/>
                <w:sz w:val="21"/>
                <w:highlight w:val="none"/>
                <w:lang w:eastAsia="zh-CN"/>
              </w:rPr>
              <w:t>分）</w:t>
            </w:r>
            <w:r>
              <w:rPr>
                <w:color w:val="auto"/>
                <w:sz w:val="21"/>
                <w:highlight w:val="none"/>
              </w:rPr>
              <w:t>：投入的施工材料的组织计划差，投入计划与进度计划不呼应，</w:t>
            </w:r>
            <w:r>
              <w:rPr>
                <w:rFonts w:hint="eastAsia"/>
                <w:color w:val="auto"/>
                <w:sz w:val="21"/>
                <w:highlight w:val="none"/>
                <w:lang w:eastAsia="zh-CN"/>
              </w:rPr>
              <w:t>勉强</w:t>
            </w:r>
            <w:r>
              <w:rPr>
                <w:color w:val="auto"/>
                <w:sz w:val="21"/>
                <w:highlight w:val="none"/>
              </w:rPr>
              <w:t>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highlight w:val="none"/>
              </w:rPr>
            </w:pPr>
          </w:p>
        </w:tc>
        <w:tc>
          <w:tcPr>
            <w:tcW w:w="1345" w:type="dxa"/>
            <w:gridSpan w:val="2"/>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highlight w:val="none"/>
              </w:rPr>
            </w:pPr>
          </w:p>
        </w:tc>
        <w:tc>
          <w:tcPr>
            <w:tcW w:w="948" w:type="dxa"/>
            <w:vAlign w:val="center"/>
          </w:tcPr>
          <w:p>
            <w:pPr>
              <w:widowControl/>
              <w:spacing w:line="360" w:lineRule="auto"/>
              <w:rPr>
                <w:color w:val="auto"/>
                <w:szCs w:val="21"/>
                <w:highlight w:val="none"/>
              </w:rPr>
            </w:pPr>
            <w:r>
              <w:rPr>
                <w:rFonts w:hint="eastAsia" w:cs="宋体"/>
                <w:color w:val="auto"/>
                <w:kern w:val="0"/>
                <w:highlight w:val="none"/>
              </w:rPr>
              <w:t>拟投入的主要施工机械、设备计划（</w:t>
            </w:r>
            <w:r>
              <w:rPr>
                <w:rFonts w:hint="eastAsia"/>
                <w:color w:val="auto"/>
                <w:kern w:val="0"/>
                <w:highlight w:val="none"/>
                <w:lang w:val="en-US" w:eastAsia="zh-CN"/>
              </w:rPr>
              <w:t>8</w:t>
            </w:r>
            <w:r>
              <w:rPr>
                <w:rFonts w:hint="eastAsia" w:cs="宋体"/>
                <w:color w:val="auto"/>
                <w:kern w:val="0"/>
                <w:highlight w:val="none"/>
              </w:rPr>
              <w:t>分）</w:t>
            </w:r>
          </w:p>
        </w:tc>
        <w:tc>
          <w:tcPr>
            <w:tcW w:w="6374" w:type="dxa"/>
            <w:gridSpan w:val="3"/>
            <w:vAlign w:val="center"/>
          </w:tcPr>
          <w:p>
            <w:pPr>
              <w:pStyle w:val="49"/>
              <w:spacing w:before="100" w:line="360" w:lineRule="auto"/>
              <w:ind w:left="107"/>
              <w:rPr>
                <w:color w:val="auto"/>
                <w:sz w:val="21"/>
                <w:highlight w:val="none"/>
              </w:rPr>
            </w:pPr>
            <w:r>
              <w:rPr>
                <w:color w:val="auto"/>
                <w:sz w:val="21"/>
                <w:highlight w:val="none"/>
              </w:rPr>
              <w:t>优（</w:t>
            </w:r>
            <w:r>
              <w:rPr>
                <w:rFonts w:hint="eastAsia"/>
                <w:color w:val="auto"/>
                <w:sz w:val="21"/>
                <w:highlight w:val="none"/>
                <w:lang w:val="en-US" w:eastAsia="zh-CN"/>
              </w:rPr>
              <w:t>8</w:t>
            </w:r>
            <w:r>
              <w:rPr>
                <w:color w:val="auto"/>
                <w:sz w:val="21"/>
                <w:highlight w:val="none"/>
              </w:rPr>
              <w:t>分）：投入的施工机械、设备、机具有详细的组织计划且计划周密，设备数量、选型配置、进场时间安排合理，</w:t>
            </w:r>
            <w:r>
              <w:rPr>
                <w:rFonts w:hint="eastAsia"/>
                <w:color w:val="auto"/>
                <w:sz w:val="21"/>
                <w:highlight w:val="none"/>
                <w:lang w:eastAsia="zh-CN"/>
              </w:rPr>
              <w:t>完全</w:t>
            </w:r>
            <w:r>
              <w:rPr>
                <w:color w:val="auto"/>
                <w:sz w:val="21"/>
                <w:highlight w:val="none"/>
              </w:rPr>
              <w:t xml:space="preserve">满足施工需要。 </w:t>
            </w:r>
          </w:p>
          <w:p>
            <w:pPr>
              <w:pStyle w:val="49"/>
              <w:spacing w:line="360" w:lineRule="auto"/>
              <w:ind w:left="107"/>
              <w:rPr>
                <w:color w:val="auto"/>
                <w:spacing w:val="-13"/>
                <w:sz w:val="21"/>
                <w:highlight w:val="none"/>
              </w:rPr>
            </w:pPr>
            <w:r>
              <w:rPr>
                <w:rFonts w:hint="eastAsia"/>
                <w:color w:val="auto"/>
                <w:sz w:val="21"/>
                <w:highlight w:val="none"/>
                <w:lang w:eastAsia="zh-CN"/>
              </w:rPr>
              <w:t>良（</w:t>
            </w:r>
            <w:r>
              <w:rPr>
                <w:rFonts w:hint="eastAsia"/>
                <w:color w:val="auto"/>
                <w:sz w:val="21"/>
                <w:highlight w:val="none"/>
                <w:lang w:val="en-US" w:eastAsia="zh-CN"/>
              </w:rPr>
              <w:t>6</w:t>
            </w:r>
            <w:r>
              <w:rPr>
                <w:rFonts w:hint="eastAsia"/>
                <w:color w:val="auto"/>
                <w:sz w:val="21"/>
                <w:highlight w:val="none"/>
                <w:lang w:eastAsia="zh-CN"/>
              </w:rPr>
              <w:t>分）</w:t>
            </w:r>
            <w:r>
              <w:rPr>
                <w:color w:val="auto"/>
                <w:sz w:val="21"/>
                <w:highlight w:val="none"/>
              </w:rPr>
              <w:t>：投入的施工</w:t>
            </w:r>
            <w:r>
              <w:rPr>
                <w:color w:val="auto"/>
                <w:spacing w:val="-10"/>
                <w:sz w:val="21"/>
                <w:highlight w:val="none"/>
              </w:rPr>
              <w:t>机械、设备、 机具有详细的组织计划，设备数量、选型配置、进场投入计划与进度计划呼</w:t>
            </w:r>
            <w:r>
              <w:rPr>
                <w:color w:val="auto"/>
                <w:spacing w:val="-13"/>
                <w:sz w:val="21"/>
                <w:highlight w:val="none"/>
              </w:rPr>
              <w:t xml:space="preserve">应，满足施工需要。 </w:t>
            </w:r>
          </w:p>
          <w:p>
            <w:pPr>
              <w:pStyle w:val="49"/>
              <w:spacing w:line="360" w:lineRule="auto"/>
              <w:ind w:left="107" w:right="101"/>
              <w:rPr>
                <w:rFonts w:ascii="宋体" w:hAnsi="宋体" w:eastAsia="宋体" w:cs="宋体"/>
                <w:color w:val="auto"/>
                <w:spacing w:val="-3"/>
                <w:sz w:val="21"/>
                <w:highlight w:val="none"/>
              </w:rPr>
            </w:pPr>
            <w:r>
              <w:rPr>
                <w:color w:val="auto"/>
                <w:spacing w:val="-13"/>
                <w:sz w:val="21"/>
                <w:highlight w:val="none"/>
              </w:rPr>
              <w:t>中</w:t>
            </w:r>
            <w:r>
              <w:rPr>
                <w:color w:val="auto"/>
                <w:sz w:val="21"/>
                <w:highlight w:val="none"/>
              </w:rPr>
              <w:t>（</w:t>
            </w:r>
            <w:r>
              <w:rPr>
                <w:rFonts w:hint="eastAsia"/>
                <w:color w:val="auto"/>
                <w:sz w:val="21"/>
                <w:highlight w:val="none"/>
                <w:lang w:val="en-US" w:eastAsia="zh-CN"/>
              </w:rPr>
              <w:t>5</w:t>
            </w:r>
            <w:r>
              <w:rPr>
                <w:color w:val="auto"/>
                <w:spacing w:val="-3"/>
                <w:sz w:val="21"/>
                <w:highlight w:val="none"/>
              </w:rPr>
              <w:t>分</w:t>
            </w:r>
            <w:r>
              <w:rPr>
                <w:color w:val="auto"/>
                <w:sz w:val="21"/>
                <w:highlight w:val="none"/>
              </w:rPr>
              <w:t>）</w:t>
            </w:r>
            <w:r>
              <w:rPr>
                <w:color w:val="auto"/>
                <w:spacing w:val="-3"/>
                <w:sz w:val="21"/>
                <w:highlight w:val="none"/>
              </w:rPr>
              <w:t>：投入</w:t>
            </w:r>
            <w:r>
              <w:rPr>
                <w:rFonts w:ascii="宋体" w:hAnsi="宋体" w:eastAsia="宋体" w:cs="宋体"/>
                <w:color w:val="auto"/>
                <w:spacing w:val="-3"/>
                <w:sz w:val="21"/>
                <w:highlight w:val="none"/>
              </w:rPr>
              <w:t xml:space="preserve">的施工机械、设备、机具有组织计划，设备数量、选型配置、进场投入计划与进度计划呼应，基本满足施工需要。 </w:t>
            </w:r>
          </w:p>
          <w:p>
            <w:pPr>
              <w:pStyle w:val="49"/>
              <w:spacing w:line="360" w:lineRule="auto"/>
              <w:ind w:left="107" w:leftChars="0"/>
              <w:rPr>
                <w:color w:val="auto"/>
                <w:szCs w:val="21"/>
                <w:highlight w:val="none"/>
              </w:rPr>
            </w:pPr>
            <w:r>
              <w:rPr>
                <w:rFonts w:hint="eastAsia"/>
                <w:color w:val="auto"/>
                <w:sz w:val="21"/>
                <w:highlight w:val="none"/>
                <w:lang w:eastAsia="zh-CN"/>
              </w:rPr>
              <w:t>差（</w:t>
            </w:r>
            <w:r>
              <w:rPr>
                <w:rFonts w:hint="eastAsia"/>
                <w:color w:val="auto"/>
                <w:sz w:val="21"/>
                <w:highlight w:val="none"/>
                <w:lang w:val="en-US" w:eastAsia="zh-CN"/>
              </w:rPr>
              <w:t>3</w:t>
            </w:r>
            <w:r>
              <w:rPr>
                <w:rFonts w:hint="eastAsia"/>
                <w:color w:val="auto"/>
                <w:sz w:val="21"/>
                <w:highlight w:val="none"/>
                <w:lang w:eastAsia="zh-CN"/>
              </w:rPr>
              <w:t>分）</w:t>
            </w:r>
            <w:r>
              <w:rPr>
                <w:color w:val="auto"/>
                <w:spacing w:val="-7"/>
                <w:sz w:val="21"/>
                <w:highlight w:val="none"/>
              </w:rPr>
              <w:t>：投入的施工机械、</w:t>
            </w:r>
            <w:r>
              <w:rPr>
                <w:color w:val="auto"/>
                <w:spacing w:val="-10"/>
                <w:sz w:val="21"/>
                <w:highlight w:val="none"/>
              </w:rPr>
              <w:t>设备、机具组织计划差，</w:t>
            </w:r>
            <w:r>
              <w:rPr>
                <w:color w:val="auto"/>
                <w:sz w:val="21"/>
                <w:highlight w:val="none"/>
              </w:rPr>
              <w:t>投入计划与进度计划不呼应，</w:t>
            </w:r>
            <w:r>
              <w:rPr>
                <w:rFonts w:hint="eastAsia"/>
                <w:color w:val="auto"/>
                <w:sz w:val="21"/>
                <w:highlight w:val="none"/>
                <w:lang w:eastAsia="zh-CN"/>
              </w:rPr>
              <w:t>勉强</w:t>
            </w:r>
            <w:r>
              <w:rPr>
                <w:color w:val="auto"/>
                <w:sz w:val="21"/>
                <w:highlight w:val="none"/>
              </w:rPr>
              <w:t>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highlight w:val="none"/>
              </w:rPr>
            </w:pPr>
          </w:p>
        </w:tc>
        <w:tc>
          <w:tcPr>
            <w:tcW w:w="1345" w:type="dxa"/>
            <w:gridSpan w:val="2"/>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highlight w:val="none"/>
              </w:rPr>
            </w:pPr>
          </w:p>
        </w:tc>
        <w:tc>
          <w:tcPr>
            <w:tcW w:w="948" w:type="dxa"/>
            <w:vAlign w:val="center"/>
          </w:tcPr>
          <w:p>
            <w:pPr>
              <w:widowControl/>
              <w:spacing w:line="360" w:lineRule="auto"/>
              <w:rPr>
                <w:color w:val="auto"/>
                <w:kern w:val="0"/>
                <w:highlight w:val="none"/>
              </w:rPr>
            </w:pPr>
            <w:r>
              <w:rPr>
                <w:rFonts w:hint="eastAsia" w:cs="宋体"/>
                <w:color w:val="auto"/>
                <w:kern w:val="0"/>
                <w:highlight w:val="none"/>
              </w:rPr>
              <w:t>确保工程质量的技术组织措施</w:t>
            </w:r>
          </w:p>
          <w:p>
            <w:pPr>
              <w:widowControl/>
              <w:spacing w:line="360" w:lineRule="auto"/>
              <w:rPr>
                <w:color w:val="auto"/>
                <w:szCs w:val="21"/>
                <w:highlight w:val="none"/>
              </w:rPr>
            </w:pPr>
            <w:r>
              <w:rPr>
                <w:rFonts w:hint="eastAsia" w:cs="宋体"/>
                <w:color w:val="auto"/>
                <w:kern w:val="0"/>
                <w:highlight w:val="none"/>
              </w:rPr>
              <w:t>（</w:t>
            </w:r>
            <w:r>
              <w:rPr>
                <w:rFonts w:hint="eastAsia"/>
                <w:color w:val="auto"/>
                <w:kern w:val="0"/>
                <w:highlight w:val="none"/>
                <w:lang w:val="en-US" w:eastAsia="zh-CN"/>
              </w:rPr>
              <w:t>8</w:t>
            </w:r>
            <w:r>
              <w:rPr>
                <w:rFonts w:hint="eastAsia" w:cs="宋体"/>
                <w:color w:val="auto"/>
                <w:kern w:val="0"/>
                <w:highlight w:val="none"/>
              </w:rPr>
              <w:t>分）</w:t>
            </w:r>
          </w:p>
        </w:tc>
        <w:tc>
          <w:tcPr>
            <w:tcW w:w="6374" w:type="dxa"/>
            <w:gridSpan w:val="3"/>
            <w:vAlign w:val="center"/>
          </w:tcPr>
          <w:p>
            <w:pPr>
              <w:pStyle w:val="49"/>
              <w:spacing w:before="99" w:line="360" w:lineRule="auto"/>
              <w:ind w:left="107"/>
              <w:rPr>
                <w:color w:val="auto"/>
                <w:sz w:val="21"/>
                <w:highlight w:val="none"/>
              </w:rPr>
            </w:pPr>
            <w:r>
              <w:rPr>
                <w:color w:val="auto"/>
                <w:sz w:val="21"/>
                <w:highlight w:val="none"/>
              </w:rPr>
              <w:t>优（</w:t>
            </w:r>
            <w:r>
              <w:rPr>
                <w:rFonts w:hint="eastAsia"/>
                <w:color w:val="auto"/>
                <w:sz w:val="21"/>
                <w:highlight w:val="none"/>
                <w:lang w:val="en-US" w:eastAsia="zh-CN"/>
              </w:rPr>
              <w:t>8</w:t>
            </w:r>
            <w:r>
              <w:rPr>
                <w:color w:val="auto"/>
                <w:sz w:val="21"/>
                <w:highlight w:val="none"/>
              </w:rPr>
              <w:t>分）：有专门的质量技术管理班子和制度，且人员配备合理，制度健全。主要工序有质量技术保证措施和手段，且先进、可行、具体，高于招标文件的质量要求及施工验收规范要求，达到承诺的质量标准。</w:t>
            </w:r>
          </w:p>
          <w:p>
            <w:pPr>
              <w:pStyle w:val="49"/>
              <w:spacing w:line="360" w:lineRule="auto"/>
              <w:ind w:left="107"/>
              <w:rPr>
                <w:color w:val="auto"/>
                <w:sz w:val="21"/>
                <w:highlight w:val="none"/>
              </w:rPr>
            </w:pPr>
            <w:r>
              <w:rPr>
                <w:rFonts w:hint="eastAsia"/>
                <w:color w:val="auto"/>
                <w:sz w:val="21"/>
                <w:highlight w:val="none"/>
                <w:lang w:eastAsia="zh-CN"/>
              </w:rPr>
              <w:t>良（</w:t>
            </w:r>
            <w:r>
              <w:rPr>
                <w:rFonts w:hint="eastAsia"/>
                <w:color w:val="auto"/>
                <w:sz w:val="21"/>
                <w:highlight w:val="none"/>
                <w:lang w:val="en-US" w:eastAsia="zh-CN"/>
              </w:rPr>
              <w:t>6</w:t>
            </w:r>
            <w:r>
              <w:rPr>
                <w:rFonts w:hint="eastAsia"/>
                <w:color w:val="auto"/>
                <w:sz w:val="21"/>
                <w:highlight w:val="none"/>
                <w:lang w:eastAsia="zh-CN"/>
              </w:rPr>
              <w:t>分）</w:t>
            </w:r>
            <w:r>
              <w:rPr>
                <w:color w:val="auto"/>
                <w:sz w:val="21"/>
                <w:highlight w:val="none"/>
              </w:rPr>
              <w:t>：有专门的质量技术管理班子和制度，且人员配备合理，制度健全。主要工序有质量技术保证措施和手段，自控体系完整，能有效保证技术质量，</w:t>
            </w:r>
            <w:r>
              <w:rPr>
                <w:rFonts w:hint="eastAsia"/>
                <w:color w:val="auto"/>
                <w:sz w:val="21"/>
                <w:highlight w:val="none"/>
                <w:lang w:eastAsia="zh-CN"/>
              </w:rPr>
              <w:t>可以</w:t>
            </w:r>
            <w:r>
              <w:rPr>
                <w:color w:val="auto"/>
                <w:sz w:val="21"/>
                <w:highlight w:val="none"/>
              </w:rPr>
              <w:t>达到承诺的质量标准。</w:t>
            </w:r>
          </w:p>
          <w:p>
            <w:pPr>
              <w:pStyle w:val="49"/>
              <w:spacing w:line="360" w:lineRule="auto"/>
              <w:ind w:left="107"/>
              <w:rPr>
                <w:color w:val="auto"/>
                <w:sz w:val="21"/>
                <w:highlight w:val="none"/>
              </w:rPr>
            </w:pPr>
            <w:r>
              <w:rPr>
                <w:color w:val="auto"/>
                <w:sz w:val="21"/>
                <w:highlight w:val="none"/>
              </w:rPr>
              <w:t xml:space="preserve"> 中（</w:t>
            </w:r>
            <w:r>
              <w:rPr>
                <w:rFonts w:hint="eastAsia"/>
                <w:color w:val="auto"/>
                <w:sz w:val="21"/>
                <w:highlight w:val="none"/>
                <w:lang w:val="en-US" w:eastAsia="zh-CN"/>
              </w:rPr>
              <w:t>5</w:t>
            </w:r>
            <w:r>
              <w:rPr>
                <w:color w:val="auto"/>
                <w:sz w:val="21"/>
                <w:highlight w:val="none"/>
              </w:rPr>
              <w:t xml:space="preserve">分）：质量技术管理班子人员配备基本合理，制度基本健全。主要工序有质量技术保证措施和手段，能有效保证技术质量，满足招标文件的质量要求。 </w:t>
            </w:r>
          </w:p>
          <w:p>
            <w:pPr>
              <w:pStyle w:val="49"/>
              <w:spacing w:line="360" w:lineRule="auto"/>
              <w:ind w:left="107" w:leftChars="0"/>
              <w:rPr>
                <w:color w:val="auto"/>
                <w:szCs w:val="21"/>
                <w:highlight w:val="none"/>
              </w:rPr>
            </w:pPr>
            <w:r>
              <w:rPr>
                <w:rFonts w:hint="eastAsia"/>
                <w:color w:val="auto"/>
                <w:sz w:val="21"/>
                <w:highlight w:val="none"/>
                <w:lang w:eastAsia="zh-CN"/>
              </w:rPr>
              <w:t>差（</w:t>
            </w:r>
            <w:r>
              <w:rPr>
                <w:rFonts w:hint="eastAsia"/>
                <w:color w:val="auto"/>
                <w:sz w:val="21"/>
                <w:highlight w:val="none"/>
                <w:lang w:val="en-US" w:eastAsia="zh-CN"/>
              </w:rPr>
              <w:t>3</w:t>
            </w:r>
            <w:r>
              <w:rPr>
                <w:rFonts w:hint="eastAsia"/>
                <w:color w:val="auto"/>
                <w:sz w:val="21"/>
                <w:highlight w:val="none"/>
                <w:lang w:eastAsia="zh-CN"/>
              </w:rPr>
              <w:t>分）</w:t>
            </w:r>
            <w:r>
              <w:rPr>
                <w:color w:val="auto"/>
                <w:sz w:val="21"/>
                <w:highlight w:val="none"/>
              </w:rPr>
              <w:t>：质量技术管理班子人员配备不合理，制度不健全。质量技术保证措施和手段不可行，没有质量违约责任诺。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highlight w:val="none"/>
              </w:rPr>
            </w:pPr>
          </w:p>
        </w:tc>
        <w:tc>
          <w:tcPr>
            <w:tcW w:w="1345" w:type="dxa"/>
            <w:gridSpan w:val="2"/>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highlight w:val="none"/>
              </w:rPr>
            </w:pPr>
          </w:p>
        </w:tc>
        <w:tc>
          <w:tcPr>
            <w:tcW w:w="948" w:type="dxa"/>
            <w:vAlign w:val="center"/>
          </w:tcPr>
          <w:p>
            <w:pPr>
              <w:widowControl/>
              <w:spacing w:line="360" w:lineRule="auto"/>
              <w:rPr>
                <w:color w:val="auto"/>
                <w:kern w:val="0"/>
                <w:highlight w:val="none"/>
              </w:rPr>
            </w:pPr>
            <w:r>
              <w:rPr>
                <w:rFonts w:hint="eastAsia" w:cs="宋体"/>
                <w:color w:val="auto"/>
                <w:kern w:val="0"/>
                <w:highlight w:val="none"/>
              </w:rPr>
              <w:t>确保安全生产的技术组织措施</w:t>
            </w:r>
          </w:p>
          <w:p>
            <w:pPr>
              <w:widowControl/>
              <w:spacing w:line="360" w:lineRule="auto"/>
              <w:rPr>
                <w:color w:val="auto"/>
                <w:szCs w:val="21"/>
                <w:highlight w:val="none"/>
              </w:rPr>
            </w:pPr>
            <w:r>
              <w:rPr>
                <w:rFonts w:hint="eastAsia" w:cs="宋体"/>
                <w:color w:val="auto"/>
                <w:kern w:val="0"/>
                <w:highlight w:val="none"/>
              </w:rPr>
              <w:t>（</w:t>
            </w:r>
            <w:r>
              <w:rPr>
                <w:rFonts w:hint="eastAsia"/>
                <w:color w:val="auto"/>
                <w:kern w:val="0"/>
                <w:highlight w:val="none"/>
                <w:lang w:val="en-US" w:eastAsia="zh-CN"/>
              </w:rPr>
              <w:t>8</w:t>
            </w:r>
            <w:r>
              <w:rPr>
                <w:rFonts w:hint="eastAsia" w:cs="宋体"/>
                <w:color w:val="auto"/>
                <w:kern w:val="0"/>
                <w:highlight w:val="none"/>
              </w:rPr>
              <w:t>分）</w:t>
            </w:r>
          </w:p>
        </w:tc>
        <w:tc>
          <w:tcPr>
            <w:tcW w:w="6374" w:type="dxa"/>
            <w:gridSpan w:val="3"/>
            <w:vAlign w:val="center"/>
          </w:tcPr>
          <w:p>
            <w:pPr>
              <w:pStyle w:val="49"/>
              <w:spacing w:before="100" w:line="360" w:lineRule="auto"/>
              <w:ind w:left="107"/>
              <w:rPr>
                <w:rFonts w:ascii="宋体" w:hAnsi="宋体" w:eastAsia="宋体" w:cs="宋体"/>
                <w:color w:val="auto"/>
                <w:sz w:val="21"/>
                <w:highlight w:val="none"/>
              </w:rPr>
            </w:pPr>
            <w:r>
              <w:rPr>
                <w:rFonts w:hint="eastAsia"/>
                <w:color w:val="auto"/>
                <w:sz w:val="21"/>
                <w:highlight w:val="none"/>
                <w:lang w:eastAsia="zh-CN"/>
              </w:rPr>
              <w:t>优（</w:t>
            </w:r>
            <w:r>
              <w:rPr>
                <w:rFonts w:hint="eastAsia"/>
                <w:color w:val="auto"/>
                <w:sz w:val="21"/>
                <w:highlight w:val="none"/>
                <w:lang w:val="en-US" w:eastAsia="zh-CN"/>
              </w:rPr>
              <w:t>8</w:t>
            </w:r>
            <w:r>
              <w:rPr>
                <w:rFonts w:hint="eastAsia"/>
                <w:color w:val="auto"/>
                <w:sz w:val="21"/>
                <w:highlight w:val="none"/>
                <w:lang w:eastAsia="zh-CN"/>
              </w:rPr>
              <w:t>分）</w:t>
            </w:r>
            <w:r>
              <w:rPr>
                <w:color w:val="auto"/>
                <w:sz w:val="21"/>
                <w:highlight w:val="none"/>
              </w:rPr>
              <w:t>：有配</w:t>
            </w:r>
            <w:r>
              <w:rPr>
                <w:rFonts w:ascii="宋体" w:hAnsi="宋体" w:eastAsia="宋体" w:cs="宋体"/>
                <w:color w:val="auto"/>
                <w:sz w:val="21"/>
                <w:highlight w:val="none"/>
              </w:rPr>
              <w:t>备满足项目要求的专职安全员，人员配备合理。有健全的安全管理制度， 各道工序安全技术措施针对性强，符合实际且高于国家有关安全技术标准要求。现场防火、应急救援、社会治安安全措施得力。</w:t>
            </w:r>
          </w:p>
          <w:p>
            <w:pPr>
              <w:pStyle w:val="49"/>
              <w:spacing w:before="100" w:line="360" w:lineRule="auto"/>
              <w:ind w:left="107"/>
              <w:rPr>
                <w:color w:val="auto"/>
                <w:sz w:val="21"/>
                <w:highlight w:val="none"/>
              </w:rPr>
            </w:pPr>
            <w:r>
              <w:rPr>
                <w:rFonts w:hint="eastAsia" w:ascii="宋体" w:hAnsi="宋体" w:eastAsia="宋体" w:cs="宋体"/>
                <w:color w:val="auto"/>
                <w:sz w:val="21"/>
                <w:highlight w:val="none"/>
                <w:lang w:eastAsia="zh-CN"/>
              </w:rPr>
              <w:t>良（</w:t>
            </w:r>
            <w:r>
              <w:rPr>
                <w:rFonts w:hint="eastAsia" w:cs="宋体"/>
                <w:color w:val="auto"/>
                <w:sz w:val="21"/>
                <w:highlight w:val="none"/>
                <w:lang w:val="en-US" w:eastAsia="zh-CN"/>
              </w:rPr>
              <w:t>6</w:t>
            </w:r>
            <w:r>
              <w:rPr>
                <w:rFonts w:hint="eastAsia" w:ascii="宋体" w:hAnsi="宋体" w:eastAsia="宋体" w:cs="宋体"/>
                <w:color w:val="auto"/>
                <w:sz w:val="21"/>
                <w:highlight w:val="none"/>
                <w:lang w:eastAsia="zh-CN"/>
              </w:rPr>
              <w:t>分）</w:t>
            </w:r>
            <w:r>
              <w:rPr>
                <w:rFonts w:ascii="宋体" w:hAnsi="宋体" w:eastAsia="宋体" w:cs="宋体"/>
                <w:color w:val="auto"/>
                <w:sz w:val="21"/>
                <w:highlight w:val="none"/>
              </w:rPr>
              <w:t>：有配备满足项目</w:t>
            </w:r>
            <w:r>
              <w:rPr>
                <w:color w:val="auto"/>
                <w:sz w:val="21"/>
                <w:highlight w:val="none"/>
              </w:rPr>
              <w:t>要求的专职安全员，人员配备合理，有健全的安全管理制度，各道工序安全技术措施符合实际且满足有关安全技术标准要求。现场防火、应急救援、社会治安安全措施合理。</w:t>
            </w:r>
          </w:p>
          <w:p>
            <w:pPr>
              <w:pStyle w:val="49"/>
              <w:spacing w:before="100" w:line="360" w:lineRule="auto"/>
              <w:ind w:left="107"/>
              <w:rPr>
                <w:color w:val="auto"/>
                <w:sz w:val="21"/>
                <w:highlight w:val="none"/>
              </w:rPr>
            </w:pPr>
            <w:r>
              <w:rPr>
                <w:color w:val="auto"/>
                <w:sz w:val="21"/>
                <w:highlight w:val="none"/>
              </w:rPr>
              <w:t xml:space="preserve"> 中（</w:t>
            </w:r>
            <w:r>
              <w:rPr>
                <w:rFonts w:hint="eastAsia"/>
                <w:color w:val="auto"/>
                <w:sz w:val="21"/>
                <w:highlight w:val="none"/>
                <w:lang w:val="en-US" w:eastAsia="zh-CN"/>
              </w:rPr>
              <w:t>5</w:t>
            </w:r>
            <w:r>
              <w:rPr>
                <w:color w:val="auto"/>
                <w:sz w:val="21"/>
                <w:highlight w:val="none"/>
              </w:rPr>
              <w:t>分）：有配备满足项目要求的专职安全员，人员配备基本合理，安全管理制度基本健全，各道工序安全技术措施基本符合实际，基本满足有关安全技术标准要求。现场防火、应急救援、社会治安安全措施基本合理。</w:t>
            </w:r>
          </w:p>
          <w:p>
            <w:pPr>
              <w:pStyle w:val="49"/>
              <w:spacing w:before="100" w:line="360" w:lineRule="auto"/>
              <w:ind w:left="107" w:leftChars="0"/>
              <w:rPr>
                <w:color w:val="auto"/>
                <w:szCs w:val="21"/>
                <w:highlight w:val="none"/>
              </w:rPr>
            </w:pPr>
            <w:r>
              <w:rPr>
                <w:rFonts w:hint="eastAsia"/>
                <w:color w:val="auto"/>
                <w:sz w:val="21"/>
                <w:highlight w:val="none"/>
                <w:lang w:eastAsia="zh-CN"/>
              </w:rPr>
              <w:t>差（</w:t>
            </w:r>
            <w:r>
              <w:rPr>
                <w:rFonts w:hint="eastAsia"/>
                <w:color w:val="auto"/>
                <w:sz w:val="21"/>
                <w:highlight w:val="none"/>
                <w:lang w:val="en-US" w:eastAsia="zh-CN"/>
              </w:rPr>
              <w:t>3</w:t>
            </w:r>
            <w:r>
              <w:rPr>
                <w:rFonts w:hint="eastAsia"/>
                <w:color w:val="auto"/>
                <w:sz w:val="21"/>
                <w:highlight w:val="none"/>
                <w:lang w:eastAsia="zh-CN"/>
              </w:rPr>
              <w:t>分）</w:t>
            </w:r>
            <w:r>
              <w:rPr>
                <w:color w:val="auto"/>
                <w:sz w:val="21"/>
                <w:highlight w:val="none"/>
              </w:rPr>
              <w:t>：有配备满足项目要求的专职安全员，人员配备不合理，安全管理制度不健全，各道工序安全技术措施基本符合实际，不能满足有关安全技术标准要求。现场防火、应急 救援、社会治安安全措施不合理。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highlight w:val="none"/>
              </w:rPr>
            </w:pPr>
          </w:p>
        </w:tc>
        <w:tc>
          <w:tcPr>
            <w:tcW w:w="1345" w:type="dxa"/>
            <w:gridSpan w:val="2"/>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highlight w:val="none"/>
              </w:rPr>
            </w:pPr>
          </w:p>
        </w:tc>
        <w:tc>
          <w:tcPr>
            <w:tcW w:w="948" w:type="dxa"/>
            <w:vAlign w:val="center"/>
          </w:tcPr>
          <w:p>
            <w:pPr>
              <w:widowControl/>
              <w:spacing w:line="360" w:lineRule="auto"/>
              <w:rPr>
                <w:color w:val="auto"/>
                <w:szCs w:val="21"/>
                <w:highlight w:val="none"/>
              </w:rPr>
            </w:pPr>
            <w:r>
              <w:rPr>
                <w:rFonts w:hint="eastAsia" w:cs="宋体"/>
                <w:color w:val="auto"/>
                <w:kern w:val="0"/>
                <w:highlight w:val="none"/>
              </w:rPr>
              <w:t>劳动力安排计划（</w:t>
            </w:r>
            <w:r>
              <w:rPr>
                <w:rFonts w:hint="eastAsia"/>
                <w:color w:val="auto"/>
                <w:kern w:val="0"/>
                <w:highlight w:val="none"/>
                <w:lang w:val="en-US" w:eastAsia="zh-CN"/>
              </w:rPr>
              <w:t>5</w:t>
            </w:r>
            <w:r>
              <w:rPr>
                <w:rFonts w:hint="eastAsia" w:cs="宋体"/>
                <w:color w:val="auto"/>
                <w:kern w:val="0"/>
                <w:highlight w:val="none"/>
              </w:rPr>
              <w:t>分）</w:t>
            </w:r>
          </w:p>
        </w:tc>
        <w:tc>
          <w:tcPr>
            <w:tcW w:w="6374" w:type="dxa"/>
            <w:gridSpan w:val="3"/>
            <w:vAlign w:val="center"/>
          </w:tcPr>
          <w:p>
            <w:pPr>
              <w:pStyle w:val="49"/>
              <w:spacing w:line="360" w:lineRule="auto"/>
              <w:ind w:left="107"/>
              <w:rPr>
                <w:rFonts w:ascii="宋体" w:hAnsi="宋体" w:eastAsia="宋体" w:cs="宋体"/>
                <w:color w:val="auto"/>
                <w:sz w:val="21"/>
                <w:highlight w:val="none"/>
              </w:rPr>
            </w:pPr>
            <w:r>
              <w:rPr>
                <w:color w:val="auto"/>
                <w:sz w:val="21"/>
                <w:highlight w:val="none"/>
              </w:rPr>
              <w:t>优（</w:t>
            </w:r>
            <w:r>
              <w:rPr>
                <w:rFonts w:hint="eastAsia"/>
                <w:color w:val="auto"/>
                <w:sz w:val="21"/>
                <w:highlight w:val="none"/>
                <w:lang w:val="en-US" w:eastAsia="zh-CN"/>
              </w:rPr>
              <w:t>5</w:t>
            </w:r>
            <w:r>
              <w:rPr>
                <w:color w:val="auto"/>
                <w:sz w:val="21"/>
                <w:highlight w:val="none"/>
              </w:rPr>
              <w:t>分）：各主要施工工序有详细周密的劳动力安排计划，各工种劳动力安排计划齐全，劳动力投入与进度计划呼应合理，</w:t>
            </w:r>
            <w:r>
              <w:rPr>
                <w:rFonts w:hint="eastAsia"/>
                <w:color w:val="auto"/>
                <w:sz w:val="21"/>
                <w:highlight w:val="none"/>
                <w:lang w:eastAsia="zh-CN"/>
              </w:rPr>
              <w:t>完全</w:t>
            </w:r>
            <w:r>
              <w:rPr>
                <w:color w:val="auto"/>
                <w:sz w:val="21"/>
                <w:highlight w:val="none"/>
              </w:rPr>
              <w:t>满</w:t>
            </w:r>
            <w:r>
              <w:rPr>
                <w:rFonts w:ascii="宋体" w:hAnsi="宋体" w:eastAsia="宋体" w:cs="宋体"/>
                <w:color w:val="auto"/>
                <w:sz w:val="21"/>
                <w:highlight w:val="none"/>
              </w:rPr>
              <w:t xml:space="preserve">足施工需要。 </w:t>
            </w:r>
          </w:p>
          <w:p>
            <w:pPr>
              <w:pStyle w:val="49"/>
              <w:spacing w:line="360" w:lineRule="auto"/>
              <w:ind w:left="107"/>
              <w:rPr>
                <w:rFonts w:ascii="宋体" w:hAnsi="宋体" w:eastAsia="宋体" w:cs="宋体"/>
                <w:color w:val="auto"/>
                <w:sz w:val="21"/>
                <w:highlight w:val="none"/>
              </w:rPr>
            </w:pPr>
            <w:r>
              <w:rPr>
                <w:rFonts w:hint="eastAsia" w:ascii="宋体" w:hAnsi="宋体" w:eastAsia="宋体" w:cs="宋体"/>
                <w:color w:val="auto"/>
                <w:sz w:val="21"/>
                <w:highlight w:val="none"/>
                <w:lang w:eastAsia="zh-CN"/>
              </w:rPr>
              <w:t>良（</w:t>
            </w:r>
            <w:r>
              <w:rPr>
                <w:rFonts w:hint="eastAsia" w:cs="宋体"/>
                <w:color w:val="auto"/>
                <w:sz w:val="21"/>
                <w:highlight w:val="none"/>
                <w:lang w:val="en-US" w:eastAsia="zh-CN"/>
              </w:rPr>
              <w:t>4</w:t>
            </w:r>
            <w:r>
              <w:rPr>
                <w:rFonts w:hint="eastAsia" w:ascii="宋体" w:hAnsi="宋体" w:eastAsia="宋体" w:cs="宋体"/>
                <w:color w:val="auto"/>
                <w:sz w:val="21"/>
                <w:highlight w:val="none"/>
                <w:lang w:eastAsia="zh-CN"/>
              </w:rPr>
              <w:t>分）</w:t>
            </w:r>
            <w:r>
              <w:rPr>
                <w:rFonts w:ascii="宋体" w:hAnsi="宋体" w:eastAsia="宋体" w:cs="宋体"/>
                <w:color w:val="auto"/>
                <w:sz w:val="21"/>
                <w:highlight w:val="none"/>
              </w:rPr>
              <w:t>：各主要施工工序有详细的劳动力安排计划，有各工种劳动力安排计划，劳动力投入合理，</w:t>
            </w:r>
            <w:r>
              <w:rPr>
                <w:rFonts w:hint="eastAsia" w:ascii="宋体" w:hAnsi="宋体" w:eastAsia="宋体" w:cs="宋体"/>
                <w:color w:val="auto"/>
                <w:sz w:val="21"/>
                <w:highlight w:val="none"/>
                <w:lang w:eastAsia="zh-CN"/>
              </w:rPr>
              <w:t>可以</w:t>
            </w:r>
            <w:r>
              <w:rPr>
                <w:rFonts w:ascii="宋体" w:hAnsi="宋体" w:eastAsia="宋体" w:cs="宋体"/>
                <w:color w:val="auto"/>
                <w:sz w:val="21"/>
                <w:highlight w:val="none"/>
              </w:rPr>
              <w:t xml:space="preserve">满足施工需要。 </w:t>
            </w:r>
          </w:p>
          <w:p>
            <w:pPr>
              <w:pStyle w:val="49"/>
              <w:spacing w:line="360" w:lineRule="auto"/>
              <w:ind w:left="107"/>
              <w:rPr>
                <w:rFonts w:ascii="宋体" w:hAnsi="宋体" w:eastAsia="宋体" w:cs="宋体"/>
                <w:color w:val="auto"/>
                <w:sz w:val="21"/>
                <w:highlight w:val="none"/>
              </w:rPr>
            </w:pPr>
            <w:r>
              <w:rPr>
                <w:rFonts w:ascii="宋体" w:hAnsi="宋体" w:eastAsia="宋体" w:cs="宋体"/>
                <w:color w:val="auto"/>
                <w:sz w:val="21"/>
                <w:highlight w:val="none"/>
              </w:rPr>
              <w:t>中（</w:t>
            </w:r>
            <w:r>
              <w:rPr>
                <w:rFonts w:hint="eastAsia" w:cs="宋体"/>
                <w:color w:val="auto"/>
                <w:sz w:val="21"/>
                <w:highlight w:val="none"/>
                <w:lang w:val="en-US" w:eastAsia="zh-CN"/>
              </w:rPr>
              <w:t>3</w:t>
            </w:r>
            <w:r>
              <w:rPr>
                <w:rFonts w:ascii="宋体" w:hAnsi="宋体" w:eastAsia="宋体" w:cs="宋体"/>
                <w:color w:val="auto"/>
                <w:sz w:val="21"/>
                <w:highlight w:val="none"/>
              </w:rPr>
              <w:t>分）： 各主要施工工序应有劳动力安排计划，有各工种劳动力安排计划，劳动力投入基本合理，基本满足施工需要。</w:t>
            </w:r>
          </w:p>
          <w:p>
            <w:pPr>
              <w:pStyle w:val="49"/>
              <w:spacing w:line="360" w:lineRule="auto"/>
              <w:ind w:left="107" w:leftChars="0"/>
              <w:rPr>
                <w:color w:val="auto"/>
                <w:szCs w:val="21"/>
                <w:highlight w:val="none"/>
              </w:rPr>
            </w:pPr>
            <w:r>
              <w:rPr>
                <w:rFonts w:hint="eastAsia" w:ascii="宋体" w:hAnsi="宋体" w:eastAsia="宋体" w:cs="宋体"/>
                <w:color w:val="auto"/>
                <w:sz w:val="21"/>
                <w:highlight w:val="none"/>
                <w:lang w:eastAsia="zh-CN"/>
              </w:rPr>
              <w:t>差（</w:t>
            </w:r>
            <w:r>
              <w:rPr>
                <w:rFonts w:hint="eastAsia" w:cs="宋体"/>
                <w:color w:val="auto"/>
                <w:sz w:val="21"/>
                <w:highlight w:val="none"/>
                <w:lang w:val="en-US" w:eastAsia="zh-CN"/>
              </w:rPr>
              <w:t>1</w:t>
            </w:r>
            <w:r>
              <w:rPr>
                <w:rFonts w:hint="eastAsia" w:ascii="宋体" w:hAnsi="宋体" w:eastAsia="宋体" w:cs="宋体"/>
                <w:color w:val="auto"/>
                <w:sz w:val="21"/>
                <w:highlight w:val="none"/>
                <w:lang w:eastAsia="zh-CN"/>
              </w:rPr>
              <w:t>分）</w:t>
            </w:r>
            <w:r>
              <w:rPr>
                <w:rFonts w:ascii="宋体" w:hAnsi="宋体" w:eastAsia="宋体" w:cs="宋体"/>
                <w:color w:val="auto"/>
                <w:sz w:val="21"/>
                <w:highlight w:val="none"/>
              </w:rPr>
              <w:t>：各主要施工工序劳动力安排计划不全，无各工种劳动力安排计划或计划不全，</w:t>
            </w:r>
            <w:r>
              <w:rPr>
                <w:color w:val="auto"/>
                <w:sz w:val="21"/>
                <w:highlight w:val="none"/>
              </w:rPr>
              <w:t>劳动力投入不合理，不能满足</w:t>
            </w:r>
            <w:r>
              <w:rPr>
                <w:rFonts w:hint="eastAsia"/>
                <w:color w:val="auto"/>
                <w:sz w:val="21"/>
                <w:highlight w:val="none"/>
                <w:lang w:eastAsia="zh-CN"/>
              </w:rPr>
              <w:t>施工需求。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highlight w:val="none"/>
              </w:rPr>
            </w:pPr>
          </w:p>
        </w:tc>
        <w:tc>
          <w:tcPr>
            <w:tcW w:w="1345" w:type="dxa"/>
            <w:gridSpan w:val="2"/>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highlight w:val="none"/>
              </w:rPr>
            </w:pPr>
          </w:p>
        </w:tc>
        <w:tc>
          <w:tcPr>
            <w:tcW w:w="948" w:type="dxa"/>
            <w:vAlign w:val="center"/>
          </w:tcPr>
          <w:p>
            <w:pPr>
              <w:widowControl/>
              <w:spacing w:line="360" w:lineRule="auto"/>
              <w:rPr>
                <w:color w:val="auto"/>
                <w:szCs w:val="21"/>
                <w:highlight w:val="none"/>
              </w:rPr>
            </w:pPr>
            <w:r>
              <w:rPr>
                <w:rFonts w:hint="eastAsia" w:cs="宋体"/>
                <w:color w:val="auto"/>
                <w:kern w:val="0"/>
                <w:highlight w:val="none"/>
              </w:rPr>
              <w:t>确保工期的技术组织措施（</w:t>
            </w:r>
            <w:r>
              <w:rPr>
                <w:rFonts w:hint="eastAsia"/>
                <w:color w:val="auto"/>
                <w:kern w:val="0"/>
                <w:highlight w:val="none"/>
                <w:lang w:val="en-US" w:eastAsia="zh-CN"/>
              </w:rPr>
              <w:t>5</w:t>
            </w:r>
            <w:r>
              <w:rPr>
                <w:rFonts w:hint="eastAsia" w:cs="宋体"/>
                <w:color w:val="auto"/>
                <w:kern w:val="0"/>
                <w:highlight w:val="none"/>
              </w:rPr>
              <w:t>分）</w:t>
            </w:r>
          </w:p>
        </w:tc>
        <w:tc>
          <w:tcPr>
            <w:tcW w:w="6374" w:type="dxa"/>
            <w:gridSpan w:val="3"/>
            <w:vAlign w:val="center"/>
          </w:tcPr>
          <w:p>
            <w:pPr>
              <w:pStyle w:val="49"/>
              <w:spacing w:before="100" w:line="360" w:lineRule="auto"/>
              <w:ind w:left="107"/>
              <w:rPr>
                <w:color w:val="auto"/>
                <w:sz w:val="21"/>
                <w:highlight w:val="none"/>
              </w:rPr>
            </w:pPr>
            <w:r>
              <w:rPr>
                <w:color w:val="auto"/>
                <w:sz w:val="21"/>
                <w:highlight w:val="none"/>
              </w:rPr>
              <w:t>优（</w:t>
            </w:r>
            <w:r>
              <w:rPr>
                <w:rFonts w:hint="eastAsia"/>
                <w:color w:val="auto"/>
                <w:sz w:val="21"/>
                <w:highlight w:val="none"/>
                <w:lang w:val="en-US" w:eastAsia="zh-CN"/>
              </w:rPr>
              <w:t>5</w:t>
            </w:r>
            <w:r>
              <w:rPr>
                <w:color w:val="auto"/>
                <w:sz w:val="21"/>
                <w:highlight w:val="none"/>
              </w:rPr>
              <w:t xml:space="preserve">分）：有保证工期的具体措施且措施得力。各项计划图表编制详尽周密，安排科学合理，符合本项目施工实际要求。 </w:t>
            </w:r>
          </w:p>
          <w:p>
            <w:pPr>
              <w:pStyle w:val="49"/>
              <w:spacing w:before="100" w:line="360" w:lineRule="auto"/>
              <w:ind w:left="107"/>
              <w:rPr>
                <w:color w:val="auto"/>
                <w:sz w:val="21"/>
                <w:highlight w:val="none"/>
              </w:rPr>
            </w:pPr>
            <w:r>
              <w:rPr>
                <w:color w:val="auto"/>
                <w:sz w:val="21"/>
                <w:highlight w:val="none"/>
              </w:rPr>
              <w:t>良（</w:t>
            </w:r>
            <w:r>
              <w:rPr>
                <w:rFonts w:hint="eastAsia"/>
                <w:color w:val="auto"/>
                <w:sz w:val="21"/>
                <w:highlight w:val="none"/>
                <w:lang w:val="en-US" w:eastAsia="zh-CN"/>
              </w:rPr>
              <w:t>4</w:t>
            </w:r>
            <w:r>
              <w:rPr>
                <w:color w:val="auto"/>
                <w:sz w:val="21"/>
                <w:highlight w:val="none"/>
              </w:rPr>
              <w:t>分）：有保证工期的具体措施且措施得当。各项计划</w:t>
            </w:r>
          </w:p>
          <w:p>
            <w:pPr>
              <w:pStyle w:val="49"/>
              <w:spacing w:line="360" w:lineRule="auto"/>
              <w:ind w:left="107"/>
              <w:rPr>
                <w:color w:val="auto"/>
                <w:spacing w:val="-12"/>
                <w:sz w:val="21"/>
                <w:highlight w:val="none"/>
              </w:rPr>
            </w:pPr>
            <w:r>
              <w:rPr>
                <w:color w:val="auto"/>
                <w:sz w:val="21"/>
                <w:highlight w:val="none"/>
              </w:rPr>
              <w:t>图表编制完善，安排较合理，符合本项目施工</w:t>
            </w:r>
            <w:r>
              <w:rPr>
                <w:color w:val="auto"/>
                <w:spacing w:val="-12"/>
                <w:sz w:val="21"/>
                <w:highlight w:val="none"/>
              </w:rPr>
              <w:t>实际要求。</w:t>
            </w:r>
          </w:p>
          <w:p>
            <w:pPr>
              <w:pStyle w:val="49"/>
              <w:spacing w:line="360" w:lineRule="auto"/>
              <w:ind w:left="107"/>
              <w:rPr>
                <w:color w:val="auto"/>
                <w:sz w:val="21"/>
                <w:highlight w:val="none"/>
              </w:rPr>
            </w:pPr>
            <w:r>
              <w:rPr>
                <w:color w:val="auto"/>
                <w:spacing w:val="-12"/>
                <w:sz w:val="21"/>
                <w:highlight w:val="none"/>
              </w:rPr>
              <w:t xml:space="preserve"> 中</w:t>
            </w:r>
            <w:r>
              <w:rPr>
                <w:color w:val="auto"/>
                <w:sz w:val="21"/>
                <w:highlight w:val="none"/>
              </w:rPr>
              <w:t>（</w:t>
            </w:r>
            <w:r>
              <w:rPr>
                <w:rFonts w:hint="eastAsia"/>
                <w:color w:val="auto"/>
                <w:sz w:val="21"/>
                <w:highlight w:val="none"/>
                <w:lang w:val="en-US" w:eastAsia="zh-CN"/>
              </w:rPr>
              <w:t>3</w:t>
            </w:r>
            <w:r>
              <w:rPr>
                <w:color w:val="auto"/>
                <w:spacing w:val="-28"/>
                <w:sz w:val="21"/>
                <w:highlight w:val="none"/>
              </w:rPr>
              <w:t>分</w:t>
            </w:r>
            <w:r>
              <w:rPr>
                <w:color w:val="auto"/>
                <w:spacing w:val="-35"/>
                <w:sz w:val="21"/>
                <w:highlight w:val="none"/>
              </w:rPr>
              <w:t>）：</w:t>
            </w:r>
            <w:r>
              <w:rPr>
                <w:color w:val="auto"/>
                <w:sz w:val="21"/>
                <w:highlight w:val="none"/>
              </w:rPr>
              <w:t xml:space="preserve">有保证工期的具体措施，措施基本得当。各项计划图表编制基本齐全，安排基本合理，基本符合本项目施工实际要求。 </w:t>
            </w:r>
          </w:p>
          <w:p>
            <w:pPr>
              <w:pStyle w:val="49"/>
              <w:spacing w:line="360" w:lineRule="auto"/>
              <w:ind w:left="107" w:leftChars="0"/>
              <w:rPr>
                <w:color w:val="auto"/>
                <w:szCs w:val="21"/>
                <w:highlight w:val="none"/>
              </w:rPr>
            </w:pPr>
            <w:r>
              <w:rPr>
                <w:rFonts w:hint="eastAsia"/>
                <w:color w:val="auto"/>
                <w:sz w:val="21"/>
                <w:highlight w:val="none"/>
                <w:lang w:eastAsia="zh-CN"/>
              </w:rPr>
              <w:t>差（</w:t>
            </w:r>
            <w:r>
              <w:rPr>
                <w:rFonts w:hint="eastAsia"/>
                <w:color w:val="auto"/>
                <w:sz w:val="21"/>
                <w:highlight w:val="none"/>
                <w:lang w:val="en-US" w:eastAsia="zh-CN"/>
              </w:rPr>
              <w:t>1</w:t>
            </w:r>
            <w:r>
              <w:rPr>
                <w:rFonts w:hint="eastAsia"/>
                <w:color w:val="auto"/>
                <w:sz w:val="21"/>
                <w:highlight w:val="none"/>
                <w:lang w:eastAsia="zh-CN"/>
              </w:rPr>
              <w:t>分）</w:t>
            </w:r>
            <w:r>
              <w:rPr>
                <w:color w:val="auto"/>
                <w:sz w:val="21"/>
                <w:highlight w:val="none"/>
              </w:rPr>
              <w:t>：有保证工期的具体措施。各项计划图表编制不完善，安排不合理，不能满足本项目施工实际要求。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highlight w:val="none"/>
              </w:rPr>
            </w:pPr>
          </w:p>
        </w:tc>
        <w:tc>
          <w:tcPr>
            <w:tcW w:w="1345" w:type="dxa"/>
            <w:gridSpan w:val="2"/>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highlight w:val="none"/>
              </w:rPr>
            </w:pPr>
          </w:p>
        </w:tc>
        <w:tc>
          <w:tcPr>
            <w:tcW w:w="948" w:type="dxa"/>
            <w:vAlign w:val="center"/>
          </w:tcPr>
          <w:p>
            <w:pPr>
              <w:widowControl/>
              <w:spacing w:line="360" w:lineRule="auto"/>
              <w:rPr>
                <w:color w:val="auto"/>
                <w:szCs w:val="21"/>
                <w:highlight w:val="none"/>
              </w:rPr>
            </w:pPr>
            <w:r>
              <w:rPr>
                <w:rFonts w:hint="eastAsia" w:cs="宋体"/>
                <w:color w:val="auto"/>
                <w:kern w:val="0"/>
                <w:highlight w:val="none"/>
              </w:rPr>
              <w:t>确保文明施工的技术组织措施（</w:t>
            </w:r>
            <w:r>
              <w:rPr>
                <w:rFonts w:hint="eastAsia"/>
                <w:color w:val="auto"/>
                <w:kern w:val="0"/>
                <w:highlight w:val="none"/>
                <w:lang w:val="en-US" w:eastAsia="zh-CN"/>
              </w:rPr>
              <w:t>5</w:t>
            </w:r>
            <w:r>
              <w:rPr>
                <w:rFonts w:hint="eastAsia" w:cs="宋体"/>
                <w:color w:val="auto"/>
                <w:kern w:val="0"/>
                <w:highlight w:val="none"/>
              </w:rPr>
              <w:t>分）</w:t>
            </w:r>
          </w:p>
        </w:tc>
        <w:tc>
          <w:tcPr>
            <w:tcW w:w="6374" w:type="dxa"/>
            <w:gridSpan w:val="3"/>
            <w:vAlign w:val="center"/>
          </w:tcPr>
          <w:p>
            <w:pPr>
              <w:pStyle w:val="49"/>
              <w:spacing w:before="101" w:line="360" w:lineRule="auto"/>
              <w:ind w:left="107"/>
              <w:rPr>
                <w:color w:val="auto"/>
                <w:sz w:val="21"/>
                <w:highlight w:val="none"/>
              </w:rPr>
            </w:pPr>
            <w:r>
              <w:rPr>
                <w:color w:val="auto"/>
                <w:sz w:val="21"/>
                <w:highlight w:val="none"/>
              </w:rPr>
              <w:t>优（5 分）：现场文明施工、环境保护措施和内容达到</w:t>
            </w:r>
            <w:r>
              <w:rPr>
                <w:rFonts w:hint="eastAsia"/>
                <w:color w:val="auto"/>
                <w:sz w:val="21"/>
                <w:highlight w:val="none"/>
                <w:lang w:eastAsia="zh-CN"/>
              </w:rPr>
              <w:t>相关施工安全生产标准或文明施工等</w:t>
            </w:r>
            <w:r>
              <w:rPr>
                <w:color w:val="auto"/>
                <w:sz w:val="21"/>
                <w:highlight w:val="none"/>
              </w:rPr>
              <w:t>要求；承诺创建自治区级及以上文明工地和标准化工</w:t>
            </w:r>
            <w:r>
              <w:rPr>
                <w:color w:val="auto"/>
                <w:spacing w:val="-10"/>
                <w:sz w:val="21"/>
                <w:highlight w:val="none"/>
              </w:rPr>
              <w:t>地，而且各项措施周全、</w:t>
            </w:r>
            <w:r>
              <w:rPr>
                <w:color w:val="auto"/>
                <w:sz w:val="21"/>
                <w:highlight w:val="none"/>
              </w:rPr>
              <w:t xml:space="preserve">具体、有效的。 </w:t>
            </w:r>
          </w:p>
          <w:p>
            <w:pPr>
              <w:pStyle w:val="49"/>
              <w:spacing w:before="101" w:line="360" w:lineRule="auto"/>
              <w:ind w:left="107"/>
              <w:rPr>
                <w:color w:val="auto"/>
                <w:sz w:val="21"/>
                <w:highlight w:val="none"/>
              </w:rPr>
            </w:pPr>
            <w:r>
              <w:rPr>
                <w:color w:val="auto"/>
                <w:sz w:val="21"/>
                <w:highlight w:val="none"/>
              </w:rPr>
              <w:t>良（</w:t>
            </w:r>
            <w:r>
              <w:rPr>
                <w:rFonts w:hint="eastAsia"/>
                <w:color w:val="auto"/>
                <w:sz w:val="21"/>
                <w:highlight w:val="none"/>
                <w:lang w:val="en-US" w:eastAsia="zh-CN"/>
              </w:rPr>
              <w:t>4</w:t>
            </w:r>
            <w:r>
              <w:rPr>
                <w:color w:val="auto"/>
                <w:sz w:val="21"/>
                <w:highlight w:val="none"/>
              </w:rPr>
              <w:t>分）：现场文明施工、环境保护措施和内容达到</w:t>
            </w:r>
            <w:r>
              <w:rPr>
                <w:rFonts w:hint="eastAsia"/>
                <w:color w:val="auto"/>
                <w:sz w:val="21"/>
                <w:highlight w:val="none"/>
                <w:lang w:eastAsia="zh-CN"/>
              </w:rPr>
              <w:t>相关施工安全生产标准或文明施工要求的</w:t>
            </w:r>
            <w:r>
              <w:rPr>
                <w:color w:val="auto"/>
                <w:sz w:val="21"/>
                <w:highlight w:val="none"/>
              </w:rPr>
              <w:t xml:space="preserve">；承诺创建市级文明工地和标准化工地，而且各项措施周全、具体、有效的。 </w:t>
            </w:r>
          </w:p>
          <w:p>
            <w:pPr>
              <w:pStyle w:val="49"/>
              <w:spacing w:line="360" w:lineRule="auto"/>
              <w:ind w:left="107"/>
              <w:rPr>
                <w:color w:val="auto"/>
                <w:sz w:val="21"/>
                <w:highlight w:val="none"/>
              </w:rPr>
            </w:pPr>
            <w:r>
              <w:rPr>
                <w:color w:val="auto"/>
                <w:sz w:val="21"/>
                <w:highlight w:val="none"/>
              </w:rPr>
              <w:t>中（</w:t>
            </w:r>
            <w:r>
              <w:rPr>
                <w:rFonts w:hint="eastAsia"/>
                <w:color w:val="auto"/>
                <w:sz w:val="21"/>
                <w:highlight w:val="none"/>
                <w:lang w:val="en-US" w:eastAsia="zh-CN"/>
              </w:rPr>
              <w:t>3</w:t>
            </w:r>
            <w:r>
              <w:rPr>
                <w:color w:val="auto"/>
                <w:sz w:val="21"/>
                <w:highlight w:val="none"/>
              </w:rPr>
              <w:t>分）：现场文明施工、环境保护措施和内容基本达到</w:t>
            </w:r>
            <w:r>
              <w:rPr>
                <w:rFonts w:hint="eastAsia"/>
                <w:color w:val="auto"/>
                <w:sz w:val="21"/>
                <w:highlight w:val="none"/>
                <w:lang w:eastAsia="zh-CN"/>
              </w:rPr>
              <w:t>相关施工安全生产标准或文明施工要求的</w:t>
            </w:r>
            <w:r>
              <w:rPr>
                <w:color w:val="auto"/>
                <w:sz w:val="21"/>
                <w:highlight w:val="none"/>
              </w:rPr>
              <w:t>；有具体实现现场文明施工目标的承诺，而且各项措施基本周全、具体、有效的。</w:t>
            </w:r>
          </w:p>
          <w:p>
            <w:pPr>
              <w:pStyle w:val="49"/>
              <w:spacing w:line="360" w:lineRule="auto"/>
              <w:ind w:left="107" w:leftChars="0"/>
              <w:rPr>
                <w:color w:val="auto"/>
                <w:szCs w:val="21"/>
                <w:highlight w:val="none"/>
              </w:rPr>
            </w:pPr>
            <w:r>
              <w:rPr>
                <w:rFonts w:hint="eastAsia"/>
                <w:color w:val="auto"/>
                <w:sz w:val="21"/>
                <w:highlight w:val="none"/>
                <w:lang w:eastAsia="zh-CN"/>
              </w:rPr>
              <w:t>差（1分）</w:t>
            </w:r>
            <w:r>
              <w:rPr>
                <w:color w:val="auto"/>
                <w:sz w:val="21"/>
                <w:highlight w:val="none"/>
              </w:rPr>
              <w:t xml:space="preserve"> </w:t>
            </w:r>
            <w:r>
              <w:rPr>
                <w:rFonts w:hint="eastAsia"/>
                <w:color w:val="auto"/>
                <w:sz w:val="21"/>
                <w:highlight w:val="none"/>
                <w:lang w:eastAsia="zh-CN"/>
              </w:rPr>
              <w:t>：</w:t>
            </w:r>
            <w:r>
              <w:rPr>
                <w:color w:val="auto"/>
                <w:sz w:val="21"/>
                <w:highlight w:val="none"/>
              </w:rPr>
              <w:t>现场文明施工、环境保护措施和内容与</w:t>
            </w:r>
            <w:r>
              <w:rPr>
                <w:rFonts w:hint="eastAsia"/>
                <w:color w:val="auto"/>
                <w:sz w:val="21"/>
                <w:highlight w:val="none"/>
                <w:lang w:eastAsia="zh-CN"/>
              </w:rPr>
              <w:t>相关施工安全生产标准或文明施工要求的</w:t>
            </w:r>
            <w:r>
              <w:rPr>
                <w:color w:val="auto"/>
                <w:sz w:val="21"/>
                <w:highlight w:val="none"/>
              </w:rPr>
              <w:t>的要求偏差大，</w:t>
            </w:r>
            <w:r>
              <w:rPr>
                <w:rFonts w:hint="eastAsia"/>
                <w:color w:val="auto"/>
                <w:sz w:val="21"/>
                <w:highlight w:val="none"/>
                <w:lang w:eastAsia="zh-CN"/>
              </w:rPr>
              <w:t>有监督的</w:t>
            </w:r>
            <w:r>
              <w:rPr>
                <w:color w:val="auto"/>
                <w:sz w:val="21"/>
                <w:highlight w:val="none"/>
              </w:rPr>
              <w:t>现场文明施工目标的承诺。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highlight w:val="none"/>
              </w:rPr>
            </w:pPr>
          </w:p>
        </w:tc>
        <w:tc>
          <w:tcPr>
            <w:tcW w:w="1345" w:type="dxa"/>
            <w:gridSpan w:val="2"/>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highlight w:val="none"/>
              </w:rPr>
            </w:pPr>
          </w:p>
        </w:tc>
        <w:tc>
          <w:tcPr>
            <w:tcW w:w="948" w:type="dxa"/>
            <w:vAlign w:val="center"/>
          </w:tcPr>
          <w:p>
            <w:pPr>
              <w:widowControl/>
              <w:spacing w:line="360" w:lineRule="auto"/>
              <w:rPr>
                <w:color w:val="auto"/>
                <w:szCs w:val="21"/>
                <w:highlight w:val="none"/>
              </w:rPr>
            </w:pPr>
            <w:r>
              <w:rPr>
                <w:rFonts w:hint="eastAsia" w:cs="宋体"/>
                <w:color w:val="auto"/>
                <w:kern w:val="0"/>
                <w:highlight w:val="none"/>
              </w:rPr>
              <w:t>工程施工的重点和难点及保证措施（</w:t>
            </w:r>
            <w:r>
              <w:rPr>
                <w:color w:val="auto"/>
                <w:kern w:val="0"/>
                <w:highlight w:val="none"/>
              </w:rPr>
              <w:t>5</w:t>
            </w:r>
            <w:r>
              <w:rPr>
                <w:rFonts w:hint="eastAsia" w:cs="宋体"/>
                <w:color w:val="auto"/>
                <w:kern w:val="0"/>
                <w:highlight w:val="none"/>
              </w:rPr>
              <w:t>分）</w:t>
            </w:r>
          </w:p>
        </w:tc>
        <w:tc>
          <w:tcPr>
            <w:tcW w:w="6374" w:type="dxa"/>
            <w:gridSpan w:val="3"/>
            <w:vAlign w:val="center"/>
          </w:tcPr>
          <w:p>
            <w:pPr>
              <w:pStyle w:val="49"/>
              <w:spacing w:before="101" w:line="360" w:lineRule="auto"/>
              <w:ind w:left="107" w:right="101"/>
              <w:rPr>
                <w:rFonts w:hint="eastAsia" w:ascii="宋体" w:hAnsi="宋体" w:eastAsia="宋体" w:cs="宋体"/>
                <w:color w:val="auto"/>
                <w:sz w:val="21"/>
                <w:highlight w:val="none"/>
                <w:lang w:eastAsia="zh-CN"/>
              </w:rPr>
            </w:pPr>
            <w:r>
              <w:rPr>
                <w:color w:val="auto"/>
                <w:sz w:val="21"/>
                <w:highlight w:val="none"/>
              </w:rPr>
              <w:t>优（5</w:t>
            </w:r>
            <w:r>
              <w:rPr>
                <w:color w:val="auto"/>
                <w:spacing w:val="-28"/>
                <w:sz w:val="21"/>
                <w:highlight w:val="none"/>
              </w:rPr>
              <w:t xml:space="preserve"> 分</w:t>
            </w:r>
            <w:r>
              <w:rPr>
                <w:color w:val="auto"/>
                <w:sz w:val="21"/>
                <w:highlight w:val="none"/>
              </w:rPr>
              <w:t>）：针对该项目的难点、重点详细分析，重点考虑各部分施工如何相互</w:t>
            </w:r>
            <w:r>
              <w:rPr>
                <w:rFonts w:hint="eastAsia" w:ascii="宋体" w:hAnsi="宋体" w:eastAsia="宋体" w:cs="宋体"/>
                <w:color w:val="auto"/>
                <w:sz w:val="21"/>
                <w:highlight w:val="none"/>
                <w:lang w:eastAsia="zh-CN"/>
              </w:rPr>
              <w:t xml:space="preserve">交叉和衔接，以保证施工质量效果和设计效果的完美统一。 </w:t>
            </w:r>
          </w:p>
          <w:p>
            <w:pPr>
              <w:pStyle w:val="49"/>
              <w:spacing w:before="101" w:line="360" w:lineRule="auto"/>
              <w:ind w:left="107" w:right="101"/>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良（</w:t>
            </w:r>
            <w:r>
              <w:rPr>
                <w:rFonts w:hint="eastAsia" w:ascii="宋体" w:hAnsi="宋体" w:eastAsia="宋体" w:cs="宋体"/>
                <w:color w:val="auto"/>
                <w:sz w:val="21"/>
                <w:highlight w:val="none"/>
                <w:lang w:val="en-US" w:eastAsia="zh-CN"/>
              </w:rPr>
              <w:t>4</w:t>
            </w:r>
            <w:r>
              <w:rPr>
                <w:rFonts w:hint="eastAsia" w:ascii="宋体" w:hAnsi="宋体" w:eastAsia="宋体" w:cs="宋体"/>
                <w:color w:val="auto"/>
                <w:sz w:val="21"/>
                <w:highlight w:val="none"/>
                <w:lang w:eastAsia="zh-CN"/>
              </w:rPr>
              <w:t>分）：针对该项目的难点、重点分析到位，未重点考虑各部分施工如何相互交叉和衔接，施工质量效果基本达到设计效果。</w:t>
            </w:r>
          </w:p>
          <w:p>
            <w:pPr>
              <w:pStyle w:val="49"/>
              <w:spacing w:before="101" w:line="360" w:lineRule="auto"/>
              <w:ind w:left="107" w:right="101"/>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中（</w:t>
            </w: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lang w:eastAsia="zh-CN"/>
              </w:rPr>
              <w:t xml:space="preserve">分）：针对该项目的难点、重点分析不具体，各部分施工如何相互交叉和衔接不合理， 施工质量效果和设计效果有较大差距。 </w:t>
            </w:r>
          </w:p>
          <w:p>
            <w:pPr>
              <w:pStyle w:val="49"/>
              <w:spacing w:before="101" w:line="360" w:lineRule="auto"/>
              <w:ind w:left="107" w:leftChars="0" w:right="101" w:rightChars="0"/>
              <w:rPr>
                <w:color w:val="auto"/>
                <w:szCs w:val="21"/>
                <w:highlight w:val="none"/>
              </w:rPr>
            </w:pPr>
            <w:r>
              <w:rPr>
                <w:rFonts w:hint="eastAsia" w:ascii="宋体" w:hAnsi="宋体" w:eastAsia="宋体" w:cs="宋体"/>
                <w:color w:val="auto"/>
                <w:sz w:val="21"/>
                <w:highlight w:val="none"/>
                <w:lang w:eastAsia="zh-CN"/>
              </w:rPr>
              <w:t>差（1分）：未针对该项目的难点、重点进行分</w:t>
            </w:r>
            <w:r>
              <w:rPr>
                <w:color w:val="auto"/>
                <w:sz w:val="21"/>
                <w:highlight w:val="none"/>
              </w:rPr>
              <w:t>析，未考虑各部分施工如何相互交叉和衔接，施工质量效果和设计效果的无法统一。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highlight w:val="none"/>
              </w:rPr>
            </w:pPr>
          </w:p>
        </w:tc>
        <w:tc>
          <w:tcPr>
            <w:tcW w:w="1345" w:type="dxa"/>
            <w:gridSpan w:val="2"/>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highlight w:val="none"/>
              </w:rPr>
            </w:pPr>
          </w:p>
        </w:tc>
        <w:tc>
          <w:tcPr>
            <w:tcW w:w="948" w:type="dxa"/>
            <w:vAlign w:val="center"/>
          </w:tcPr>
          <w:p>
            <w:pPr>
              <w:widowControl/>
              <w:spacing w:line="360" w:lineRule="auto"/>
              <w:rPr>
                <w:color w:val="auto"/>
                <w:sz w:val="21"/>
                <w:szCs w:val="21"/>
                <w:highlight w:val="none"/>
              </w:rPr>
            </w:pPr>
            <w:r>
              <w:rPr>
                <w:rFonts w:hint="eastAsia" w:cs="宋体"/>
                <w:color w:val="auto"/>
                <w:kern w:val="0"/>
                <w:highlight w:val="none"/>
              </w:rPr>
              <w:t>施工总平面布置图（</w:t>
            </w:r>
            <w:r>
              <w:rPr>
                <w:color w:val="auto"/>
                <w:kern w:val="0"/>
                <w:highlight w:val="none"/>
              </w:rPr>
              <w:t>5</w:t>
            </w:r>
            <w:r>
              <w:rPr>
                <w:rFonts w:hint="eastAsia" w:cs="宋体"/>
                <w:color w:val="auto"/>
                <w:kern w:val="0"/>
                <w:highlight w:val="none"/>
              </w:rPr>
              <w:t>分）</w:t>
            </w:r>
          </w:p>
        </w:tc>
        <w:tc>
          <w:tcPr>
            <w:tcW w:w="6374" w:type="dxa"/>
            <w:gridSpan w:val="3"/>
            <w:vAlign w:val="center"/>
          </w:tcPr>
          <w:p>
            <w:pPr>
              <w:pStyle w:val="49"/>
              <w:spacing w:before="101" w:line="360" w:lineRule="auto"/>
              <w:rPr>
                <w:color w:val="auto"/>
                <w:sz w:val="21"/>
                <w:highlight w:val="none"/>
              </w:rPr>
            </w:pPr>
            <w:r>
              <w:rPr>
                <w:color w:val="auto"/>
                <w:sz w:val="21"/>
                <w:highlight w:val="none"/>
              </w:rPr>
              <w:t>优（5 分）：总体布置有针对性、合理，</w:t>
            </w:r>
            <w:r>
              <w:rPr>
                <w:rFonts w:hint="eastAsia"/>
                <w:color w:val="auto"/>
                <w:sz w:val="21"/>
                <w:highlight w:val="none"/>
                <w:lang w:eastAsia="zh-CN"/>
              </w:rPr>
              <w:t>完全</w:t>
            </w:r>
            <w:r>
              <w:rPr>
                <w:color w:val="auto"/>
                <w:sz w:val="21"/>
                <w:highlight w:val="none"/>
              </w:rPr>
              <w:t xml:space="preserve">满足施工需要，符合安全、文明生产要求。 </w:t>
            </w:r>
          </w:p>
          <w:p>
            <w:pPr>
              <w:pStyle w:val="49"/>
              <w:spacing w:before="101" w:line="360" w:lineRule="auto"/>
              <w:rPr>
                <w:color w:val="auto"/>
                <w:sz w:val="21"/>
                <w:highlight w:val="none"/>
              </w:rPr>
            </w:pPr>
            <w:r>
              <w:rPr>
                <w:color w:val="auto"/>
                <w:sz w:val="21"/>
                <w:highlight w:val="none"/>
              </w:rPr>
              <w:t>良（</w:t>
            </w:r>
            <w:r>
              <w:rPr>
                <w:rFonts w:hint="eastAsia"/>
                <w:color w:val="auto"/>
                <w:sz w:val="21"/>
                <w:highlight w:val="none"/>
                <w:lang w:val="en-US" w:eastAsia="zh-CN"/>
              </w:rPr>
              <w:t>4</w:t>
            </w:r>
            <w:r>
              <w:rPr>
                <w:color w:val="auto"/>
                <w:sz w:val="21"/>
                <w:highlight w:val="none"/>
              </w:rPr>
              <w:t xml:space="preserve">分）：总体布置合理，能满足施工需要， </w:t>
            </w:r>
            <w:r>
              <w:rPr>
                <w:rFonts w:hint="eastAsia"/>
                <w:color w:val="auto"/>
                <w:sz w:val="21"/>
                <w:highlight w:val="none"/>
                <w:lang w:eastAsia="zh-CN"/>
              </w:rPr>
              <w:t>可以</w:t>
            </w:r>
            <w:r>
              <w:rPr>
                <w:color w:val="auto"/>
                <w:sz w:val="21"/>
                <w:highlight w:val="none"/>
              </w:rPr>
              <w:t>符合安全、文明生产要求。</w:t>
            </w:r>
          </w:p>
          <w:p>
            <w:pPr>
              <w:pStyle w:val="49"/>
              <w:spacing w:before="101" w:line="360" w:lineRule="auto"/>
              <w:rPr>
                <w:color w:val="auto"/>
                <w:sz w:val="21"/>
                <w:highlight w:val="none"/>
              </w:rPr>
            </w:pPr>
            <w:r>
              <w:rPr>
                <w:color w:val="auto"/>
                <w:sz w:val="21"/>
                <w:highlight w:val="none"/>
              </w:rPr>
              <w:t>中（</w:t>
            </w:r>
            <w:r>
              <w:rPr>
                <w:rFonts w:hint="eastAsia"/>
                <w:color w:val="auto"/>
                <w:sz w:val="21"/>
                <w:highlight w:val="none"/>
                <w:lang w:val="en-US" w:eastAsia="zh-CN"/>
              </w:rPr>
              <w:t>3</w:t>
            </w:r>
            <w:r>
              <w:rPr>
                <w:color w:val="auto"/>
                <w:sz w:val="21"/>
                <w:highlight w:val="none"/>
              </w:rPr>
              <w:t>分）：总体布置基本合理，基本满足施工需要。</w:t>
            </w:r>
          </w:p>
          <w:p>
            <w:pPr>
              <w:pStyle w:val="49"/>
              <w:spacing w:before="101" w:line="360" w:lineRule="auto"/>
              <w:rPr>
                <w:color w:val="auto"/>
                <w:sz w:val="21"/>
                <w:szCs w:val="21"/>
                <w:highlight w:val="none"/>
              </w:rPr>
            </w:pPr>
            <w:r>
              <w:rPr>
                <w:rFonts w:hint="eastAsia"/>
                <w:color w:val="auto"/>
                <w:sz w:val="21"/>
                <w:highlight w:val="none"/>
                <w:lang w:eastAsia="zh-CN"/>
              </w:rPr>
              <w:t>差（1分）</w:t>
            </w:r>
            <w:r>
              <w:rPr>
                <w:color w:val="auto"/>
                <w:sz w:val="21"/>
                <w:highlight w:val="none"/>
              </w:rPr>
              <w:t>：总体布置不合理，不符合安全、文明生产要求。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vAlign w:val="center"/>
          </w:tcPr>
          <w:p>
            <w:pPr>
              <w:keepNext w:val="0"/>
              <w:keepLines w:val="0"/>
              <w:pageBreakBefore w:val="0"/>
              <w:kinsoku/>
              <w:wordWrap/>
              <w:overflowPunct/>
              <w:topLinePunct w:val="0"/>
              <w:autoSpaceDE/>
              <w:autoSpaceDN/>
              <w:bidi w:val="0"/>
              <w:snapToGrid/>
              <w:spacing w:line="312" w:lineRule="auto"/>
              <w:jc w:val="center"/>
              <w:rPr>
                <w:b/>
                <w:bCs/>
                <w:color w:val="auto"/>
                <w:szCs w:val="21"/>
                <w:highlight w:val="none"/>
              </w:rPr>
            </w:pPr>
            <w:r>
              <w:rPr>
                <w:b/>
                <w:bCs/>
                <w:color w:val="auto"/>
                <w:szCs w:val="21"/>
                <w:highlight w:val="none"/>
              </w:rPr>
              <w:t>2.2.</w:t>
            </w:r>
            <w:r>
              <w:rPr>
                <w:rFonts w:hint="eastAsia"/>
                <w:b/>
                <w:bCs/>
                <w:color w:val="auto"/>
                <w:szCs w:val="21"/>
                <w:highlight w:val="none"/>
              </w:rPr>
              <w:t>2</w:t>
            </w:r>
          </w:p>
          <w:p>
            <w:pPr>
              <w:keepNext w:val="0"/>
              <w:keepLines w:val="0"/>
              <w:pageBreakBefore w:val="0"/>
              <w:kinsoku/>
              <w:wordWrap/>
              <w:overflowPunct/>
              <w:topLinePunct w:val="0"/>
              <w:autoSpaceDE/>
              <w:autoSpaceDN/>
              <w:bidi w:val="0"/>
              <w:snapToGrid/>
              <w:spacing w:line="312" w:lineRule="auto"/>
              <w:jc w:val="center"/>
              <w:rPr>
                <w:b/>
                <w:bCs/>
                <w:color w:val="auto"/>
                <w:szCs w:val="21"/>
                <w:highlight w:val="none"/>
              </w:rPr>
            </w:pPr>
            <w:r>
              <w:rPr>
                <w:rFonts w:hint="eastAsia"/>
                <w:b/>
                <w:bCs/>
                <w:color w:val="auto"/>
                <w:szCs w:val="21"/>
                <w:highlight w:val="none"/>
              </w:rPr>
              <w:t>（2）</w:t>
            </w:r>
          </w:p>
        </w:tc>
        <w:tc>
          <w:tcPr>
            <w:tcW w:w="1345" w:type="dxa"/>
            <w:gridSpan w:val="2"/>
            <w:vAlign w:val="center"/>
          </w:tcPr>
          <w:p>
            <w:pPr>
              <w:keepNext w:val="0"/>
              <w:keepLines w:val="0"/>
              <w:pageBreakBefore w:val="0"/>
              <w:kinsoku/>
              <w:wordWrap/>
              <w:overflowPunct/>
              <w:topLinePunct w:val="0"/>
              <w:autoSpaceDE/>
              <w:autoSpaceDN/>
              <w:bidi w:val="0"/>
              <w:snapToGrid/>
              <w:spacing w:line="360" w:lineRule="auto"/>
              <w:jc w:val="center"/>
              <w:rPr>
                <w:b/>
                <w:bCs/>
                <w:color w:val="auto"/>
                <w:sz w:val="21"/>
                <w:szCs w:val="21"/>
                <w:highlight w:val="none"/>
              </w:rPr>
            </w:pPr>
            <w:r>
              <w:rPr>
                <w:b/>
                <w:bCs/>
                <w:color w:val="auto"/>
                <w:sz w:val="21"/>
                <w:szCs w:val="21"/>
                <w:highlight w:val="none"/>
              </w:rPr>
              <w:t>商务标</w:t>
            </w:r>
          </w:p>
          <w:p>
            <w:pPr>
              <w:keepNext w:val="0"/>
              <w:keepLines w:val="0"/>
              <w:pageBreakBefore w:val="0"/>
              <w:kinsoku/>
              <w:wordWrap/>
              <w:overflowPunct/>
              <w:topLinePunct w:val="0"/>
              <w:autoSpaceDE/>
              <w:autoSpaceDN/>
              <w:bidi w:val="0"/>
              <w:snapToGrid/>
              <w:spacing w:line="360" w:lineRule="auto"/>
              <w:jc w:val="center"/>
              <w:rPr>
                <w:b/>
                <w:bCs/>
                <w:color w:val="auto"/>
                <w:sz w:val="21"/>
                <w:szCs w:val="21"/>
                <w:highlight w:val="none"/>
              </w:rPr>
            </w:pPr>
            <w:r>
              <w:rPr>
                <w:b/>
                <w:bCs/>
                <w:color w:val="auto"/>
                <w:sz w:val="21"/>
                <w:szCs w:val="21"/>
                <w:highlight w:val="none"/>
              </w:rPr>
              <w:t>评分标准</w:t>
            </w:r>
          </w:p>
          <w:p>
            <w:pPr>
              <w:keepNext w:val="0"/>
              <w:keepLines w:val="0"/>
              <w:pageBreakBefore w:val="0"/>
              <w:kinsoku/>
              <w:wordWrap/>
              <w:overflowPunct/>
              <w:topLinePunct w:val="0"/>
              <w:autoSpaceDE/>
              <w:autoSpaceDN/>
              <w:bidi w:val="0"/>
              <w:snapToGrid/>
              <w:spacing w:line="360" w:lineRule="auto"/>
              <w:jc w:val="center"/>
              <w:rPr>
                <w:b/>
                <w:bCs/>
                <w:color w:val="auto"/>
                <w:sz w:val="21"/>
                <w:szCs w:val="21"/>
                <w:highlight w:val="none"/>
              </w:rPr>
            </w:pPr>
            <w:r>
              <w:rPr>
                <w:b/>
                <w:bCs/>
                <w:color w:val="auto"/>
                <w:sz w:val="21"/>
                <w:szCs w:val="21"/>
                <w:highlight w:val="none"/>
              </w:rPr>
              <w:t>（满分</w:t>
            </w:r>
            <w:r>
              <w:rPr>
                <w:rFonts w:hint="eastAsia"/>
                <w:b/>
                <w:bCs/>
                <w:color w:val="auto"/>
                <w:sz w:val="21"/>
                <w:szCs w:val="21"/>
                <w:highlight w:val="none"/>
                <w:lang w:val="en-US" w:eastAsia="zh-CN"/>
              </w:rPr>
              <w:t>3</w:t>
            </w:r>
            <w:r>
              <w:rPr>
                <w:rFonts w:hint="eastAsia"/>
                <w:b/>
                <w:bCs/>
                <w:color w:val="auto"/>
                <w:sz w:val="21"/>
                <w:szCs w:val="21"/>
                <w:highlight w:val="none"/>
              </w:rPr>
              <w:t>0</w:t>
            </w:r>
            <w:r>
              <w:rPr>
                <w:b/>
                <w:bCs/>
                <w:color w:val="auto"/>
                <w:sz w:val="21"/>
                <w:szCs w:val="21"/>
                <w:highlight w:val="none"/>
              </w:rPr>
              <w:t>分）</w:t>
            </w:r>
          </w:p>
        </w:tc>
        <w:tc>
          <w:tcPr>
            <w:tcW w:w="7322" w:type="dxa"/>
            <w:gridSpan w:val="4"/>
            <w:vAlign w:val="top"/>
          </w:tcPr>
          <w:p>
            <w:pPr>
              <w:keepNext w:val="0"/>
              <w:keepLines w:val="0"/>
              <w:pageBreakBefore w:val="0"/>
              <w:kinsoku/>
              <w:wordWrap/>
              <w:overflowPunct/>
              <w:topLinePunct w:val="0"/>
              <w:autoSpaceDE/>
              <w:autoSpaceDN/>
              <w:bidi w:val="0"/>
              <w:snapToGrid/>
              <w:spacing w:line="312" w:lineRule="auto"/>
              <w:ind w:firstLine="420" w:firstLineChars="200"/>
              <w:rPr>
                <w:rFonts w:hint="eastAsia"/>
                <w:color w:val="auto"/>
                <w:sz w:val="21"/>
                <w:szCs w:val="21"/>
              </w:rPr>
            </w:pPr>
            <w:r>
              <w:rPr>
                <w:rFonts w:hint="eastAsia"/>
                <w:color w:val="auto"/>
                <w:sz w:val="21"/>
                <w:szCs w:val="21"/>
              </w:rPr>
              <w:t>评标基准价</w:t>
            </w:r>
            <w:r>
              <w:rPr>
                <w:color w:val="auto"/>
                <w:sz w:val="21"/>
                <w:szCs w:val="21"/>
              </w:rPr>
              <w:t>的确定方法</w:t>
            </w:r>
            <w:r>
              <w:rPr>
                <w:rFonts w:hint="eastAsia"/>
                <w:color w:val="auto"/>
                <w:sz w:val="21"/>
                <w:szCs w:val="21"/>
                <w:lang w:eastAsia="zh-CN"/>
              </w:rPr>
              <w:t>：</w:t>
            </w:r>
            <w:r>
              <w:rPr>
                <w:rFonts w:hint="default"/>
                <w:color w:val="auto"/>
                <w:sz w:val="21"/>
                <w:szCs w:val="21"/>
              </w:rPr>
              <w:t>采用低价优先法计算，即满足磋商文件要求且最后报价最低的供应商的价格为磋商基准价，其价格分为满分</w:t>
            </w:r>
            <w:r>
              <w:rPr>
                <w:rFonts w:hint="eastAsia"/>
                <w:color w:val="auto"/>
                <w:sz w:val="21"/>
                <w:szCs w:val="21"/>
              </w:rPr>
              <w:t>。</w:t>
            </w:r>
          </w:p>
          <w:p>
            <w:pPr>
              <w:keepNext w:val="0"/>
              <w:keepLines w:val="0"/>
              <w:pageBreakBefore w:val="0"/>
              <w:kinsoku/>
              <w:wordWrap/>
              <w:overflowPunct/>
              <w:topLinePunct w:val="0"/>
              <w:autoSpaceDE/>
              <w:autoSpaceDN/>
              <w:bidi w:val="0"/>
              <w:snapToGrid/>
              <w:spacing w:line="312" w:lineRule="auto"/>
              <w:ind w:firstLine="420" w:firstLineChars="200"/>
              <w:rPr>
                <w:rFonts w:hint="eastAsia"/>
                <w:color w:val="auto"/>
                <w:sz w:val="21"/>
                <w:szCs w:val="21"/>
              </w:rPr>
            </w:pPr>
            <w:r>
              <w:rPr>
                <w:rFonts w:hint="eastAsia"/>
                <w:color w:val="auto"/>
                <w:sz w:val="21"/>
                <w:szCs w:val="21"/>
              </w:rPr>
              <w:t>其他供应商的价格分统一按照下列公式计算：磋商报价得分=（评审基准价/磋商报价）×价格分满分分值。</w:t>
            </w:r>
          </w:p>
          <w:p>
            <w:pPr>
              <w:pStyle w:val="12"/>
              <w:spacing w:line="360" w:lineRule="auto"/>
              <w:ind w:firstLine="420" w:firstLineChars="200"/>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kern w:val="2"/>
                <w:sz w:val="21"/>
                <w:szCs w:val="21"/>
                <w:lang w:val="en-US" w:eastAsia="zh-CN" w:bidi="ar-SA"/>
              </w:rPr>
              <w:t>注：按照《政府采购促进中小企业发展</w:t>
            </w:r>
            <w:r>
              <w:rPr>
                <w:rFonts w:hint="eastAsia" w:ascii="Calibri" w:hAnsi="Calibri" w:cs="Times New Roman"/>
                <w:color w:val="auto"/>
                <w:kern w:val="2"/>
                <w:sz w:val="21"/>
                <w:szCs w:val="21"/>
                <w:lang w:val="en-US" w:eastAsia="zh-CN" w:bidi="ar-SA"/>
              </w:rPr>
              <w:t>管理办法</w:t>
            </w:r>
            <w:r>
              <w:rPr>
                <w:rFonts w:hint="eastAsia" w:ascii="Calibri" w:hAnsi="Calibri" w:eastAsia="宋体" w:cs="Times New Roman"/>
                <w:color w:val="auto"/>
                <w:kern w:val="2"/>
                <w:sz w:val="21"/>
                <w:szCs w:val="21"/>
                <w:lang w:val="en-US" w:eastAsia="zh-CN" w:bidi="ar-SA"/>
              </w:rPr>
              <w:t>》（财库[20</w:t>
            </w:r>
            <w:r>
              <w:rPr>
                <w:rFonts w:hint="eastAsia" w:ascii="Calibri" w:hAnsi="Calibri" w:cs="Times New Roman"/>
                <w:color w:val="auto"/>
                <w:kern w:val="2"/>
                <w:sz w:val="21"/>
                <w:szCs w:val="21"/>
                <w:lang w:val="en-US" w:eastAsia="zh-CN" w:bidi="ar-SA"/>
              </w:rPr>
              <w:t>20</w:t>
            </w:r>
            <w:r>
              <w:rPr>
                <w:rFonts w:hint="eastAsia" w:ascii="Calibri" w:hAnsi="Calibri" w:eastAsia="宋体" w:cs="Times New Roman"/>
                <w:color w:val="auto"/>
                <w:kern w:val="2"/>
                <w:sz w:val="21"/>
                <w:szCs w:val="21"/>
                <w:lang w:val="en-US" w:eastAsia="zh-CN" w:bidi="ar-SA"/>
              </w:rPr>
              <w:t>]</w:t>
            </w:r>
            <w:r>
              <w:rPr>
                <w:rFonts w:hint="eastAsia" w:ascii="Calibri" w:hAnsi="Calibri" w:cs="Times New Roman"/>
                <w:color w:val="auto"/>
                <w:kern w:val="2"/>
                <w:sz w:val="21"/>
                <w:szCs w:val="21"/>
                <w:lang w:val="en-US" w:eastAsia="zh-CN" w:bidi="ar-SA"/>
              </w:rPr>
              <w:t>046</w:t>
            </w:r>
            <w:r>
              <w:rPr>
                <w:rFonts w:hint="eastAsia" w:ascii="Calibri" w:hAnsi="Calibri" w:eastAsia="宋体" w:cs="Times New Roman"/>
                <w:color w:val="auto"/>
                <w:kern w:val="2"/>
                <w:sz w:val="21"/>
                <w:szCs w:val="21"/>
                <w:lang w:val="en-US" w:eastAsia="zh-CN" w:bidi="ar-SA"/>
              </w:rPr>
              <w:t>号），磋商单位认定为小型和微型企业的（以投标文件提供的符合规定的有关证明材料为准），对磋商报价给予10%的扣除，扣除后的价格为评标报价，即评标报价=磋商报价×（1-10%）；除上述情况外，评标报价=磋商报价。</w:t>
            </w:r>
          </w:p>
          <w:p>
            <w:pPr>
              <w:pStyle w:val="12"/>
              <w:spacing w:line="360" w:lineRule="auto"/>
              <w:ind w:firstLine="420"/>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kern w:val="2"/>
                <w:sz w:val="21"/>
                <w:szCs w:val="21"/>
                <w:lang w:val="en-US" w:eastAsia="zh-CN" w:bidi="ar-SA"/>
              </w:rPr>
              <w:t>监狱企业视同小型、微型企业。监狱企业参加采购活动时，应当提供由省级以上监狱管理局、戒毒管理局（含新疆生产建设兵团）出具的属于监狱企业的证明文件。</w:t>
            </w:r>
          </w:p>
          <w:p>
            <w:pPr>
              <w:pStyle w:val="12"/>
              <w:spacing w:line="360" w:lineRule="auto"/>
              <w:ind w:firstLine="420"/>
              <w:rPr>
                <w:rFonts w:hint="eastAsia" w:hAnsi="宋体" w:cs="宋体"/>
                <w:bCs/>
                <w:color w:val="auto"/>
                <w:sz w:val="21"/>
                <w:szCs w:val="21"/>
                <w:highlight w:val="none"/>
              </w:rPr>
            </w:pPr>
            <w:r>
              <w:rPr>
                <w:rFonts w:hint="eastAsia" w:hAnsi="宋体" w:cs="宋体"/>
                <w:bCs/>
                <w:color w:val="auto"/>
                <w:sz w:val="21"/>
                <w:szCs w:val="21"/>
                <w:highlight w:val="none"/>
              </w:rPr>
              <w:t>残疾人福利性单位视同小型、微型企业。符合条件的残疾人福利性单位在参加</w:t>
            </w:r>
            <w:r>
              <w:rPr>
                <w:rFonts w:hint="eastAsia" w:hAnsi="宋体" w:cs="宋体"/>
                <w:bCs/>
                <w:color w:val="auto"/>
                <w:sz w:val="21"/>
                <w:szCs w:val="21"/>
                <w:highlight w:val="none"/>
                <w:lang w:eastAsia="zh-CN"/>
              </w:rPr>
              <w:t>采购活动</w:t>
            </w:r>
            <w:r>
              <w:rPr>
                <w:rFonts w:hint="eastAsia" w:hAnsi="宋体" w:cs="宋体"/>
                <w:bCs/>
                <w:color w:val="auto"/>
                <w:sz w:val="21"/>
                <w:szCs w:val="21"/>
                <w:highlight w:val="none"/>
              </w:rPr>
              <w:t>时，应当提供规定的《残疾人福利性单位声明函》，并对声明的真实性负责。</w:t>
            </w:r>
          </w:p>
          <w:p>
            <w:pPr>
              <w:pStyle w:val="12"/>
              <w:spacing w:line="360" w:lineRule="auto"/>
              <w:ind w:firstLine="420"/>
              <w:rPr>
                <w:rFonts w:hint="eastAsia" w:hAnsi="宋体" w:cs="宋体"/>
                <w:bCs/>
                <w:color w:val="auto"/>
                <w:sz w:val="21"/>
                <w:szCs w:val="21"/>
                <w:highlight w:val="none"/>
              </w:rPr>
            </w:pPr>
            <w:r>
              <w:rPr>
                <w:rFonts w:hint="eastAsia" w:hAnsi="宋体" w:cs="宋体"/>
                <w:bCs/>
                <w:color w:val="auto"/>
                <w:sz w:val="21"/>
                <w:szCs w:val="21"/>
                <w:highlight w:val="none"/>
                <w:shd w:val="clear" w:color="auto" w:fill="FFFFFF"/>
              </w:rPr>
              <w:t>供应商提供的货物、工程或者服务符合下列情形的，享受中小企业扶持政策：（</w:t>
            </w:r>
            <w:r>
              <w:rPr>
                <w:rFonts w:hint="eastAsia" w:hAnsi="宋体" w:cs="宋体"/>
                <w:bCs/>
                <w:color w:val="auto"/>
                <w:sz w:val="21"/>
                <w:szCs w:val="21"/>
                <w:highlight w:val="none"/>
              </w:rPr>
              <w:t>1</w:t>
            </w:r>
            <w:r>
              <w:rPr>
                <w:rFonts w:hint="eastAsia" w:hAnsi="宋体" w:cs="宋体"/>
                <w:bCs/>
                <w:color w:val="auto"/>
                <w:sz w:val="21"/>
                <w:szCs w:val="21"/>
                <w:highlight w:val="none"/>
                <w:shd w:val="clear" w:color="auto" w:fill="FFFFFF"/>
              </w:rPr>
              <w:t>）在货物采购项目中，货物由中小企业制造，即货物由中小企业生产且使用该中小企业商号或者注册商标；（</w:t>
            </w:r>
            <w:r>
              <w:rPr>
                <w:rFonts w:hint="eastAsia" w:hAnsi="宋体" w:cs="宋体"/>
                <w:bCs/>
                <w:color w:val="auto"/>
                <w:sz w:val="21"/>
                <w:szCs w:val="21"/>
                <w:highlight w:val="none"/>
              </w:rPr>
              <w:t>2</w:t>
            </w:r>
            <w:r>
              <w:rPr>
                <w:rFonts w:hint="eastAsia" w:hAnsi="宋体" w:cs="宋体"/>
                <w:bCs/>
                <w:color w:val="auto"/>
                <w:sz w:val="21"/>
                <w:szCs w:val="21"/>
                <w:highlight w:val="none"/>
                <w:shd w:val="clear" w:color="auto" w:fill="FFFFFF"/>
              </w:rPr>
              <w:t>）在工程采购项目中，工程由中小企业承建，即工程施工单位为中小企业；（</w:t>
            </w:r>
            <w:r>
              <w:rPr>
                <w:rFonts w:hint="eastAsia" w:hAnsi="宋体" w:cs="宋体"/>
                <w:bCs/>
                <w:color w:val="auto"/>
                <w:sz w:val="21"/>
                <w:szCs w:val="21"/>
                <w:highlight w:val="none"/>
              </w:rPr>
              <w:t>3</w:t>
            </w:r>
            <w:r>
              <w:rPr>
                <w:rFonts w:hint="eastAsia" w:hAnsi="宋体" w:cs="宋体"/>
                <w:bCs/>
                <w:color w:val="auto"/>
                <w:sz w:val="21"/>
                <w:szCs w:val="21"/>
                <w:highlight w:val="none"/>
                <w:shd w:val="clear" w:color="auto" w:fill="FFFFFF"/>
              </w:rPr>
              <w:t>）在服务采购项目中，服务由中小企业承接，即提供服务的人员为中小企业依照《中华人民共和国劳动</w:t>
            </w:r>
            <w:r>
              <w:rPr>
                <w:rFonts w:hint="eastAsia" w:hAnsi="宋体" w:cs="宋体"/>
                <w:bCs/>
                <w:color w:val="auto"/>
                <w:sz w:val="21"/>
                <w:szCs w:val="21"/>
                <w:highlight w:val="none"/>
                <w:shd w:val="clear" w:color="auto" w:fill="FFFFFF"/>
                <w:lang w:eastAsia="zh-CN"/>
              </w:rPr>
              <w:t>民法典</w:t>
            </w:r>
            <w:r>
              <w:rPr>
                <w:rFonts w:hint="eastAsia" w:hAnsi="宋体" w:cs="宋体"/>
                <w:bCs/>
                <w:color w:val="auto"/>
                <w:sz w:val="21"/>
                <w:szCs w:val="21"/>
                <w:highlight w:val="none"/>
                <w:shd w:val="clear" w:color="auto" w:fill="FFFFFF"/>
              </w:rPr>
              <w:t>》订立劳动合同的从业人员</w:t>
            </w:r>
            <w:r>
              <w:rPr>
                <w:rFonts w:hint="eastAsia" w:hAnsi="宋体" w:cs="宋体"/>
                <w:bCs/>
                <w:color w:val="auto"/>
                <w:sz w:val="21"/>
                <w:szCs w:val="21"/>
                <w:highlight w:val="none"/>
              </w:rPr>
              <w:t>。</w:t>
            </w:r>
          </w:p>
          <w:p>
            <w:pPr>
              <w:pStyle w:val="2"/>
              <w:spacing w:line="360" w:lineRule="auto"/>
              <w:ind w:firstLine="460" w:firstLineChars="200"/>
              <w:rPr>
                <w:color w:val="auto"/>
                <w:sz w:val="21"/>
                <w:szCs w:val="21"/>
                <w:highlight w:val="none"/>
              </w:rPr>
            </w:pPr>
            <w:r>
              <w:rPr>
                <w:rFonts w:hint="eastAsia" w:hAnsi="宋体" w:cs="宋体"/>
                <w:bCs/>
                <w:color w:val="auto"/>
                <w:sz w:val="21"/>
                <w:szCs w:val="21"/>
                <w:highlight w:val="none"/>
              </w:rPr>
              <w:t>磋商小组认为磋商单位的报价明显低于其他通过符合性审查磋商单位的报价，有可能影响产品质量或者不能诚信履约的，应当要求其在磋商现场合理的时间内提供书面说明，必要时提交相关证明材料；磋商单位不能证明其报价合理性的，磋商小组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vAlign w:val="center"/>
          </w:tcPr>
          <w:p>
            <w:pPr>
              <w:keepNext w:val="0"/>
              <w:keepLines w:val="0"/>
              <w:pageBreakBefore w:val="0"/>
              <w:kinsoku/>
              <w:wordWrap/>
              <w:overflowPunct/>
              <w:topLinePunct w:val="0"/>
              <w:autoSpaceDE/>
              <w:autoSpaceDN/>
              <w:bidi w:val="0"/>
              <w:snapToGrid/>
              <w:spacing w:line="312" w:lineRule="auto"/>
              <w:jc w:val="center"/>
              <w:rPr>
                <w:b/>
                <w:bCs/>
                <w:color w:val="auto"/>
                <w:szCs w:val="21"/>
                <w:highlight w:val="none"/>
              </w:rPr>
            </w:pPr>
            <w:r>
              <w:rPr>
                <w:b/>
                <w:bCs/>
                <w:color w:val="auto"/>
                <w:szCs w:val="21"/>
                <w:highlight w:val="none"/>
              </w:rPr>
              <w:t>2.2.</w:t>
            </w:r>
            <w:r>
              <w:rPr>
                <w:rFonts w:hint="eastAsia"/>
                <w:b/>
                <w:bCs/>
                <w:color w:val="auto"/>
                <w:szCs w:val="21"/>
                <w:highlight w:val="none"/>
              </w:rPr>
              <w:t>2</w:t>
            </w:r>
          </w:p>
          <w:p>
            <w:pPr>
              <w:keepNext w:val="0"/>
              <w:keepLines w:val="0"/>
              <w:pageBreakBefore w:val="0"/>
              <w:kinsoku/>
              <w:wordWrap/>
              <w:overflowPunct/>
              <w:topLinePunct w:val="0"/>
              <w:autoSpaceDE/>
              <w:autoSpaceDN/>
              <w:bidi w:val="0"/>
              <w:snapToGrid/>
              <w:spacing w:line="312" w:lineRule="auto"/>
              <w:jc w:val="center"/>
              <w:rPr>
                <w:rFonts w:hint="eastAsia"/>
                <w:b/>
                <w:bCs/>
                <w:color w:val="auto"/>
                <w:szCs w:val="21"/>
                <w:highlight w:val="none"/>
              </w:rPr>
            </w:pPr>
            <w:r>
              <w:rPr>
                <w:rFonts w:hint="eastAsia"/>
                <w:b/>
                <w:bCs/>
                <w:color w:val="auto"/>
                <w:szCs w:val="21"/>
                <w:highlight w:val="none"/>
              </w:rPr>
              <w:t>（</w:t>
            </w:r>
            <w:r>
              <w:rPr>
                <w:rFonts w:hint="eastAsia"/>
                <w:b/>
                <w:bCs/>
                <w:color w:val="auto"/>
                <w:szCs w:val="21"/>
                <w:highlight w:val="none"/>
                <w:lang w:val="en-US" w:eastAsia="zh-CN"/>
              </w:rPr>
              <w:t>3</w:t>
            </w:r>
            <w:r>
              <w:rPr>
                <w:rFonts w:hint="eastAsia"/>
                <w:b/>
                <w:bCs/>
                <w:color w:val="auto"/>
                <w:szCs w:val="21"/>
                <w:highlight w:val="none"/>
              </w:rPr>
              <w:t>）</w:t>
            </w:r>
          </w:p>
        </w:tc>
        <w:tc>
          <w:tcPr>
            <w:tcW w:w="1345" w:type="dxa"/>
            <w:gridSpan w:val="2"/>
            <w:vAlign w:val="center"/>
          </w:tcPr>
          <w:p>
            <w:pPr>
              <w:keepNext w:val="0"/>
              <w:keepLines w:val="0"/>
              <w:pageBreakBefore w:val="0"/>
              <w:kinsoku/>
              <w:wordWrap/>
              <w:overflowPunct/>
              <w:topLinePunct w:val="0"/>
              <w:autoSpaceDE/>
              <w:autoSpaceDN/>
              <w:bidi w:val="0"/>
              <w:snapToGrid/>
              <w:spacing w:line="312" w:lineRule="auto"/>
              <w:jc w:val="center"/>
              <w:rPr>
                <w:b/>
                <w:bCs/>
                <w:color w:val="auto"/>
                <w:szCs w:val="21"/>
                <w:highlight w:val="none"/>
              </w:rPr>
            </w:pPr>
            <w:r>
              <w:rPr>
                <w:rFonts w:hint="eastAsia"/>
                <w:b/>
                <w:bCs/>
                <w:color w:val="auto"/>
                <w:szCs w:val="21"/>
                <w:highlight w:val="none"/>
                <w:lang w:eastAsia="zh-CN"/>
              </w:rPr>
              <w:t>业绩分</w:t>
            </w:r>
            <w:r>
              <w:rPr>
                <w:b/>
                <w:bCs/>
                <w:color w:val="auto"/>
                <w:szCs w:val="21"/>
                <w:highlight w:val="none"/>
              </w:rPr>
              <w:t>（满分</w:t>
            </w:r>
            <w:r>
              <w:rPr>
                <w:rFonts w:hint="eastAsia"/>
                <w:b/>
                <w:bCs/>
                <w:color w:val="auto"/>
                <w:szCs w:val="21"/>
                <w:highlight w:val="none"/>
                <w:lang w:val="en-US" w:eastAsia="zh-CN"/>
              </w:rPr>
              <w:t>5</w:t>
            </w:r>
            <w:r>
              <w:rPr>
                <w:b/>
                <w:bCs/>
                <w:color w:val="auto"/>
                <w:szCs w:val="21"/>
                <w:highlight w:val="none"/>
              </w:rPr>
              <w:t>分）</w:t>
            </w:r>
          </w:p>
        </w:tc>
        <w:tc>
          <w:tcPr>
            <w:tcW w:w="7322" w:type="dxa"/>
            <w:gridSpan w:val="4"/>
            <w:vAlign w:val="top"/>
          </w:tcPr>
          <w:p>
            <w:pPr>
              <w:keepNext w:val="0"/>
              <w:keepLines w:val="0"/>
              <w:pageBreakBefore w:val="0"/>
              <w:kinsoku/>
              <w:wordWrap/>
              <w:overflowPunct/>
              <w:topLinePunct w:val="0"/>
              <w:autoSpaceDE/>
              <w:autoSpaceDN/>
              <w:bidi w:val="0"/>
              <w:snapToGrid/>
              <w:spacing w:line="312" w:lineRule="auto"/>
              <w:rPr>
                <w:rFonts w:hint="default" w:eastAsia="宋体"/>
                <w:b/>
                <w:bCs/>
                <w:color w:val="auto"/>
                <w:sz w:val="21"/>
                <w:szCs w:val="21"/>
                <w:highlight w:val="none"/>
                <w:lang w:val="en-US" w:eastAsia="zh-CN"/>
              </w:rPr>
            </w:pPr>
            <w:r>
              <w:rPr>
                <w:rFonts w:hint="eastAsia" w:ascii="宋体" w:hAnsi="宋体" w:cs="宋体"/>
                <w:b w:val="0"/>
                <w:color w:val="auto"/>
                <w:sz w:val="21"/>
                <w:szCs w:val="21"/>
                <w:highlight w:val="none"/>
                <w:lang w:val="en-US" w:eastAsia="zh-CN"/>
              </w:rPr>
              <w:t xml:space="preserve">   投标人自投标截止前三年内承接过类似建设工程项目的，每个得1分，满分5分（必须提供中标通知书或施工合同复印件，否则不予计分。）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277" w:type="dxa"/>
            <w:gridSpan w:val="3"/>
            <w:vAlign w:val="center"/>
          </w:tcPr>
          <w:p>
            <w:pPr>
              <w:keepNext w:val="0"/>
              <w:keepLines w:val="0"/>
              <w:pageBreakBefore w:val="0"/>
              <w:kinsoku/>
              <w:wordWrap/>
              <w:overflowPunct/>
              <w:topLinePunct w:val="0"/>
              <w:autoSpaceDE/>
              <w:autoSpaceDN/>
              <w:bidi w:val="0"/>
              <w:snapToGrid/>
              <w:spacing w:line="312" w:lineRule="auto"/>
              <w:jc w:val="center"/>
              <w:rPr>
                <w:b/>
                <w:bCs/>
                <w:color w:val="auto"/>
                <w:szCs w:val="21"/>
                <w:highlight w:val="none"/>
              </w:rPr>
            </w:pPr>
            <w:r>
              <w:rPr>
                <w:rFonts w:hint="eastAsia"/>
                <w:b/>
                <w:bCs/>
                <w:color w:val="auto"/>
                <w:szCs w:val="21"/>
                <w:highlight w:val="none"/>
              </w:rPr>
              <w:t>磋商单位</w:t>
            </w:r>
            <w:r>
              <w:rPr>
                <w:b/>
                <w:bCs/>
                <w:color w:val="auto"/>
                <w:szCs w:val="21"/>
                <w:highlight w:val="none"/>
              </w:rPr>
              <w:t>汇总得分</w:t>
            </w:r>
          </w:p>
        </w:tc>
        <w:tc>
          <w:tcPr>
            <w:tcW w:w="7322" w:type="dxa"/>
            <w:gridSpan w:val="4"/>
            <w:vAlign w:val="center"/>
          </w:tcPr>
          <w:p>
            <w:pPr>
              <w:keepNext w:val="0"/>
              <w:keepLines w:val="0"/>
              <w:pageBreakBefore w:val="0"/>
              <w:kinsoku/>
              <w:wordWrap/>
              <w:overflowPunct/>
              <w:topLinePunct w:val="0"/>
              <w:autoSpaceDE/>
              <w:autoSpaceDN/>
              <w:bidi w:val="0"/>
              <w:snapToGrid/>
              <w:spacing w:line="312" w:lineRule="auto"/>
              <w:rPr>
                <w:rFonts w:hint="eastAsia" w:eastAsia="宋体"/>
                <w:color w:val="auto"/>
                <w:sz w:val="21"/>
                <w:szCs w:val="21"/>
                <w:highlight w:val="none"/>
                <w:lang w:val="en-US" w:eastAsia="zh-CN"/>
              </w:rPr>
            </w:pPr>
            <w:r>
              <w:rPr>
                <w:rFonts w:hint="eastAsia"/>
                <w:color w:val="auto"/>
                <w:sz w:val="21"/>
                <w:szCs w:val="21"/>
                <w:highlight w:val="none"/>
              </w:rPr>
              <w:t>磋商单位</w:t>
            </w:r>
            <w:r>
              <w:rPr>
                <w:color w:val="auto"/>
                <w:sz w:val="21"/>
                <w:szCs w:val="21"/>
                <w:highlight w:val="none"/>
              </w:rPr>
              <w:t>汇总得分=该</w:t>
            </w:r>
            <w:r>
              <w:rPr>
                <w:rFonts w:hint="eastAsia"/>
                <w:color w:val="auto"/>
                <w:sz w:val="21"/>
                <w:szCs w:val="21"/>
                <w:highlight w:val="none"/>
              </w:rPr>
              <w:t>磋商单位</w:t>
            </w:r>
            <w:r>
              <w:rPr>
                <w:color w:val="auto"/>
                <w:sz w:val="21"/>
                <w:szCs w:val="21"/>
                <w:highlight w:val="none"/>
              </w:rPr>
              <w:t>的技术标得分+商务标得分</w:t>
            </w:r>
            <w:r>
              <w:rPr>
                <w:rFonts w:hint="eastAsia"/>
                <w:color w:val="auto"/>
                <w:sz w:val="21"/>
                <w:szCs w:val="21"/>
                <w:highlight w:val="none"/>
                <w:lang w:val="en-US" w:eastAsia="zh-CN"/>
              </w:rPr>
              <w:t>+业绩分得分</w:t>
            </w:r>
          </w:p>
        </w:tc>
      </w:tr>
    </w:tbl>
    <w:p>
      <w:pPr>
        <w:spacing w:line="360" w:lineRule="auto"/>
        <w:ind w:firstLine="632" w:firstLineChars="300"/>
        <w:jc w:val="center"/>
        <w:rPr>
          <w:rFonts w:ascii="宋体" w:hAnsi="宋体"/>
          <w:b/>
          <w:bCs/>
          <w:color w:val="auto"/>
          <w:szCs w:val="21"/>
        </w:rPr>
      </w:pPr>
    </w:p>
    <w:p>
      <w:pPr>
        <w:spacing w:line="360" w:lineRule="auto"/>
        <w:ind w:firstLine="632" w:firstLineChars="300"/>
        <w:jc w:val="center"/>
        <w:rPr>
          <w:rFonts w:ascii="宋体" w:hAnsi="宋体"/>
          <w:b/>
          <w:bCs/>
          <w:color w:val="auto"/>
          <w:szCs w:val="21"/>
        </w:rPr>
      </w:pPr>
    </w:p>
    <w:p>
      <w:pPr>
        <w:pStyle w:val="30"/>
        <w:rPr>
          <w:rFonts w:ascii="宋体" w:hAnsi="宋体"/>
          <w:b/>
          <w:bCs/>
          <w:color w:val="auto"/>
          <w:szCs w:val="21"/>
        </w:rPr>
      </w:pPr>
    </w:p>
    <w:p>
      <w:pPr>
        <w:rPr>
          <w:rFonts w:ascii="宋体" w:hAnsi="宋体"/>
          <w:b/>
          <w:bCs/>
          <w:color w:val="auto"/>
          <w:szCs w:val="21"/>
        </w:rPr>
      </w:pPr>
    </w:p>
    <w:p>
      <w:pPr>
        <w:pStyle w:val="30"/>
        <w:rPr>
          <w:rFonts w:ascii="宋体" w:hAnsi="宋体"/>
          <w:b/>
          <w:bCs/>
          <w:color w:val="auto"/>
          <w:szCs w:val="21"/>
        </w:rPr>
      </w:pPr>
    </w:p>
    <w:p>
      <w:pPr>
        <w:rPr>
          <w:rFonts w:ascii="宋体" w:hAnsi="宋体"/>
          <w:b/>
          <w:bCs/>
          <w:color w:val="auto"/>
          <w:szCs w:val="21"/>
        </w:rPr>
      </w:pPr>
    </w:p>
    <w:p>
      <w:pPr>
        <w:pStyle w:val="2"/>
        <w:rPr>
          <w:rFonts w:ascii="宋体" w:hAnsi="宋体"/>
          <w:b/>
          <w:bCs/>
          <w:color w:val="auto"/>
          <w:szCs w:val="21"/>
        </w:rPr>
      </w:pPr>
    </w:p>
    <w:p>
      <w:pPr>
        <w:pStyle w:val="2"/>
        <w:rPr>
          <w:rFonts w:ascii="宋体" w:hAnsi="宋体"/>
          <w:b/>
          <w:bCs/>
          <w:color w:val="auto"/>
          <w:szCs w:val="21"/>
        </w:rPr>
      </w:pPr>
    </w:p>
    <w:p>
      <w:pPr>
        <w:pStyle w:val="2"/>
        <w:rPr>
          <w:rFonts w:ascii="宋体" w:hAnsi="宋体"/>
          <w:b/>
          <w:bCs/>
          <w:color w:val="auto"/>
          <w:szCs w:val="21"/>
        </w:rPr>
      </w:pPr>
    </w:p>
    <w:p>
      <w:pPr>
        <w:pStyle w:val="2"/>
        <w:rPr>
          <w:rFonts w:ascii="宋体" w:hAnsi="宋体"/>
          <w:b/>
          <w:bCs/>
          <w:color w:val="auto"/>
          <w:szCs w:val="21"/>
        </w:rPr>
      </w:pPr>
    </w:p>
    <w:p>
      <w:pPr>
        <w:pStyle w:val="2"/>
        <w:rPr>
          <w:rFonts w:ascii="宋体" w:hAnsi="宋体"/>
          <w:b/>
          <w:bCs/>
          <w:color w:val="auto"/>
          <w:szCs w:val="21"/>
        </w:rPr>
      </w:pPr>
    </w:p>
    <w:p>
      <w:pPr>
        <w:pStyle w:val="2"/>
        <w:rPr>
          <w:rFonts w:ascii="宋体" w:hAnsi="宋体"/>
          <w:b/>
          <w:bCs/>
          <w:color w:val="auto"/>
          <w:szCs w:val="21"/>
        </w:rPr>
      </w:pPr>
    </w:p>
    <w:p>
      <w:pPr>
        <w:pStyle w:val="2"/>
        <w:rPr>
          <w:rFonts w:ascii="宋体" w:hAnsi="宋体"/>
          <w:b/>
          <w:bCs/>
          <w:color w:val="auto"/>
          <w:szCs w:val="21"/>
        </w:rPr>
      </w:pPr>
    </w:p>
    <w:p>
      <w:pPr>
        <w:pStyle w:val="2"/>
        <w:rPr>
          <w:rFonts w:ascii="宋体" w:hAnsi="宋体"/>
          <w:b/>
          <w:bCs/>
          <w:color w:val="auto"/>
          <w:szCs w:val="21"/>
        </w:rPr>
      </w:pPr>
    </w:p>
    <w:p>
      <w:pPr>
        <w:pStyle w:val="2"/>
        <w:rPr>
          <w:rFonts w:ascii="宋体" w:hAnsi="宋体"/>
          <w:b/>
          <w:bCs/>
          <w:color w:val="auto"/>
          <w:szCs w:val="21"/>
        </w:rPr>
      </w:pPr>
    </w:p>
    <w:p>
      <w:pPr>
        <w:pStyle w:val="2"/>
        <w:rPr>
          <w:rFonts w:ascii="宋体" w:hAnsi="宋体"/>
          <w:b/>
          <w:bCs/>
          <w:color w:val="auto"/>
          <w:szCs w:val="21"/>
        </w:rPr>
      </w:pPr>
    </w:p>
    <w:p>
      <w:pPr>
        <w:pStyle w:val="2"/>
        <w:rPr>
          <w:rFonts w:ascii="宋体" w:hAnsi="宋体"/>
          <w:b/>
          <w:bCs/>
          <w:color w:val="auto"/>
          <w:szCs w:val="21"/>
        </w:rPr>
      </w:pPr>
    </w:p>
    <w:p>
      <w:pPr>
        <w:rPr>
          <w:color w:val="auto"/>
        </w:rPr>
      </w:pPr>
    </w:p>
    <w:p>
      <w:pPr>
        <w:rPr>
          <w:rFonts w:ascii="宋体" w:hAnsi="宋体"/>
          <w:b/>
          <w:bCs/>
          <w:color w:val="auto"/>
          <w:szCs w:val="21"/>
        </w:rPr>
      </w:pPr>
    </w:p>
    <w:p>
      <w:pPr>
        <w:spacing w:line="360" w:lineRule="auto"/>
        <w:ind w:firstLine="632" w:firstLineChars="300"/>
        <w:jc w:val="center"/>
        <w:rPr>
          <w:rFonts w:ascii="宋体" w:hAnsi="宋体"/>
          <w:b/>
          <w:bCs/>
          <w:color w:val="auto"/>
          <w:szCs w:val="21"/>
        </w:rPr>
      </w:pPr>
      <w:r>
        <w:rPr>
          <w:rFonts w:hint="eastAsia" w:ascii="宋体" w:hAnsi="宋体"/>
          <w:b/>
          <w:bCs/>
          <w:color w:val="auto"/>
          <w:szCs w:val="21"/>
        </w:rPr>
        <w:t>附件：评分细则</w:t>
      </w:r>
    </w:p>
    <w:p>
      <w:pPr>
        <w:spacing w:line="360" w:lineRule="auto"/>
        <w:rPr>
          <w:rFonts w:ascii="宋体" w:hAnsi="宋体"/>
          <w:bCs/>
          <w:color w:val="auto"/>
          <w:szCs w:val="21"/>
        </w:rPr>
      </w:pPr>
      <w:r>
        <w:rPr>
          <w:rFonts w:hint="eastAsia" w:ascii="宋体" w:hAnsi="宋体"/>
          <w:bCs/>
          <w:color w:val="auto"/>
          <w:szCs w:val="21"/>
        </w:rPr>
        <w:t>1.初步评审</w:t>
      </w:r>
    </w:p>
    <w:p>
      <w:pPr>
        <w:spacing w:line="360" w:lineRule="auto"/>
        <w:ind w:firstLine="525" w:firstLineChars="250"/>
        <w:rPr>
          <w:rFonts w:ascii="宋体" w:hAnsi="宋体"/>
          <w:bCs/>
          <w:color w:val="auto"/>
          <w:szCs w:val="21"/>
        </w:rPr>
      </w:pPr>
      <w:r>
        <w:rPr>
          <w:rFonts w:hint="eastAsia" w:ascii="宋体" w:hAnsi="宋体"/>
          <w:bCs/>
          <w:color w:val="auto"/>
          <w:szCs w:val="21"/>
        </w:rPr>
        <w:t>磋商小组对供应商资格审查、形式性、响应性进行评审。资格审查指依据法律、法规和竞争性磋商文件的规定，对竞争性磋商响应文件中的资格证明</w:t>
      </w:r>
      <w:r>
        <w:rPr>
          <w:rFonts w:hint="eastAsia" w:ascii="宋体" w:hAnsi="宋体"/>
          <w:bCs/>
          <w:color w:val="auto"/>
          <w:szCs w:val="21"/>
          <w:lang w:eastAsia="zh-CN"/>
        </w:rPr>
        <w:t>资料</w:t>
      </w:r>
      <w:r>
        <w:rPr>
          <w:rFonts w:hint="eastAsia" w:ascii="宋体" w:hAnsi="宋体"/>
          <w:bCs/>
          <w:color w:val="auto"/>
          <w:szCs w:val="21"/>
        </w:rPr>
        <w:t>进行审查，如果供应商出现没有按照要求提交全部资格证明文件或资格证明无效；未按</w:t>
      </w:r>
      <w:r>
        <w:rPr>
          <w:rFonts w:hint="eastAsia" w:ascii="宋体" w:hAnsi="宋体"/>
          <w:bCs/>
          <w:color w:val="auto"/>
          <w:szCs w:val="21"/>
          <w:lang w:eastAsia="zh-CN"/>
        </w:rPr>
        <w:t>采购文件</w:t>
      </w:r>
      <w:r>
        <w:rPr>
          <w:rFonts w:hint="eastAsia" w:ascii="宋体" w:hAnsi="宋体"/>
          <w:bCs/>
          <w:color w:val="auto"/>
          <w:szCs w:val="21"/>
        </w:rPr>
        <w:t>要求</w:t>
      </w:r>
      <w:r>
        <w:rPr>
          <w:rFonts w:hint="eastAsia" w:ascii="宋体" w:hAnsi="宋体"/>
          <w:bCs/>
          <w:color w:val="auto"/>
          <w:szCs w:val="21"/>
          <w:lang w:eastAsia="zh-CN"/>
        </w:rPr>
        <w:t>签字盖章、提</w:t>
      </w:r>
      <w:r>
        <w:rPr>
          <w:rFonts w:hint="eastAsia" w:ascii="宋体" w:hAnsi="宋体"/>
          <w:bCs/>
          <w:color w:val="auto"/>
          <w:szCs w:val="21"/>
        </w:rPr>
        <w:t>交磋商保证金</w:t>
      </w:r>
      <w:r>
        <w:rPr>
          <w:rFonts w:hint="eastAsia" w:ascii="宋体" w:hAnsi="宋体"/>
          <w:bCs/>
          <w:color w:val="auto"/>
          <w:szCs w:val="21"/>
          <w:lang w:eastAsia="zh-CN"/>
        </w:rPr>
        <w:t>、有效报价</w:t>
      </w:r>
      <w:r>
        <w:rPr>
          <w:rFonts w:hint="eastAsia" w:ascii="宋体" w:hAnsi="宋体"/>
          <w:bCs/>
          <w:color w:val="auto"/>
          <w:szCs w:val="21"/>
        </w:rPr>
        <w:t>等则视为该供应商</w:t>
      </w:r>
      <w:r>
        <w:rPr>
          <w:rFonts w:hint="eastAsia" w:ascii="宋体" w:hAnsi="宋体"/>
          <w:bCs/>
          <w:color w:val="auto"/>
          <w:szCs w:val="21"/>
          <w:lang w:eastAsia="zh-CN"/>
        </w:rPr>
        <w:t>形式性</w:t>
      </w:r>
      <w:r>
        <w:rPr>
          <w:rFonts w:hint="eastAsia" w:ascii="宋体" w:hAnsi="宋体"/>
          <w:bCs/>
          <w:color w:val="auto"/>
          <w:szCs w:val="21"/>
        </w:rPr>
        <w:t>不合格</w:t>
      </w:r>
      <w:r>
        <w:rPr>
          <w:rFonts w:hint="eastAsia" w:ascii="宋体" w:hAnsi="宋体"/>
          <w:bCs/>
          <w:color w:val="auto"/>
          <w:szCs w:val="21"/>
          <w:lang w:eastAsia="zh-CN"/>
        </w:rPr>
        <w:t>，未按采购文件响应工期、质量，内容等则</w:t>
      </w:r>
      <w:r>
        <w:rPr>
          <w:rFonts w:hint="eastAsia" w:ascii="宋体" w:hAnsi="宋体"/>
          <w:bCs/>
          <w:color w:val="auto"/>
          <w:szCs w:val="21"/>
        </w:rPr>
        <w:t>视为该供应商</w:t>
      </w:r>
      <w:r>
        <w:rPr>
          <w:rFonts w:hint="eastAsia" w:ascii="宋体" w:hAnsi="宋体"/>
          <w:bCs/>
          <w:color w:val="auto"/>
          <w:szCs w:val="21"/>
          <w:lang w:eastAsia="zh-CN"/>
        </w:rPr>
        <w:t>响应性</w:t>
      </w:r>
      <w:r>
        <w:rPr>
          <w:rFonts w:hint="eastAsia" w:ascii="宋体" w:hAnsi="宋体"/>
          <w:bCs/>
          <w:color w:val="auto"/>
          <w:szCs w:val="21"/>
        </w:rPr>
        <w:t>不合格。</w:t>
      </w:r>
    </w:p>
    <w:p>
      <w:pPr>
        <w:spacing w:line="360" w:lineRule="auto"/>
        <w:rPr>
          <w:rFonts w:ascii="宋体" w:hAnsi="宋体"/>
          <w:bCs/>
          <w:color w:val="auto"/>
          <w:szCs w:val="21"/>
        </w:rPr>
      </w:pPr>
      <w:r>
        <w:rPr>
          <w:rFonts w:hint="eastAsia" w:ascii="宋体" w:hAnsi="宋体"/>
          <w:bCs/>
          <w:color w:val="auto"/>
          <w:szCs w:val="21"/>
        </w:rPr>
        <w:t>2.磋商</w:t>
      </w:r>
    </w:p>
    <w:p>
      <w:pPr>
        <w:spacing w:line="360" w:lineRule="auto"/>
        <w:ind w:firstLine="420" w:firstLineChars="200"/>
        <w:rPr>
          <w:rFonts w:ascii="宋体" w:hAnsi="宋体"/>
          <w:bCs/>
          <w:color w:val="auto"/>
          <w:szCs w:val="21"/>
        </w:rPr>
      </w:pPr>
      <w:r>
        <w:rPr>
          <w:rFonts w:hint="eastAsia" w:ascii="宋体" w:hAnsi="宋体"/>
          <w:bCs/>
          <w:color w:val="auto"/>
          <w:szCs w:val="21"/>
        </w:rPr>
        <w:t>磋商小组将与通过</w:t>
      </w:r>
      <w:r>
        <w:rPr>
          <w:rFonts w:hint="eastAsia" w:ascii="宋体" w:hAnsi="宋体"/>
          <w:bCs/>
          <w:color w:val="auto"/>
          <w:szCs w:val="21"/>
          <w:lang w:eastAsia="zh-CN"/>
        </w:rPr>
        <w:t>初步审查</w:t>
      </w:r>
      <w:r>
        <w:rPr>
          <w:rFonts w:hint="eastAsia" w:ascii="宋体" w:hAnsi="宋体"/>
          <w:bCs/>
          <w:color w:val="auto"/>
          <w:szCs w:val="21"/>
        </w:rPr>
        <w:t>的供应商分别进行磋商。在磋商中，磋商的任何一方不得透露与磋商有关的其他供应商的技术资料、价格和其他信息。竞争性磋商文件有实质性变动的，磋商小组将以书面形式通知所有参加磋商的供应商。</w:t>
      </w:r>
    </w:p>
    <w:p>
      <w:pPr>
        <w:spacing w:line="360" w:lineRule="auto"/>
        <w:ind w:firstLine="210" w:firstLineChars="100"/>
        <w:rPr>
          <w:rFonts w:ascii="宋体" w:hAnsi="宋体"/>
          <w:bCs/>
          <w:color w:val="auto"/>
          <w:szCs w:val="21"/>
        </w:rPr>
      </w:pPr>
      <w:r>
        <w:rPr>
          <w:rFonts w:hint="eastAsia" w:ascii="宋体" w:hAnsi="宋体"/>
          <w:bCs/>
          <w:color w:val="auto"/>
          <w:szCs w:val="21"/>
        </w:rPr>
        <w:t>（1）供应商在磋商小组规定的时间内按要求再次以书面形式报价，并由法定代表人或授权代理人签字确认。</w:t>
      </w:r>
    </w:p>
    <w:p>
      <w:pPr>
        <w:spacing w:line="360" w:lineRule="auto"/>
        <w:ind w:firstLine="210" w:firstLineChars="100"/>
        <w:rPr>
          <w:rFonts w:ascii="宋体" w:hAnsi="宋体"/>
          <w:bCs/>
          <w:color w:val="auto"/>
          <w:szCs w:val="21"/>
        </w:rPr>
      </w:pPr>
      <w:r>
        <w:rPr>
          <w:rFonts w:hint="eastAsia" w:ascii="宋体" w:hAnsi="宋体"/>
          <w:bCs/>
          <w:color w:val="auto"/>
          <w:szCs w:val="21"/>
        </w:rPr>
        <w:t>（2）最终报价后，重大偏离不允许被修正，但磋商小组将允许修正报价中不构成重大偏离的地方，这些修正不会对其他实质上响应竞争性磋商文件要求的供应商的竞争地位产生不公正的影响。</w:t>
      </w:r>
    </w:p>
    <w:p>
      <w:pPr>
        <w:spacing w:line="360" w:lineRule="auto"/>
        <w:ind w:firstLine="210" w:firstLineChars="100"/>
        <w:rPr>
          <w:rFonts w:ascii="宋体" w:hAnsi="宋体"/>
          <w:bCs/>
          <w:color w:val="auto"/>
          <w:szCs w:val="21"/>
        </w:rPr>
      </w:pPr>
      <w:r>
        <w:rPr>
          <w:rFonts w:hint="eastAsia" w:ascii="宋体" w:hAnsi="宋体"/>
          <w:bCs/>
          <w:color w:val="auto"/>
          <w:szCs w:val="21"/>
        </w:rPr>
        <w:t>（3）如出现供应商达不到法定数量，供应商最终报价均超出采购预算，磋商小组有权否决所有报价，采购人报请监督管理机构批准后另行采购。</w:t>
      </w:r>
    </w:p>
    <w:p>
      <w:pPr>
        <w:spacing w:line="360" w:lineRule="auto"/>
        <w:rPr>
          <w:rFonts w:ascii="宋体" w:hAnsi="宋体"/>
          <w:bCs/>
          <w:color w:val="auto"/>
          <w:szCs w:val="21"/>
        </w:rPr>
      </w:pPr>
      <w:r>
        <w:rPr>
          <w:rFonts w:hint="eastAsia" w:ascii="宋体" w:hAnsi="宋体"/>
          <w:bCs/>
          <w:color w:val="auto"/>
          <w:szCs w:val="21"/>
        </w:rPr>
        <w:t>3、确定成交供应商</w:t>
      </w:r>
    </w:p>
    <w:p>
      <w:pPr>
        <w:spacing w:line="360" w:lineRule="auto"/>
        <w:ind w:firstLine="525" w:firstLineChars="250"/>
        <w:rPr>
          <w:rFonts w:ascii="宋体" w:hAnsi="宋体"/>
          <w:bCs/>
          <w:color w:val="auto"/>
          <w:szCs w:val="21"/>
        </w:rPr>
      </w:pPr>
      <w:r>
        <w:rPr>
          <w:rFonts w:hint="eastAsia" w:ascii="宋体" w:hAnsi="宋体"/>
          <w:bCs/>
          <w:color w:val="auto"/>
          <w:szCs w:val="21"/>
        </w:rPr>
        <w:t>竞争性磋商小组根据磋商文件中确定的评分办法综合评定各供应商提交的竞标文件，按照评标得分由高到低推荐成交候选人。</w:t>
      </w:r>
    </w:p>
    <w:p>
      <w:pPr>
        <w:spacing w:line="360" w:lineRule="auto"/>
        <w:outlineLvl w:val="0"/>
        <w:rPr>
          <w:rFonts w:ascii="宋体" w:hAnsi="宋体"/>
          <w:bCs/>
          <w:color w:val="auto"/>
          <w:szCs w:val="21"/>
        </w:rPr>
      </w:pPr>
      <w:r>
        <w:rPr>
          <w:rFonts w:hint="eastAsia" w:ascii="宋体" w:hAnsi="宋体"/>
          <w:bCs/>
          <w:color w:val="auto"/>
          <w:szCs w:val="21"/>
        </w:rPr>
        <w:t>4、磋商纪律</w:t>
      </w:r>
    </w:p>
    <w:p>
      <w:pPr>
        <w:spacing w:line="360" w:lineRule="auto"/>
        <w:ind w:firstLine="315" w:firstLineChars="150"/>
        <w:rPr>
          <w:rFonts w:ascii="宋体" w:hAnsi="宋体"/>
          <w:bCs/>
          <w:color w:val="auto"/>
          <w:szCs w:val="21"/>
        </w:rPr>
      </w:pPr>
      <w:r>
        <w:rPr>
          <w:rFonts w:hint="eastAsia" w:ascii="宋体" w:hAnsi="宋体"/>
          <w:bCs/>
          <w:color w:val="auto"/>
          <w:szCs w:val="21"/>
        </w:rPr>
        <w:t>（1）磋商小组内部讨论的情况和意见必须保密，任何人不得以任何形式透露给供应商或与供应商有关的单位或个人。</w:t>
      </w:r>
    </w:p>
    <w:p>
      <w:pPr>
        <w:spacing w:line="360" w:lineRule="auto"/>
        <w:ind w:firstLine="315" w:firstLineChars="150"/>
        <w:rPr>
          <w:rFonts w:ascii="宋体" w:hAnsi="宋体"/>
          <w:bCs/>
          <w:color w:val="auto"/>
          <w:szCs w:val="21"/>
        </w:rPr>
      </w:pPr>
      <w:r>
        <w:rPr>
          <w:rFonts w:hint="eastAsia" w:ascii="宋体" w:hAnsi="宋体"/>
          <w:bCs/>
          <w:color w:val="auto"/>
          <w:szCs w:val="21"/>
        </w:rPr>
        <w:t>（2）磋商小组成员在磋商期间不得与供应商进行私下接触，不得私自离开磋商现场，如确需离开现场须在监督员监督下进行，并按时返回。</w:t>
      </w:r>
    </w:p>
    <w:p>
      <w:pPr>
        <w:spacing w:line="360" w:lineRule="auto"/>
        <w:ind w:firstLine="315" w:firstLineChars="150"/>
        <w:rPr>
          <w:rFonts w:ascii="宋体" w:hAnsi="宋体"/>
          <w:bCs/>
          <w:color w:val="auto"/>
          <w:szCs w:val="21"/>
        </w:rPr>
      </w:pPr>
      <w:r>
        <w:rPr>
          <w:rFonts w:hint="eastAsia" w:ascii="宋体" w:hAnsi="宋体"/>
          <w:bCs/>
          <w:color w:val="auto"/>
          <w:szCs w:val="21"/>
        </w:rPr>
        <w:t>（3）在磋商过程中，供应商不得以任何形式对磋商小组成员进行旨在影响磋商及结果的任何行为，否则取消其磋商资格。</w:t>
      </w:r>
    </w:p>
    <w:p>
      <w:pPr>
        <w:spacing w:line="360" w:lineRule="auto"/>
        <w:ind w:firstLine="315" w:firstLineChars="150"/>
        <w:rPr>
          <w:rFonts w:hint="eastAsia" w:ascii="宋体" w:hAnsi="宋体"/>
          <w:bCs/>
          <w:color w:val="auto"/>
          <w:szCs w:val="21"/>
        </w:rPr>
      </w:pPr>
      <w:r>
        <w:rPr>
          <w:rFonts w:hint="eastAsia" w:ascii="宋体" w:hAnsi="宋体"/>
          <w:bCs/>
          <w:color w:val="auto"/>
          <w:szCs w:val="21"/>
        </w:rPr>
        <w:t>（4）在磋商过程中，供应商对竞争性磋商响应文件的内容在符合竞争性磋商文件的前提下可进行修改，但最终报价必须以书面形式确认。</w:t>
      </w:r>
    </w:p>
    <w:p>
      <w:pPr>
        <w:spacing w:line="360" w:lineRule="auto"/>
        <w:ind w:firstLine="315" w:firstLineChars="150"/>
        <w:rPr>
          <w:color w:val="auto"/>
          <w:sz w:val="21"/>
          <w:szCs w:val="21"/>
        </w:rPr>
      </w:pPr>
      <w:r>
        <w:rPr>
          <w:rFonts w:hint="eastAsia" w:ascii="宋体" w:hAnsi="宋体"/>
          <w:bCs/>
          <w:color w:val="auto"/>
          <w:szCs w:val="21"/>
          <w:lang w:val="en-US" w:eastAsia="zh-CN"/>
        </w:rPr>
        <w:t>5、以上评审方法按照竞争性磋商采购文件要求和相关法律法规进行。</w:t>
      </w:r>
    </w:p>
    <w:sectPr>
      <w:endnotePr>
        <w:numFmt w:val="decimal"/>
      </w:endnotePr>
      <w:pgSz w:w="11906" w:h="16838"/>
      <w:pgMar w:top="1134" w:right="1028" w:bottom="1246" w:left="1218" w:header="630" w:footer="68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ED0D76FD-ABE2-4BEC-8E35-3ECA72DE4EEA}"/>
  </w:font>
  <w:font w:name="仿宋_GB2312">
    <w:panose1 w:val="02010609030101010101"/>
    <w:charset w:val="86"/>
    <w:family w:val="modern"/>
    <w:pitch w:val="default"/>
    <w:sig w:usb0="00000001" w:usb1="080E0000" w:usb2="00000000" w:usb3="00000000" w:csb0="00040000" w:csb1="00000000"/>
    <w:embedRegular r:id="rId2" w:fontKey="{E9C6CAA5-BAA8-400E-83D1-A1D49B7BC343}"/>
  </w:font>
  <w:font w:name="方正仿宋简体">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embedRegular r:id="rId3" w:fontKey="{FD3659DB-5811-42D5-96E1-E740DDCCF4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8"/>
      </w:rPr>
    </w:pPr>
    <w:r>
      <w:rPr>
        <w:rStyle w:val="28"/>
      </w:rPr>
      <w:fldChar w:fldCharType="begin"/>
    </w:r>
    <w:r>
      <w:rPr>
        <w:rStyle w:val="28"/>
      </w:rPr>
      <w:instrText xml:space="preserve">PAGE  </w:instrText>
    </w:r>
    <w:r>
      <w:rPr>
        <w:rStyle w:val="28"/>
      </w:rPr>
      <w:fldChar w:fldCharType="separate"/>
    </w:r>
    <w:r>
      <w:rPr>
        <w:rStyle w:val="28"/>
        <w:rFonts w:hint="eastAsia"/>
      </w:rPr>
      <w:t>６</w:t>
    </w:r>
    <w:r>
      <w:rPr>
        <w:rStyle w:val="28"/>
      </w:rP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4"/>
                            <w:rPr>
                              <w:rStyle w:val="28"/>
                            </w:rPr>
                          </w:pPr>
                          <w:r>
                            <w:rPr>
                              <w:rStyle w:val="28"/>
                            </w:rPr>
                            <w:fldChar w:fldCharType="begin"/>
                          </w:r>
                          <w:r>
                            <w:rPr>
                              <w:rStyle w:val="28"/>
                            </w:rPr>
                            <w:instrText xml:space="preserve">PAGE  </w:instrText>
                          </w:r>
                          <w:r>
                            <w:rPr>
                              <w:rStyle w:val="28"/>
                            </w:rPr>
                            <w:fldChar w:fldCharType="separate"/>
                          </w:r>
                          <w:r>
                            <w:rPr>
                              <w:rStyle w:val="28"/>
                            </w:rPr>
                            <w:t>25</w:t>
                          </w:r>
                          <w:r>
                            <w:rPr>
                              <w:rStyle w:val="2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n60S7XAQAAsQ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TZ0TYllBgd++fnj8uvP&#10;5fd3skry9B5qzLr3mBeH927ApZnvAS8T60EGk77Ih2AcxT1fxRVDJDw9qlZVVWKIY2x2EL94fO4D&#10;xA/CGZKMhgacXhaVnT5BHFPnlFTNujuldZ6gtqRH1HX1bp1fXEOIrm1KFnkZJpzEaew9WXHYDxPR&#10;vWvPyLPHhWioxf2nRH+0qHfandkIs7GfjaMP6tBhy8tcHfztMWJzuedUYYRFrsnBSWbW09alVfnX&#10;z1mPf9r2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p+tEu1wEAALEDAAAOAAAAAAAAAAEA&#10;IAAAACIBAABkcnMvZTJvRG9jLnhtbFBLBQYAAAAABgAGAFkBAABrBQAAAAA=&#10;">
              <v:fill on="f" focussize="0,0"/>
              <v:stroke on="f" weight="1.25pt"/>
              <v:imagedata o:title=""/>
              <o:lock v:ext="edit" aspectratio="f"/>
              <v:textbox inset="0mm,0mm,0mm,0mm" style="mso-fit-shape-to-text:t;">
                <w:txbxContent>
                  <w:p>
                    <w:pPr>
                      <w:pStyle w:val="14"/>
                      <w:rPr>
                        <w:rStyle w:val="28"/>
                      </w:rPr>
                    </w:pPr>
                    <w:r>
                      <w:rPr>
                        <w:rStyle w:val="28"/>
                      </w:rPr>
                      <w:fldChar w:fldCharType="begin"/>
                    </w:r>
                    <w:r>
                      <w:rPr>
                        <w:rStyle w:val="28"/>
                      </w:rPr>
                      <w:instrText xml:space="preserve">PAGE  </w:instrText>
                    </w:r>
                    <w:r>
                      <w:rPr>
                        <w:rStyle w:val="28"/>
                      </w:rPr>
                      <w:fldChar w:fldCharType="separate"/>
                    </w:r>
                    <w:r>
                      <w:rPr>
                        <w:rStyle w:val="28"/>
                      </w:rPr>
                      <w:t>25</w:t>
                    </w:r>
                    <w:r>
                      <w:rPr>
                        <w:rStyle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8"/>
      </w:rPr>
    </w:pPr>
    <w:r>
      <w:fldChar w:fldCharType="begin"/>
    </w:r>
    <w:r>
      <w:rPr>
        <w:rStyle w:val="28"/>
      </w:rPr>
      <w:instrText xml:space="preserve">PAGE  </w:instrText>
    </w:r>
    <w:r>
      <w:fldChar w:fldCharType="end"/>
    </w:r>
  </w:p>
  <w:p>
    <w:pPr>
      <w:pStyle w:val="14"/>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100" w:line="600" w:lineRule="exact"/>
      <w:rPr>
        <w:rFonts w:ascii="仿宋_GB2312" w:eastAsia="仿宋_GB2312"/>
        <w:sz w:val="24"/>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p>
    <w:pPr>
      <w:pStyle w:val="15"/>
      <w:pBdr>
        <w:bottom w:val="none" w:color="auto" w:sz="0" w:space="0"/>
      </w:pBdr>
    </w:pPr>
  </w:p>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100" w:line="600" w:lineRule="exact"/>
      <w:rPr>
        <w:rFonts w:ascii="仿宋_GB2312" w:eastAsia="仿宋_GB2312"/>
        <w:sz w:val="24"/>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100" w:line="600" w:lineRule="exact"/>
      <w:rPr>
        <w:rFonts w:ascii="仿宋_GB2312" w:eastAsia="仿宋_GB2312"/>
        <w:sz w:val="24"/>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cs="宋体"/>
        <w:w w:val="9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E742F2"/>
    <w:multiLevelType w:val="singleLevel"/>
    <w:tmpl w:val="44E742F2"/>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dit="readOnly" w:enforcement="1" w:cryptProviderType="rsaFull" w:cryptAlgorithmClass="hash" w:cryptAlgorithmType="typeAny" w:cryptAlgorithmSid="4" w:cryptSpinCount="0" w:hash="PG+Q0aMMwSuN1BGIszak4nJoDKs=" w:salt="G+Hs8o2jmVL6E9vfys2lfw=="/>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09F"/>
    <w:rsid w:val="00077C6B"/>
    <w:rsid w:val="00116D99"/>
    <w:rsid w:val="001A07B2"/>
    <w:rsid w:val="001E0D30"/>
    <w:rsid w:val="00215B39"/>
    <w:rsid w:val="002B59AA"/>
    <w:rsid w:val="002E0254"/>
    <w:rsid w:val="002F5895"/>
    <w:rsid w:val="003768D3"/>
    <w:rsid w:val="003B644A"/>
    <w:rsid w:val="00405C4F"/>
    <w:rsid w:val="004E013F"/>
    <w:rsid w:val="0072309F"/>
    <w:rsid w:val="007E42A6"/>
    <w:rsid w:val="008235CE"/>
    <w:rsid w:val="00877AF6"/>
    <w:rsid w:val="00925D84"/>
    <w:rsid w:val="009F7B4A"/>
    <w:rsid w:val="00B737C5"/>
    <w:rsid w:val="00B90ADF"/>
    <w:rsid w:val="00C277BD"/>
    <w:rsid w:val="00C563EC"/>
    <w:rsid w:val="00D44F36"/>
    <w:rsid w:val="00DF2121"/>
    <w:rsid w:val="00E2007F"/>
    <w:rsid w:val="00E76DDC"/>
    <w:rsid w:val="00EB4712"/>
    <w:rsid w:val="00F741DC"/>
    <w:rsid w:val="00FE477A"/>
    <w:rsid w:val="01177211"/>
    <w:rsid w:val="02610567"/>
    <w:rsid w:val="029A1DF4"/>
    <w:rsid w:val="02A86E06"/>
    <w:rsid w:val="02C31780"/>
    <w:rsid w:val="031A58D5"/>
    <w:rsid w:val="033A1766"/>
    <w:rsid w:val="035B6C41"/>
    <w:rsid w:val="039A5147"/>
    <w:rsid w:val="03AF220C"/>
    <w:rsid w:val="04070803"/>
    <w:rsid w:val="04161926"/>
    <w:rsid w:val="0437230C"/>
    <w:rsid w:val="043F4C54"/>
    <w:rsid w:val="04536599"/>
    <w:rsid w:val="055050E6"/>
    <w:rsid w:val="05A90FB0"/>
    <w:rsid w:val="05EB0D86"/>
    <w:rsid w:val="060729BA"/>
    <w:rsid w:val="0637326A"/>
    <w:rsid w:val="065C2DAB"/>
    <w:rsid w:val="066C76F5"/>
    <w:rsid w:val="06787E6C"/>
    <w:rsid w:val="070A4BB1"/>
    <w:rsid w:val="0757084E"/>
    <w:rsid w:val="07BC0A2E"/>
    <w:rsid w:val="081E4FF5"/>
    <w:rsid w:val="08E73D2B"/>
    <w:rsid w:val="09110F36"/>
    <w:rsid w:val="0931495D"/>
    <w:rsid w:val="0A0B50BF"/>
    <w:rsid w:val="0A5A1A88"/>
    <w:rsid w:val="0AF62FE5"/>
    <w:rsid w:val="0B5525DE"/>
    <w:rsid w:val="0B9469C3"/>
    <w:rsid w:val="0BDA30C5"/>
    <w:rsid w:val="0BDD014B"/>
    <w:rsid w:val="0C014FF8"/>
    <w:rsid w:val="0C4E1CF2"/>
    <w:rsid w:val="0C8668CE"/>
    <w:rsid w:val="0C8676B0"/>
    <w:rsid w:val="0CCD5362"/>
    <w:rsid w:val="0D0B5DCB"/>
    <w:rsid w:val="0D1B1F78"/>
    <w:rsid w:val="0D365376"/>
    <w:rsid w:val="0D7931BC"/>
    <w:rsid w:val="0D8A2510"/>
    <w:rsid w:val="0DC84DCE"/>
    <w:rsid w:val="0DD96519"/>
    <w:rsid w:val="0E0F33B0"/>
    <w:rsid w:val="0E2D0EE3"/>
    <w:rsid w:val="0E3440EC"/>
    <w:rsid w:val="0E694693"/>
    <w:rsid w:val="0E7E5C69"/>
    <w:rsid w:val="0EA65557"/>
    <w:rsid w:val="0EF77911"/>
    <w:rsid w:val="0EFC6AF1"/>
    <w:rsid w:val="0F36505C"/>
    <w:rsid w:val="0F7447B9"/>
    <w:rsid w:val="0F795C24"/>
    <w:rsid w:val="0FF03FBF"/>
    <w:rsid w:val="10CC2279"/>
    <w:rsid w:val="10F4737E"/>
    <w:rsid w:val="110539EE"/>
    <w:rsid w:val="11175902"/>
    <w:rsid w:val="112F7C2C"/>
    <w:rsid w:val="11CE3D41"/>
    <w:rsid w:val="11D02677"/>
    <w:rsid w:val="121C2956"/>
    <w:rsid w:val="122346DF"/>
    <w:rsid w:val="122E33C9"/>
    <w:rsid w:val="13C26535"/>
    <w:rsid w:val="13EC7B67"/>
    <w:rsid w:val="14117A0D"/>
    <w:rsid w:val="14352366"/>
    <w:rsid w:val="143659D1"/>
    <w:rsid w:val="145B1ACB"/>
    <w:rsid w:val="145B7D71"/>
    <w:rsid w:val="147C3344"/>
    <w:rsid w:val="14820FF5"/>
    <w:rsid w:val="148D5781"/>
    <w:rsid w:val="149C2169"/>
    <w:rsid w:val="14CD2D8F"/>
    <w:rsid w:val="155617EE"/>
    <w:rsid w:val="155F263A"/>
    <w:rsid w:val="15610042"/>
    <w:rsid w:val="156E02C1"/>
    <w:rsid w:val="157258DC"/>
    <w:rsid w:val="15852A28"/>
    <w:rsid w:val="15A3384F"/>
    <w:rsid w:val="15FF4CE8"/>
    <w:rsid w:val="160333F4"/>
    <w:rsid w:val="163D395B"/>
    <w:rsid w:val="165F4BF9"/>
    <w:rsid w:val="166B6BC6"/>
    <w:rsid w:val="16711CAD"/>
    <w:rsid w:val="168A3CC1"/>
    <w:rsid w:val="16C504ED"/>
    <w:rsid w:val="16C53C30"/>
    <w:rsid w:val="16D15118"/>
    <w:rsid w:val="16DA492F"/>
    <w:rsid w:val="17391EF4"/>
    <w:rsid w:val="17E82FAB"/>
    <w:rsid w:val="17F17999"/>
    <w:rsid w:val="17F76364"/>
    <w:rsid w:val="18411F97"/>
    <w:rsid w:val="18705BB1"/>
    <w:rsid w:val="18935712"/>
    <w:rsid w:val="18A52539"/>
    <w:rsid w:val="18CD6929"/>
    <w:rsid w:val="19205B0A"/>
    <w:rsid w:val="19374E3F"/>
    <w:rsid w:val="19523CF7"/>
    <w:rsid w:val="19A86A1A"/>
    <w:rsid w:val="19B32F22"/>
    <w:rsid w:val="19F800A9"/>
    <w:rsid w:val="1A25738C"/>
    <w:rsid w:val="1A444964"/>
    <w:rsid w:val="1A4B1484"/>
    <w:rsid w:val="1A7D61E8"/>
    <w:rsid w:val="1ABD0ADB"/>
    <w:rsid w:val="1B09666A"/>
    <w:rsid w:val="1B2C5DE4"/>
    <w:rsid w:val="1B354132"/>
    <w:rsid w:val="1B3C10BE"/>
    <w:rsid w:val="1B882D1D"/>
    <w:rsid w:val="1BBF2208"/>
    <w:rsid w:val="1BE9263B"/>
    <w:rsid w:val="1BEC06A3"/>
    <w:rsid w:val="1C0A0453"/>
    <w:rsid w:val="1C507A5A"/>
    <w:rsid w:val="1C7541CA"/>
    <w:rsid w:val="1C7E6EFC"/>
    <w:rsid w:val="1C8E5296"/>
    <w:rsid w:val="1C920C2B"/>
    <w:rsid w:val="1CA70F2F"/>
    <w:rsid w:val="1CAC55D9"/>
    <w:rsid w:val="1CAC692C"/>
    <w:rsid w:val="1CCD5817"/>
    <w:rsid w:val="1CD01F2C"/>
    <w:rsid w:val="1D2A39D4"/>
    <w:rsid w:val="1D514287"/>
    <w:rsid w:val="1D5632D4"/>
    <w:rsid w:val="1D574376"/>
    <w:rsid w:val="1D7863C7"/>
    <w:rsid w:val="1D832667"/>
    <w:rsid w:val="1D937B20"/>
    <w:rsid w:val="1D9919A6"/>
    <w:rsid w:val="1DB53EE2"/>
    <w:rsid w:val="1E2B4B50"/>
    <w:rsid w:val="1E727D34"/>
    <w:rsid w:val="1E992BD2"/>
    <w:rsid w:val="1F16468F"/>
    <w:rsid w:val="1F1C61DB"/>
    <w:rsid w:val="1F1E4F95"/>
    <w:rsid w:val="1F355AEE"/>
    <w:rsid w:val="1F3E39B0"/>
    <w:rsid w:val="1F5644B1"/>
    <w:rsid w:val="1FED593A"/>
    <w:rsid w:val="1FFB61B9"/>
    <w:rsid w:val="20202CFE"/>
    <w:rsid w:val="204D6060"/>
    <w:rsid w:val="2054725A"/>
    <w:rsid w:val="208D16B6"/>
    <w:rsid w:val="20C626AD"/>
    <w:rsid w:val="20CB6DDB"/>
    <w:rsid w:val="20EB7750"/>
    <w:rsid w:val="21074491"/>
    <w:rsid w:val="210B3B76"/>
    <w:rsid w:val="213950B9"/>
    <w:rsid w:val="215A41D9"/>
    <w:rsid w:val="21A83420"/>
    <w:rsid w:val="22212DBE"/>
    <w:rsid w:val="223036E3"/>
    <w:rsid w:val="22491197"/>
    <w:rsid w:val="22A853FE"/>
    <w:rsid w:val="22AF18A9"/>
    <w:rsid w:val="22CA76CC"/>
    <w:rsid w:val="23471D7C"/>
    <w:rsid w:val="2352785A"/>
    <w:rsid w:val="239B4A8B"/>
    <w:rsid w:val="23FD5C9C"/>
    <w:rsid w:val="24325564"/>
    <w:rsid w:val="24537871"/>
    <w:rsid w:val="247C311F"/>
    <w:rsid w:val="2495358F"/>
    <w:rsid w:val="24A51CB3"/>
    <w:rsid w:val="24B3591D"/>
    <w:rsid w:val="24D01787"/>
    <w:rsid w:val="2509176F"/>
    <w:rsid w:val="2570063F"/>
    <w:rsid w:val="25723BF1"/>
    <w:rsid w:val="25A2779B"/>
    <w:rsid w:val="25B93E5C"/>
    <w:rsid w:val="25DE73BE"/>
    <w:rsid w:val="261A1B8D"/>
    <w:rsid w:val="26201338"/>
    <w:rsid w:val="26743918"/>
    <w:rsid w:val="26847591"/>
    <w:rsid w:val="26BC20C2"/>
    <w:rsid w:val="26E37722"/>
    <w:rsid w:val="270F2971"/>
    <w:rsid w:val="273A6CFC"/>
    <w:rsid w:val="27603F27"/>
    <w:rsid w:val="27A51D91"/>
    <w:rsid w:val="27BF29D4"/>
    <w:rsid w:val="27C57E3F"/>
    <w:rsid w:val="27CC56FB"/>
    <w:rsid w:val="27EC2440"/>
    <w:rsid w:val="27FF65F4"/>
    <w:rsid w:val="28941D9A"/>
    <w:rsid w:val="28A91FF3"/>
    <w:rsid w:val="28C65F63"/>
    <w:rsid w:val="2901371F"/>
    <w:rsid w:val="290C1470"/>
    <w:rsid w:val="29337D19"/>
    <w:rsid w:val="29630FA8"/>
    <w:rsid w:val="299F2445"/>
    <w:rsid w:val="29A1031F"/>
    <w:rsid w:val="29B75C8E"/>
    <w:rsid w:val="29BF1DB9"/>
    <w:rsid w:val="29CA6AB6"/>
    <w:rsid w:val="29CB52CC"/>
    <w:rsid w:val="29D3319E"/>
    <w:rsid w:val="29D551E1"/>
    <w:rsid w:val="29F570FD"/>
    <w:rsid w:val="2A3C41BE"/>
    <w:rsid w:val="2A534611"/>
    <w:rsid w:val="2A590692"/>
    <w:rsid w:val="2A907FBC"/>
    <w:rsid w:val="2A9F2638"/>
    <w:rsid w:val="2ABD4A34"/>
    <w:rsid w:val="2B395C6F"/>
    <w:rsid w:val="2B425924"/>
    <w:rsid w:val="2B504D4D"/>
    <w:rsid w:val="2B977C73"/>
    <w:rsid w:val="2BE9137D"/>
    <w:rsid w:val="2BEB4FCB"/>
    <w:rsid w:val="2BF31533"/>
    <w:rsid w:val="2C354A82"/>
    <w:rsid w:val="2C4A5F67"/>
    <w:rsid w:val="2CB17EE9"/>
    <w:rsid w:val="2CCD0CF8"/>
    <w:rsid w:val="2CEE5E0F"/>
    <w:rsid w:val="2CF80F13"/>
    <w:rsid w:val="2D515950"/>
    <w:rsid w:val="2D714628"/>
    <w:rsid w:val="2D9B7032"/>
    <w:rsid w:val="2E0D6E61"/>
    <w:rsid w:val="2E280E8B"/>
    <w:rsid w:val="2E3D20A1"/>
    <w:rsid w:val="2ED837AD"/>
    <w:rsid w:val="2EEC62E7"/>
    <w:rsid w:val="2F0722B4"/>
    <w:rsid w:val="2F2E2AEF"/>
    <w:rsid w:val="2F3472EB"/>
    <w:rsid w:val="2F3F1178"/>
    <w:rsid w:val="2F426EC4"/>
    <w:rsid w:val="2F6513D6"/>
    <w:rsid w:val="2F6D2BF3"/>
    <w:rsid w:val="2F887BBA"/>
    <w:rsid w:val="2FC1623C"/>
    <w:rsid w:val="2FC32C85"/>
    <w:rsid w:val="2FE9233E"/>
    <w:rsid w:val="300F6021"/>
    <w:rsid w:val="301929D5"/>
    <w:rsid w:val="301F583E"/>
    <w:rsid w:val="30337F77"/>
    <w:rsid w:val="3065556A"/>
    <w:rsid w:val="309A3552"/>
    <w:rsid w:val="30C66C54"/>
    <w:rsid w:val="30E0280A"/>
    <w:rsid w:val="30FF3B0C"/>
    <w:rsid w:val="3122453E"/>
    <w:rsid w:val="319D549A"/>
    <w:rsid w:val="31CC4157"/>
    <w:rsid w:val="31E40BA1"/>
    <w:rsid w:val="32097194"/>
    <w:rsid w:val="323E7BC9"/>
    <w:rsid w:val="32BA4AFD"/>
    <w:rsid w:val="32D159D3"/>
    <w:rsid w:val="32EF7F5F"/>
    <w:rsid w:val="32FD7227"/>
    <w:rsid w:val="33584BB5"/>
    <w:rsid w:val="338536A9"/>
    <w:rsid w:val="33AB53D5"/>
    <w:rsid w:val="33C40397"/>
    <w:rsid w:val="33EA4062"/>
    <w:rsid w:val="340D4ABE"/>
    <w:rsid w:val="341F742C"/>
    <w:rsid w:val="342B0796"/>
    <w:rsid w:val="343203E9"/>
    <w:rsid w:val="343A73BA"/>
    <w:rsid w:val="34F24BD2"/>
    <w:rsid w:val="3518494B"/>
    <w:rsid w:val="355774B1"/>
    <w:rsid w:val="35621312"/>
    <w:rsid w:val="358032D0"/>
    <w:rsid w:val="35F31AEE"/>
    <w:rsid w:val="361365F3"/>
    <w:rsid w:val="36431440"/>
    <w:rsid w:val="36596CC9"/>
    <w:rsid w:val="368138C6"/>
    <w:rsid w:val="36A94A51"/>
    <w:rsid w:val="37054976"/>
    <w:rsid w:val="37501619"/>
    <w:rsid w:val="379E2275"/>
    <w:rsid w:val="37D34BFE"/>
    <w:rsid w:val="37F71AB7"/>
    <w:rsid w:val="38434FDF"/>
    <w:rsid w:val="38A111C8"/>
    <w:rsid w:val="38CC05A6"/>
    <w:rsid w:val="38DC56AD"/>
    <w:rsid w:val="39070894"/>
    <w:rsid w:val="3929330D"/>
    <w:rsid w:val="39354D97"/>
    <w:rsid w:val="393830AF"/>
    <w:rsid w:val="396C5FDC"/>
    <w:rsid w:val="397A3787"/>
    <w:rsid w:val="399E7302"/>
    <w:rsid w:val="39C946B3"/>
    <w:rsid w:val="39D46E6C"/>
    <w:rsid w:val="39DE7017"/>
    <w:rsid w:val="3A2B5D16"/>
    <w:rsid w:val="3A8C3C02"/>
    <w:rsid w:val="3A9171A8"/>
    <w:rsid w:val="3A925DAB"/>
    <w:rsid w:val="3AA40087"/>
    <w:rsid w:val="3ACE1C34"/>
    <w:rsid w:val="3AF3204F"/>
    <w:rsid w:val="3AF65BA8"/>
    <w:rsid w:val="3B0E02C8"/>
    <w:rsid w:val="3B7A2D50"/>
    <w:rsid w:val="3B9458B4"/>
    <w:rsid w:val="3BBF1C87"/>
    <w:rsid w:val="3C1F52BA"/>
    <w:rsid w:val="3C482CC3"/>
    <w:rsid w:val="3C894221"/>
    <w:rsid w:val="3C970614"/>
    <w:rsid w:val="3CDF2A5B"/>
    <w:rsid w:val="3D0859CA"/>
    <w:rsid w:val="3D0F5180"/>
    <w:rsid w:val="3D1414CA"/>
    <w:rsid w:val="3D5913E7"/>
    <w:rsid w:val="3D785EE1"/>
    <w:rsid w:val="3D7E6A64"/>
    <w:rsid w:val="3D8F641E"/>
    <w:rsid w:val="3D9C73C7"/>
    <w:rsid w:val="3DB01399"/>
    <w:rsid w:val="3DBC3D96"/>
    <w:rsid w:val="3DE174BC"/>
    <w:rsid w:val="3E161696"/>
    <w:rsid w:val="3E222CED"/>
    <w:rsid w:val="3E6E471C"/>
    <w:rsid w:val="3E9664CC"/>
    <w:rsid w:val="3E9B7A4E"/>
    <w:rsid w:val="3E9D1B53"/>
    <w:rsid w:val="3EA575D9"/>
    <w:rsid w:val="3EAE5827"/>
    <w:rsid w:val="3EBA076A"/>
    <w:rsid w:val="3EFE4BD2"/>
    <w:rsid w:val="3F4F26AA"/>
    <w:rsid w:val="3F5D308C"/>
    <w:rsid w:val="3F8A27CB"/>
    <w:rsid w:val="3FCE55E4"/>
    <w:rsid w:val="406A108A"/>
    <w:rsid w:val="40B00624"/>
    <w:rsid w:val="4102610F"/>
    <w:rsid w:val="4146335A"/>
    <w:rsid w:val="417952A6"/>
    <w:rsid w:val="41876070"/>
    <w:rsid w:val="41943174"/>
    <w:rsid w:val="41C50245"/>
    <w:rsid w:val="41D87E7D"/>
    <w:rsid w:val="42604515"/>
    <w:rsid w:val="426D274F"/>
    <w:rsid w:val="428E3ADC"/>
    <w:rsid w:val="42AE4003"/>
    <w:rsid w:val="43001789"/>
    <w:rsid w:val="4318332B"/>
    <w:rsid w:val="43466DEA"/>
    <w:rsid w:val="435173ED"/>
    <w:rsid w:val="436E127D"/>
    <w:rsid w:val="43752EA3"/>
    <w:rsid w:val="43906570"/>
    <w:rsid w:val="43E614DC"/>
    <w:rsid w:val="43F653C0"/>
    <w:rsid w:val="445835EF"/>
    <w:rsid w:val="44761FAC"/>
    <w:rsid w:val="448850B0"/>
    <w:rsid w:val="44A4324C"/>
    <w:rsid w:val="44E35ED8"/>
    <w:rsid w:val="44EE2C47"/>
    <w:rsid w:val="44EF6073"/>
    <w:rsid w:val="45130A96"/>
    <w:rsid w:val="45485807"/>
    <w:rsid w:val="454D3B53"/>
    <w:rsid w:val="45620C34"/>
    <w:rsid w:val="45846705"/>
    <w:rsid w:val="45AA26DF"/>
    <w:rsid w:val="45F73926"/>
    <w:rsid w:val="460739F9"/>
    <w:rsid w:val="46183A80"/>
    <w:rsid w:val="46193D07"/>
    <w:rsid w:val="461F0443"/>
    <w:rsid w:val="466A46F8"/>
    <w:rsid w:val="469F13A9"/>
    <w:rsid w:val="471665C8"/>
    <w:rsid w:val="471919ED"/>
    <w:rsid w:val="47215292"/>
    <w:rsid w:val="47862D22"/>
    <w:rsid w:val="47B44F4B"/>
    <w:rsid w:val="47B868F4"/>
    <w:rsid w:val="486A635F"/>
    <w:rsid w:val="48EB4E65"/>
    <w:rsid w:val="49071003"/>
    <w:rsid w:val="494A2AD0"/>
    <w:rsid w:val="4951200B"/>
    <w:rsid w:val="49E84D9A"/>
    <w:rsid w:val="49ED35D5"/>
    <w:rsid w:val="4A05593F"/>
    <w:rsid w:val="4A077397"/>
    <w:rsid w:val="4A2F369D"/>
    <w:rsid w:val="4A475D07"/>
    <w:rsid w:val="4A5F05CC"/>
    <w:rsid w:val="4A7118FF"/>
    <w:rsid w:val="4A9D7D3F"/>
    <w:rsid w:val="4AB713D4"/>
    <w:rsid w:val="4AB95493"/>
    <w:rsid w:val="4ABB19B6"/>
    <w:rsid w:val="4B183562"/>
    <w:rsid w:val="4B291E50"/>
    <w:rsid w:val="4B380D32"/>
    <w:rsid w:val="4B7F06D7"/>
    <w:rsid w:val="4BC55219"/>
    <w:rsid w:val="4BE17288"/>
    <w:rsid w:val="4C1F5B17"/>
    <w:rsid w:val="4C2E73F4"/>
    <w:rsid w:val="4C3832FE"/>
    <w:rsid w:val="4C3E7F62"/>
    <w:rsid w:val="4C531081"/>
    <w:rsid w:val="4C8A2072"/>
    <w:rsid w:val="4C987CF8"/>
    <w:rsid w:val="4CB908B8"/>
    <w:rsid w:val="4CBD3B2C"/>
    <w:rsid w:val="4CE80092"/>
    <w:rsid w:val="4D0D2985"/>
    <w:rsid w:val="4D1B6800"/>
    <w:rsid w:val="4DA371CE"/>
    <w:rsid w:val="4DD05A13"/>
    <w:rsid w:val="4DFE68C3"/>
    <w:rsid w:val="4E325C81"/>
    <w:rsid w:val="4E5D2D4E"/>
    <w:rsid w:val="4E887429"/>
    <w:rsid w:val="4E954AA9"/>
    <w:rsid w:val="4EC14138"/>
    <w:rsid w:val="4F070B4E"/>
    <w:rsid w:val="4F22355A"/>
    <w:rsid w:val="4F2D54C3"/>
    <w:rsid w:val="4F393C92"/>
    <w:rsid w:val="4F4E7283"/>
    <w:rsid w:val="4F85114C"/>
    <w:rsid w:val="4FC83682"/>
    <w:rsid w:val="4FE60EDE"/>
    <w:rsid w:val="4FF17300"/>
    <w:rsid w:val="50125BF1"/>
    <w:rsid w:val="502E51C2"/>
    <w:rsid w:val="504E5E75"/>
    <w:rsid w:val="50906AA6"/>
    <w:rsid w:val="5101016C"/>
    <w:rsid w:val="51526052"/>
    <w:rsid w:val="51D77242"/>
    <w:rsid w:val="51E0691B"/>
    <w:rsid w:val="52131F7C"/>
    <w:rsid w:val="524555DF"/>
    <w:rsid w:val="527F100C"/>
    <w:rsid w:val="52974233"/>
    <w:rsid w:val="52A76BB6"/>
    <w:rsid w:val="52C8032A"/>
    <w:rsid w:val="52E43709"/>
    <w:rsid w:val="52EE222B"/>
    <w:rsid w:val="52F86F20"/>
    <w:rsid w:val="53045290"/>
    <w:rsid w:val="53344FCE"/>
    <w:rsid w:val="536225EB"/>
    <w:rsid w:val="53866061"/>
    <w:rsid w:val="53A12E13"/>
    <w:rsid w:val="53C12748"/>
    <w:rsid w:val="53C14250"/>
    <w:rsid w:val="53CB4757"/>
    <w:rsid w:val="53D97B6D"/>
    <w:rsid w:val="53EE5421"/>
    <w:rsid w:val="54261EF1"/>
    <w:rsid w:val="54A62493"/>
    <w:rsid w:val="54CD32F2"/>
    <w:rsid w:val="54D945EF"/>
    <w:rsid w:val="54E55AB4"/>
    <w:rsid w:val="54EE4024"/>
    <w:rsid w:val="5502667C"/>
    <w:rsid w:val="554D09FF"/>
    <w:rsid w:val="55575DE0"/>
    <w:rsid w:val="557218EA"/>
    <w:rsid w:val="55887622"/>
    <w:rsid w:val="55B875DD"/>
    <w:rsid w:val="55D2708A"/>
    <w:rsid w:val="55D70A90"/>
    <w:rsid w:val="55DB24FD"/>
    <w:rsid w:val="56273DB8"/>
    <w:rsid w:val="56431177"/>
    <w:rsid w:val="5694046B"/>
    <w:rsid w:val="56F95CE4"/>
    <w:rsid w:val="573D1245"/>
    <w:rsid w:val="573F0CE9"/>
    <w:rsid w:val="574379BE"/>
    <w:rsid w:val="577903A8"/>
    <w:rsid w:val="57834254"/>
    <w:rsid w:val="57E9305F"/>
    <w:rsid w:val="57EE7E58"/>
    <w:rsid w:val="58102B8E"/>
    <w:rsid w:val="58285E3B"/>
    <w:rsid w:val="587003C5"/>
    <w:rsid w:val="58C070EA"/>
    <w:rsid w:val="58F81C16"/>
    <w:rsid w:val="590A0A34"/>
    <w:rsid w:val="590C096F"/>
    <w:rsid w:val="591D5C41"/>
    <w:rsid w:val="59586B3D"/>
    <w:rsid w:val="59600443"/>
    <w:rsid w:val="59711147"/>
    <w:rsid w:val="5A07069B"/>
    <w:rsid w:val="5A4663C5"/>
    <w:rsid w:val="5A474FF6"/>
    <w:rsid w:val="5A725B0E"/>
    <w:rsid w:val="5AAE66E2"/>
    <w:rsid w:val="5ACE2512"/>
    <w:rsid w:val="5B2E1925"/>
    <w:rsid w:val="5B490CD7"/>
    <w:rsid w:val="5B9C69F9"/>
    <w:rsid w:val="5BC41AD1"/>
    <w:rsid w:val="5BF026AB"/>
    <w:rsid w:val="5D202CB2"/>
    <w:rsid w:val="5D5F727F"/>
    <w:rsid w:val="5D7B210B"/>
    <w:rsid w:val="5DC35879"/>
    <w:rsid w:val="5DE72DC3"/>
    <w:rsid w:val="5DEB0A79"/>
    <w:rsid w:val="5E7D6170"/>
    <w:rsid w:val="5F044C7A"/>
    <w:rsid w:val="5F1E3852"/>
    <w:rsid w:val="5FDF0483"/>
    <w:rsid w:val="60451FF6"/>
    <w:rsid w:val="60504134"/>
    <w:rsid w:val="60CE7A99"/>
    <w:rsid w:val="60D5275D"/>
    <w:rsid w:val="610A310B"/>
    <w:rsid w:val="615E4A6B"/>
    <w:rsid w:val="6169395D"/>
    <w:rsid w:val="617E1884"/>
    <w:rsid w:val="618E4C56"/>
    <w:rsid w:val="61B85F06"/>
    <w:rsid w:val="61DF2C1F"/>
    <w:rsid w:val="624A632B"/>
    <w:rsid w:val="62C65413"/>
    <w:rsid w:val="62EE3A26"/>
    <w:rsid w:val="62F97BD1"/>
    <w:rsid w:val="631F5F65"/>
    <w:rsid w:val="632C535B"/>
    <w:rsid w:val="63C11F2C"/>
    <w:rsid w:val="63FD3A34"/>
    <w:rsid w:val="64141336"/>
    <w:rsid w:val="641A5C94"/>
    <w:rsid w:val="642B356E"/>
    <w:rsid w:val="6468199A"/>
    <w:rsid w:val="647D7323"/>
    <w:rsid w:val="64983658"/>
    <w:rsid w:val="64A13B07"/>
    <w:rsid w:val="64BD1B46"/>
    <w:rsid w:val="64D45425"/>
    <w:rsid w:val="64F04396"/>
    <w:rsid w:val="64FB343D"/>
    <w:rsid w:val="65066989"/>
    <w:rsid w:val="652E277F"/>
    <w:rsid w:val="65411D47"/>
    <w:rsid w:val="65521EF9"/>
    <w:rsid w:val="65C6299E"/>
    <w:rsid w:val="66056770"/>
    <w:rsid w:val="666F7294"/>
    <w:rsid w:val="66B85BB1"/>
    <w:rsid w:val="66E83B71"/>
    <w:rsid w:val="66FE144D"/>
    <w:rsid w:val="671303C6"/>
    <w:rsid w:val="671B6DEC"/>
    <w:rsid w:val="67463B10"/>
    <w:rsid w:val="67737B62"/>
    <w:rsid w:val="67AE58E0"/>
    <w:rsid w:val="67B93A50"/>
    <w:rsid w:val="683D31CB"/>
    <w:rsid w:val="683F458A"/>
    <w:rsid w:val="686B1C3D"/>
    <w:rsid w:val="68861EEE"/>
    <w:rsid w:val="689E01F3"/>
    <w:rsid w:val="68E440DC"/>
    <w:rsid w:val="691A1FBE"/>
    <w:rsid w:val="69DB3730"/>
    <w:rsid w:val="69E7168A"/>
    <w:rsid w:val="6A2C4F2A"/>
    <w:rsid w:val="6A376AF9"/>
    <w:rsid w:val="6A3C1F53"/>
    <w:rsid w:val="6A4D3911"/>
    <w:rsid w:val="6A672F13"/>
    <w:rsid w:val="6A8131AF"/>
    <w:rsid w:val="6AB529E2"/>
    <w:rsid w:val="6AE03FAA"/>
    <w:rsid w:val="6BCC2AB1"/>
    <w:rsid w:val="6C0B24AD"/>
    <w:rsid w:val="6C9704B9"/>
    <w:rsid w:val="6C9A315D"/>
    <w:rsid w:val="6D296083"/>
    <w:rsid w:val="6D2B1138"/>
    <w:rsid w:val="6D2C14D2"/>
    <w:rsid w:val="6D33318A"/>
    <w:rsid w:val="6D373D94"/>
    <w:rsid w:val="6DDD6388"/>
    <w:rsid w:val="6E0B03AD"/>
    <w:rsid w:val="6E8C6315"/>
    <w:rsid w:val="6EAE5657"/>
    <w:rsid w:val="6F535EF2"/>
    <w:rsid w:val="6F5C1331"/>
    <w:rsid w:val="6FA207D5"/>
    <w:rsid w:val="6FAC785D"/>
    <w:rsid w:val="6FCB7B41"/>
    <w:rsid w:val="6FF60D92"/>
    <w:rsid w:val="6FFF4BED"/>
    <w:rsid w:val="7002255E"/>
    <w:rsid w:val="70212229"/>
    <w:rsid w:val="70A63D1C"/>
    <w:rsid w:val="70BD26D5"/>
    <w:rsid w:val="712B47CC"/>
    <w:rsid w:val="714B54DD"/>
    <w:rsid w:val="71821AB9"/>
    <w:rsid w:val="71902D65"/>
    <w:rsid w:val="71F4596C"/>
    <w:rsid w:val="72470959"/>
    <w:rsid w:val="72500973"/>
    <w:rsid w:val="7266450D"/>
    <w:rsid w:val="72FC3827"/>
    <w:rsid w:val="731B0A62"/>
    <w:rsid w:val="734F0EB1"/>
    <w:rsid w:val="73691763"/>
    <w:rsid w:val="73A675DF"/>
    <w:rsid w:val="73B75304"/>
    <w:rsid w:val="73C11DB0"/>
    <w:rsid w:val="73DD282E"/>
    <w:rsid w:val="73E81A68"/>
    <w:rsid w:val="740D13ED"/>
    <w:rsid w:val="74967158"/>
    <w:rsid w:val="74A103AD"/>
    <w:rsid w:val="750466AE"/>
    <w:rsid w:val="75506E01"/>
    <w:rsid w:val="75B17878"/>
    <w:rsid w:val="75DC5653"/>
    <w:rsid w:val="75E71AA9"/>
    <w:rsid w:val="76582E6C"/>
    <w:rsid w:val="768213F4"/>
    <w:rsid w:val="76C134DC"/>
    <w:rsid w:val="772365AF"/>
    <w:rsid w:val="77246D12"/>
    <w:rsid w:val="773D142F"/>
    <w:rsid w:val="775C6179"/>
    <w:rsid w:val="776571B5"/>
    <w:rsid w:val="777C49A6"/>
    <w:rsid w:val="77920E65"/>
    <w:rsid w:val="77D43A22"/>
    <w:rsid w:val="77DE12ED"/>
    <w:rsid w:val="78061C6E"/>
    <w:rsid w:val="781C7734"/>
    <w:rsid w:val="782B55D5"/>
    <w:rsid w:val="784826A6"/>
    <w:rsid w:val="78614D66"/>
    <w:rsid w:val="78776E7A"/>
    <w:rsid w:val="788C2498"/>
    <w:rsid w:val="78A01CF6"/>
    <w:rsid w:val="78A65F4B"/>
    <w:rsid w:val="78D70649"/>
    <w:rsid w:val="78F63986"/>
    <w:rsid w:val="78FE3E04"/>
    <w:rsid w:val="7941696D"/>
    <w:rsid w:val="79DF6C45"/>
    <w:rsid w:val="79F07904"/>
    <w:rsid w:val="79F46641"/>
    <w:rsid w:val="7A0B53C3"/>
    <w:rsid w:val="7A253B1E"/>
    <w:rsid w:val="7A543E50"/>
    <w:rsid w:val="7A6B31B1"/>
    <w:rsid w:val="7AC063D9"/>
    <w:rsid w:val="7B164378"/>
    <w:rsid w:val="7B780624"/>
    <w:rsid w:val="7B9351C8"/>
    <w:rsid w:val="7C4736D8"/>
    <w:rsid w:val="7C671618"/>
    <w:rsid w:val="7C7A65BD"/>
    <w:rsid w:val="7C7B2492"/>
    <w:rsid w:val="7C944DDF"/>
    <w:rsid w:val="7C9A00DE"/>
    <w:rsid w:val="7CBD12BF"/>
    <w:rsid w:val="7D1D335E"/>
    <w:rsid w:val="7D2701D1"/>
    <w:rsid w:val="7D435BAB"/>
    <w:rsid w:val="7D747863"/>
    <w:rsid w:val="7D986551"/>
    <w:rsid w:val="7DCF5B8F"/>
    <w:rsid w:val="7DDB4A7E"/>
    <w:rsid w:val="7E2950EB"/>
    <w:rsid w:val="7EA0123F"/>
    <w:rsid w:val="7EDC2990"/>
    <w:rsid w:val="7EE54F49"/>
    <w:rsid w:val="7F020E1F"/>
    <w:rsid w:val="7F471294"/>
    <w:rsid w:val="7FE642C5"/>
    <w:rsid w:val="7FF07483"/>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1"/>
    <w:qFormat/>
    <w:uiPriority w:val="99"/>
    <w:pPr>
      <w:keepNext/>
      <w:keepLines/>
      <w:spacing w:line="400" w:lineRule="exact"/>
      <w:outlineLvl w:val="0"/>
    </w:pPr>
    <w:rPr>
      <w:b/>
      <w:kern w:val="0"/>
      <w:sz w:val="44"/>
    </w:rPr>
  </w:style>
  <w:style w:type="paragraph" w:styleId="4">
    <w:name w:val="heading 2"/>
    <w:basedOn w:val="1"/>
    <w:next w:val="5"/>
    <w:link w:val="32"/>
    <w:qFormat/>
    <w:uiPriority w:val="99"/>
    <w:pPr>
      <w:keepNext/>
      <w:keepLines/>
      <w:spacing w:line="415" w:lineRule="auto"/>
      <w:outlineLvl w:val="1"/>
    </w:pPr>
    <w:rPr>
      <w:rFonts w:ascii="Arial" w:hAnsi="Arial" w:eastAsia="黑体"/>
      <w:b/>
      <w:sz w:val="32"/>
    </w:rPr>
  </w:style>
  <w:style w:type="paragraph" w:styleId="6">
    <w:name w:val="heading 3"/>
    <w:basedOn w:val="1"/>
    <w:next w:val="1"/>
    <w:link w:val="33"/>
    <w:qFormat/>
    <w:uiPriority w:val="99"/>
    <w:pPr>
      <w:keepNext/>
      <w:keepLines/>
      <w:spacing w:line="415" w:lineRule="auto"/>
      <w:jc w:val="left"/>
      <w:outlineLvl w:val="2"/>
    </w:pPr>
    <w:rPr>
      <w:rFonts w:ascii="Times New Roman" w:hAnsi="Times New Roman" w:eastAsia="仿宋_GB2312"/>
      <w:b/>
      <w:sz w:val="28"/>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jc w:val="left"/>
    </w:pPr>
    <w:rPr>
      <w:bCs/>
      <w:spacing w:val="10"/>
      <w:sz w:val="24"/>
    </w:rPr>
  </w:style>
  <w:style w:type="paragraph" w:styleId="5">
    <w:name w:val="Normal Indent"/>
    <w:basedOn w:val="1"/>
    <w:qFormat/>
    <w:uiPriority w:val="0"/>
    <w:pPr>
      <w:widowControl/>
      <w:ind w:firstLine="420"/>
      <w:jc w:val="left"/>
    </w:pPr>
    <w:rPr>
      <w:kern w:val="0"/>
      <w:sz w:val="20"/>
    </w:rPr>
  </w:style>
  <w:style w:type="paragraph" w:styleId="7">
    <w:name w:val="annotation text"/>
    <w:basedOn w:val="1"/>
    <w:link w:val="34"/>
    <w:qFormat/>
    <w:uiPriority w:val="99"/>
    <w:pPr>
      <w:jc w:val="left"/>
    </w:pPr>
  </w:style>
  <w:style w:type="paragraph" w:styleId="8">
    <w:name w:val="Body Text"/>
    <w:basedOn w:val="1"/>
    <w:next w:val="9"/>
    <w:link w:val="35"/>
    <w:qFormat/>
    <w:uiPriority w:val="99"/>
    <w:pPr>
      <w:autoSpaceDE w:val="0"/>
      <w:autoSpaceDN w:val="0"/>
      <w:adjustRightInd w:val="0"/>
      <w:spacing w:line="360" w:lineRule="exact"/>
    </w:pPr>
    <w:rPr>
      <w:rFonts w:ascii="方正仿宋简体" w:eastAsia="方正仿宋简体"/>
      <w:color w:val="000000"/>
      <w:kern w:val="0"/>
      <w:sz w:val="28"/>
    </w:rPr>
  </w:style>
  <w:style w:type="paragraph" w:customStyle="1" w:styleId="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0">
    <w:name w:val="Body Text Indent"/>
    <w:basedOn w:val="1"/>
    <w:next w:val="9"/>
    <w:link w:val="36"/>
    <w:qFormat/>
    <w:uiPriority w:val="99"/>
    <w:pPr>
      <w:autoSpaceDE w:val="0"/>
      <w:autoSpaceDN w:val="0"/>
      <w:adjustRightInd w:val="0"/>
      <w:ind w:firstLine="645"/>
    </w:pPr>
    <w:rPr>
      <w:rFonts w:ascii="方正仿宋简体" w:eastAsia="方正仿宋简体"/>
      <w:color w:val="000000"/>
      <w:kern w:val="0"/>
      <w:sz w:val="30"/>
    </w:rPr>
  </w:style>
  <w:style w:type="paragraph" w:styleId="11">
    <w:name w:val="toc 3"/>
    <w:basedOn w:val="1"/>
    <w:next w:val="1"/>
    <w:qFormat/>
    <w:uiPriority w:val="99"/>
    <w:pPr>
      <w:tabs>
        <w:tab w:val="right" w:leader="dot" w:pos="9060"/>
      </w:tabs>
      <w:spacing w:line="460" w:lineRule="exact"/>
      <w:ind w:firstLine="240" w:firstLineChars="100"/>
      <w:jc w:val="left"/>
    </w:pPr>
    <w:rPr>
      <w:rFonts w:ascii="宋体" w:hAnsi="宋体"/>
      <w:kern w:val="0"/>
      <w:sz w:val="24"/>
    </w:rPr>
  </w:style>
  <w:style w:type="paragraph" w:styleId="12">
    <w:name w:val="Plain Text"/>
    <w:basedOn w:val="1"/>
    <w:next w:val="1"/>
    <w:link w:val="37"/>
    <w:qFormat/>
    <w:uiPriority w:val="99"/>
    <w:pPr>
      <w:adjustRightInd w:val="0"/>
      <w:spacing w:line="312" w:lineRule="atLeast"/>
      <w:textAlignment w:val="baseline"/>
    </w:pPr>
    <w:rPr>
      <w:rFonts w:ascii="宋体" w:hAnsi="Courier New"/>
    </w:rPr>
  </w:style>
  <w:style w:type="paragraph" w:styleId="13">
    <w:name w:val="Date"/>
    <w:basedOn w:val="1"/>
    <w:next w:val="1"/>
    <w:link w:val="38"/>
    <w:qFormat/>
    <w:uiPriority w:val="99"/>
    <w:rPr>
      <w:rFonts w:ascii="宋体"/>
      <w:color w:val="000000"/>
      <w:kern w:val="0"/>
      <w:sz w:val="30"/>
    </w:rPr>
  </w:style>
  <w:style w:type="paragraph" w:styleId="14">
    <w:name w:val="footer"/>
    <w:basedOn w:val="1"/>
    <w:link w:val="39"/>
    <w:qFormat/>
    <w:uiPriority w:val="99"/>
    <w:pPr>
      <w:tabs>
        <w:tab w:val="center" w:pos="4153"/>
        <w:tab w:val="right" w:pos="8306"/>
      </w:tabs>
      <w:snapToGrid w:val="0"/>
      <w:jc w:val="left"/>
    </w:pPr>
    <w:rPr>
      <w:sz w:val="18"/>
    </w:rPr>
  </w:style>
  <w:style w:type="paragraph" w:styleId="15">
    <w:name w:val="header"/>
    <w:basedOn w:val="1"/>
    <w:link w:val="40"/>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99"/>
    <w:pPr>
      <w:tabs>
        <w:tab w:val="right" w:leader="dot" w:pos="9060"/>
      </w:tabs>
      <w:spacing w:line="460" w:lineRule="exact"/>
      <w:jc w:val="left"/>
    </w:pPr>
    <w:rPr>
      <w:b/>
      <w:sz w:val="28"/>
    </w:rPr>
  </w:style>
  <w:style w:type="paragraph" w:styleId="17">
    <w:name w:val="Body Text Indent 3"/>
    <w:basedOn w:val="1"/>
    <w:link w:val="41"/>
    <w:qFormat/>
    <w:uiPriority w:val="99"/>
    <w:pPr>
      <w:spacing w:after="120"/>
      <w:ind w:left="420" w:leftChars="200"/>
    </w:pPr>
    <w:rPr>
      <w:rFonts w:ascii="Times New Roman" w:hAnsi="Times New Roman"/>
      <w:sz w:val="16"/>
      <w:szCs w:val="16"/>
    </w:rPr>
  </w:style>
  <w:style w:type="paragraph" w:styleId="18">
    <w:name w:val="toc 2"/>
    <w:basedOn w:val="1"/>
    <w:next w:val="1"/>
    <w:qFormat/>
    <w:uiPriority w:val="99"/>
    <w:pPr>
      <w:tabs>
        <w:tab w:val="right" w:leader="dot" w:pos="9060"/>
      </w:tabs>
      <w:ind w:left="210"/>
      <w:jc w:val="left"/>
    </w:pPr>
    <w:rPr>
      <w:rFonts w:ascii="宋体" w:hAnsi="宋体"/>
      <w:smallCaps/>
      <w:kern w:val="0"/>
      <w:sz w:val="24"/>
    </w:rPr>
  </w:style>
  <w:style w:type="paragraph" w:styleId="1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0">
    <w:name w:val="Normal (Web)"/>
    <w:basedOn w:val="1"/>
    <w:qFormat/>
    <w:uiPriority w:val="99"/>
    <w:pPr>
      <w:widowControl/>
      <w:spacing w:beforeAutospacing="1" w:afterAutospacing="1"/>
      <w:jc w:val="left"/>
    </w:pPr>
    <w:rPr>
      <w:kern w:val="0"/>
      <w:sz w:val="24"/>
    </w:rPr>
  </w:style>
  <w:style w:type="paragraph" w:styleId="21">
    <w:name w:val="index 1"/>
    <w:basedOn w:val="1"/>
    <w:next w:val="1"/>
    <w:qFormat/>
    <w:uiPriority w:val="99"/>
  </w:style>
  <w:style w:type="paragraph" w:styleId="22">
    <w:name w:val="Body Text First Indent"/>
    <w:basedOn w:val="8"/>
    <w:qFormat/>
    <w:uiPriority w:val="0"/>
    <w:pPr>
      <w:ind w:firstLine="420" w:firstLineChars="100"/>
    </w:pPr>
    <w:rPr>
      <w:sz w:val="21"/>
    </w:rPr>
  </w:style>
  <w:style w:type="paragraph" w:styleId="23">
    <w:name w:val="Body Text First Indent 2"/>
    <w:basedOn w:val="10"/>
    <w:unhideWhenUsed/>
    <w:qFormat/>
    <w:uiPriority w:val="99"/>
    <w:pPr>
      <w:ind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locked/>
    <w:uiPriority w:val="0"/>
    <w:rPr>
      <w:b/>
    </w:rPr>
  </w:style>
  <w:style w:type="character" w:styleId="28">
    <w:name w:val="page number"/>
    <w:basedOn w:val="26"/>
    <w:qFormat/>
    <w:uiPriority w:val="99"/>
    <w:rPr>
      <w:rFonts w:cs="Times New Roman"/>
    </w:rPr>
  </w:style>
  <w:style w:type="character" w:styleId="29">
    <w:name w:val="Hyperlink"/>
    <w:basedOn w:val="26"/>
    <w:qFormat/>
    <w:uiPriority w:val="99"/>
    <w:rPr>
      <w:rFonts w:cs="Times New Roman"/>
      <w:color w:val="0000FF"/>
      <w:u w:val="single"/>
    </w:rPr>
  </w:style>
  <w:style w:type="paragraph" w:customStyle="1" w:styleId="30">
    <w:name w:val="目录 21"/>
    <w:basedOn w:val="1"/>
    <w:next w:val="1"/>
    <w:qFormat/>
    <w:uiPriority w:val="0"/>
    <w:pPr>
      <w:spacing w:before="100" w:beforeAutospacing="1" w:after="100" w:afterAutospacing="1"/>
      <w:ind w:left="420" w:leftChars="200"/>
    </w:pPr>
  </w:style>
  <w:style w:type="character" w:customStyle="1" w:styleId="31">
    <w:name w:val="标题 1 Char"/>
    <w:basedOn w:val="26"/>
    <w:link w:val="3"/>
    <w:qFormat/>
    <w:uiPriority w:val="9"/>
    <w:rPr>
      <w:rFonts w:ascii="Calibri" w:hAnsi="Calibri" w:eastAsia="宋体"/>
      <w:b/>
      <w:bCs/>
      <w:kern w:val="44"/>
      <w:sz w:val="44"/>
      <w:szCs w:val="44"/>
    </w:rPr>
  </w:style>
  <w:style w:type="character" w:customStyle="1" w:styleId="32">
    <w:name w:val="标题 2 Char"/>
    <w:basedOn w:val="26"/>
    <w:link w:val="4"/>
    <w:semiHidden/>
    <w:qFormat/>
    <w:uiPriority w:val="9"/>
    <w:rPr>
      <w:rFonts w:ascii="Cambria" w:hAnsi="Cambria" w:eastAsia="宋体" w:cs="Times New Roman"/>
      <w:b/>
      <w:bCs/>
      <w:sz w:val="32"/>
      <w:szCs w:val="32"/>
    </w:rPr>
  </w:style>
  <w:style w:type="character" w:customStyle="1" w:styleId="33">
    <w:name w:val="标题 3 Char"/>
    <w:basedOn w:val="26"/>
    <w:link w:val="6"/>
    <w:semiHidden/>
    <w:qFormat/>
    <w:uiPriority w:val="9"/>
    <w:rPr>
      <w:rFonts w:ascii="Calibri" w:hAnsi="Calibri"/>
      <w:b/>
      <w:bCs/>
      <w:sz w:val="32"/>
      <w:szCs w:val="32"/>
    </w:rPr>
  </w:style>
  <w:style w:type="character" w:customStyle="1" w:styleId="34">
    <w:name w:val="批注文字 Char"/>
    <w:basedOn w:val="26"/>
    <w:link w:val="7"/>
    <w:semiHidden/>
    <w:qFormat/>
    <w:uiPriority w:val="99"/>
    <w:rPr>
      <w:rFonts w:ascii="Calibri" w:hAnsi="Calibri"/>
    </w:rPr>
  </w:style>
  <w:style w:type="character" w:customStyle="1" w:styleId="35">
    <w:name w:val="正文文本 Char"/>
    <w:basedOn w:val="26"/>
    <w:link w:val="8"/>
    <w:semiHidden/>
    <w:qFormat/>
    <w:uiPriority w:val="99"/>
    <w:rPr>
      <w:rFonts w:ascii="Calibri" w:hAnsi="Calibri"/>
    </w:rPr>
  </w:style>
  <w:style w:type="character" w:customStyle="1" w:styleId="36">
    <w:name w:val="正文文本缩进 Char"/>
    <w:basedOn w:val="26"/>
    <w:link w:val="10"/>
    <w:semiHidden/>
    <w:qFormat/>
    <w:uiPriority w:val="99"/>
    <w:rPr>
      <w:rFonts w:ascii="Calibri" w:hAnsi="Calibri"/>
    </w:rPr>
  </w:style>
  <w:style w:type="character" w:customStyle="1" w:styleId="37">
    <w:name w:val="纯文本 Char"/>
    <w:basedOn w:val="26"/>
    <w:link w:val="12"/>
    <w:qFormat/>
    <w:locked/>
    <w:uiPriority w:val="99"/>
    <w:rPr>
      <w:rFonts w:ascii="宋体" w:hAnsi="Courier New" w:eastAsia="宋体"/>
      <w:kern w:val="2"/>
      <w:sz w:val="22"/>
    </w:rPr>
  </w:style>
  <w:style w:type="character" w:customStyle="1" w:styleId="38">
    <w:name w:val="日期 Char"/>
    <w:basedOn w:val="26"/>
    <w:link w:val="13"/>
    <w:semiHidden/>
    <w:qFormat/>
    <w:uiPriority w:val="99"/>
    <w:rPr>
      <w:rFonts w:ascii="Calibri" w:hAnsi="Calibri"/>
    </w:rPr>
  </w:style>
  <w:style w:type="character" w:customStyle="1" w:styleId="39">
    <w:name w:val="页脚 Char"/>
    <w:basedOn w:val="26"/>
    <w:link w:val="14"/>
    <w:semiHidden/>
    <w:qFormat/>
    <w:uiPriority w:val="99"/>
    <w:rPr>
      <w:rFonts w:ascii="Calibri" w:hAnsi="Calibri"/>
      <w:sz w:val="18"/>
      <w:szCs w:val="18"/>
    </w:rPr>
  </w:style>
  <w:style w:type="character" w:customStyle="1" w:styleId="40">
    <w:name w:val="页眉 Char"/>
    <w:basedOn w:val="26"/>
    <w:link w:val="15"/>
    <w:semiHidden/>
    <w:qFormat/>
    <w:uiPriority w:val="99"/>
    <w:rPr>
      <w:rFonts w:ascii="Calibri" w:hAnsi="Calibri"/>
      <w:sz w:val="18"/>
      <w:szCs w:val="18"/>
    </w:rPr>
  </w:style>
  <w:style w:type="character" w:customStyle="1" w:styleId="41">
    <w:name w:val="正文文本缩进 3 Char1"/>
    <w:basedOn w:val="26"/>
    <w:link w:val="17"/>
    <w:qFormat/>
    <w:locked/>
    <w:uiPriority w:val="99"/>
    <w:rPr>
      <w:rFonts w:cs="Times New Roman"/>
      <w:kern w:val="2"/>
      <w:sz w:val="16"/>
      <w:szCs w:val="16"/>
    </w:rPr>
  </w:style>
  <w:style w:type="paragraph" w:customStyle="1" w:styleId="42">
    <w:name w:val="批注框文本 Char Char"/>
    <w:basedOn w:val="1"/>
    <w:qFormat/>
    <w:uiPriority w:val="99"/>
    <w:rPr>
      <w:sz w:val="18"/>
    </w:rPr>
  </w:style>
  <w:style w:type="character" w:customStyle="1" w:styleId="43">
    <w:name w:val="正文文本缩进 3 Char"/>
    <w:qFormat/>
    <w:uiPriority w:val="99"/>
    <w:rPr>
      <w:rFonts w:eastAsia="宋体"/>
      <w:kern w:val="2"/>
      <w:sz w:val="16"/>
    </w:rPr>
  </w:style>
  <w:style w:type="paragraph" w:customStyle="1" w:styleId="44">
    <w:name w:val="正文_4"/>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
    <w:name w:val="gpa"/>
    <w:basedOn w:val="26"/>
    <w:qFormat/>
    <w:uiPriority w:val="0"/>
    <w:rPr>
      <w:rFonts w:ascii="Arial" w:hAnsi="Arial" w:cs="Arial"/>
      <w:sz w:val="15"/>
      <w:szCs w:val="15"/>
    </w:rPr>
  </w:style>
  <w:style w:type="character" w:customStyle="1" w:styleId="46">
    <w:name w:val="selected"/>
    <w:basedOn w:val="26"/>
    <w:qFormat/>
    <w:uiPriority w:val="0"/>
    <w:rPr>
      <w:shd w:val="clear" w:color="auto" w:fill="B00006"/>
    </w:rPr>
  </w:style>
  <w:style w:type="character" w:customStyle="1" w:styleId="47">
    <w:name w:val="displayarti"/>
    <w:basedOn w:val="26"/>
    <w:qFormat/>
    <w:uiPriority w:val="0"/>
    <w:rPr>
      <w:color w:val="FFFFFF"/>
      <w:shd w:val="clear" w:color="auto" w:fill="A00000"/>
    </w:rPr>
  </w:style>
  <w:style w:type="paragraph" w:customStyle="1" w:styleId="48">
    <w:name w:val="无间隔1"/>
    <w:qFormat/>
    <w:uiPriority w:val="0"/>
    <w:pPr>
      <w:widowControl w:val="0"/>
      <w:jc w:val="both"/>
    </w:pPr>
    <w:rPr>
      <w:rFonts w:ascii="Calibri" w:hAnsi="Calibri" w:eastAsia="宋体" w:cs="Times New Roman"/>
      <w:kern w:val="2"/>
      <w:sz w:val="21"/>
      <w:szCs w:val="24"/>
      <w:lang w:val="en-US" w:eastAsia="zh-CN" w:bidi="ar-SA"/>
    </w:rPr>
  </w:style>
  <w:style w:type="paragraph" w:customStyle="1" w:styleId="49">
    <w:name w:val="Table Paragraph"/>
    <w:basedOn w:val="1"/>
    <w:qFormat/>
    <w:uiPriority w:val="1"/>
    <w:rPr>
      <w:rFonts w:ascii="宋体" w:hAnsi="宋体" w:eastAsia="宋体" w:cs="宋体"/>
      <w:lang w:val="zh-CN" w:eastAsia="zh-CN" w:bidi="zh-CN"/>
    </w:rPr>
  </w:style>
  <w:style w:type="paragraph" w:customStyle="1" w:styleId="50">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rPr>
  </w:style>
  <w:style w:type="paragraph" w:customStyle="1" w:styleId="51">
    <w:name w:val="段落2"/>
    <w:basedOn w:val="1"/>
    <w:qFormat/>
    <w:uiPriority w:val="0"/>
    <w:pPr>
      <w:spacing w:line="360" w:lineRule="auto"/>
      <w:ind w:firstLine="480" w:firstLineChars="200"/>
    </w:pPr>
    <w:rPr>
      <w:rFonts w:ascii="Calibri" w:hAnsi="Calibri" w:eastAsia="宋体" w:cs="Courier New"/>
      <w:sz w:val="24"/>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5324</Words>
  <Characters>30352</Characters>
  <Lines>252</Lines>
  <Paragraphs>71</Paragraphs>
  <TotalTime>36</TotalTime>
  <ScaleCrop>false</ScaleCrop>
  <LinksUpToDate>false</LinksUpToDate>
  <CharactersWithSpaces>35605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2018-05-17T14:04:00Z</dcterms:created>
  <dc:creator>Administrator</dc:creator>
  <cp:lastModifiedBy>吴先森</cp:lastModifiedBy>
  <cp:lastPrinted>2019-05-08T09:27:00Z</cp:lastPrinted>
  <dcterms:modified xsi:type="dcterms:W3CDTF">2021-09-29T13:15:10Z</dcterms:modified>
  <dc:title>广西华诚达建设项目管理有限公司</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9B5AA8A5DAEA45A991DA1ED6FD52BCD1</vt:lpwstr>
  </property>
</Properties>
</file>