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bCs/>
          <w:sz w:val="32"/>
          <w:szCs w:val="32"/>
        </w:rPr>
      </w:pPr>
      <w:bookmarkStart w:id="0" w:name="OLE_LINK8"/>
      <w:bookmarkStart w:id="1" w:name="OLE_LINK4"/>
      <w:r>
        <w:rPr>
          <w:rFonts w:hint="eastAsia" w:ascii="黑体" w:hAnsi="黑体" w:eastAsia="黑体" w:cs="Times New Roman"/>
          <w:b/>
          <w:bCs/>
          <w:sz w:val="32"/>
          <w:szCs w:val="32"/>
        </w:rPr>
        <w:t>广西新凯林管理咨询有限公司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河池住房公积金管理中心巴马管理部采购业务用房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(HCZC2020-D1-000439-gxxk)成交结果公告</w:t>
      </w:r>
      <w:bookmarkEnd w:id="0"/>
      <w:bookmarkEnd w:id="1"/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一、项目编号：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HCZC2020-D1-000439-gxxk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二、项目名称：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河池住房公积金管理中心巴马管理部采购业务用房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三、成交信息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巴马怡和实业开发有限公司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供应商地址：巴马瑶族自治县巴马镇寿乡大道120号 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成交金额：伍佰伍拾叁万陆仟伍佰捌拾元整（￥5536580.00元）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eastAsia="zh-CN"/>
        </w:rPr>
        <w:t>四、主要标的信息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425"/>
        <w:gridCol w:w="768"/>
        <w:gridCol w:w="506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  <w:t>数量</w:t>
            </w:r>
          </w:p>
          <w:p>
            <w:pPr>
              <w:pStyle w:val="8"/>
              <w:jc w:val="center"/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  <w:highlight w:val="none"/>
              </w:rPr>
              <w:t>①</w:t>
            </w:r>
          </w:p>
        </w:tc>
        <w:tc>
          <w:tcPr>
            <w:tcW w:w="506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采购内容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河池住房公积金管理中心巴马管理部采购业务用房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5067" w:type="dxa"/>
            <w:noWrap w:val="0"/>
            <w:vAlign w:val="center"/>
          </w:tcPr>
          <w:p>
            <w:pPr>
              <w:wordWrap w:val="0"/>
              <w:spacing w:line="480" w:lineRule="auto"/>
              <w:ind w:firstLine="360" w:firstLineChars="150"/>
              <w:rPr>
                <w:rFonts w:hint="eastAsia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位于巴马瑶族自治县巴马镇练乡村城努屯的广西巴马国际和康养城3号楼4间商铺和二楼7间公寓(总面积为600平方米)作为巴马管理部的业务用房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rPr>
                <w:rFonts w:hint="eastAsia" w:hAnsi="宋体" w:cs="宋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一楼商铺13500元/平方 </w:t>
            </w:r>
          </w:p>
          <w:p>
            <w:pPr>
              <w:pStyle w:val="8"/>
              <w:numPr>
                <w:ilvl w:val="0"/>
                <w:numId w:val="2"/>
              </w:numPr>
              <w:rPr>
                <w:rFonts w:hint="default" w:hAnsi="宋体" w:eastAsia="宋体" w:cs="宋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二楼商品房5800元/平方 </w:t>
            </w:r>
          </w:p>
        </w:tc>
      </w:tr>
    </w:tbl>
    <w:p>
      <w:pPr>
        <w:pStyle w:val="7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firstLine="211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五、评审专家名单：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</w:rPr>
        <w:t>黄景会、陶贵全、周慧媛、黄山、梁文炮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</w:rPr>
        <w:t>（业主评委）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zh-CN" w:eastAsia="zh-CN"/>
        </w:rPr>
        <w:t>。</w:t>
      </w:r>
    </w:p>
    <w:p>
      <w:pPr>
        <w:widowControl/>
        <w:spacing w:line="276" w:lineRule="auto"/>
        <w:ind w:firstLine="211" w:firstLineChars="1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六、代理服务收费标准及金额：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. 代理服务费金额：人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  <w:t>民币贰万伍仟元整（￥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>25000.00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  <w:t>元）</w:t>
      </w:r>
    </w:p>
    <w:p>
      <w:pPr>
        <w:ind w:firstLine="211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七、公告期限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自本公告发布之日起1个工作日。</w:t>
      </w:r>
    </w:p>
    <w:p>
      <w:pPr>
        <w:numPr>
          <w:ilvl w:val="0"/>
          <w:numId w:val="0"/>
        </w:numPr>
        <w:ind w:firstLine="211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其他补充事宜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供应商认为成交结果使自己的权益受到损害的，可以在成交结果公告期限届满之日起七个工作日内以书面形式向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河池住房公积金管理中心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或广西新凯林管理咨询有限公司提出质疑，逾期将不再受理。</w:t>
      </w:r>
    </w:p>
    <w:p>
      <w:pPr>
        <w:numPr>
          <w:ilvl w:val="0"/>
          <w:numId w:val="0"/>
        </w:numPr>
        <w:ind w:leftChars="0" w:firstLine="211" w:firstLineChars="100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凡对本次公告内容提出询问，请按以下方式联系。</w:t>
      </w:r>
      <w:bookmarkStart w:id="2" w:name="_Toc35393641"/>
      <w:bookmarkStart w:id="3" w:name="_Toc35393810"/>
      <w:bookmarkStart w:id="4" w:name="_Toc28359100"/>
      <w:bookmarkStart w:id="5" w:name="_Toc28359023"/>
    </w:p>
    <w:bookmarkEnd w:id="2"/>
    <w:bookmarkEnd w:id="3"/>
    <w:bookmarkEnd w:id="4"/>
    <w:bookmarkEnd w:id="5"/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1.采购人：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河池住房公积金管理中心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 系 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祝栋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联系地址：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河池市金城江区金城西路25-4号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0778-2299886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2.财政部门: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河池市财政局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 系 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河池市财政局政府采购监督管理科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联系地址：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河池市金城江区金城西路25号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0778-2270025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3.采购代理机构：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广西新凯林管理咨询有限公司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 系 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韦丽月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联系地址：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河池市金城江区上任新区澳北路162号</w:t>
      </w:r>
    </w:p>
    <w:p>
      <w:pPr>
        <w:pStyle w:val="10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single"/>
        </w:rPr>
        <w:t>18775368957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　　　　　　　　　</w:t>
      </w:r>
    </w:p>
    <w:p>
      <w:pPr>
        <w:ind w:firstLine="211" w:firstLineChars="100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十、附件</w:t>
      </w:r>
    </w:p>
    <w:p>
      <w:pPr>
        <w:spacing w:line="240" w:lineRule="auto"/>
        <w:ind w:firstLine="630" w:firstLineChars="300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lang w:val="en-US" w:eastAsia="zh-CN" w:bidi="ar-SA"/>
        </w:rPr>
        <w:t>1.成交结果公告</w:t>
      </w:r>
    </w:p>
    <w:p>
      <w:pPr>
        <w:pStyle w:val="7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9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 广西新凯林管理咨询有限公司</w:t>
      </w:r>
    </w:p>
    <w:p>
      <w:pPr>
        <w:pStyle w:val="9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 2020年12月23日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6FB95"/>
    <w:multiLevelType w:val="singleLevel"/>
    <w:tmpl w:val="CC86FB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26A7"/>
    <w:rsid w:val="073763C8"/>
    <w:rsid w:val="0B5B1754"/>
    <w:rsid w:val="0C471F91"/>
    <w:rsid w:val="0D5E4817"/>
    <w:rsid w:val="12812B68"/>
    <w:rsid w:val="133F4251"/>
    <w:rsid w:val="14795D21"/>
    <w:rsid w:val="1FA16C15"/>
    <w:rsid w:val="292E0BA5"/>
    <w:rsid w:val="29520E26"/>
    <w:rsid w:val="2F4E7785"/>
    <w:rsid w:val="2FB93526"/>
    <w:rsid w:val="31B14166"/>
    <w:rsid w:val="39CD1A8F"/>
    <w:rsid w:val="3B6F09BF"/>
    <w:rsid w:val="437D77EC"/>
    <w:rsid w:val="4AEE6AAB"/>
    <w:rsid w:val="4D713095"/>
    <w:rsid w:val="5B333E39"/>
    <w:rsid w:val="5F8120F6"/>
    <w:rsid w:val="735074FF"/>
    <w:rsid w:val="75F745E5"/>
    <w:rsid w:val="7A2934D4"/>
    <w:rsid w:val="7A57044E"/>
    <w:rsid w:val="7B997A38"/>
    <w:rsid w:val="7BE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jc w:val="center"/>
    </w:pPr>
  </w:style>
  <w:style w:type="paragraph" w:styleId="8">
    <w:name w:val="Plain Text"/>
    <w:basedOn w:val="1"/>
    <w:next w:val="5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2020-12-23T08:51:17Z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