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numPr>
          <w:ilvl w:val="0"/>
          <w:numId w:val="0"/>
        </w:numPr>
        <w:ind w:left="321" w:hanging="321" w:hangingChars="100"/>
        <w:jc w:val="both"/>
        <w:rPr>
          <w:rFonts w:hint="eastAsia" w:hAnsi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hAnsi="宋体"/>
          <w:b/>
          <w:bCs/>
          <w:color w:val="auto"/>
          <w:sz w:val="32"/>
          <w:szCs w:val="32"/>
          <w:highlight w:val="none"/>
          <w:lang w:eastAsia="zh-CN"/>
        </w:rPr>
        <w:t>广西北部湾宏亚建设管理有限公司</w:t>
      </w:r>
      <w:r>
        <w:rPr>
          <w:rFonts w:hint="eastAsia" w:hAnsi="宋体"/>
          <w:b/>
          <w:bCs/>
          <w:color w:val="auto"/>
          <w:sz w:val="32"/>
          <w:szCs w:val="32"/>
          <w:highlight w:val="none"/>
          <w:lang w:val="en-US" w:eastAsia="zh-CN"/>
        </w:rPr>
        <w:t>关于</w:t>
      </w:r>
      <w:r>
        <w:rPr>
          <w:rFonts w:hint="eastAsia" w:hAnsi="宋体"/>
          <w:b/>
          <w:bCs/>
          <w:color w:val="auto"/>
          <w:sz w:val="32"/>
          <w:szCs w:val="32"/>
          <w:highlight w:val="none"/>
          <w:lang w:eastAsia="zh-CN"/>
        </w:rPr>
        <w:t>博白县农村乱占耕地建房状况调查项目【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  <w:u w:val="single"/>
          <w:lang w:val="en-US" w:eastAsia="zh-CN"/>
        </w:rPr>
        <w:t>YLZC2020-G3-63</w:t>
      </w:r>
      <w:r>
        <w:rPr>
          <w:rFonts w:hint="eastAsia" w:hAnsi="宋体" w:cs="宋体"/>
          <w:bCs/>
          <w:color w:val="auto"/>
          <w:sz w:val="30"/>
          <w:szCs w:val="30"/>
          <w:highlight w:val="none"/>
          <w:u w:val="single"/>
          <w:lang w:val="en-US" w:eastAsia="zh-CN"/>
        </w:rPr>
        <w:t>582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  <w:u w:val="single"/>
          <w:lang w:val="en-US" w:eastAsia="zh-CN"/>
        </w:rPr>
        <w:t>-HY</w:t>
      </w:r>
      <w:r>
        <w:rPr>
          <w:rFonts w:hint="eastAsia" w:ascii="宋体" w:hAnsi="宋体" w:cs="宋体"/>
          <w:bCs/>
          <w:color w:val="auto"/>
          <w:sz w:val="30"/>
          <w:szCs w:val="30"/>
          <w:highlight w:val="none"/>
          <w:u w:val="single"/>
          <w:lang w:val="en-US" w:eastAsia="zh-CN"/>
        </w:rPr>
        <w:t>JS（重）</w:t>
      </w:r>
      <w:r>
        <w:rPr>
          <w:rFonts w:hint="eastAsia" w:hAnsi="宋体"/>
          <w:b/>
          <w:bCs/>
          <w:color w:val="auto"/>
          <w:sz w:val="32"/>
          <w:szCs w:val="32"/>
          <w:highlight w:val="none"/>
          <w:lang w:eastAsia="zh-CN"/>
        </w:rPr>
        <w:t>】</w:t>
      </w:r>
    </w:p>
    <w:p>
      <w:pPr>
        <w:pStyle w:val="5"/>
        <w:adjustRightInd w:val="0"/>
        <w:snapToGrid w:val="0"/>
        <w:jc w:val="center"/>
        <w:rPr>
          <w:rFonts w:hint="eastAsia" w:hAnsi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hAnsi="宋体"/>
          <w:b/>
          <w:bCs/>
          <w:color w:val="auto"/>
          <w:sz w:val="32"/>
          <w:szCs w:val="32"/>
          <w:highlight w:val="none"/>
          <w:lang w:eastAsia="zh-CN"/>
        </w:rPr>
        <w:t>公开招标公告</w:t>
      </w:r>
    </w:p>
    <w:p>
      <w:pPr>
        <w:pStyle w:val="5"/>
        <w:adjustRightInd w:val="0"/>
        <w:snapToGrid w:val="0"/>
        <w:jc w:val="center"/>
        <w:rPr>
          <w:rFonts w:hint="eastAsia" w:hAnsi="宋体"/>
          <w:b/>
          <w:bCs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80" w:lineRule="exact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项目概况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80" w:lineRule="exact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>博白县农村乱占耕地建房状况调查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项目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招标项目的潜在投标人应在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single"/>
        </w:rPr>
        <w:t>政采云平台（https://www.zcygov.cn/）获取招标文件，并于2020年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single"/>
        </w:rPr>
        <w:t>月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16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single"/>
        </w:rPr>
        <w:t>日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single"/>
        </w:rPr>
        <w:t>时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single"/>
        </w:rPr>
        <w:t>分（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北京时间）前递交投标文件。</w:t>
      </w:r>
    </w:p>
    <w:p>
      <w:pPr>
        <w:pStyle w:val="2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80" w:lineRule="exact"/>
        <w:ind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一、采购项目名称：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博白县农村乱占耕地建房状况调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查项目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8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二、采购项目编号：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YLZC2020-G3-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63582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-HY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JS（重）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bookmarkStart w:id="1" w:name="_GoBack"/>
      <w:bookmarkEnd w:id="1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采购计划文号：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YLZC2020-G3-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63582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001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80" w:lineRule="exact"/>
        <w:ind w:firstLine="482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三、采购项目概况：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80" w:lineRule="exact"/>
        <w:ind w:firstLine="964" w:firstLineChars="4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eastAsia="zh-CN"/>
        </w:rPr>
        <w:t>服务期限：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自合同签订之日起1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个日历天内完成入户调查服务工作，入户调查工作完成后5个日历天内完成汇总上报工作。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80" w:lineRule="exact"/>
        <w:ind w:firstLine="964" w:firstLineChars="4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本项目分为三个标段</w:t>
      </w:r>
      <w:r>
        <w:rPr>
          <w:rFonts w:hint="eastAsia" w:ascii="宋体" w:hAnsi="宋体"/>
          <w:color w:val="auto"/>
          <w:sz w:val="24"/>
          <w:szCs w:val="24"/>
          <w:highlight w:val="none"/>
          <w:u w:val="none"/>
          <w:lang w:val="en-US" w:eastAsia="zh-CN"/>
        </w:rPr>
        <w:t>；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采购需求：（具体内容详见附件采购需求）</w:t>
      </w:r>
    </w:p>
    <w:p>
      <w:pPr>
        <w:pStyle w:val="2"/>
        <w:rPr>
          <w:rFonts w:hint="eastAsia"/>
          <w:lang w:eastAsia="zh-CN"/>
        </w:rPr>
      </w:pPr>
    </w:p>
    <w:p>
      <w:pPr>
        <w:spacing w:line="320" w:lineRule="exact"/>
        <w:ind w:firstLine="480" w:firstLineChars="20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A分标：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博白县农村乱占耕地建房状况调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查项目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博白县北片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分标）</w:t>
      </w:r>
    </w:p>
    <w:tbl>
      <w:tblPr>
        <w:tblStyle w:val="9"/>
        <w:tblpPr w:leftFromText="180" w:rightFromText="180" w:vertAnchor="text" w:horzAnchor="page" w:tblpX="1554" w:tblpY="1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08"/>
        <w:gridCol w:w="1562"/>
        <w:gridCol w:w="4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标的名称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数量及单位</w:t>
            </w:r>
          </w:p>
        </w:tc>
        <w:tc>
          <w:tcPr>
            <w:tcW w:w="4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简要技术需求或服务要求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资料收集</w:t>
            </w:r>
          </w:p>
        </w:tc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42813个</w:t>
            </w:r>
          </w:p>
        </w:tc>
        <w:tc>
          <w:tcPr>
            <w:tcW w:w="4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本分标服务范围包含博白镇、径口镇、浪平镇、双凤镇、三滩镇、黄凌镇、永安镇、那林镇、江宁镇、顿谷镇10个镇和水鸣镇5个村（水鸣村、黎旺村、合光村、江正村、平江村）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  <w:t>调查底图制作</w:t>
            </w:r>
          </w:p>
        </w:tc>
        <w:tc>
          <w:tcPr>
            <w:tcW w:w="1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内业数据处理</w:t>
            </w:r>
          </w:p>
        </w:tc>
        <w:tc>
          <w:tcPr>
            <w:tcW w:w="1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外业实地调查核实图斑</w:t>
            </w:r>
          </w:p>
        </w:tc>
        <w:tc>
          <w:tcPr>
            <w:tcW w:w="1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分类造册</w:t>
            </w:r>
          </w:p>
        </w:tc>
        <w:tc>
          <w:tcPr>
            <w:tcW w:w="1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资料打印、复印</w:t>
            </w:r>
          </w:p>
        </w:tc>
        <w:tc>
          <w:tcPr>
            <w:tcW w:w="1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成果整理及归档、核查确认</w:t>
            </w:r>
          </w:p>
        </w:tc>
        <w:tc>
          <w:tcPr>
            <w:tcW w:w="1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成果汇总、数据库建设</w:t>
            </w:r>
          </w:p>
        </w:tc>
        <w:tc>
          <w:tcPr>
            <w:tcW w:w="1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spacing w:line="320" w:lineRule="exact"/>
        <w:ind w:firstLine="480" w:firstLineChars="200"/>
        <w:rPr>
          <w:rFonts w:hint="eastAsia" w:ascii="宋体" w:hAnsi="宋体"/>
          <w:color w:val="auto"/>
          <w:sz w:val="24"/>
          <w:szCs w:val="24"/>
          <w:highlight w:val="none"/>
        </w:rPr>
      </w:pPr>
    </w:p>
    <w:p>
      <w:pPr>
        <w:spacing w:line="320" w:lineRule="exact"/>
        <w:ind w:firstLine="480" w:firstLineChars="200"/>
        <w:rPr>
          <w:rFonts w:hint="eastAsia" w:ascii="宋体" w:hAnsi="宋体"/>
          <w:color w:val="auto"/>
          <w:sz w:val="24"/>
          <w:szCs w:val="24"/>
          <w:highlight w:val="none"/>
        </w:rPr>
      </w:pPr>
    </w:p>
    <w:p>
      <w:pPr>
        <w:spacing w:line="320" w:lineRule="exact"/>
        <w:ind w:firstLine="480" w:firstLineChars="200"/>
        <w:rPr>
          <w:rFonts w:hint="eastAsia" w:ascii="宋体" w:hAnsi="宋体"/>
          <w:color w:val="auto"/>
          <w:sz w:val="24"/>
          <w:szCs w:val="24"/>
          <w:highlight w:val="none"/>
        </w:rPr>
      </w:pPr>
    </w:p>
    <w:p>
      <w:pPr>
        <w:spacing w:line="320" w:lineRule="exact"/>
        <w:rPr>
          <w:rFonts w:hint="eastAsia" w:ascii="宋体" w:hAnsi="宋体"/>
          <w:color w:val="auto"/>
          <w:sz w:val="24"/>
          <w:szCs w:val="24"/>
          <w:highlight w:val="none"/>
        </w:rPr>
      </w:pPr>
    </w:p>
    <w:p>
      <w:pPr>
        <w:spacing w:line="320" w:lineRule="exact"/>
        <w:ind w:firstLine="480" w:firstLineChars="20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B分标：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博白县农村乱占耕地建房状况调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查项目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博白县东片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分标）</w:t>
      </w:r>
    </w:p>
    <w:tbl>
      <w:tblPr>
        <w:tblStyle w:val="9"/>
        <w:tblpPr w:leftFromText="180" w:rightFromText="180" w:vertAnchor="text" w:horzAnchor="page" w:tblpX="1554" w:tblpY="1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08"/>
        <w:gridCol w:w="1562"/>
        <w:gridCol w:w="4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标的名称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数量及单位</w:t>
            </w:r>
          </w:p>
        </w:tc>
        <w:tc>
          <w:tcPr>
            <w:tcW w:w="4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简要技术需求或服务要求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资料收集</w:t>
            </w:r>
          </w:p>
        </w:tc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40249个</w:t>
            </w:r>
          </w:p>
        </w:tc>
        <w:tc>
          <w:tcPr>
            <w:tcW w:w="4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本分标服务范围包含亚山镇、旺茂镇、英桥镇、文地镇、宁潭镇、凤山镇、新田镇7个镇和水鸣镇5个村（西塘村、新和村、联合村、龙利村、新丰村）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  <w:t>调查底图制作</w:t>
            </w:r>
          </w:p>
        </w:tc>
        <w:tc>
          <w:tcPr>
            <w:tcW w:w="1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内业数据处理</w:t>
            </w:r>
          </w:p>
        </w:tc>
        <w:tc>
          <w:tcPr>
            <w:tcW w:w="1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外业实地调查核实图斑</w:t>
            </w:r>
          </w:p>
        </w:tc>
        <w:tc>
          <w:tcPr>
            <w:tcW w:w="1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分类造册</w:t>
            </w:r>
          </w:p>
        </w:tc>
        <w:tc>
          <w:tcPr>
            <w:tcW w:w="1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资料打印、复印</w:t>
            </w:r>
          </w:p>
        </w:tc>
        <w:tc>
          <w:tcPr>
            <w:tcW w:w="1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成果整理及归档、核查确认</w:t>
            </w:r>
          </w:p>
        </w:tc>
        <w:tc>
          <w:tcPr>
            <w:tcW w:w="1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成果汇总、数据库建设</w:t>
            </w:r>
          </w:p>
        </w:tc>
        <w:tc>
          <w:tcPr>
            <w:tcW w:w="1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spacing w:line="320" w:lineRule="exact"/>
        <w:ind w:firstLine="480" w:firstLineChars="20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C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分标：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博白县农村乱占耕地建房状况调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查项目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博白县南片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分标）</w:t>
      </w:r>
    </w:p>
    <w:tbl>
      <w:tblPr>
        <w:tblStyle w:val="9"/>
        <w:tblpPr w:leftFromText="180" w:rightFromText="180" w:vertAnchor="text" w:horzAnchor="page" w:tblpX="1554" w:tblpY="1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08"/>
        <w:gridCol w:w="1562"/>
        <w:gridCol w:w="4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标的名称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数量及单位</w:t>
            </w:r>
          </w:p>
        </w:tc>
        <w:tc>
          <w:tcPr>
            <w:tcW w:w="4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简要技术需求或服务要求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资料收集</w:t>
            </w:r>
          </w:p>
        </w:tc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36737个 </w:t>
            </w:r>
          </w:p>
        </w:tc>
        <w:tc>
          <w:tcPr>
            <w:tcW w:w="4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本分标服务范围包含沙河镇、菱角镇、那卜镇、大垌镇、沙陂镇、东平镇、松旺镇、双旺镇、龙潭镇、大坝镇10个镇和水鸣镇6个村（西垌村、大光村、大岭村、上庄村、上包村、双桂村）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  <w:t>调查底图制作</w:t>
            </w:r>
          </w:p>
        </w:tc>
        <w:tc>
          <w:tcPr>
            <w:tcW w:w="1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内业数据处理</w:t>
            </w:r>
          </w:p>
        </w:tc>
        <w:tc>
          <w:tcPr>
            <w:tcW w:w="1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外业实地调查核实图斑</w:t>
            </w:r>
          </w:p>
        </w:tc>
        <w:tc>
          <w:tcPr>
            <w:tcW w:w="1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分类造册</w:t>
            </w:r>
          </w:p>
        </w:tc>
        <w:tc>
          <w:tcPr>
            <w:tcW w:w="1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资料打印、复印</w:t>
            </w:r>
          </w:p>
        </w:tc>
        <w:tc>
          <w:tcPr>
            <w:tcW w:w="1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成果整理及归档、核查确认</w:t>
            </w:r>
          </w:p>
        </w:tc>
        <w:tc>
          <w:tcPr>
            <w:tcW w:w="1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成果汇总、数据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库建设</w:t>
            </w:r>
          </w:p>
        </w:tc>
        <w:tc>
          <w:tcPr>
            <w:tcW w:w="1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全县数据成果汇总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119799个</w:t>
            </w:r>
          </w:p>
        </w:tc>
        <w:tc>
          <w:tcPr>
            <w:tcW w:w="4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全县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成果分析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汇总、报告汇总、数据库汇总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80" w:lineRule="exac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38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采购项目预算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控制价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A分标</w:t>
      </w:r>
      <w:r>
        <w:rPr>
          <w:rFonts w:hint="eastAsia" w:cs="Times New Roman"/>
          <w:color w:val="auto"/>
          <w:kern w:val="0"/>
          <w:sz w:val="24"/>
          <w:szCs w:val="24"/>
          <w:highlight w:val="none"/>
          <w:lang w:val="en-US" w:eastAsia="zh-CN"/>
        </w:rPr>
        <w:t>2954097.00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元；B分标</w:t>
      </w:r>
      <w:r>
        <w:rPr>
          <w:rFonts w:hint="eastAsia" w:cs="Times New Roman"/>
          <w:color w:val="auto"/>
          <w:kern w:val="0"/>
          <w:sz w:val="24"/>
          <w:szCs w:val="24"/>
          <w:highlight w:val="none"/>
          <w:lang w:val="en-US" w:eastAsia="zh-CN"/>
        </w:rPr>
        <w:t>2777181.00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元；C分标</w:t>
      </w:r>
      <w:r>
        <w:rPr>
          <w:rFonts w:hint="eastAsia" w:cs="Times New Roman"/>
          <w:color w:val="auto"/>
          <w:kern w:val="0"/>
          <w:sz w:val="24"/>
          <w:szCs w:val="24"/>
          <w:highlight w:val="none"/>
          <w:lang w:val="en-US" w:eastAsia="zh-CN"/>
        </w:rPr>
        <w:t>2654652.00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五、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本项目需要落实的政府采购政策：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政府采购促进中小企业发展。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政府采购促进残疾人就业政策。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政府采购支持监狱企业发展。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8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六、投标人资格要求：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1.满足《中华人民共和国政府采购法》第二十二条规定；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2.落实政府采购政策需满足的资格要求：无。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after="60" w:line="340" w:lineRule="exact"/>
        <w:ind w:right="63" w:rightChars="30" w:firstLine="480" w:firstLineChars="200"/>
        <w:jc w:val="left"/>
        <w:textAlignment w:val="baseline"/>
        <w:rPr>
          <w:rFonts w:hint="eastAsia"/>
          <w:color w:val="auto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.对在“信用中国”网站(www.creditchina.gov.cn) 、中国政府采购网(www.ccgp.gov.cn)被列入失信被执行人、重大税收违法案件当事人名单、政府采购严重违法失信行为记录名单及其他不符合《中华人民共和国政府采购法》第二十二条规定条件的投标人，不得参与政府采购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.本项目的特定资格要求：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4.1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具备测绘资质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乙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级以上(含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乙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级资质)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拟派项目负责人具有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中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级技术职称。</w:t>
      </w:r>
      <w:bookmarkStart w:id="0" w:name="_Hlk37428740"/>
    </w:p>
    <w:bookmarkEnd w:id="0"/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after="60" w:line="340" w:lineRule="exact"/>
        <w:ind w:right="63" w:rightChars="30" w:firstLine="480" w:firstLineChars="200"/>
        <w:jc w:val="left"/>
        <w:textAlignment w:val="baseline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4.2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投标人可就任意标段投标，只允许中标一个标段，投标人参与多个标段投标的按评标顺序（评标顺序为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A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标段→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B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标段→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C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标段）已被推荐为中标候选人的，其余标段除去中标候选人推荐资格。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after="60" w:line="340" w:lineRule="exact"/>
        <w:ind w:right="63" w:rightChars="30" w:firstLine="480" w:firstLineChars="200"/>
        <w:jc w:val="left"/>
        <w:textAlignment w:val="baseline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4.3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本项目不接受联合体投标。严禁中标单位将调查任务进行转包、分包；严禁任何单位和个人以挂靠其他单位的名义来承担调查任务。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after="60" w:line="340" w:lineRule="exact"/>
        <w:ind w:right="63" w:rightChars="30" w:firstLine="480" w:firstLineChars="200"/>
        <w:jc w:val="left"/>
        <w:textAlignment w:val="baseline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4.4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本项目不接受未购买本招标文件的投标人投标。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8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七、招标文件的获取：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1、发售时间：自本公告发布之时起至 2020年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日止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2、获取方式：供应商须登录政采云平台（https://www.zcygov.cn/）在线办理报名并自行下载招标文件；未注册的供应商可在政采云平台完成注册后再进行报名再下载。如在操作过程中遇到问题或需技术支持，请致电政采云客服热线：400-881-7190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80" w:firstLineChars="200"/>
        <w:textAlignment w:val="auto"/>
        <w:rPr>
          <w:rFonts w:hint="eastAsia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注：投标人应在投标文件提交起止时间内，将投标文件密封送达投标地点，未在规定时间内送达或未按照招标文件要求密封的投标文件，将予以拒收。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投标保证金(人民币）：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eastAsia="zh-CN"/>
        </w:rPr>
        <w:t>本项目不收取保证金。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8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九、投标截止时间和地点：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投标人应于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single"/>
        </w:rPr>
        <w:t>2020年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single"/>
        </w:rPr>
        <w:t>月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16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single"/>
        </w:rPr>
        <w:t>日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single"/>
        </w:rPr>
        <w:t>时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single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前将投标文件密封递交到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博白县公共资源交易中心（博白县博白镇锦绣东路，博白县政务服务中心六楼)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，逾期递交或未密封将予以拒收。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8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十、开标时间及地点：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本次招标将于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single"/>
        </w:rPr>
        <w:t>2020年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single"/>
        </w:rPr>
        <w:t>月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16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single"/>
        </w:rPr>
        <w:t>日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single"/>
        </w:rPr>
        <w:t>时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single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在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博白县公共资源交易中心（博白县博白镇锦绣东路，博白县政务服务中心六楼)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开标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，投标人可以由法定代表人或委托代理人出席开标会议（法定代表人(负责人)凭身份证或委托代理人凭法人授权委托书原件和身份证）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80" w:lineRule="exact"/>
        <w:ind w:firstLine="482" w:firstLineChars="200"/>
        <w:textAlignment w:val="auto"/>
        <w:rPr>
          <w:rFonts w:hint="eastAsia" w:ascii="宋体" w:hAnsi="宋体" w:cs="宋体"/>
          <w:b/>
          <w:color w:val="auto"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80" w:lineRule="exact"/>
        <w:ind w:firstLine="482" w:firstLineChars="200"/>
        <w:textAlignment w:val="auto"/>
        <w:rPr>
          <w:rFonts w:hint="eastAsia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eastAsia="zh-CN"/>
        </w:rPr>
        <w:t>十一、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公告网上查询地址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中国政府采购网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www.ccgp.gov.cn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广西壮族自治区政府采购网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zfcg.gxzf.gov.cn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博白县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人民政府门户网（www.bobai.gov.cn）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80" w:lineRule="exact"/>
        <w:ind w:firstLine="482" w:firstLineChars="20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、联系事项：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1、采购单位：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博白县自然资源局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 xml:space="preserve">地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址：博白县城南六十米大道信用联社旁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电话：0775-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8330082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2、招标代理机构：广西北部湾宏亚建设管理有限公司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公司地址：玉林市广场东路274号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8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 系 人：梁工、蒋工   联系电话：077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-3251115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3、政府采购监督管理部门：博白县政府采购监督管理办公室 0775-8331612</w:t>
      </w:r>
    </w:p>
    <w:p>
      <w:pPr>
        <w:pStyle w:val="7"/>
        <w:keepNext w:val="0"/>
        <w:keepLines w:val="0"/>
        <w:widowControl/>
        <w:suppressLineNumbers w:val="0"/>
        <w:spacing w:before="226" w:beforeAutospacing="0" w:after="0" w:afterAutospacing="0" w:line="360" w:lineRule="auto"/>
        <w:ind w:left="0" w:right="0" w:firstLine="420"/>
        <w:jc w:val="both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tbl>
      <w:tblPr>
        <w:tblStyle w:val="9"/>
        <w:tblpPr w:leftFromText="180" w:rightFromText="180" w:vertAnchor="text" w:horzAnchor="page" w:tblpX="1632" w:tblpY="458"/>
        <w:tblOverlap w:val="never"/>
        <w:tblW w:w="84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0"/>
        <w:gridCol w:w="43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4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>博白县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</w:rPr>
              <w:t>自然资源局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firstLine="960" w:firstLineChars="4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2020年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日</w:t>
            </w:r>
          </w:p>
        </w:tc>
        <w:tc>
          <w:tcPr>
            <w:tcW w:w="43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广西北部湾宏亚建设管理有限公司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firstLine="960" w:firstLineChars="4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2020年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日</w:t>
            </w:r>
          </w:p>
        </w:tc>
      </w:tr>
    </w:tbl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E349BB"/>
    <w:multiLevelType w:val="singleLevel"/>
    <w:tmpl w:val="90E349B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2C7E3DD"/>
    <w:multiLevelType w:val="singleLevel"/>
    <w:tmpl w:val="F2C7E3DD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E5CC3"/>
    <w:rsid w:val="019D5C04"/>
    <w:rsid w:val="13C45B06"/>
    <w:rsid w:val="1ECB74EB"/>
    <w:rsid w:val="264C7C5F"/>
    <w:rsid w:val="3F4A6801"/>
    <w:rsid w:val="416F7705"/>
    <w:rsid w:val="46343E99"/>
    <w:rsid w:val="48F473E6"/>
    <w:rsid w:val="49505691"/>
    <w:rsid w:val="500E5CC3"/>
    <w:rsid w:val="53A05232"/>
    <w:rsid w:val="620E521A"/>
    <w:rsid w:val="773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Body Text"/>
    <w:basedOn w:val="1"/>
    <w:qFormat/>
    <w:uiPriority w:val="99"/>
    <w:pPr>
      <w:spacing w:line="380" w:lineRule="exact"/>
    </w:pPr>
    <w:rPr>
      <w:kern w:val="0"/>
      <w:sz w:val="24"/>
      <w:szCs w:val="24"/>
    </w:rPr>
  </w:style>
  <w:style w:type="paragraph" w:styleId="5">
    <w:name w:val="Plain Text"/>
    <w:basedOn w:val="1"/>
    <w:qFormat/>
    <w:uiPriority w:val="99"/>
    <w:rPr>
      <w:rFonts w:ascii="宋体" w:hAnsi="Courier New" w:cs="宋体"/>
      <w:kern w:val="0"/>
    </w:rPr>
  </w:style>
  <w:style w:type="paragraph" w:styleId="6">
    <w:name w:val="toc 1"/>
    <w:basedOn w:val="1"/>
    <w:next w:val="1"/>
    <w:uiPriority w:val="0"/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2020-11-25T00:24:00Z</dcterms:created>
  <dc:creator>Administrator</dc:creator>
  <cp:lastModifiedBy>Administrator</cp:lastModifiedBy>
  <dcterms:modified xsi:type="dcterms:W3CDTF">2020-11-26T01:14:14Z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