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ascii="仿宋_GB2312" w:hAnsi="宋体" w:eastAsia="仿宋_GB2312"/>
          <w:b/>
          <w:color w:val="auto"/>
          <w:sz w:val="48"/>
          <w:szCs w:val="48"/>
          <w:highlight w:val="none"/>
        </w:rPr>
      </w:pPr>
    </w:p>
    <w:p>
      <w:pPr>
        <w:spacing w:before="165" w:beforeLines="50"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广西北部湾宏亚建设管理有限公司</w:t>
      </w:r>
    </w:p>
    <w:p>
      <w:pPr>
        <w:spacing w:before="165" w:beforeLines="50" w:line="360" w:lineRule="auto"/>
        <w:jc w:val="center"/>
        <w:rPr>
          <w:rFonts w:ascii="仿宋_GB2312" w:hAnsi="宋体" w:eastAsia="仿宋_GB2312"/>
          <w:b/>
          <w:color w:val="auto"/>
          <w:sz w:val="48"/>
          <w:szCs w:val="48"/>
          <w:highlight w:val="none"/>
        </w:rPr>
      </w:pPr>
    </w:p>
    <w:p>
      <w:pPr>
        <w:spacing w:before="165" w:beforeLines="50" w:line="360" w:lineRule="auto"/>
        <w:jc w:val="center"/>
        <w:rPr>
          <w:rFonts w:ascii="仿宋_GB2312" w:hAnsi="宋体" w:eastAsia="仿宋_GB2312"/>
          <w:b/>
          <w:color w:val="auto"/>
          <w:sz w:val="48"/>
          <w:szCs w:val="48"/>
          <w:highlight w:val="none"/>
        </w:rPr>
      </w:pPr>
    </w:p>
    <w:p>
      <w:pPr>
        <w:snapToGrid w:val="0"/>
        <w:spacing w:before="165"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pPr>
        <w:spacing w:before="165" w:beforeLines="50" w:line="360" w:lineRule="auto"/>
        <w:ind w:left="2836" w:hanging="2850" w:hangingChars="1000"/>
        <w:jc w:val="center"/>
        <w:rPr>
          <w:rFonts w:ascii="宋体" w:hAnsi="宋体" w:cs="宋体"/>
          <w:color w:val="auto"/>
          <w:w w:val="95"/>
          <w:sz w:val="30"/>
          <w:szCs w:val="30"/>
          <w:highlight w:val="none"/>
        </w:rPr>
      </w:pPr>
      <w:r>
        <w:rPr>
          <w:rFonts w:hint="eastAsia" w:ascii="宋体" w:hAnsi="宋体" w:cs="宋体"/>
          <w:color w:val="auto"/>
          <w:w w:val="95"/>
          <w:sz w:val="30"/>
          <w:szCs w:val="30"/>
          <w:highlight w:val="none"/>
        </w:rPr>
        <w:t>（全流程电子化评标）</w:t>
      </w:r>
    </w:p>
    <w:p>
      <w:pPr>
        <w:spacing w:before="165" w:beforeLines="50" w:line="360" w:lineRule="auto"/>
        <w:jc w:val="center"/>
        <w:rPr>
          <w:rFonts w:ascii="宋体" w:hAnsi="宋体" w:cs="宋体"/>
          <w:b/>
          <w:color w:val="auto"/>
          <w:sz w:val="52"/>
          <w:szCs w:val="52"/>
          <w:highlight w:val="none"/>
        </w:rPr>
      </w:pPr>
    </w:p>
    <w:p>
      <w:pPr>
        <w:spacing w:before="165" w:beforeLines="50" w:line="360" w:lineRule="auto"/>
        <w:jc w:val="center"/>
        <w:rPr>
          <w:rFonts w:ascii="宋体" w:hAnsi="宋体" w:cs="宋体"/>
          <w:b/>
          <w:color w:val="auto"/>
          <w:sz w:val="52"/>
          <w:szCs w:val="52"/>
          <w:highlight w:val="none"/>
        </w:rPr>
      </w:pPr>
    </w:p>
    <w:p>
      <w:pPr>
        <w:spacing w:before="165" w:beforeLines="50" w:line="360" w:lineRule="auto"/>
        <w:ind w:left="2871" w:hanging="2862" w:hangingChars="1000"/>
        <w:jc w:val="left"/>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 xml:space="preserve">        项目名称：南宁师范大学实验室新建改造及设备采购项目（新闻、文学）</w:t>
      </w: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项目编号：GXZC2022-G1-002852-HYJS</w:t>
      </w:r>
    </w:p>
    <w:p>
      <w:pPr>
        <w:pStyle w:val="20"/>
        <w:snapToGrid w:val="0"/>
        <w:spacing w:before="50" w:after="120" w:line="360" w:lineRule="auto"/>
        <w:ind w:firstLine="1125" w:firstLineChars="393"/>
        <w:rPr>
          <w:rFonts w:hAnsi="宋体" w:cs="宋体"/>
          <w:b/>
          <w:bCs/>
          <w:color w:val="auto"/>
          <w:w w:val="95"/>
          <w:sz w:val="30"/>
          <w:szCs w:val="30"/>
          <w:highlight w:val="none"/>
        </w:rPr>
      </w:pPr>
    </w:p>
    <w:p>
      <w:pPr>
        <w:rPr>
          <w:color w:val="auto"/>
          <w:highlight w:val="none"/>
        </w:rPr>
      </w:pP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 购 人： 南宁师范大学</w:t>
      </w: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bookmarkStart w:id="0" w:name="PO_3000001867_PM031"/>
      <w:r>
        <w:rPr>
          <w:rFonts w:hint="eastAsia" w:hAnsi="宋体" w:cs="宋体"/>
          <w:b/>
          <w:bCs/>
          <w:color w:val="auto"/>
          <w:w w:val="95"/>
          <w:sz w:val="30"/>
          <w:szCs w:val="30"/>
          <w:highlight w:val="none"/>
        </w:rPr>
        <w:t>广西北部湾宏亚建设管理有限公司</w:t>
      </w:r>
      <w:bookmarkEnd w:id="0"/>
    </w:p>
    <w:p>
      <w:pPr>
        <w:pStyle w:val="20"/>
        <w:snapToGrid w:val="0"/>
        <w:spacing w:before="50" w:after="120" w:line="360" w:lineRule="auto"/>
        <w:ind w:firstLine="841" w:firstLineChars="294"/>
        <w:rPr>
          <w:rFonts w:hAnsi="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hAnsi="宋体" w:cs="宋体"/>
          <w:b/>
          <w:bCs/>
          <w:color w:val="auto"/>
          <w:w w:val="95"/>
          <w:sz w:val="30"/>
          <w:szCs w:val="30"/>
          <w:highlight w:val="none"/>
        </w:rPr>
        <w:t xml:space="preserve">                     2022年</w:t>
      </w:r>
      <w:r>
        <w:rPr>
          <w:rFonts w:hint="eastAsia" w:hAnsi="宋体" w:cs="宋体"/>
          <w:b/>
          <w:bCs/>
          <w:color w:val="auto"/>
          <w:w w:val="95"/>
          <w:sz w:val="30"/>
          <w:szCs w:val="30"/>
          <w:highlight w:val="none"/>
          <w:lang w:val="en-US" w:eastAsia="zh-CN"/>
        </w:rPr>
        <w:t>10</w:t>
      </w:r>
      <w:r>
        <w:rPr>
          <w:rFonts w:hint="eastAsia" w:hAnsi="宋体" w:cs="宋体"/>
          <w:b/>
          <w:bCs/>
          <w:color w:val="auto"/>
          <w:w w:val="95"/>
          <w:sz w:val="30"/>
          <w:szCs w:val="30"/>
          <w:highlight w:val="none"/>
        </w:rPr>
        <w:t>月  日</w:t>
      </w:r>
    </w:p>
    <w:p>
      <w:pPr>
        <w:pStyle w:val="20"/>
        <w:snapToGrid w:val="0"/>
        <w:spacing w:before="50" w:after="120" w:line="360" w:lineRule="auto"/>
        <w:ind w:firstLine="617" w:firstLineChars="294"/>
        <w:rPr>
          <w:rFonts w:ascii="仿宋_GB2312" w:eastAsia="仿宋_GB2312"/>
          <w:color w:val="auto"/>
          <w:highlight w:val="none"/>
        </w:rPr>
      </w:pPr>
    </w:p>
    <w:p>
      <w:pPr>
        <w:pStyle w:val="20"/>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pPr>
        <w:pStyle w:val="27"/>
        <w:tabs>
          <w:tab w:val="right" w:leader="dot" w:pos="9628"/>
        </w:tabs>
        <w:spacing w:line="300" w:lineRule="exact"/>
        <w:rPr>
          <w:b w:val="0"/>
          <w:bCs w:val="0"/>
          <w:caps w:val="0"/>
          <w:color w:val="auto"/>
          <w:sz w:val="30"/>
          <w:szCs w:val="30"/>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44"/>
          <w:rFonts w:hint="eastAsia" w:ascii="Times New Roman" w:hAnsi="Times New Roman"/>
          <w:color w:val="auto"/>
          <w:sz w:val="30"/>
          <w:szCs w:val="30"/>
          <w:highlight w:val="none"/>
        </w:rPr>
        <w:t>第一章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招标公告</w:t>
      </w:r>
      <w:r>
        <w:rPr>
          <w:color w:val="auto"/>
          <w:sz w:val="30"/>
          <w:szCs w:val="30"/>
          <w:highlight w:val="none"/>
          <w:u w:val="none"/>
        </w:rPr>
        <w:tab/>
      </w:r>
      <w:r>
        <w:rPr>
          <w:color w:val="auto"/>
          <w:sz w:val="30"/>
          <w:szCs w:val="30"/>
          <w:highlight w:val="none"/>
        </w:rPr>
        <w:fldChar w:fldCharType="begin"/>
      </w:r>
      <w:r>
        <w:rPr>
          <w:color w:val="auto"/>
          <w:sz w:val="30"/>
          <w:szCs w:val="30"/>
          <w:highlight w:val="none"/>
        </w:rPr>
        <w:instrText xml:space="preserve"> PAGEREF _Toc80092990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44"/>
          <w:rFonts w:hint="eastAsia" w:ascii="Times New Roman" w:hAnsi="Times New Roman"/>
          <w:color w:val="auto"/>
          <w:sz w:val="30"/>
          <w:szCs w:val="30"/>
          <w:highlight w:val="none"/>
        </w:rPr>
        <w:t>第二章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采购需求</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_Toc80092991 \h </w:instrText>
      </w:r>
      <w:r>
        <w:rPr>
          <w:color w:val="auto"/>
          <w:sz w:val="30"/>
          <w:szCs w:val="30"/>
          <w:highlight w:val="none"/>
          <w:u w:val="none"/>
        </w:rPr>
        <w:fldChar w:fldCharType="separate"/>
      </w:r>
      <w:r>
        <w:rPr>
          <w:color w:val="auto"/>
          <w:sz w:val="30"/>
          <w:szCs w:val="30"/>
          <w:highlight w:val="none"/>
          <w:u w:val="none"/>
        </w:rPr>
        <w:t>7</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44"/>
          <w:rFonts w:hint="eastAsia" w:ascii="Times New Roman" w:hAnsi="Times New Roman"/>
          <w:color w:val="auto"/>
          <w:sz w:val="30"/>
          <w:szCs w:val="30"/>
          <w:highlight w:val="none"/>
        </w:rPr>
        <w:t>第三章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投标人须知</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_Toc80092992 \h </w:instrText>
      </w:r>
      <w:r>
        <w:rPr>
          <w:color w:val="auto"/>
          <w:sz w:val="30"/>
          <w:szCs w:val="30"/>
          <w:highlight w:val="none"/>
          <w:u w:val="none"/>
        </w:rPr>
        <w:fldChar w:fldCharType="separate"/>
      </w:r>
      <w:r>
        <w:rPr>
          <w:color w:val="auto"/>
          <w:sz w:val="30"/>
          <w:szCs w:val="30"/>
          <w:highlight w:val="none"/>
          <w:u w:val="none"/>
        </w:rPr>
        <w:t>61</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"_Toc80093003" </w:instrText>
      </w:r>
      <w:r>
        <w:rPr>
          <w:color w:val="auto"/>
          <w:highlight w:val="none"/>
        </w:rPr>
        <w:fldChar w:fldCharType="separate"/>
      </w:r>
      <w:r>
        <w:rPr>
          <w:rStyle w:val="44"/>
          <w:rFonts w:hint="eastAsia" w:ascii="Times New Roman" w:hAnsi="Times New Roman"/>
          <w:color w:val="auto"/>
          <w:sz w:val="30"/>
          <w:szCs w:val="30"/>
          <w:highlight w:val="none"/>
        </w:rPr>
        <w:t>第四章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评标方法及评分标准</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_Toc80093003 \h </w:instrText>
      </w:r>
      <w:r>
        <w:rPr>
          <w:color w:val="auto"/>
          <w:sz w:val="30"/>
          <w:szCs w:val="30"/>
          <w:highlight w:val="none"/>
          <w:u w:val="none"/>
        </w:rPr>
        <w:fldChar w:fldCharType="separate"/>
      </w:r>
      <w:r>
        <w:rPr>
          <w:color w:val="auto"/>
          <w:sz w:val="30"/>
          <w:szCs w:val="30"/>
          <w:highlight w:val="none"/>
          <w:u w:val="none"/>
        </w:rPr>
        <w:t>80</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44"/>
          <w:rFonts w:hint="eastAsia" w:ascii="Times New Roman" w:hAnsi="Times New Roman"/>
          <w:color w:val="auto"/>
          <w:sz w:val="30"/>
          <w:szCs w:val="30"/>
          <w:highlight w:val="none"/>
        </w:rPr>
        <w:t>第五章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拟签订的合同文本</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_Toc80093009 \h </w:instrText>
      </w:r>
      <w:r>
        <w:rPr>
          <w:color w:val="auto"/>
          <w:sz w:val="30"/>
          <w:szCs w:val="30"/>
          <w:highlight w:val="none"/>
          <w:u w:val="none"/>
        </w:rPr>
        <w:fldChar w:fldCharType="separate"/>
      </w:r>
      <w:r>
        <w:rPr>
          <w:color w:val="auto"/>
          <w:sz w:val="30"/>
          <w:szCs w:val="30"/>
          <w:highlight w:val="none"/>
          <w:u w:val="none"/>
        </w:rPr>
        <w:t>90</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44"/>
          <w:rFonts w:hint="eastAsia" w:ascii="Times New Roman" w:hAnsi="Times New Roman"/>
          <w:color w:val="auto"/>
          <w:sz w:val="30"/>
          <w:szCs w:val="30"/>
          <w:highlight w:val="none"/>
        </w:rPr>
        <w:t>第六章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投标文件</w:t>
      </w:r>
      <w:bookmarkStart w:id="1" w:name="_Hlt80697500"/>
      <w:bookmarkStart w:id="2" w:name="_Hlt80697499"/>
      <w:r>
        <w:rPr>
          <w:rStyle w:val="44"/>
          <w:rFonts w:hint="eastAsia" w:ascii="Times New Roman" w:hAnsi="Times New Roman"/>
          <w:color w:val="auto"/>
          <w:sz w:val="30"/>
          <w:szCs w:val="30"/>
          <w:highlight w:val="none"/>
        </w:rPr>
        <w:t>格</w:t>
      </w:r>
      <w:bookmarkEnd w:id="1"/>
      <w:bookmarkEnd w:id="2"/>
      <w:r>
        <w:rPr>
          <w:rStyle w:val="44"/>
          <w:rFonts w:hint="eastAsia" w:ascii="Times New Roman" w:hAnsi="Times New Roman"/>
          <w:color w:val="auto"/>
          <w:sz w:val="30"/>
          <w:szCs w:val="30"/>
          <w:highlight w:val="none"/>
        </w:rPr>
        <w:t>式</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_Toc80093010 \h </w:instrText>
      </w:r>
      <w:r>
        <w:rPr>
          <w:color w:val="auto"/>
          <w:sz w:val="30"/>
          <w:szCs w:val="30"/>
          <w:highlight w:val="none"/>
          <w:u w:val="none"/>
        </w:rPr>
        <w:fldChar w:fldCharType="separate"/>
      </w:r>
      <w:r>
        <w:rPr>
          <w:color w:val="auto"/>
          <w:sz w:val="30"/>
          <w:szCs w:val="30"/>
          <w:highlight w:val="none"/>
          <w:u w:val="none"/>
        </w:rPr>
        <w:t>98</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21"/>
          <w:highlight w:val="none"/>
          <w:u w:val="non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r>
        <w:rPr>
          <w:rFonts w:ascii="Calibri" w:hAnsi="宋体"/>
          <w:b/>
          <w:bCs/>
          <w:caps/>
          <w:color w:val="auto"/>
          <w:sz w:val="28"/>
          <w:szCs w:val="28"/>
          <w:highlight w:val="none"/>
          <w:u w:val="single"/>
        </w:rPr>
        <w:fldChar w:fldCharType="end"/>
      </w: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spacing w:line="500" w:lineRule="exact"/>
        <w:jc w:val="center"/>
        <w:rPr>
          <w:rFonts w:hAnsi="宋体"/>
          <w:b/>
          <w:color w:val="auto"/>
          <w:sz w:val="36"/>
          <w:szCs w:val="36"/>
          <w:highlight w:val="none"/>
        </w:rPr>
      </w:pPr>
      <w:r>
        <w:rPr>
          <w:color w:val="auto"/>
          <w:highlight w:val="none"/>
        </w:rPr>
        <w:tab/>
      </w:r>
      <w:bookmarkStart w:id="3" w:name="_Toc532545041"/>
      <w:bookmarkStart w:id="4" w:name="_Toc80092990"/>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3"/>
      <w:bookmarkEnd w:id="4"/>
    </w:p>
    <w:p>
      <w:pPr>
        <w:pStyle w:val="20"/>
        <w:spacing w:line="50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广西北部湾宏亚建设管理有限公司关于南宁师范大学实验室新建改造及设备采购项目（新闻、文学）（GXZC2022-G1-002852-HYJS）</w:t>
      </w:r>
    </w:p>
    <w:p>
      <w:pPr>
        <w:pStyle w:val="20"/>
        <w:spacing w:line="50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南宁师范大学实验室新建改造及设备采购项目（新闻、文学）</w:t>
      </w:r>
      <w:r>
        <w:rPr>
          <w:rFonts w:hint="eastAsia" w:ascii="宋体" w:hAnsi="宋体" w:cs="宋体"/>
          <w:color w:val="auto"/>
          <w:szCs w:val="21"/>
          <w:highlight w:val="none"/>
        </w:rPr>
        <w:t>招标项目的潜在投标人应在“政采云”平台（https://www.zcygov.cn/）获取（下载）招标文件，并于</w:t>
      </w:r>
      <w:r>
        <w:rPr>
          <w:rFonts w:hint="eastAsia" w:ascii="宋体" w:hAnsi="宋体" w:cs="宋体"/>
          <w:color w:val="auto"/>
          <w:szCs w:val="21"/>
          <w:highlight w:val="none"/>
          <w:u w:val="single"/>
        </w:rPr>
        <w:t xml:space="preserve">2022年   月   日   时   分 </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460" w:lineRule="exact"/>
        <w:rPr>
          <w:rFonts w:ascii="黑体" w:hAnsi="黑体" w:eastAsia="黑体"/>
          <w:b/>
          <w:bCs/>
          <w:color w:val="auto"/>
          <w:sz w:val="24"/>
          <w:highlight w:val="none"/>
        </w:rPr>
      </w:pPr>
      <w:bookmarkStart w:id="5" w:name="_Toc35393621"/>
      <w:bookmarkStart w:id="6" w:name="_Toc28359079"/>
      <w:bookmarkStart w:id="7" w:name="_Toc35393790"/>
      <w:bookmarkStart w:id="8" w:name="_Toc28359002"/>
      <w:bookmarkStart w:id="9" w:name="_Hlk24379207"/>
      <w:r>
        <w:rPr>
          <w:rFonts w:hint="eastAsia" w:ascii="黑体" w:hAnsi="黑体" w:eastAsia="黑体"/>
          <w:b/>
          <w:bCs/>
          <w:color w:val="auto"/>
          <w:sz w:val="24"/>
          <w:highlight w:val="none"/>
        </w:rPr>
        <w:t>一、项目基本情况</w:t>
      </w:r>
      <w:bookmarkEnd w:id="5"/>
      <w:bookmarkEnd w:id="6"/>
      <w:bookmarkEnd w:id="7"/>
      <w:bookmarkEnd w:id="8"/>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项目编号：GXZC2022-G1-002852-HYJS</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项目名称：南宁师范大学实验室新建改造及设备采购项目（新闻、文学）</w:t>
      </w:r>
    </w:p>
    <w:bookmarkEnd w:id="9"/>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预算总金额（元）：3368232.44；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标项一</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标项一名称：南宁师范大学新闻与传播学院专业实验室</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预算金额（元）：2349558.4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情况介绍、用途：主持人话筒含防震架1套、嘉宾支架1个、话筒混音器1台、话筒架1个、耳机2副、主持人话筒支架1个、耳机分配放大器1台、室内摄影灯6套、室内摄影灯2套、拍摄台2台、外拍灯2台、补光灯4个、照相机2套、八角柔光箱3台、五合一反光板5个、反光伞2个、摄影棚背景布5件、监控摄像头32台、8路POE交换机2台、16路POE交换机1台、32路录像机1台、硬盘4块、网线3箱、导播间控制台2张、主持座椅3把、演播室专用单开隔音门1樘、窗帘及窗帘盒5.6米、声学设计及施工1项、观察窗3平方米、音频线材1项、系统集成1项、专业录音声卡10台、录音话筒10支、防喷罩10个、万向悬臂支架10个、监听耳机10副、调音台10台、监听音箱20只、录音控制台10张、LED灯16盏、带观察窗隔音门10樘、隔墙及声学装修10项、系统集成10间、4K超高清摄像机2台、S*S半导体存储卡2张、电池2块、4K超高清智能虚拟演播室1台、4K超高清智能虚拟演播室软件1套、超清非线性编辑系统1套、内网直播1套、</w:t>
      </w:r>
      <w:r>
        <w:rPr>
          <w:rFonts w:hint="eastAsia" w:ascii="宋体" w:hAnsi="宋体" w:cs="宋体"/>
          <w:bCs/>
          <w:color w:val="auto"/>
          <w:szCs w:val="21"/>
          <w:highlight w:val="none"/>
        </w:rPr>
        <w:t>便携式全能机</w:t>
      </w:r>
      <w:r>
        <w:rPr>
          <w:rFonts w:hint="eastAsia" w:ascii="宋体" w:hAnsi="宋体"/>
          <w:color w:val="auto"/>
          <w:szCs w:val="21"/>
          <w:highlight w:val="none"/>
        </w:rPr>
        <w:t>1套、特技切换台1台、SDI转HDMI转换器1台、监听音箱2只、液晶提词器1台、控制台（钢木结构）6工位、导播间座椅6把、隔音门1樘、虚拟绿箱32平方米、抠像地胶12平方米、观察窗3平方米、LED灯13盏、灯光钢结构层83平方米、演播室装修1项、LED平板柔光灯20台、LED聚光灯4台、灯钩24个、恒力绞链（标准型）6条、灯具保险链24条、演播室灯具灯号牌24个、数字调光台1台、数字DMX信号放大器2台、电源线及信号线200</w:t>
      </w:r>
      <w:r>
        <w:rPr>
          <w:rFonts w:hint="eastAsia" w:ascii="宋体" w:hAnsi="宋体"/>
          <w:color w:val="auto"/>
          <w:szCs w:val="21"/>
          <w:highlight w:val="none"/>
        </w:rPr>
        <w:tab/>
      </w:r>
      <w:r>
        <w:rPr>
          <w:rFonts w:hint="eastAsia" w:ascii="宋体" w:hAnsi="宋体"/>
          <w:color w:val="auto"/>
          <w:szCs w:val="21"/>
          <w:highlight w:val="none"/>
        </w:rPr>
        <w:t>米、视音频线缆及接头1套、系统集成1项、电视墙1组、钢结构层及隔音层184平方米、旧演播室拆除及垃圾清运1项、旧演播室灯光改造1项、舞美置景1项、视频处理器1台、气压升降台1套、系统集成1项、电视直播台1套、演播桌1套,具体内容详见招标文件第二章采购需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最高限价（如有）：2349558.4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合同履约期限：自签订合同之日起不少于1年</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本标项不接受联合体投标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60" w:lineRule="exact"/>
        <w:ind w:firstLine="420" w:firstLineChars="200"/>
        <w:rPr>
          <w:rFonts w:ascii="宋体" w:hAnsi="宋体"/>
          <w:color w:val="auto"/>
          <w:szCs w:val="21"/>
          <w:highlight w:val="none"/>
        </w:rPr>
      </w:pP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标项二</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标项二名称：舞台设备安装</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预算金额（元）：1018674.04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简要规格描述或项目基本情况介绍、用途：基础舞台18块、地毯包裹200 平方米、舞蹈地胶130平方、灯光固定杆1项、景杆固定杆1项、天花板喷漆195.00 平方米、消防管喷漆16 点位、舞台背景对开大幕126.36平方米、帘头15.80平方米、对开大幕电机1套、对开大幕电动轨道1套、舞台两侧幕布63.84平方米、帘头4.00平方米、舞台两侧幕布轨道1套、窗口幕布190.89平方米、帘头13.64平方米、窗户幕布轨道1套、控制台定制1张、系统集成费用1项、四周墙壁精工声学软包82.50平方米、槽孔吸音板装饰47.00平方米、亲肤棉47.00平方米、龙骨1项、铝合金收边条1项、安装辅材及系统集成费用1项、调焦面光14台、成像灯8台、LED会议灯20台、LED摇头染色灯</w:t>
      </w:r>
      <w:r>
        <w:rPr>
          <w:rFonts w:hint="eastAsia" w:ascii="宋体" w:hAnsi="宋体"/>
          <w:color w:val="auto"/>
          <w:szCs w:val="21"/>
          <w:highlight w:val="none"/>
        </w:rPr>
        <w:tab/>
      </w:r>
      <w:r>
        <w:rPr>
          <w:rFonts w:hint="eastAsia" w:ascii="宋体" w:hAnsi="宋体"/>
          <w:color w:val="auto"/>
          <w:szCs w:val="21"/>
          <w:highlight w:val="none"/>
        </w:rPr>
        <w:t>23台、电脑摇头切割灯</w:t>
      </w:r>
      <w:r>
        <w:rPr>
          <w:rFonts w:hint="eastAsia" w:ascii="宋体" w:hAnsi="宋体"/>
          <w:color w:val="auto"/>
          <w:szCs w:val="21"/>
          <w:highlight w:val="none"/>
        </w:rPr>
        <w:tab/>
      </w:r>
      <w:r>
        <w:rPr>
          <w:rFonts w:hint="eastAsia" w:ascii="宋体" w:hAnsi="宋体"/>
          <w:color w:val="auto"/>
          <w:szCs w:val="21"/>
          <w:highlight w:val="none"/>
        </w:rPr>
        <w:t>11 台、三合一电脑摇头灯7台、灯光控台1台、流动灯架4个、专业喷气式雾泡机2台、专业泡泡水1箱、专业高浓度雾油1箱、信号放大器2台、36路直通柜1台、电源线1项、通讯线材及其它配件1项、系统集成费用1项、单15寸全频音箱6只、左右主扩扬声器4只、单18寸超低频音箱2只、吊架支撑架2个、音箱功放</w:t>
      </w:r>
      <w:r>
        <w:rPr>
          <w:rFonts w:hint="eastAsia" w:ascii="宋体" w:hAnsi="宋体"/>
          <w:color w:val="auto"/>
          <w:szCs w:val="21"/>
          <w:highlight w:val="none"/>
        </w:rPr>
        <w:tab/>
      </w:r>
      <w:r>
        <w:rPr>
          <w:rFonts w:hint="eastAsia" w:ascii="宋体" w:hAnsi="宋体"/>
          <w:color w:val="auto"/>
          <w:szCs w:val="21"/>
          <w:highlight w:val="none"/>
        </w:rPr>
        <w:t>6台、数字处理器3台、数字调音台1台、音频隔离器</w:t>
      </w:r>
      <w:r>
        <w:rPr>
          <w:rFonts w:hint="eastAsia" w:ascii="宋体" w:hAnsi="宋体"/>
          <w:color w:val="auto"/>
          <w:szCs w:val="21"/>
          <w:highlight w:val="none"/>
        </w:rPr>
        <w:tab/>
      </w:r>
      <w:r>
        <w:rPr>
          <w:rFonts w:hint="eastAsia" w:ascii="宋体" w:hAnsi="宋体"/>
          <w:color w:val="auto"/>
          <w:szCs w:val="21"/>
          <w:highlight w:val="none"/>
        </w:rPr>
        <w:t>2台、一拖一手持式话筒6套、一拖一头戴式话筒</w:t>
      </w:r>
      <w:r>
        <w:rPr>
          <w:rFonts w:hint="eastAsia" w:ascii="宋体" w:hAnsi="宋体"/>
          <w:color w:val="auto"/>
          <w:szCs w:val="21"/>
          <w:highlight w:val="none"/>
        </w:rPr>
        <w:tab/>
      </w:r>
      <w:r>
        <w:rPr>
          <w:rFonts w:hint="eastAsia" w:ascii="宋体" w:hAnsi="宋体"/>
          <w:color w:val="auto"/>
          <w:szCs w:val="21"/>
          <w:highlight w:val="none"/>
        </w:rPr>
        <w:t>4套、司仪台话筒2只、话筒架1个、电源时序器2台、线材及接插件1批、PVC管300米、安装配件1批、设备机柜1个、系统集成费用1项、微单相机2台、超广角电动变焦G镜头1个、全画幅标准变焦微单相机G镜头 E卡口1个、全画幅远摄变焦G大师镜头 E卡口</w:t>
      </w:r>
      <w:r>
        <w:rPr>
          <w:rFonts w:hint="eastAsia" w:ascii="宋体" w:hAnsi="宋体"/>
          <w:color w:val="auto"/>
          <w:szCs w:val="21"/>
          <w:highlight w:val="none"/>
        </w:rPr>
        <w:tab/>
      </w:r>
      <w:r>
        <w:rPr>
          <w:rFonts w:hint="eastAsia" w:ascii="宋体" w:hAnsi="宋体"/>
          <w:color w:val="auto"/>
          <w:szCs w:val="21"/>
          <w:highlight w:val="none"/>
        </w:rPr>
        <w:t>1个、稳定器1个，具体内容详见招标文件第二章采购需求。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最高限价（如有）：1018674.04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合同履约期限：自签订合同之日起不少于1年</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本标项不接受联合体投标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60" w:lineRule="exact"/>
        <w:rPr>
          <w:rFonts w:ascii="黑体" w:hAnsi="黑体" w:eastAsia="黑体"/>
          <w:b/>
          <w:bCs/>
          <w:color w:val="auto"/>
          <w:sz w:val="24"/>
          <w:highlight w:val="none"/>
        </w:rPr>
      </w:pPr>
      <w:bookmarkStart w:id="10" w:name="_Toc28359080"/>
      <w:bookmarkStart w:id="11" w:name="_Toc35393791"/>
      <w:bookmarkStart w:id="12" w:name="_Toc35393622"/>
      <w:bookmarkStart w:id="13" w:name="_Toc28359003"/>
      <w:r>
        <w:rPr>
          <w:rFonts w:hint="eastAsia" w:ascii="黑体" w:hAnsi="黑体" w:eastAsia="黑体"/>
          <w:b/>
          <w:bCs/>
          <w:color w:val="auto"/>
          <w:sz w:val="24"/>
          <w:highlight w:val="none"/>
        </w:rPr>
        <w:t>二、申请人的资格要求：</w:t>
      </w:r>
      <w:bookmarkEnd w:id="10"/>
      <w:bookmarkEnd w:id="11"/>
      <w:bookmarkEnd w:id="12"/>
      <w:bookmarkEnd w:id="13"/>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460" w:lineRule="exact"/>
        <w:ind w:firstLine="420" w:firstLineChars="200"/>
        <w:rPr>
          <w:rFonts w:ascii="宋体" w:hAnsi="宋体"/>
          <w:color w:val="auto"/>
          <w:szCs w:val="21"/>
          <w:highlight w:val="none"/>
        </w:rPr>
      </w:pPr>
      <w:bookmarkStart w:id="14" w:name="_Toc28359004"/>
      <w:bookmarkStart w:id="15"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.落实政府采购政策需满足的资格要求：无</w:t>
      </w:r>
      <w:r>
        <w:rPr>
          <w:rFonts w:hint="eastAsia" w:hAnsi="宋体" w:cs="宋体"/>
          <w:bCs/>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pPr>
        <w:spacing w:line="460" w:lineRule="exact"/>
        <w:rPr>
          <w:rFonts w:ascii="黑体" w:hAnsi="黑体" w:eastAsia="黑体"/>
          <w:b/>
          <w:bCs/>
          <w:color w:val="auto"/>
          <w:sz w:val="24"/>
          <w:highlight w:val="none"/>
        </w:rPr>
      </w:pPr>
      <w:bookmarkStart w:id="16" w:name="_Toc35393792"/>
      <w:bookmarkStart w:id="17" w:name="_Toc35393623"/>
      <w:r>
        <w:rPr>
          <w:rFonts w:hint="eastAsia" w:ascii="黑体" w:hAnsi="黑体" w:eastAsia="黑体"/>
          <w:b/>
          <w:bCs/>
          <w:color w:val="auto"/>
          <w:sz w:val="24"/>
          <w:highlight w:val="none"/>
        </w:rPr>
        <w:t>三、获取招标文件</w:t>
      </w:r>
      <w:bookmarkEnd w:id="14"/>
      <w:bookmarkEnd w:id="15"/>
      <w:bookmarkEnd w:id="16"/>
      <w:bookmarkEnd w:id="17"/>
    </w:p>
    <w:p>
      <w:pPr>
        <w:spacing w:line="460" w:lineRule="exact"/>
        <w:ind w:firstLine="420" w:firstLineChars="200"/>
        <w:rPr>
          <w:rFonts w:ascii="宋体" w:hAnsi="宋体"/>
          <w:color w:val="auto"/>
          <w:szCs w:val="21"/>
          <w:highlight w:val="none"/>
        </w:rPr>
      </w:pPr>
      <w:bookmarkStart w:id="18" w:name="_Toc28359005"/>
      <w:bookmarkStart w:id="19" w:name="_Toc28359082"/>
      <w:bookmarkStart w:id="20" w:name="_Toc35393624"/>
      <w:bookmarkStart w:id="21" w:name="_Toc35393793"/>
      <w:r>
        <w:rPr>
          <w:rFonts w:hint="eastAsia" w:ascii="宋体" w:hAnsi="宋体"/>
          <w:color w:val="auto"/>
          <w:szCs w:val="21"/>
          <w:highlight w:val="none"/>
        </w:rPr>
        <w:t>时间：2022年  月   日至2022年   月   日，每天上午00:00-12:00；下午12:00-23:59（北京时间，法定节假日除外）。</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地点：“政采云”平台（http：//www.zcygov.cn）</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方式：网上下载。本项目不发放纸质文件，供应商应自行在“政采云”平台（http：//www.zcygov.cn）下载招标文件（操作路径：登录“政采云”平台-项目采购-获取采购文件-找到本项目-点击“申请获取采购文件”），电子投标文件制作需要基于“政采云”平台获取的招标文件编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售价：0元。</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8"/>
      <w:bookmarkEnd w:id="19"/>
      <w:r>
        <w:rPr>
          <w:rFonts w:hint="eastAsia" w:ascii="黑体" w:hAnsi="黑体" w:eastAsia="黑体"/>
          <w:b/>
          <w:bCs/>
          <w:color w:val="auto"/>
          <w:sz w:val="24"/>
          <w:highlight w:val="none"/>
        </w:rPr>
        <w:t>截止时间、开标时间和地点</w:t>
      </w:r>
      <w:bookmarkEnd w:id="20"/>
      <w:bookmarkEnd w:id="21"/>
    </w:p>
    <w:p>
      <w:pPr>
        <w:spacing w:line="460" w:lineRule="exact"/>
        <w:ind w:firstLine="420" w:firstLineChars="200"/>
        <w:rPr>
          <w:rFonts w:ascii="宋体" w:hAnsi="宋体"/>
          <w:color w:val="auto"/>
          <w:szCs w:val="21"/>
          <w:highlight w:val="none"/>
        </w:rPr>
      </w:pPr>
      <w:bookmarkStart w:id="22" w:name="_Toc28359084"/>
      <w:bookmarkStart w:id="23" w:name="_Toc35393794"/>
      <w:bookmarkStart w:id="24" w:name="_Toc28359007"/>
      <w:bookmarkStart w:id="25" w:name="_Toc35393625"/>
      <w:r>
        <w:rPr>
          <w:rFonts w:hint="eastAsia" w:ascii="宋体" w:hAnsi="宋体"/>
          <w:color w:val="auto"/>
          <w:szCs w:val="21"/>
          <w:highlight w:val="none"/>
        </w:rPr>
        <w:t>1、截止时间：2022年   月   日   时   分（北京时间）</w:t>
      </w:r>
    </w:p>
    <w:p>
      <w:pPr>
        <w:spacing w:line="460" w:lineRule="exact"/>
        <w:ind w:firstLine="420" w:firstLineChars="200"/>
        <w:rPr>
          <w:rFonts w:ascii="黑体" w:hAnsi="黑体" w:eastAsia="黑体"/>
          <w:b/>
          <w:bCs/>
          <w:color w:val="auto"/>
          <w:sz w:val="24"/>
          <w:highlight w:val="none"/>
        </w:rPr>
      </w:pPr>
      <w:r>
        <w:rPr>
          <w:rFonts w:hint="eastAsia" w:ascii="宋体" w:hAnsi="宋体"/>
          <w:color w:val="auto"/>
          <w:szCs w:val="21"/>
          <w:highlight w:val="none"/>
        </w:rPr>
        <w:t>2、地点：“政采云”平台（https://www.zcygov.cn）电子开标大厅解密、开标 。</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2"/>
      <w:bookmarkEnd w:id="23"/>
      <w:bookmarkEnd w:id="24"/>
      <w:bookmarkEnd w:id="25"/>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60" w:lineRule="exact"/>
        <w:rPr>
          <w:rFonts w:ascii="黑体" w:hAnsi="黑体" w:eastAsia="黑体"/>
          <w:b/>
          <w:bCs/>
          <w:color w:val="auto"/>
          <w:sz w:val="24"/>
          <w:highlight w:val="none"/>
        </w:rPr>
      </w:pPr>
      <w:bookmarkStart w:id="26" w:name="_Toc35393795"/>
      <w:bookmarkStart w:id="27" w:name="_Toc35393626"/>
      <w:r>
        <w:rPr>
          <w:rFonts w:hint="eastAsia" w:ascii="黑体" w:hAnsi="黑体" w:eastAsia="黑体"/>
          <w:b/>
          <w:bCs/>
          <w:color w:val="auto"/>
          <w:sz w:val="24"/>
          <w:highlight w:val="none"/>
        </w:rPr>
        <w:t>六、其他补充事宜</w:t>
      </w:r>
      <w:bookmarkEnd w:id="26"/>
      <w:bookmarkEnd w:id="27"/>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投标保证金：本项目不收取投标保证金</w:t>
      </w:r>
    </w:p>
    <w:p>
      <w:pPr>
        <w:spacing w:line="460" w:lineRule="exact"/>
        <w:ind w:firstLine="315" w:firstLineChars="150"/>
        <w:rPr>
          <w:rFonts w:ascii="宋体" w:hAnsi="宋体" w:cs="宋体"/>
          <w:color w:val="auto"/>
          <w:kern w:val="0"/>
          <w:szCs w:val="21"/>
          <w:highlight w:val="none"/>
        </w:rPr>
      </w:pPr>
      <w:bookmarkStart w:id="28" w:name="_Toc28359008"/>
      <w:bookmarkStart w:id="29" w:name="_Toc35393796"/>
      <w:bookmarkStart w:id="30" w:name="_Toc35393627"/>
      <w:bookmarkStart w:id="31" w:name="_Toc28359085"/>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4.网上查询地址：http://www.ccgp.gov.cn 中国政府采购网、http://zfcg.gxzf.gov.cn  广西壮族自治区政府采购网、http://gxggzy.gxzf.gov.cn 广西壮族自治区公共资源交易中心。</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6.投标注意事项：</w:t>
      </w:r>
    </w:p>
    <w:p>
      <w:pPr>
        <w:widowControl/>
        <w:spacing w:line="4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highlight w:val="none"/>
        </w:rPr>
        <w:t>供应商在“政采云”平台提交电子版投标文件时，请填写参加远程开标活动经办人联系方式。</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color w:val="auto"/>
          <w:highlight w:val="none"/>
        </w:rPr>
        <w:t>https://service.zcygov.cn/#/knowledges/tree?tag=AG1DtGwBFdiHxlNdhY0r</w:t>
      </w:r>
      <w:r>
        <w:rPr>
          <w:color w:val="auto"/>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rPr>
        <w:t>及时完成CA申领和绑定（见广西壮族自治区政府采购网—办事服务—下载专区-政采云CA证书办理操作指南）。</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7.CA证书在线解密：供应商投标时，需携带制作投标文件时用来加密的有效数字证书（CA认证）登录“政采云”平台电子开标大厅现场按规定时间对加密的投标文件进行解密，否则后果自负。</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8.若对项目采购电子交易系统操作有疑问，可登录“政采云”平台（https://www.zcygov.cn/），点击右侧咨询小采，获取采小蜜智能服务管家帮助，或拨打政采云服务热线400-881-7190获取热线服务帮助。</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8"/>
      <w:bookmarkEnd w:id="29"/>
      <w:bookmarkEnd w:id="30"/>
      <w:bookmarkEnd w:id="31"/>
    </w:p>
    <w:p>
      <w:pPr>
        <w:spacing w:line="460" w:lineRule="exact"/>
        <w:jc w:val="left"/>
        <w:rPr>
          <w:rFonts w:ascii="宋体" w:hAnsi="宋体"/>
          <w:color w:val="auto"/>
          <w:szCs w:val="21"/>
          <w:highlight w:val="none"/>
        </w:rPr>
      </w:pPr>
      <w:r>
        <w:rPr>
          <w:rFonts w:hint="eastAsia" w:ascii="宋体" w:hAnsi="宋体" w:cs="宋体"/>
          <w:color w:val="auto"/>
          <w:szCs w:val="21"/>
          <w:highlight w:val="none"/>
        </w:rPr>
        <w:t>　　　1.采购人信息</w:t>
      </w:r>
    </w:p>
    <w:p>
      <w:pPr>
        <w:spacing w:line="46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南宁师范大学</w:t>
      </w:r>
    </w:p>
    <w:p>
      <w:pPr>
        <w:spacing w:line="460" w:lineRule="exact"/>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广西壮族自治区南宁市明秀东路175号</w:t>
      </w:r>
    </w:p>
    <w:p>
      <w:pPr>
        <w:pStyle w:val="20"/>
        <w:spacing w:line="460" w:lineRule="exact"/>
        <w:ind w:firstLine="735" w:firstLineChars="350"/>
        <w:rPr>
          <w:rFonts w:hAnsi="宋体"/>
          <w:color w:val="auto"/>
          <w:highlight w:val="none"/>
          <w:u w:val="single"/>
        </w:rPr>
      </w:pPr>
      <w:r>
        <w:rPr>
          <w:rFonts w:hint="eastAsia" w:hAnsi="宋体"/>
          <w:color w:val="auto"/>
          <w:highlight w:val="none"/>
        </w:rPr>
        <w:t>项目联系人：</w:t>
      </w:r>
      <w:r>
        <w:rPr>
          <w:rFonts w:hint="eastAsia" w:hAnsi="宋体"/>
          <w:color w:val="auto"/>
          <w:highlight w:val="none"/>
          <w:u w:val="single"/>
        </w:rPr>
        <w:t>汪洋涛</w:t>
      </w:r>
    </w:p>
    <w:p>
      <w:pPr>
        <w:spacing w:line="46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0771-3908051</w:t>
      </w:r>
    </w:p>
    <w:p>
      <w:pPr>
        <w:spacing w:line="460" w:lineRule="exact"/>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pPr>
        <w:spacing w:line="460" w:lineRule="exact"/>
        <w:ind w:firstLine="735" w:firstLineChars="350"/>
        <w:rPr>
          <w:rFonts w:ascii="宋体" w:hAnsi="宋体"/>
          <w:color w:val="auto"/>
          <w:szCs w:val="21"/>
          <w:highlight w:val="none"/>
          <w:u w:val="single"/>
        </w:rPr>
      </w:pPr>
      <w:r>
        <w:rPr>
          <w:rFonts w:hint="eastAsia" w:ascii="宋体" w:hAnsi="宋体"/>
          <w:color w:val="auto"/>
          <w:szCs w:val="21"/>
          <w:highlight w:val="none"/>
        </w:rPr>
        <w:t>名 称：</w:t>
      </w:r>
      <w:bookmarkStart w:id="32" w:name="PO_3000001867_PM031_1"/>
      <w:r>
        <w:rPr>
          <w:rFonts w:hint="eastAsia" w:ascii="宋体" w:hAnsi="宋体"/>
          <w:color w:val="auto"/>
          <w:szCs w:val="21"/>
          <w:highlight w:val="none"/>
          <w:u w:val="single"/>
        </w:rPr>
        <w:t>广西北部湾宏亚建设管理有限公司</w:t>
      </w:r>
      <w:bookmarkEnd w:id="32"/>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地　址：</w:t>
      </w:r>
      <w:bookmarkStart w:id="33" w:name="PO_3000001867_PM035"/>
      <w:r>
        <w:rPr>
          <w:rFonts w:hint="eastAsia" w:ascii="宋体" w:hAnsi="宋体"/>
          <w:color w:val="auto"/>
          <w:szCs w:val="21"/>
          <w:highlight w:val="none"/>
          <w:u w:val="single"/>
        </w:rPr>
        <w:t>南宁市高新区科园大道东四路7号远信光电产业大楼25层2517号</w:t>
      </w:r>
      <w:bookmarkEnd w:id="33"/>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联系电话：</w:t>
      </w:r>
      <w:bookmarkStart w:id="34" w:name="PO_3000001867_PM033"/>
      <w:r>
        <w:rPr>
          <w:rFonts w:hint="eastAsia" w:ascii="宋体" w:hAnsi="宋体"/>
          <w:color w:val="auto"/>
          <w:szCs w:val="21"/>
          <w:highlight w:val="none"/>
          <w:u w:val="single"/>
        </w:rPr>
        <w:t>0771-5670712</w:t>
      </w:r>
      <w:bookmarkEnd w:id="34"/>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项目联系方式</w:t>
      </w:r>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 xml:space="preserve">　 卢小玲      </w:t>
      </w:r>
      <w:r>
        <w:rPr>
          <w:rFonts w:hint="eastAsia" w:ascii="宋体" w:hAnsi="宋体"/>
          <w:color w:val="auto"/>
          <w:szCs w:val="21"/>
          <w:highlight w:val="none"/>
        </w:rPr>
        <w:t xml:space="preserve">　 </w:t>
      </w:r>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0771-5670712</w:t>
      </w:r>
      <w:r>
        <w:rPr>
          <w:rFonts w:ascii="宋体" w:hAnsi="宋体"/>
          <w:color w:val="auto"/>
          <w:szCs w:val="21"/>
          <w:highlight w:val="none"/>
          <w:u w:val="single"/>
        </w:rPr>
        <w:t xml:space="preserve">   </w:t>
      </w:r>
    </w:p>
    <w:p>
      <w:pPr>
        <w:spacing w:line="460" w:lineRule="exact"/>
        <w:jc w:val="left"/>
        <w:rPr>
          <w:rFonts w:ascii="宋体" w:hAnsi="宋体"/>
          <w:color w:val="auto"/>
          <w:szCs w:val="21"/>
          <w:highlight w:val="none"/>
        </w:rPr>
      </w:pPr>
    </w:p>
    <w:p>
      <w:pPr>
        <w:spacing w:line="460" w:lineRule="exact"/>
        <w:ind w:firstLine="210" w:firstLineChars="100"/>
        <w:jc w:val="right"/>
        <w:rPr>
          <w:rFonts w:ascii="宋体" w:hAnsi="宋体"/>
          <w:color w:val="auto"/>
          <w:szCs w:val="21"/>
          <w:highlight w:val="none"/>
          <w:u w:val="single"/>
        </w:rPr>
      </w:pPr>
      <w:bookmarkStart w:id="35" w:name="PO_3000001867_PM031_2"/>
      <w:r>
        <w:rPr>
          <w:rFonts w:hint="eastAsia" w:ascii="宋体" w:hAnsi="宋体"/>
          <w:color w:val="auto"/>
          <w:szCs w:val="21"/>
          <w:highlight w:val="none"/>
          <w:u w:val="single"/>
        </w:rPr>
        <w:t xml:space="preserve"> </w:t>
      </w:r>
    </w:p>
    <w:p>
      <w:pPr>
        <w:spacing w:line="460" w:lineRule="exact"/>
        <w:ind w:firstLine="210" w:firstLineChars="100"/>
        <w:jc w:val="right"/>
        <w:rPr>
          <w:rFonts w:ascii="宋体" w:hAnsi="宋体"/>
          <w:color w:val="auto"/>
          <w:szCs w:val="21"/>
          <w:highlight w:val="none"/>
        </w:rPr>
      </w:pPr>
      <w:r>
        <w:rPr>
          <w:rFonts w:hint="eastAsia" w:ascii="宋体" w:hAnsi="宋体"/>
          <w:color w:val="auto"/>
          <w:szCs w:val="21"/>
          <w:highlight w:val="none"/>
        </w:rPr>
        <w:t>广西北部湾宏亚建设管理有限公司</w:t>
      </w:r>
      <w:bookmarkEnd w:id="35"/>
    </w:p>
    <w:p>
      <w:pPr>
        <w:spacing w:line="460" w:lineRule="exact"/>
        <w:ind w:firstLine="210" w:firstLineChars="100"/>
        <w:jc w:val="right"/>
        <w:rPr>
          <w:rFonts w:ascii="宋体" w:hAnsi="宋体"/>
          <w:color w:val="auto"/>
          <w:highlight w:val="none"/>
        </w:rPr>
      </w:pPr>
      <w:r>
        <w:rPr>
          <w:rFonts w:hint="eastAsia" w:ascii="宋体" w:hAnsi="宋体"/>
          <w:color w:val="auto"/>
          <w:szCs w:val="21"/>
          <w:highlight w:val="none"/>
        </w:rPr>
        <w:t xml:space="preserve"> 2022年  月  日</w:t>
      </w:r>
    </w:p>
    <w:p>
      <w:pPr>
        <w:snapToGrid w:val="0"/>
        <w:spacing w:line="360" w:lineRule="auto"/>
        <w:ind w:firstLine="420"/>
        <w:rPr>
          <w:rFonts w:ascii="宋体" w:hAnsi="宋体" w:cs="宋体"/>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pPr>
        <w:pStyle w:val="20"/>
        <w:jc w:val="center"/>
        <w:outlineLvl w:val="0"/>
        <w:rPr>
          <w:rFonts w:ascii="Times New Roman" w:hAnsi="Times New Roman"/>
          <w:b/>
          <w:color w:val="auto"/>
          <w:sz w:val="36"/>
          <w:highlight w:val="none"/>
        </w:rPr>
      </w:pPr>
      <w:bookmarkStart w:id="36" w:name="_Toc532545042"/>
      <w:bookmarkStart w:id="37"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36"/>
      <w:r>
        <w:rPr>
          <w:rFonts w:hint="eastAsia" w:ascii="Times New Roman" w:hAnsi="Times New Roman"/>
          <w:b/>
          <w:color w:val="auto"/>
          <w:sz w:val="36"/>
          <w:highlight w:val="none"/>
        </w:rPr>
        <w:t>采购需求</w:t>
      </w:r>
      <w:bookmarkEnd w:id="37"/>
    </w:p>
    <w:p>
      <w:pPr>
        <w:adjustRightInd w:val="0"/>
        <w:spacing w:line="340" w:lineRule="exact"/>
        <w:rPr>
          <w:rFonts w:hAnsi="宋体"/>
          <w:b/>
          <w:color w:val="auto"/>
          <w:szCs w:val="21"/>
          <w:highlight w:val="none"/>
        </w:rPr>
      </w:pPr>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为落实政府采购政策需满足的要求（根据项目实际情况填写内容）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如投标人投标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pPr>
        <w:spacing w:line="360" w:lineRule="auto"/>
        <w:ind w:firstLine="424" w:firstLineChars="202"/>
        <w:jc w:val="left"/>
        <w:rPr>
          <w:color w:val="auto"/>
          <w:highlight w:val="none"/>
        </w:rPr>
      </w:pPr>
      <w:r>
        <w:rPr>
          <w:rFonts w:hint="eastAsia"/>
          <w:color w:val="auto"/>
          <w:highlight w:val="none"/>
        </w:rPr>
        <w:t>4.投标人应根据自身实际情况如实响应招标文件，不得仅将招标文件内容简单复制粘贴作为投标响应，否则投标文件作无效处理（定制采购不适用本条款）。</w:t>
      </w:r>
    </w:p>
    <w:p>
      <w:pPr>
        <w:pStyle w:val="9"/>
        <w:rPr>
          <w:color w:val="auto"/>
          <w:highlight w:val="none"/>
        </w:rPr>
      </w:pPr>
    </w:p>
    <w:p>
      <w:pPr>
        <w:rPr>
          <w:color w:val="auto"/>
          <w:highlight w:val="none"/>
        </w:rPr>
      </w:pPr>
    </w:p>
    <w:p>
      <w:pPr>
        <w:pStyle w:val="9"/>
        <w:rPr>
          <w:color w:val="auto"/>
          <w:highlight w:val="none"/>
        </w:rPr>
      </w:pPr>
    </w:p>
    <w:p>
      <w:pPr>
        <w:pStyle w:val="9"/>
        <w:rPr>
          <w:color w:val="auto"/>
          <w:highlight w:val="none"/>
        </w:rPr>
      </w:pPr>
      <w:r>
        <w:rPr>
          <w:rFonts w:hint="eastAsia"/>
          <w:color w:val="auto"/>
          <w:highlight w:val="none"/>
        </w:rPr>
        <w:t>标项一</w:t>
      </w:r>
    </w:p>
    <w:tbl>
      <w:tblPr>
        <w:tblStyle w:val="34"/>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62"/>
        <w:gridCol w:w="10"/>
        <w:gridCol w:w="897"/>
        <w:gridCol w:w="950"/>
        <w:gridCol w:w="5298"/>
        <w:gridCol w:w="7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4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6"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（01）电台直播间（318教室）、摄影室</w:t>
            </w:r>
          </w:p>
        </w:tc>
        <w:tc>
          <w:tcPr>
            <w:tcW w:w="749" w:type="dxa"/>
            <w:vMerge w:val="restart"/>
            <w:tcBorders>
              <w:top w:val="single" w:color="auto" w:sz="4" w:space="0"/>
              <w:left w:val="single" w:color="auto" w:sz="4" w:space="0"/>
              <w:right w:val="single" w:color="auto" w:sz="4" w:space="0"/>
            </w:tcBorders>
            <w:vAlign w:val="center"/>
          </w:tcPr>
          <w:p>
            <w:pPr>
              <w:spacing w:line="360" w:lineRule="auto"/>
              <w:jc w:val="center"/>
              <w:rPr>
                <w:color w:val="auto"/>
                <w:highlight w:val="none"/>
              </w:rPr>
            </w:pPr>
          </w:p>
          <w:p>
            <w:pPr>
              <w:pStyle w:val="9"/>
              <w:rPr>
                <w:color w:val="auto"/>
                <w:highlight w:val="none"/>
              </w:rPr>
            </w:pPr>
            <w:r>
              <w:rPr>
                <w:rFonts w:hint="eastAsia"/>
                <w:color w:val="auto"/>
                <w:highlight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主持人话筒含防震架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主要用途：广播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发生单元：动圈式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频率响应：45至20,000赫兹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极坐标图式：心形指向性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阻抗：150 欧姆平衡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开路电压：1000赫兹时，3.1毫伏/帕斯卡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功率电平：1000赫兹时，-51分贝（0分贝=1毫瓦/帕斯卡）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交流声检拾电平：-130分贝，60赫兹，在1毫奥斯忒磁场中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磁路：N/DYM不焊接磁路的磁钢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相位：对振膜加正压力时，2脚将产生相对3脚为正电压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外壳材料：钢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尺寸：长度：约216.7毫米，宽直径：约54.4毫米，主体直径：约49.2毫米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装饰：亮镍色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净重：约709克，不带电缆</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毛重：约1446克</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嘉宾支架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底座直径: 13.2cm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中间铁管长度: 16.8cm (可调节)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话筒夹子内径: 2.8cm (可以夹住手柄直径大于2.8CM的话筒)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外包装尺寸: 约14.5*4.5*12CM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安装后高度:约24-34cm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管材质: 钢管(电镀)</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底盘:铝合金</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配置:二级升降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话筒混音器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快速、无噪音的麦克风选择，自动调整以适应背景噪音的变化</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可以使用任何低阻抗动态或电容麦克风(包括无线)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当激活其他麦克风时，自动进行增益调整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IntelliMix技术可实现无噪声自动化和通道切换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锁定麦克风电路可保持环境声音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每个通道上的可调EQ信号和1 2VDC幻象电源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有源平衡麦克风电平XL R输入和麦克风/线路电平XL R输出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自动调整噪声水平，可将背景噪声与语音区分开</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允许链接多个混音器，增加其他输入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带LED指示灯的峰值响应输出限制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适合放在半机架空间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 50- 20 kHz (+2 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阻抗输入: 14kΩ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阻抗输出:线路(300Ω)、话筒(3Ω) 、辅助(1500Ω)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输入电平: -14 dBV minimum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输出电平:线路(+24 dBV)、话筒(+4 dBu)、辅助(+14 dBV)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总谐波失真: &lt;0.1%, +4 dBu输出电平，50 - 20 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线路电压: 120V, 60 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工作电压: 100-120 V, 50/60 Hz, 100 mA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衰减:13dB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输入通道激活:起始(4ms)、保持(0.4s) 、衰减(0.5s)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均衡:低频: 6 dB/倍频程衰减，转角可调范围为25-320 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高频: 5 kHz时为+6 dB, 10 kHz时为±8 dB,滤波处理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限幅器:类型:峰、门限±16dBu(输出)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起始时间(2ms) 、恢复时间(300ms)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指示灯:开始限幅时为红色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尺寸(高x宽x长) :约 44x 219 x 267mm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 约1.75 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话筒架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黑色万向MIC支架，含5m电缆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桌夹最高可夹到53mm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长度为从460mm到960mm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最大负载能力为0.8公斤,螺纹连接为3/8″和5/8″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具备桌面旋转底托</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耳机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副</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连接方式 3.5mm镀金插头、佩戴方式 头戴式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发声原理 动圈、驱动单元 30mm、频响范围 16-28000Hz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产品阻抗 55欧姆、灵敏度 91dB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最大功率 200mW、插头类型 直型、耳机线长度 3m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产品重量 约240g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主持人话筒支架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适合电台、广播、录音室和家庭使用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水平伸展达820mm,垂直伸展达840mm,还可全360度旋转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随附有魔术贴线缆套和办公桌夹和插入附件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供可用于厚度高达55mm (夹)或者70mm (插入)的办公桌</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耳机分配放大器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硬件特性: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4个大功率(每个通道150mV)耳机放大器每个拥有: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电平控制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单声道开关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监听电平控制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监听哑音开关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可以通过监听输出连接多台本设备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两个平衡1/4英寸线路输入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四个立体声1/4英寸耳机输出(前面板.上)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两个非平衡1/4英寸线路输出(监听输出)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连接器类型XLR-frac14;”TS, 组合，平衡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THD + N0.0025%，1千赫，单位增益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输入电平+18dBu的,It;0.5 % THD+N,单位增益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输入阻抗10kOmega;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频率响应20Hz- 20kHz时，为plusmn;0.5dB)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耳机输出: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连接器类型1/4”TRS立体声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输出功率130毫瓦/通道。It; 0.5 % THD + N ,60Omega;负载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- 20 kHz时,为plusmn;0.5 dB, 60Omega;负载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耳机阻抗工作范围32Omega; - 600Omega;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连接器类型4”TRS,不对称，阻抗平衡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THD+ N0.0025%，1千赫，单位增益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输出电平+18dBu的，lt;0.5 % THD+N</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输出阻抗51Omega;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- 20kHz时，为plusmn;0.5dB)</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室内摄影灯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1、性能参数：                                      卡口、闪光能量400Ws 、闪光指数65、色温5600土200K、造型灯功率150W、回电时间l秒、闪光持续时间/2000~1/800秒、闪光触发控制方式：同步线插孔/光控感应/试闪按钮/无线控制插座约、净重：2.54Kg、标配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2、另附带：匹配灯架、60*90CM 柔光箱、XRro引闪器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室内摄影灯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1、性能参数：                                      卡口、闪光能量600ws 、闪光指数80、色温5600土200K、造型灯功率150W、回电时间l秒、闪光持续时间/2000~1/800秒、闪光触发控制方式：同步线插孔/光控感应/试闪按钮/无线控制插座约、净重：2.69Kg、标配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2、另附带：匹配的灯架、60*90CM 双层柔光箱、引闪器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拍摄台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折叠尺寸约26×28×116cm、PVC板尺寸约100x200cm、套装重量约8.5Kg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外拍灯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产品尺寸：约168*75*50mm  产品重量：约0.56kg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补光灯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1、功率21W 、双色                                2、调节方式：遥控器调节/手动调节                 3、频道16个  4、组别：6组                                  5、DC供电：6.5-12V 锂电供电7.4V（F970电池）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6、色温：（白版5600±300K）(黄版3000±300K）（变色版3300~5600±300K)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7、光照度lm: (白版860-1米)（黄版860-1米）(变色版860-1米/4100K 430-1米/3300K/5600K)            8 、灯珠数量:白版(308个）黄版(308个）变色版(5600K:154个3300K:154个)遥控器:使用AA电池2节 433MHz无线信号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9、尺寸：约120*38*15mm 重量: 30g  11、标配               另附带：含匹配的LED灯架、包、电池、充电器各一</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照相机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参数：1、全画幅（36*24mm）、3040万像素、影像处理器 DIGIC6+、EF卡口、最高分辨率 6720×4480、                                                         2、图像分辨率L（大）：约3010万像素（6720×4480）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M（中）：约1330万像素（4464×2976）S1（小1）：约750万像素（3360×2240）S2（小2）：约250万像素（1920×1280）S3（小3）：约35万像素（720×480）RAW：约3010万像素（6720×4480）M-RAW：约1690万像素（5040×3360）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S-RAW：约750万像素（3360×2240）                                                                                                                3、高清摄像 ：4K超高清视频 对焦点数 61点（41个十字）、显示屏像素 162万像素液晶屏、菜单语言 25种（含简体中文）、快门类型： 电子控制纵走式焦平面快门1/8000至30秒（总快门速度范围，可用范围随拍摄模式各异），B门，闪光同步速度1/200秒、                4、外接闪光灯：闪光灯同步速度1/200s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闪光测光：E-TTL II自动闪光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闪光曝光补偿：在±3级间以1/3或1/2级为单位调节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闪光曝光锁：具备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同步端子：具备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外接闪光灯控制：外接闪光灯功能设置、外接闪光灯的自定义功能                                       5、拍摄性能：短片拍摄 4096×2160（4K超清）：29.97p/25p/24p/23.98p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1920×1080（全高清）：59.94p/50p/29.97p/25p/24p/23.98p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1280×720（高清）：119.9p/100p        连拍功能 支持（最高约7张/秒），Live View下追焦4.3张/秒最大连拍数量JPEG大/优：约110张（至存储卡满）RAW：约17张（约21张）RAW+JPEG大/优：约13张（约16张）                                    </w:t>
            </w:r>
          </w:p>
          <w:p>
            <w:pPr>
              <w:widowControl/>
              <w:numPr>
                <w:ilvl w:val="0"/>
                <w:numId w:val="1"/>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存储卡类型：文件格式 图片：JPEG，RAW</w:t>
            </w:r>
          </w:p>
          <w:p>
            <w:pPr>
              <w:widowControl/>
              <w:numPr>
                <w:ilvl w:val="0"/>
                <w:numId w:val="1"/>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短片：MOV，MP4、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7、标配：另配电池和128G高速卡</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八角柔光箱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1、规格：95cmX95cm 直径/深度95*48cm、收纳52cm、重量约1.1KG、双层柔光布                              2、卡口、铝合金材质                           3、标配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五合一反光板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1、约120cmx 200cm、金银黑白柔五合一、椭圆形、可折叠送便捷包                                        2、标配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反光伞</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1、规格：伞式柔光箱130cm、深度49cm、收纳袋尺寸约95x18cm、                                         2、黑银反光伞+柔光罩                                 3、标配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摄影棚背景布</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件</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1、规格：约3x12米                               2、颜色：黑色、灰色、蓝色、白色、绿色各一        3、产品特点：吸光植绒布、产品特点:背景细腻、无十字、布光均匀柔和、不反光、色温标准。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监控摄像头</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夜视类型：红外夜视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存储编码：H.264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像素：200万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存储方式：硬盘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探头个数：1个</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报警方式：手机推送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防水等级：IP67</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适用面积：40-80㎡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监控类型：半球监控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变倍变焦焦距：4mm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供网方式：网线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供电方式：网线供电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智能识别：移动识别</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8路POE交换机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1、千兆以太电口≥8个（POE），千兆光口≥4个，POE功率≥120W；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▲2、交换机应满足全线速存储转发，交换机交换容量≥336Gbps，包转发率≥102Mpps；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3、支持二层广播，配置静态IP地址，DHCP Option43方式，DNS域名上线；（以上方式提供官网截图证明）；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4、支持STP、RSTP、MSTP协议；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5、支持IGMP v1/v2/v3 Snooping，组播条目≥1K；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6、VLAN个数≥4K,MAC个数≥16K，ARP表≥512；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▲7、支持M-LAG技术，跨设备链路聚合，配对的设备有独立的控制平面（提供功能截图等证明）；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8、支持防网关ARP欺骗、管理员分级管理、支持端口保护、隔离；支持防止DOS、ARP攻击功能；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9、支持通过APP进行远程管理，并且可以修改交换机网络配置（提供功能截图等证明）；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10、满足FCC、CE: EN55022, EN61000-3-2, EN61000-3-3,  EN55024, EN60950-1、RoHS等安全标准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11、支持IEEE 802.3az 标准的 EEE节能技术：当EEE使能时，从而大幅度的减小端口在该阶段的功耗，达到了节能的目的。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12、支持可视化查看网关IP、排除IP、预留IP等（提供功能截图等证明）；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13、支持可视化查看IP冲突次数，终端获取IP地址失败次数，并统计最近发生时间（提供功能截图等证明）；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14、支持安全防护，提供图表展示端口扫描攻击、DDos攻击、IP冲突等攻击次数（提供功能截图等证明）；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15、为保证学校的使用情况验收时针对技术参数逐条验收；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16路POE交换机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1、千兆以太网口≥16个（POE），千兆光口≥4个，POE功率≥370W；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▲2、交换机应满足全线速存储转发，交换机交换容量≥336Gbps，包转发率≥126Mpps；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3、支持二层广播，配置静态IP地址，DHCP Option43方式，DNS域名上线；（以上方式提供官网截图证明）；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4、支持STP、RSTP、MSTP协议；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5、支持IGMP v1/v2/v3 Snooping，组播条目≥1K；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6、VLAN个数≥4K,MAC个数≥16K，ARP表≥512；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▲7、支持M-LAG技术，跨设备链路聚合，配对的设备有独立的控制平面（提供功能截图等证明）；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8、支持防网关ARP欺骗、管理员分级管理、支持端口保护、隔离；支持防止DOS、ARP攻击功能；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▲9、支持通过APP进行远程管理，并且可以修改交换机网络配置（提供功能截图等证明）；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10、满足FCC、CE: EN55022, EN61000-3-2, EN61000-3-3,  EN55024, EN60950-1、RoHS等安全标准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11、支持IEEE 802.3az 标准的 EEE节能技术：当EEE使能时，从而大幅度的减小端口在该阶段的功耗，达到了节能的目的。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12、支持可视化查看网关IP、排除IP、预留IP等（提供功能截图等证明）；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13、支持可视化查看IP冲突次数，终端获取IP地址失败次数，并统计最近发生时间（提供功能截图等证明）；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14、支持安全防护，提供图表展示端口扫描攻击、DDos攻击、IP冲突等攻击次数（提供功能截图等证明）；</w:t>
            </w:r>
          </w:p>
          <w:p>
            <w:pPr>
              <w:widowControl/>
              <w:jc w:val="left"/>
              <w:textAlignment w:val="center"/>
              <w:rPr>
                <w:color w:val="auto"/>
                <w:highlight w:val="none"/>
              </w:rPr>
            </w:pPr>
            <w:r>
              <w:rPr>
                <w:rFonts w:hint="eastAsia" w:ascii="宋体" w:hAnsi="宋体" w:cs="宋体"/>
                <w:color w:val="auto"/>
                <w:kern w:val="0"/>
                <w:szCs w:val="21"/>
                <w:highlight w:val="none"/>
              </w:rPr>
              <w:t>15、为保证学校的使用情况验收时针对技术参数逐条验收；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32路录像机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视频输入：32路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视频输出：1个HDMI接口，1个VGA接口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音频输出：1路，RCA接口（线性电平，阻抗：1KΩ）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其它接口：4个SATA接口，1个RJ45接口，1个RS-485接口，1个RS-232接口，2个USB2.0，1个USB3.0，16个报警输入，4个报警输出，16个POE接口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录像方式：手动录像，定时录像，时间录像，移动侦测录像，报警录像，动测或报警录像，动测且报警录像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录像帧率：8MP/7MP/6MP/5MP/4MP/3MP/1080p/UXGA/720p/VGA/4CIF/DCIF/2CIF/CIF/QCIF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录像回放：即时回放，常规回放，时间回放，标签回放，智能回访，外部文件回访，日志回访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备份方式：常规备份，时间备份，录像剪辑备份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压缩标准：H.265压缩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视频分辨率：3840*2160/30Hz，2560*1440/60Hz，1920*1080/60Hz，1600*1200/60Hz，1280*1024/60Hz，1280*720/60Hz，1204*768/60Hz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视频制式：视频解码格式：H.265，Smart265，H.264，Smart264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图像质量：预览分屏：1/4/6/8/9/16/25/32/36画面</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硬盘</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8TB SATA6Gb/s 128M 监控硬盘</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网线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国标无氧铜超五类网线</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导播间控制台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木质结构，深度不低于50CM，长度不低于1.2米，高度不低于70CM。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主持座椅</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把</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蝴蝶椅，SGS气杆，底盘结实耐用。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360度自由旋转。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板动板手即可升降。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加高背靠，倒三角支撑设计，PU皮料。</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高度：55-75CM，底盘不低于38CM直径。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演播室专用单开隔音门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钢制隔音门尺寸约2000*900mm。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窗帘及窗帘盒</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窗帘规格：涤纶混纺布料，平滑、垂感度高、暗纹压花 ，全遮光窗帘。高：不低于3.2m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声学设计及施工</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1、投标人必须在中标后与使用方沟通效果，并按沟通情况出具效果图，按图进行施工。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3、提供的所有材料，五金及配套件必须是全新的和没有缺陷的，工程所有外露材料的颜色必须报经采购方批准后方可采购。</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观察窗</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观察窗尺寸3m*1m，金属包边10mm厚钢化玻璃。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高强度：同等厚度的钢化玻璃抗冲击强度是普通玻璃的3～5倍，抗弯强度是普通玻璃的3～5倍。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热稳定性:钢化玻璃具有良好的热稳定性，能承受的温差是普通玻璃的3倍，可承受250℃的温差变化。0.07mm黑色不锈钢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材质：黑色磨砂不锈钢报边框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达到电视台观察窗制作标准。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30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音频线材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工程用音频线材，卡侬接口，大三芯等工程所需所有线材及接口，所有材质达国标。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31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1、含深化设计及出直播系统图纸，系统集成施工调试。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2、含监控系统的施工、调试、与总监控录像机隙接。</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（02）专业配音室（319教室）</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专业录音声卡</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连接类型：USB Type-C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外壳：全金属外壳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AD/DA：32bit</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较大采样率：192kHz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尺寸（宽x高x深）：约159 x 47 x159 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重量：约1000g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兼容：支持Windows、macOS和iOS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动态范围输入：102dB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板载DSP：SSP3</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监听：FX的无延迟监听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板载DSP：DSPX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话放：双A类D-PRE话放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供电：USB 3.0总线供电，USB Type-C总线供电</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录音话筒</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话筒换能原理 外部极化电压式电容话筒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振膜直径 25.4 mm (1英寸)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指向性 心型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频率响应 20–20,000 Hz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灵敏度 25 mV/Pa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较大声压级 140 dB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等效噪音电平 10 dB(A) / 20 dB(CCIR)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动态范围 130 dB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电源 48 V48 伏幻象供电 (P48)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电流消耗 3.1 mA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尺寸：约57(直径) x 160 (长度) mm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重量不大于 485 g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防喷罩</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双层过滤网；碳钢材料</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万向悬臂支架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1、采用优质铝管打造，轻巧坚固。</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2、表面阳极氧化工艺处理。</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3、承重不低于2KG。</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4、隐藏式内部走线。</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5、上下三处旋钮松紧调节。</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监听耳机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副</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耳机类型：封闭式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较大输入功率：不低于200 mW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音频频响范围：16 Hz - 22000 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灵敏度：113 dB SPL/V</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标称阻抗：32 Ohms</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线缆长度：3 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调音台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12通道调音台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1、12通道调音台：6个话筒 / 12 个线路输入 (4 个单声道 + 4 个立体声) / 2 编组母线 + 1 立体声母线 / 2 AUX (包括 FX)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2、6个话筒 / 12个线路输入 (4个单声道 + 4个立体声)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3、2编组母线 + 1立体声母线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4、2 AUX (包括FX)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5、“D-PRE”话放，带有倒向晶体管电路。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6、单旋钮压缩器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7、单声道输入通道上的PAD开关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8、+48V幻象供电,XLR平衡输出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9、世界通用的内部全局供电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10、外观尺寸(W×H×D)： 约308 x 118  x 422 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净重：约 4.0 kg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监听音箱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5"两分频全频有源监听音箱</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 路低音反射式双功放近场工作室监听音箱，配备 5“ 锥形低音单元和 1” 半球形高音单元。</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54Hz - 30kHz 频率响应。</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45W LF 以及 25W HF 双功放系统，高性能70W 功率放大能力。</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ROOM CONTROL（房间控制）和 HIGH TRIM（高频切除）响应控制器。</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XLR 和 TRS phone 型输入口，可接受平衡和非平衡信号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录音控制台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钢木结构，深度不低于60CM，高度不低于75CM，长度不低于1.2米，木质桌面，下面为19英寸标准U钢制机柜，可嵌入设备。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16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盏</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LED平板灯，规格：600*600  电压：220v 功率： 48w 色温6000K，显值80/85。</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带观察窗隔音门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2000*900。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圆玻璃视口：透光尺寸：320mm。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隔墙及声学装修</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1、投标人应按照中标后与业主沟通后出具的效果图施工。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间</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投标人须在中标后与业主沟通，并深化设计，按照与业主沟通情况出系统图纸，系统集成施工调试，标配相应线材及接头。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tabs>
                <w:tab w:val="left" w:pos="4323"/>
              </w:tabs>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（03）4K+AI超高清融媒体演播室（322教室）</w:t>
            </w:r>
          </w:p>
        </w:tc>
        <w:tc>
          <w:tcPr>
            <w:tcW w:w="749" w:type="dxa"/>
            <w:vMerge w:val="continue"/>
            <w:tcBorders>
              <w:left w:val="single" w:color="auto" w:sz="4" w:space="0"/>
              <w:right w:val="single" w:color="auto" w:sz="4" w:space="0"/>
            </w:tcBorders>
            <w:vAlign w:val="center"/>
          </w:tcPr>
          <w:p>
            <w:pPr>
              <w:tabs>
                <w:tab w:val="left" w:pos="4323"/>
              </w:tabs>
              <w:spacing w:line="360" w:lineRule="auto"/>
              <w:jc w:val="left"/>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4K超高清摄像机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产品定位：专业摄像机、4K摄像机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传感器类型：MOS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传感器尺寸：1英寸</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最大像素：946万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有效像素：879万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光学变焦：20倍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数字变焦：30倍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实际焦距：f=8.8-176mm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等效35mm焦距：f=25.4-508mm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滤镜直径：67mm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USB接口：USB2.0，USB3.0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AV端子：支持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HDMI接口：支持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其它接口：SDI输出接口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1×视频输出接口(AG-UX170MC)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1×A型接口，不支持VIERA Link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2×音频输入：XLR(3针)（INPUT1，INPUT2）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1×音频输出：3.5毫米的立体声迷你插孔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1×遥控：2.5毫米的立体声迷你插孔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1×遥控：3.5毫米的立体声迷你插孔</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S*S半导体存储卡</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容量：128GB 读取速度：95MB/S</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46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电池</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电池类型：锂电池</w:t>
            </w:r>
            <w:r>
              <w:rPr>
                <w:rStyle w:val="118"/>
                <w:rFonts w:hint="default"/>
                <w:color w:val="auto"/>
                <w:sz w:val="21"/>
                <w:szCs w:val="21"/>
                <w:highlight w:val="none"/>
              </w:rPr>
              <w:t xml:space="preserve">  </w:t>
            </w:r>
            <w:r>
              <w:rPr>
                <w:rFonts w:hint="eastAsia" w:ascii="宋体" w:hAnsi="宋体" w:cs="宋体"/>
                <w:color w:val="auto"/>
                <w:kern w:val="0"/>
                <w:szCs w:val="21"/>
                <w:highlight w:val="none"/>
              </w:rPr>
              <w:t>电芯10400毫安时大容量电池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4K超高清智能虚拟演播室</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主机配置：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1、CPU：i9-12900K 酷睿八核 盒装CPU处理器</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、显卡： 游戏类型12G显卡、电源:额定850W RM850x 全模组电脑电源</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、固态硬盘: 120GB SSD固态硬盘</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 xml:space="preserve">、固态硬盘: 240GB SSD固态硬盘 </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 xml:space="preserve">、机械硬盘： 2TB 256MB 5400RPM </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、内存： DDR4 2666 32GB(16G×2)套装</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、CPU散热器风扇</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 xml:space="preserve">、机箱：4U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9、电源：1000W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、显示器：24英寸*2台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、SDI视频输入：4路双向12Gb/s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、SDI视频输出：4路双向12Gb/s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、SDI音频输入：16通道嵌入SD/HD/2K。64通道嵌入4K/8K。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、SDI音频输出：16通道嵌入SD/HD/2K。64通道嵌入4K/8K。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、同步输入：三电平或黑场。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、计算机接口：PCI Express 8速第3代，兼容8速和16速PCI Express插槽。</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17</w:t>
            </w:r>
            <w:r>
              <w:rPr>
                <w:rFonts w:hint="eastAsia" w:ascii="宋体" w:hAnsi="宋体" w:cs="宋体"/>
                <w:color w:val="auto"/>
                <w:kern w:val="0"/>
                <w:szCs w:val="21"/>
                <w:highlight w:val="none"/>
              </w:rPr>
              <w:t>、为了确保系统稳定性，虚拟演播室服务器需与虚拟演播室软件系统为同一品牌。</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18</w:t>
            </w:r>
            <w:r>
              <w:rPr>
                <w:rFonts w:hint="eastAsia" w:ascii="宋体" w:hAnsi="宋体" w:cs="宋体"/>
                <w:color w:val="auto"/>
                <w:kern w:val="0"/>
                <w:szCs w:val="21"/>
                <w:highlight w:val="none"/>
              </w:rPr>
              <w:t>、供应商须在供货时提供生产厂家出具的售后服务承诺书并加盖单位公章。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4K超高清智能虚拟演播室软件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虚拟演播系统支持4个3G-SDI接口独立通道的采集和输出，支持UHD/SD和HD且最高可达3840P，支持一路SDI/HDMI输出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支持NDI、RTMP、RTSP、m3u8、TS over UDP/TCP等制式的流媒体信号输入，兼容SRT网络流协议的Caller和Listener模式，支持一键追赶流媒体延迟，支持将拉流流信号直接录制保存到本地变成视频文件。（提供截图）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 3个DDR视频库，支持不限数量的各种格式视频混合载入，支持120hz 4k视频文件播放，支持视频文件入出点打点，切出时从预设点开始自动播放。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 可自由定义类别的切换通道，可以任意改变输入信号、本地视频、网络信号、图文组合等类别使用的切换通道数量，适应不同制作现场的信号组合需要。支持简体中文、繁体中文、英文、俄文四种语言快速切换。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 信号源或素材直接点选加入，系统自动识别输入信号格式和媒体文件格式，无需进行视频格式转换或输入参数设置。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 可同时载入多个播出表单，表单内媒体文件数量不限。支持表单内文件循环、独播等播放规则的调整，并调整表单项目前后顺序和每段时长。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 支持带键通道视频、序列帧，或三维动画作为切换效果。特效时长可在软件内调整。内置切换特效生成器，可以自定义切换效果的切换点、预览图、切换速度。（提供截图）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内置图文编辑器，将视频、图片、文字、输入信号、虚拟场景、实时比分，计时时钟等不同元素，保存为不少于12个图层的图文组合模板或字幕模板。 支持在非规则形状如圆形、弧形等图文窗口中，显示标准输入信号，组成多窗口图文模板。（提供截图）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 内置美颜功能模块，可一键对输入的主持人信号进行美颜处理，可拉动调节磨皮和美白幅度。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 每个图文特效文件可保存6个状态，存储图文组合中各个素材层的不同位置、大小、隐藏显示等状态。在任意两个状态间，可以一键执行平滑动画效果，实现如同高级在线包装系统一般的图文层、视频窗口的移动、转换、消失、旋转等效果。（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 提供全局字幕通道，叠加图文、字幕，支持从外部字幕机导入键信号作为字幕。支持拍打唱词功能，实时控制上一条/下一条字幕拍击更替。支持一键加减分记分牌和正倒数计时器功能。支持实时更改天气预报参数表中，各城市的气温、天气，并实时更新（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 每个切换通道有2个单独字幕层，在通道被切出或引用时跟随显示，共不少于19个独立字幕层。字幕层可导入三维物体并在字幕层中调整其三维朝向和设定纹理叠加。可将切换特效运用到字幕通道层的内容中，实现风格多变的字幕层出现方式。各字幕层有单独的音量控制。（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 可对输入信号或本地视频进行色差，锐度，去场调整，并调整裁剪和宽高比，使其与虚拟演播室模拟光照统一。可对输入的主持人信号进行美颜处理，可拉动调节磨皮和美白幅度。可将一路输入信号分割为6个部分画面并切换使用。</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13. 内置色键器，支持对不少于4种颜色同时一键抠像，带有可调节直径的虚拟橡皮擦，擦去不需要的背景细节，实现不受实际蓝箱尺寸限制的无限蓝箱效果；或反向保留背景同色物体，避免主持人身上背景同色物体被一同抠除。</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14. 系统提供有真实空间关系的三维虚拟场景，以一个固定的真实机位，生成可360°旋转拍摄场景各个方向的不少于42个虚拟机位，机位和路径、摇移拍摄时间可实时调整。可选四种不同特色运动方式完成任意两个虚拟镜头间的摇移过渡。（提供截图）</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15. 虚拟演播室中的物体和主持人，可以实时任意调整其位置、大小、朝向等，支持导入带动画物体以展现与主持人互动的现实增强效果。支持同场景4个不同高度平面的真实反射效果，反射强度可调。支持实时导入单独的三维物体，并可设定其两个状态间过渡动画。（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 可同时载入多个不同的虚拟场景，实现多虚拟场景间切换；或载入多次同一场景，实现同一主持人多角度真实机位共同使用。支持将一路摄像机拍摄的两个主持人分别分配给虚拟场景中不同位置使用，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 可将切换通道中的ppt、电脑桌面等信号，叠加蓝/绿遮罩后由显卡输出电视大屏，并通过抠像抠除。方便完成网络平台新闻播报、点评效果。（提供截图）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 支持通过NDI或采集卡输入外部键信号，并赋予字幕或图文作为遮罩。支持外部色键器提供高精度抠像效果。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可录制摄像机输入信号，并在比赛过程中随时调取，进行精彩镜头快/慢回放，支持快速定位回放段落，并在0.1倍到2.75倍之间实时变化回放速度。（提供截图）</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20. 内置一键美颜功能，可以在预设的多档次肤色中选择进行肤色美化，也可以单独分别调整增白和去瑕疵强度。（提供截图）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 对使用 CGI, Visca, Onvif, Pelco D/P等协议的PTZ云台，可以通过网络连接或 RS 232/422/485 接口，在软件界面内实时控制俯仰、旋转、变焦。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 系统内置软件调音台，可对8路切换通道的音频信号设定独播、跟播、静音等规则，并可调整音量、增益、淡入淡出等效果。可对接入系统单独音频信号，调整音量和设定跟播。可对最多8路单独输入的音频信号分别调整延时以保证声话同步。（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 可将所有切换通道、特效、图文、字幕、虚拟场景设置保存到一个工程文件，方便随时恢复制作状态。支持自动记录工程状态，无保存工程下重启软件可一键回滚到之前工程状态。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 可通过1或2个通道输出节目最终画面，并同时内录和推流输出。 SDI/HDMI 输出格式包括:4K 25/30p/50/60p，1080 50i/60i, 1080 25p/30p/50p/60p , 720 50/60p。</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25. 支持RTMP/RTSP/SRT及TS over TCP/UDP一键推流。可同时推到不少于9个地址。内置RTMP流媒体服务器，可在无外部服务器条件下，支持不少于10个观看端直接连接本机收看 。分辨率支持: 270p/ 360p/ 486p/ 576p/ 720p/ 900p/ 1080p/ 2160p。支持25/30/50/60p推流制式切换。可支持手机竖屏9:16分辨率推流。支持选择H.264或H.265编码推流（提供截图）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 可自动检测网络带宽，根据网络拥堵状况，自动调整推流帧数，保证视频帧数平均，不出现长时间停顿或者音频跳跃。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 支持直接导入PPT文件作为素材使用，支持逐步播放PPT单页动画和翻页动画，保留PPT原文件特效。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 支持同时录制带字幕叠加层的输出信号和不带字幕叠加层的净PGM信号并分别保存，兼顾实时输出和后期处理使用。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 支持使用360度全景视频作为虚拟场景，将主持人结合进画面并旋转虚拟镜头全景拍摄。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 支持可调码率的 ts, mov, mp4, wmv, avi, mxf等不同格式录制，支持4K录制，编码码率可调。内置快照功能，一键截取主监窗口信号。支持h.264和h.265硬编码。支持一键录制，自动生成录制文件名。支持同时录制一个虚拟场景的多个不同机位的图像，方便后期改剪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31. 配备播出安全卡，软件意外停止运行或误操作关闭时自动将输出信号切换到安全信号通道，保证虚拟主机意外断电时仍能输出安全通道信号。</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32. 系统内置延迟播放功能，可根据系统剩余可用内存量，对输出或推流信号设定延迟播出时间，实现延迟输出/推流，保证播出安全。输出延时和推流延时可以分别设定。并可在推流/输出同时，实时增减延时量。（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 支持3440x1440, 2560x1080显示分辨率布局，在16:9范围以外同时显示多画面监控。（提供截图）</w:t>
            </w:r>
          </w:p>
          <w:p>
            <w:pPr>
              <w:widowControl/>
              <w:jc w:val="left"/>
              <w:textAlignment w:val="center"/>
              <w:rPr>
                <w:color w:val="auto"/>
                <w:highlight w:val="none"/>
              </w:rPr>
            </w:pPr>
            <w:r>
              <w:rPr>
                <w:rFonts w:hint="eastAsia" w:ascii="宋体" w:hAnsi="宋体" w:cs="宋体"/>
                <w:color w:val="auto"/>
                <w:kern w:val="0"/>
                <w:szCs w:val="21"/>
                <w:highlight w:val="none"/>
              </w:rPr>
              <w:t>34. 通过选配跟踪模块和硬件，可以升级为支持跟踪云台机械跟踪和实时跟焦的带跟踪虚拟演播室。内置图像识别计算模块，可旋转一次跟焦环自动生成变焦曲线。</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35.</w:t>
            </w:r>
            <w:r>
              <w:rPr>
                <w:rFonts w:hint="eastAsia" w:ascii="宋体" w:hAnsi="宋体" w:cs="宋体"/>
                <w:color w:val="auto"/>
                <w:kern w:val="0"/>
                <w:szCs w:val="21"/>
                <w:highlight w:val="none"/>
              </w:rPr>
              <w:t>支持正反模块：</w:t>
            </w:r>
            <w:r>
              <w:rPr>
                <w:rFonts w:ascii="宋体" w:hAnsi="宋体" w:cs="宋体"/>
                <w:color w:val="auto"/>
                <w:kern w:val="0"/>
                <w:szCs w:val="21"/>
                <w:highlight w:val="none"/>
              </w:rPr>
              <w:t>3G/HD/SD-SDI</w:t>
            </w:r>
            <w:r>
              <w:rPr>
                <w:rFonts w:hint="eastAsia" w:ascii="宋体" w:hAnsi="宋体" w:cs="宋体"/>
                <w:color w:val="auto"/>
                <w:kern w:val="0"/>
                <w:szCs w:val="21"/>
                <w:highlight w:val="none"/>
              </w:rPr>
              <w:t>信号转</w:t>
            </w:r>
            <w:r>
              <w:rPr>
                <w:rFonts w:ascii="宋体" w:hAnsi="宋体" w:cs="宋体"/>
                <w:color w:val="auto"/>
                <w:kern w:val="0"/>
                <w:szCs w:val="21"/>
                <w:highlight w:val="none"/>
              </w:rPr>
              <w:t>HDMI</w:t>
            </w:r>
            <w:r>
              <w:rPr>
                <w:rFonts w:hint="eastAsia" w:ascii="宋体" w:hAnsi="宋体" w:cs="宋体"/>
                <w:color w:val="auto"/>
                <w:kern w:val="0"/>
                <w:szCs w:val="21"/>
                <w:highlight w:val="none"/>
              </w:rPr>
              <w:t>后实时图像输出；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w:t>
            </w:r>
            <w:r>
              <w:rPr>
                <w:rFonts w:ascii="宋体" w:hAnsi="宋体" w:cs="宋体"/>
                <w:color w:val="auto"/>
                <w:kern w:val="0"/>
                <w:szCs w:val="21"/>
                <w:highlight w:val="none"/>
              </w:rPr>
              <w:t>SDI</w:t>
            </w:r>
            <w:r>
              <w:rPr>
                <w:rFonts w:hint="eastAsia" w:ascii="宋体" w:hAnsi="宋体" w:cs="宋体"/>
                <w:color w:val="auto"/>
                <w:kern w:val="0"/>
                <w:szCs w:val="21"/>
                <w:highlight w:val="none"/>
              </w:rPr>
              <w:t>转</w:t>
            </w:r>
            <w:r>
              <w:rPr>
                <w:rFonts w:ascii="宋体" w:hAnsi="宋体" w:cs="宋体"/>
                <w:color w:val="auto"/>
                <w:kern w:val="0"/>
                <w:szCs w:val="21"/>
                <w:highlight w:val="none"/>
              </w:rPr>
              <w:t>HDMI</w:t>
            </w:r>
            <w:r>
              <w:rPr>
                <w:rFonts w:hint="eastAsia" w:ascii="宋体" w:hAnsi="宋体" w:cs="宋体"/>
                <w:color w:val="auto"/>
                <w:kern w:val="0"/>
                <w:szCs w:val="21"/>
                <w:highlight w:val="none"/>
              </w:rPr>
              <w:t>过程中支持视频图像水平翻转功能；</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w:t>
            </w:r>
            <w:r>
              <w:rPr>
                <w:rFonts w:ascii="宋体" w:hAnsi="宋体" w:cs="宋体"/>
                <w:color w:val="auto"/>
                <w:kern w:val="0"/>
                <w:szCs w:val="21"/>
                <w:highlight w:val="none"/>
              </w:rPr>
              <w:t>SDI</w:t>
            </w:r>
            <w:r>
              <w:rPr>
                <w:rFonts w:hint="eastAsia" w:ascii="宋体" w:hAnsi="宋体" w:cs="宋体"/>
                <w:color w:val="auto"/>
                <w:kern w:val="0"/>
                <w:szCs w:val="21"/>
                <w:highlight w:val="none"/>
              </w:rPr>
              <w:t>嵌入音频解嵌后以音频柱形式显示，最多支持</w:t>
            </w:r>
            <w:r>
              <w:rPr>
                <w:rFonts w:ascii="宋体" w:hAnsi="宋体" w:cs="宋体"/>
                <w:color w:val="auto"/>
                <w:kern w:val="0"/>
                <w:szCs w:val="21"/>
                <w:highlight w:val="none"/>
              </w:rPr>
              <w:t>16</w:t>
            </w:r>
            <w:r>
              <w:rPr>
                <w:rFonts w:hint="eastAsia" w:ascii="宋体" w:hAnsi="宋体" w:cs="宋体"/>
                <w:color w:val="auto"/>
                <w:kern w:val="0"/>
                <w:szCs w:val="21"/>
                <w:highlight w:val="none"/>
              </w:rPr>
              <w:t>通道；</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支持节目录制现场状态提示功能，对拍摄者进行录制状态提示；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10Bit</w:t>
            </w:r>
            <w:r>
              <w:rPr>
                <w:rFonts w:hint="eastAsia" w:ascii="宋体" w:hAnsi="宋体" w:cs="宋体"/>
                <w:color w:val="auto"/>
                <w:kern w:val="0"/>
                <w:szCs w:val="21"/>
                <w:highlight w:val="none"/>
              </w:rPr>
              <w:t>广播级数字信号处理技术，保障信号质量；</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支持现场提示信息叠加和综合数据整合显示；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标配</w:t>
            </w:r>
            <w:r>
              <w:rPr>
                <w:rFonts w:ascii="宋体" w:hAnsi="宋体" w:cs="宋体"/>
                <w:color w:val="auto"/>
                <w:kern w:val="0"/>
                <w:szCs w:val="21"/>
                <w:highlight w:val="none"/>
              </w:rPr>
              <w:t>LAN</w:t>
            </w:r>
            <w:r>
              <w:rPr>
                <w:rFonts w:hint="eastAsia" w:ascii="宋体" w:hAnsi="宋体" w:cs="宋体"/>
                <w:color w:val="auto"/>
                <w:kern w:val="0"/>
                <w:szCs w:val="21"/>
                <w:highlight w:val="none"/>
              </w:rPr>
              <w:t>网络控制接口输入，便于网络控制；</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采用</w:t>
            </w:r>
            <w:r>
              <w:rPr>
                <w:rFonts w:ascii="宋体" w:hAnsi="宋体" w:cs="宋体"/>
                <w:color w:val="auto"/>
                <w:kern w:val="0"/>
                <w:szCs w:val="21"/>
                <w:highlight w:val="none"/>
              </w:rPr>
              <w:t>12V</w:t>
            </w:r>
            <w:r>
              <w:rPr>
                <w:rFonts w:hint="eastAsia" w:ascii="宋体" w:hAnsi="宋体" w:cs="宋体"/>
                <w:color w:val="auto"/>
                <w:kern w:val="0"/>
                <w:szCs w:val="21"/>
                <w:highlight w:val="none"/>
              </w:rPr>
              <w:t>直流电源供电；</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便携安装结构设计。</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36.系统采用白名单方式，支持广泛的文件格式:视频、图片、文本、网络媒体文件等;支持对已知文件的深度特征检测，严格过滤掉病毒伪装的文件。</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7.</w:t>
            </w:r>
            <w:r>
              <w:rPr>
                <w:rFonts w:hint="eastAsia" w:ascii="宋体" w:hAnsi="宋体" w:cs="宋体"/>
                <w:color w:val="auto"/>
                <w:kern w:val="0"/>
                <w:szCs w:val="21"/>
                <w:highlight w:val="none"/>
              </w:rPr>
              <w:t>无需借助外部任何硬件，摆渡类设备直接插入计算机，病 毒隔离系统直接对摆渡类设备进行深度解析，不影响自身 传输速度。（提供产品功能截图为佐证）</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8.</w:t>
            </w:r>
            <w:r>
              <w:rPr>
                <w:rFonts w:hint="eastAsia" w:ascii="宋体" w:hAnsi="宋体" w:cs="宋体"/>
                <w:color w:val="auto"/>
                <w:kern w:val="0"/>
                <w:szCs w:val="21"/>
                <w:highlight w:val="none"/>
              </w:rPr>
              <w:t>支持移动存储、P2 卡、CF 卡、SXS 卡、蓝光 光盘等大量常用外设不使用任何外接设备直接接入 计算机直接防护。（提供产品功能截图为佐证）</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9.</w:t>
            </w:r>
            <w:r>
              <w:rPr>
                <w:rFonts w:hint="eastAsia" w:ascii="宋体" w:hAnsi="宋体" w:cs="宋体"/>
                <w:color w:val="auto"/>
                <w:kern w:val="0"/>
                <w:szCs w:val="21"/>
                <w:highlight w:val="none"/>
              </w:rPr>
              <w:t>支持设置本地硬盘、共享盘、网络存储为素材盘 只有通过系统深度检测无病毒的文件才能写入或导 出。这样系统不仅能够防护连接外部存储设备带来 的病毒攻击，也能保护本地元数据的安全。（提供产品功能截图为佐证）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4</w:t>
            </w:r>
            <w:r>
              <w:rPr>
                <w:rFonts w:ascii="宋体" w:hAnsi="宋体" w:cs="宋体"/>
                <w:color w:val="auto"/>
                <w:kern w:val="0"/>
                <w:szCs w:val="21"/>
                <w:highlight w:val="none"/>
              </w:rPr>
              <w:t>0.</w:t>
            </w:r>
            <w:r>
              <w:rPr>
                <w:rFonts w:hint="eastAsia" w:ascii="宋体" w:hAnsi="宋体" w:cs="宋体"/>
                <w:color w:val="auto"/>
                <w:kern w:val="0"/>
                <w:szCs w:val="21"/>
                <w:highlight w:val="none"/>
              </w:rPr>
              <w:t>C/S 架构，分散配置，集中管理。客户端以软件 的形式装在需要保护的计算机上，简单、友好的操作界面，用户可以很方便的在客户端选择需要访问的设备及文件，提高工作效率，降低使用成本。（提供产品功能截图为佐证）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全面兼容多种类型存储设备:CD 光盘、DVD 光盘 U 盘、移动硬盘、各种存储卡、松下 P2 卡、索尼 SXS 卡、索尼蓝光、来自局域网的文件、各种 USB 接口的存储介质以及磁盘阵列等（提供产品功能截图为佐证）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可灵活定制指定支持 PCI-Express 等各类非常用 高速接口功能，传输大容量数据不再费时费力。支 持单向、双向文件交互（提供产品功能截图为佐证）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采用白名单方式，支持广泛的文件格式:视频、 图片、文本、网络媒体文件等;</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实时监控网内计算机的状态及各种存储设备，对 于非法移动存储设备的接入执行屏蔽，从而杜绝移 动存储传播的途径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49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超清非线性编辑系统</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一、硬件参数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CPU：Intel Core I7 十二核心，3.6GHz，睿频5.0GHz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内存：DDR4 16GB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显卡：6G显存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系统硬盘：SSD 480GB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素材硬盘：企业级SATA 4TB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光驱：蓝光刻录机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显示器：27寸4K液晶屏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音箱：漫步者1000TC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操作系统：正版Win10 64位企业版系统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机箱：HLCD 4U机箱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电源：650W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二、系统保护软件参数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2、整机带有一键备份还原软件，可在Win10系统使用UEFI引导下，在启动项中添加一键备份还原选项，提供了完全备份、增量备份等多种模式，在备份时可选择排除的文件夹。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三、编辑软件参数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3、支持创建8K时间线项目工程，可导出8K文件格式：H.265/HEVC、ProRes、DNxHR、HQX、P2 8K SHV交换格式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4、核心编辑软件支持外部信号采集成AVC Intra100、XDCAM HD422、XDCAM EX、MPEG-2等视频格式</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5、 编辑软件支持边采边编工作模式，采集过程中设备异常，采集下来的文件损失时间长度低于5秒</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6、编辑软件具有音频响度测试工具，具有“ITU-R BS.1770-2”、“EBU R128”等两种检测方式</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7、支持P2、SXS卡后台导入，导入完成后自动链接本地文件，支持P2跨卡文件的整体导入和分别导入，支持P2文件跨卡回写</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8、支持使用P2卡和XDCAM蓝光盘自身的代理码率文件直接编辑，高码段落下载替换时，自动提示所需要插入的P2卡的卡号和XDCAM光盘的卷标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9、支持Panasonic P2（AVC-Intra、AVC-Ultra、AVC-Intra 4K 422）的源码回写，支持Sony XDCAM EX、Sony XDCAM、Sony XAVC（Intra Class 300、Intra Class 480、Long GOP 150M、Long GOP 422 140M、Long GOP 422 200M）/XAVC S的源码回写，回写后摄像机、录像机设备正常回放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10、支持Panasonic P2（AVC-Intra、AVC-Ultra、AVC-Intra 4K 422）、Sony XDCAM HD、Sony XAVC（Intra Class 300、Intra Class 480）、GV HQ/HQX文件格式的段落编码，可多倍速输出时间线上未修改部分的素材内容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11、支持E2、P2、SXS、XDCAM等存储介质中视频文件素材的源码实时编辑，无需格式的转换，支持E2、P2、SXS、XDCAM等存储介质素材在盘或者在卡编辑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12、支持AVID DNXHD（MXF或MOV封装）、Apple ProRes、GRASS VALLEY HQ/HQX（AVI或MOV封装）编码格式文件的导入和导出，支持Matrox编码视频文件的直接编辑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13、支持多种RAW 格式：Sony RAW、Canon RAW、Cinema RAW、R3D、DNG等RAW格式文件，并支持C700 RAW文件和佳能 EOS C200“Cinema RAW Light”解码和静态原始文件解码，支持显卡、GPU对SONY RAW、Cinema RAW进行编辑加速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14、素材预览窗口和时间线编辑窗口可以独立设置不同方式的音频监听模式，两种不同的音频监听模式设置相互独立，互不影响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15、具有可应用于字幕、图片、图像的多层轨道追踪，同时还可以对追踪目标设置锚点，实现动态追踪</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16、具有图像防抖稳定工具，可实现画面自动稳定效果支持画面自动稳定效果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17、支持摄像机色彩空间模板，内置“ARRI”（C系列摄像机的色彩空间）、“Canon（C-LOG）”、“JVC（J-LOG）”、“FUJIFILM（F-LOG）”、“DJI（D-LOG）”、“Panasonic（V-LOG/V-LOG L）”、“Sony（Sony S-LOG、HLG）”等摄像机的伽马及色域模板，支持LUT文件的导入和导出</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18、支持自动识别视频素材的色彩空间，支持素材空间（HDR）元数据的输出，支持常见格式如：MXF、MP4、MOV、F4V、XAVC文件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19 、HDR曲线可选择“BT.2020/2100 HLG”、“BT.2020/2100 PQ”，工程的色彩空间可选择“BT.709”、“BT.161（525-line）”、“BT.601（625-line）”、“BT.2020”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20、支持多种4K源码格式编辑，如“Sony XAVC/XAVC S”、“Panasonic AVC-Intra 4K”、“Canon 4K MXF（XF-AVC）”、“Canon 1D C M-JPEG”、“GoPro”和“DJI”无人机拍摄的4K格式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21、支持（1/2、1/4、1/8、1/16）降低分辨率预览方式，矢量图/示波器具有HDR监控模式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22、基于新一代Intel酷睿处理器(Intel Skylake)优化的全新H.264编码器，支持Intel Quick Sync技术的硬件极速H.264文件输出；高性能HEVC（H.265）编解码器，支持通过NVIDIA GPU加速H.265/HEVC的输出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23、后台时间线渲染和文件输出功能，并带有后台渲染任务监看程序窗口，可更改调整渲染任务级别，优先输出紧要的成片文件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24、支持Title插入模式，可在预览时间线素材的同时，添加标题字幕模板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25、直接导入苹果编辑系统的工程及文件（FCP XML导入）,Apple ProRes 422、AppleProRes RAW素材的源码导入编辑，支持FCP XML和P2 PLAYList文件的直接调入，并可直接调入FCL和ALE批采集文件，保持与其它非编系统良好的兼容性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26、带有Acon Digital音频效果插件，可进行消除背景噪声（DeNoise），减少混响（DeVerberate），峰值限制（Limit）和压缩音频等效果处理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27、整机系统带有特技效果预置模板、图文效果模板、工程模板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三、图文字幕软件参数</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28、字幕编辑软件具有唱词功能，唱词支持单行、双行、不定行唱词，支持2倍速快速制作功能，唱词支持多语言替换，支持导入导出带时间码的文本，导入导出SRT文本</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29、字幕编辑软件支持三维模型制作、三维文本制作、三维图表、三维粒子制作、手写体特效制作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30、具有基于GPU硬件加速的H.264输出引擎插件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31、字幕软件具有路径动画追追踪功能，支持多个图形和文本进行并、减、交及布尔运算，支持字幕图元嵌套和编组编辑，支持字幕逐项播出和整体播出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32、具有黑白图像转图形功能，字幕图元支持面、边、影任意组合，边、影数量无限，字幕具有可调整参数的动态纹理库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四、媒体资产管理软件参数</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33、支持虚拟目录与实体目录相结合的媒体目录管理方式，支持导入本地单级目录或多级目录的所有素材文件，支持建立我的相册、我的工作簿、我的智能文件夹、我的隐藏文件夹等虚拟目录主形式，便捷对重要素材进行分类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34、文件管理和检索，支持对文件添加标注信息，可对重要文件添加星标，通过“文件扩展信息”、“文件标签”、“文件属性”进行检索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35、支持入出点、裁剪点、标记点快速剪辑方式，快编结果可生成XML格式文件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36、支持USB摄像头采集、IO板卡采集，采集时可实时叠加LOGO，进行遮幅处理，支持本地文件进行编码并直播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五、整机防护监控系统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37、监控系统应具有完善的监控状态日志管理，能够实时记录整个系统运行过程中的设备状态，且监控日志方便查询。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实时侦测主要设备的硬件状态：采用业界先进的设备参数枚举和状态数据获取技术，将主机的关键设备列表及其温度、负载等参数，进行实时采集和计算，判断系统整体工作状态正常与否, 微信通知到设备负责人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信息收集平台接收前端监测系统数据，实现报文解析、数据库管理和数据分析等功能，其关键技术包括压缩与数据流防伪防攻击、高性能网络数据连接管理、弹性混合数据库、可靠性模型和大数据采集分析辨识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六、商务部分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39、带“</w:t>
            </w:r>
            <w:r>
              <w:rPr>
                <w:rFonts w:hint="eastAsia" w:ascii="宋体" w:hAnsi="宋体" w:cs="宋体"/>
                <w:b/>
                <w:bCs/>
                <w:color w:val="auto"/>
                <w:kern w:val="0"/>
                <w:szCs w:val="21"/>
                <w:highlight w:val="none"/>
                <w:lang w:val="en-US" w:eastAsia="zh-CN"/>
              </w:rPr>
              <w:t>#</w:t>
            </w:r>
            <w:r>
              <w:rPr>
                <w:rFonts w:hint="eastAsia" w:ascii="宋体" w:hAnsi="宋体" w:cs="宋体"/>
                <w:color w:val="auto"/>
                <w:kern w:val="0"/>
                <w:szCs w:val="21"/>
                <w:highlight w:val="none"/>
              </w:rPr>
              <w:t xml:space="preserve"> </w:t>
            </w:r>
            <w:r>
              <w:rPr>
                <w:rFonts w:hint="eastAsia" w:ascii="微软雅黑" w:hAnsi="微软雅黑" w:eastAsia="微软雅黑"/>
                <w:b/>
                <w:bCs/>
                <w:color w:val="auto"/>
                <w:highlight w:val="none"/>
                <w:shd w:val="clear" w:color="auto" w:fill="FFFFFF"/>
              </w:rPr>
              <w:t>”</w:t>
            </w:r>
            <w:r>
              <w:rPr>
                <w:rFonts w:hint="eastAsia" w:ascii="宋体" w:hAnsi="宋体" w:cs="宋体"/>
                <w:color w:val="auto"/>
                <w:kern w:val="0"/>
                <w:szCs w:val="21"/>
                <w:highlight w:val="none"/>
              </w:rPr>
              <w:t>参数出具国家新闻出版广电总局广播电视规划院广播电视计量检测报告证明投标产品具备该项功能参数</w:t>
            </w:r>
          </w:p>
          <w:p>
            <w:pPr>
              <w:widowControl/>
              <w:jc w:val="left"/>
              <w:textAlignment w:val="center"/>
              <w:rPr>
                <w:rFonts w:ascii="宋体" w:hAnsi="宋体" w:cs="宋体"/>
                <w:color w:val="auto"/>
                <w:kern w:val="0"/>
                <w:szCs w:val="21"/>
                <w:highlight w:val="none"/>
              </w:rPr>
            </w:pP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内网直播</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1.嵌入式软硬件一体系统，可以前面板液晶+按键配置设备IP地址。</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2.高带宽，4*1G电口，总计4Gbps 以太网输入输出（提供产品接口照片，并加盖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3.10Kg、标准1U、AC 110V 50/60Hz（220V 50/60Hz）、250W。</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4.系统支持256路高清视频源信号输入（提供国家级认证机构检测报告复印件并加盖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5.系统支持并发访问数量≥2000（提供国家级认证机构检测报告复印件并加盖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6.具备修改直播，点播，录制，转码，互动、资源管理、用户管理、云端加速、融合发布等服务器接入点的功能。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7.系统具备完整CAS统一认证，不同CA统一认证只需修改配置文件即可。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8.BS架构，集成用户访问页面和后端管理页面，支持手机、平板、电视、机顶盒、触控一体机接入访问，自动适配访问页面。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9.自带2T存储空间，可挂载NAS存储服务器。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10.支持支持RTMP加密或明文推流输入，RTSP拉流输入；支持RTMP、HTTP-TS、 HLS、FLV输出。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11.支持最大256路高清视频源信号同步直播，支持任意直播信号3码流同播（超高清、高清、标清）。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12.支持自动生成二维码分享直播。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13.支持注册用户发起直播，并对直播名称、开始时间、结束时间、直播封面、内容背景、所属栏目标签、是否启用加密直播（配置推流直播密码、配置观看密码）、弹幕开启、直播栏目介绍进行编辑修改。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14.具有内容管理权限的注册用户可对直播列表内的直播信号进行直播内容编辑、启动/停止、移除、删除、置顶、下线/上线操作。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15.系统提供直播信号实时预览、直播状态、直播开始时间、浏览量、订阅量、点赞数量显示，用户可通过直播内容简介对活动进行查看，并可在当前页面进行点赞、加入订阅、弹幕注入等操作。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点播：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16.播放窗口可对当前内容时长、累计观看次数统计、订阅次数、评论数量显示、内容摘要展示。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17.登录观众用户可对当前内容通过微信、微博、QQ空间、QQ好友等方式进行分享，可对内容进行下载、加入订阅操作，可通过评论窗口输入文字内容进行观感评论。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18.管理人员可对点播内容的名称、封面、所属标签、内容介绍进行编辑，可对下载、订阅、点赞、评论等功能进行开启和关闭操作，可对观看密码、保密等级设定。</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19.点播内容具备随机时间点注入问题，观众通过回答问题观看视频功能，可设置为单行文本、多行文本、单选、多选、下拉选择等多种回答问题方式。（提供功能截图并加盖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20.管理员可通过对点播视频列表对任意内容进行内容编辑、问答内容设定、视频内容截取、下载、移出、删除、置顶、上下线操作。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21.视频具备添加动态（做无规则运动）和静态logo功能，辅助显示资源版权信息（提供功能截图并加盖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22.点播视频具有倍数播放功能，支持音频文件资源点播。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23.所有点播内容均可自动生成封面缩略图。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24.管理员用户可对点播任务进行批量化上线、下线操作。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25.点播视频具有视频笔记功能，用户可根据需要截取相关内容后加入个人空间。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26.可自由创建、编辑录制任务，并对录制信号进行手动筛选。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27.可实时查看录制任务状态，并对当前任务进行启动、停止、删除任务、录制结果文件查询、文件手动分片或自动分片设置。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28.支持节目单录制、计划录制、即时录制，TS格式存档，自动生成封面缩率图。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29.支持直播信号直播过程中同步录制，支持多节目同时录制。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30.支持录制文件在线预览、下载。</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31.直播录制具备录制同屏直播组的功能，录制的视频播放的时候也支持同屏显示（提供功能截图并加盖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32.系统兼容ASF FLV AVI MPG VOB TS MP4 MOV 3GP 3G2LYQ等主流文件格式输入转码。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33.支持DVD、蓝光文件转码。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34.支持纯音频或纯视频文件转码。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35.支持单次50个文件批量上传、批量转码功能。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36.支持自动去隔行。</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37.管理员可实时查看转码状态，可对当前任务进行预览、编辑、下载、删除操作，可对文件封面进行手动设置。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互动：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38.注册用户可在系统里发起互动会议类分组直播，可对互动类直播名称、封面、开始时间、结束时间、分组成员、内容标签、是否启用白板共享进行设置和编辑；可对分组成员设置信号推送密码。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39.管理员可对分组直播内的任意直播活动进行内容编辑、启动/停止、移出、删除、置顶、下线等操作。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40.用户可一键启动多窗口互动页面观看，并参与互动，分组直播功能配套具有白板共享功能，允许组内各方进行进行实时书写共享（提供功能截图并加盖</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资源管理：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41.站内内容可自主定义，可以替换大图，名称，logo，页眉页脚文字，侧边栏等操作。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42.首页栏目名称和数量可以自定义设置（导航栏内直播、点播类功能模块数量可≥0，），导航栏内模块可由最高权限管理员进行自主排序。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43.首页自动推荐点击率高的直播和点播资源。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44.首页页面布局先后顺序，不同模块可由最高权限管理员进行自主排序。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45.直播资源、点播资源、图片资源、文件资源等所有资源具有管理员设置凭密码观看属性。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46.各视频上传时支持打水印（不同的视频水印内容不同，用作来源标识）。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47.支持手动创建、添加、编辑直播类、点播类栏目，可对添加栏目进行命名和栏目介绍。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48.可根据实际使用需求对直播、点播各目录栏目进行再命名。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用户管理：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49.用户采用统一认证登录。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50.用户可具备2种类型权限：操作权限（影响站内内容），包含功能管理、内容管理、用户管理、页面管理、服务器管理。观看权限，根据权限范围观看不同内容以及评论。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51.管理员可以分配给新用户操作权限，包括功能管理、内容管理、用户管理、页面管理、服务器管理。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52.用户可以关注不同的栏目，栏目更新信息科推送消息到用户中心，并显示在主页上。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53.管理员可以看到所有用户的上传视频和直播，并可以进行下线和删除处理。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视频调度：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54.直播具备拉取第三方 rtsp和rtmp流进入系统的功能。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55.直播具备推送本地rtmp直播流到第三方平台的功能。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56.支持同一信号源输入，多端RTMP、HTTP-TS、 HLS、FLV转发输出功能。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57.支持单进单出、单进多出、多进多出工作模式。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w:t>
            </w:r>
            <w:r>
              <w:rPr>
                <w:rFonts w:hint="eastAsia" w:ascii="宋体" w:hAnsi="宋体" w:cs="宋体"/>
                <w:b/>
                <w:bCs/>
                <w:color w:val="auto"/>
                <w:kern w:val="0"/>
                <w:szCs w:val="21"/>
                <w:highlight w:val="none"/>
                <w:lang w:val="en-US" w:eastAsia="zh-CN"/>
              </w:rPr>
              <w:t>#</w:t>
            </w:r>
            <w:r>
              <w:rPr>
                <w:rFonts w:hint="eastAsia" w:ascii="宋体" w:hAnsi="宋体" w:cs="宋体"/>
                <w:b/>
                <w:bCs/>
                <w:color w:val="auto"/>
                <w:kern w:val="0"/>
                <w:szCs w:val="21"/>
                <w:highlight w:val="none"/>
              </w:rPr>
              <w:t xml:space="preserve"> </w:t>
            </w:r>
            <w:r>
              <w:rPr>
                <w:rFonts w:hint="eastAsia" w:ascii="微软雅黑" w:hAnsi="微软雅黑" w:eastAsia="微软雅黑"/>
                <w:b/>
                <w:bCs/>
                <w:color w:val="auto"/>
                <w:highlight w:val="none"/>
                <w:shd w:val="clear" w:color="auto" w:fill="FFFFFF"/>
              </w:rPr>
              <w:t>”</w:t>
            </w:r>
            <w:r>
              <w:rPr>
                <w:rFonts w:hint="eastAsia" w:ascii="宋体" w:hAnsi="宋体" w:cs="宋体"/>
                <w:color w:val="auto"/>
                <w:kern w:val="0"/>
                <w:szCs w:val="21"/>
                <w:highlight w:val="none"/>
              </w:rPr>
              <w:t>参数出具国家级认证机构检测报告复印件报告或截图证明投标产品具备该项功能参数</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bookmarkStart w:id="38" w:name="_Hlk114346939"/>
            <w:r>
              <w:rPr>
                <w:rFonts w:hint="eastAsia" w:ascii="宋体" w:hAnsi="宋体" w:cs="宋体"/>
                <w:bCs/>
                <w:color w:val="auto"/>
                <w:szCs w:val="21"/>
                <w:highlight w:val="none"/>
              </w:rPr>
              <w:t>便携式全能机</w:t>
            </w:r>
            <w:bookmarkEnd w:id="38"/>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GPU加速 CUDA 6G，内部存储4TB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 i9-9900K 酷睿八核 盒装CPU处理器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2、显卡：6G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3、电源: 额定850W RM850x 全模组电脑电源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4、固态硬盘:  120GB SSD固态硬盘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5、显示器：24英寸*2台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6、SDI视频输入：4路双向12Gb/s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7、SDI视频输出：4路双向12Gb/s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8、SDI音频输入：16通道嵌入SD/HD/2K。64通道嵌入4K/8K。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9、SDI音频输出：16通道嵌入SD/HD/2K。64通道嵌入4K/8K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4路4K 12G-SDI输入（可配置NDI/IP流））DSK*2,ME*2,同时录制2种格式，同时2路推流，2路外部输出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系统格式支持4K（2160p25、2160p30、2160p50、2160p60） 高清（1080i50、1080P25、1080P50、1080i60）标清（525i NTSC、625i25 PAL）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标配带有2路TRS音频输入接口，2路TRS音频输出接口，支持平衡与非平衡切换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超强GPU色键，保证抠像质量和清晰度还原，任意对象旋转倾斜无任何锯齿（截图加盖公章）。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具备切换台，调音台，虚拟演播室，录像机，字幕机，图文包装，网络直播推流功能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支持Windows系统和macOS 10.8+系统，方便后期迁移。</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具备实时可视化虚拟编辑软件，具备实时可视化字幕编辑软件，支持钢笔工具，手画形状，填充信号，文字可实时转换为贝塞尔路径，方便异性文字制作，笔画修改，支持对输入信号和本地素材进行无规则裁剪，任意异形；支持无限画中画模板制作，字幕模板可自由编辑，具备可视化工具，支持实时信号，本地素材作为元素，支持多字幕模板实时修改，比分或字幕实时变化，无需进入模板二次编辑，具备文字转路径功能，可修改文字笔画。支持至少8个台标，角标，支持Alapa通道素材，具备时钟功能，字体，位置，显示格式均可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必须可同时录制两种不同码流，格式，封装的录像文件，在录像中生成原始文件与网络（代理）文件；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软件支持实时图层混合模式，包括变暗，正片叠底，颜色加深等不低于15种方式。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。具有实时特效功能，老电影，光晕，模糊，色彩校正，隔离颜色等不低于30种特效（截图加盖公章）。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具备实时可视化虚拟编辑软件，具备实时可视化字幕编辑软件；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要求采用无轨虚拟演播技术，每个场景必须支持20路虚拟机位，无须移动或者操作真实摄像机，即可实现节目制作过程中镜头推，拉，移的效果。实现所有这些镜头特效效果，无需借助传感器或网格等其他设备测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文字可实时转换为贝塞尔路径，方便异性文字制作，笔画修改；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支持mov，mp4，mkv录制，mov必须支持Apple的prores编解码器，方便后期与非编进行交互（截图加盖公章）。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必须支持左飞，右飞，上滚，下滚，倒计时，秒表字幕制作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至少支持3种格式同时录制，支持H265编码，不同信号PGM/PVW/PGM(清流)，不同格式AVI、MOV，MP4，MKV录制；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7.</w:t>
            </w:r>
            <w:r>
              <w:rPr>
                <w:rFonts w:hint="eastAsia" w:ascii="宋体" w:hAnsi="宋体" w:cs="宋体"/>
                <w:color w:val="auto"/>
                <w:kern w:val="0"/>
                <w:szCs w:val="21"/>
                <w:highlight w:val="none"/>
              </w:rPr>
              <w:t>必须具备多通道录制功能，支持H265编码，支持AVI、MOV，MP4，MKV多种格式录制；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系统具备3路下游键， 所有的键都包括带有至少13种DVE功能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r>
              <w:rPr>
                <w:rFonts w:hint="eastAsia" w:ascii="宋体" w:hAnsi="宋体" w:cs="宋体"/>
                <w:color w:val="auto"/>
                <w:kern w:val="0"/>
                <w:szCs w:val="21"/>
                <w:highlight w:val="none"/>
              </w:rPr>
              <w:t>支持6组CG划像引擎，可用作动画划像/叠画转场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2个DDR素材存储通道，支持4K视频解码播放，支持视频的二次校色，出入点设置，裁剪，具备绑定本地同步文件夹功能，且支持实时更新；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9.</w:t>
            </w:r>
            <w:r>
              <w:rPr>
                <w:rFonts w:hint="eastAsia" w:ascii="宋体" w:hAnsi="宋体" w:cs="宋体"/>
                <w:color w:val="auto"/>
                <w:kern w:val="0"/>
                <w:szCs w:val="21"/>
                <w:highlight w:val="none"/>
              </w:rPr>
              <w:t>2个GFX素材存储通道，支持图片播放，支持GIF动画播放，具备绑定本地同步文件夹功能，且支持实时更新；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内置的多画面分割器中的每个窗口都可以选择信号源和音频监视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1.</w:t>
            </w:r>
            <w:r>
              <w:rPr>
                <w:rFonts w:hint="eastAsia" w:ascii="宋体" w:hAnsi="宋体" w:cs="宋体"/>
                <w:color w:val="auto"/>
                <w:kern w:val="0"/>
                <w:szCs w:val="21"/>
                <w:highlight w:val="none"/>
              </w:rPr>
              <w:t>至少具备2个多画面分割输出，每个输出都可以单独选择布局（AUX，预监，总输出，多画面）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2.</w:t>
            </w:r>
            <w:r>
              <w:rPr>
                <w:rFonts w:hint="eastAsia" w:ascii="宋体" w:hAnsi="宋体" w:cs="宋体"/>
                <w:color w:val="auto"/>
                <w:kern w:val="0"/>
                <w:szCs w:val="21"/>
                <w:highlight w:val="none"/>
              </w:rPr>
              <w:t>多画面分割显示（4/9/10/13/16分割），可自由设定每路信号源指定显示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3.</w:t>
            </w:r>
            <w:r>
              <w:rPr>
                <w:rFonts w:hint="eastAsia" w:ascii="宋体" w:hAnsi="宋体" w:cs="宋体"/>
                <w:color w:val="auto"/>
                <w:kern w:val="0"/>
                <w:szCs w:val="21"/>
                <w:highlight w:val="none"/>
              </w:rPr>
              <w:t>自定义视频分辨率，帧速率，比特率和音频编解码器设置。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4.</w:t>
            </w:r>
            <w:r>
              <w:rPr>
                <w:rFonts w:hint="eastAsia" w:ascii="宋体" w:hAnsi="宋体" w:cs="宋体"/>
                <w:color w:val="auto"/>
                <w:kern w:val="0"/>
                <w:szCs w:val="21"/>
                <w:highlight w:val="none"/>
              </w:rPr>
              <w:t>流媒体编码器提供不小于2个不同流同时输出，满足各平台要求。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支持对输入信号和本地素材进行无规则裁剪，任意异形；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5.</w:t>
            </w:r>
            <w:r>
              <w:rPr>
                <w:rFonts w:hint="eastAsia" w:ascii="宋体" w:hAnsi="宋体" w:cs="宋体"/>
                <w:color w:val="auto"/>
                <w:kern w:val="0"/>
                <w:szCs w:val="21"/>
                <w:highlight w:val="none"/>
              </w:rPr>
              <w:t>每路输入均可设置不小于0~5000毫秒的延时设置；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支持对导入视频进行入出点设置，方便区段播放；可升级功能，后期可升级宏指令自动操作（截图加盖公章），PTZ摄像机控制。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必须支持动态gif导入，实现动态字幕花字效果；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多层任意遮罩，多层任意叠加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不少于20种转场效果；演播室应用，4K 25/30P 专业级，兼容高清50i/P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实时美颜功能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具备4路实时互动接口，手机、电脑可通过浏览器实时与演播室连线，延时不大于500ms，互动端可收看监看演播室PGM信号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不少于8路的可直切画面，包括外部输入信号、机算机（PC/MAC）信号、电子终端信号（iPad/iPhone等）、视频回放信号、图片、字幕信号、内置静/动态缓存信号，虚拟画面信号；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每路输入信号支持90度，180度，270度角度转换，支持水平镜像转换，行场处理，支持区域选取构图。</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特技切换台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置控制面板，通过USB与主机连接，采用纯铝镁合金便携式设计，集成切换功能按钮，可控制智能切换系统主机，提供不少于10路PGM信号、10路PVW信号、8路虚拟机位信号、录制及停止等功能的快捷操作方式；提供操作模式切换按钮；提供特效选择切换按钮；提供切换特效推滑块；提供音量大小调节滑块等。</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SDI转HDMI转换器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广播级质量，SDI转HDMI转换器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监听音箱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频响范围：54Hz - 30kHz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高音单元：1" 半球形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低音单元：5“ 锥面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LFHF分频输出功率：70W、45W、25W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LEVEL控制器：（＋4dB/中央感应档位）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EQ：HIGHTRIM开关（HF范围+/-2dB）,ROOM CONTROL（房间控制）开关（500Hz下0/-2/-4dB）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接通电源：白色LED灯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类型：低音反射型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材料：MDF</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液晶提词器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22寸超高亮机架式演播室专用提词器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嵌入式主机，尺寸不大于90mm*60mm*30mm，通电即用，不需启动。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支持声控、脚踏板、遥控器、鼠标控等多种控制方式。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发射罩(含进口2mm反射器)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光学镀膜玻璃，多层镀膜技术，透过率80%，45度斜角反射率不低于50%，无色差及杂色光谱，无重影；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180/270/360度图像旋转功能；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显示界面为雾面抑制反光设计；</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控制台（钢木结构）</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工位</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台结构：操作台为新型液晶显示器专用操作台，操作台下设有走线空间。操作台由台面，柜体，桌面嵌入式斜槽组成。桌面采用木制桌面，木制桌面光滑整洁，手感细腻，每联操作台扶手下方设隐藏式键盘抽屉，方便工作人员操作，操作台下柜内设有隐藏式标准19"机柜，适合放置工控机等标准设备，达到客户设备放置的需求，方便管理，维护和起到保护设备的作用，下柜柜体带有通风孔，可以起到很好的散热作用；豪华彩虹腿操作台支撑腿子采用钢铸材质制作，厚度120MM-60MM激光切割而成，重量20公斤，能起到很好的支撑作用，与此同时弧形腿控制台可后台板在高度上作降低处理，适合放置液晶显示器，同时桌面也做了19英寸窗口，可放3-5U标准设备，方便在桌面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二、加工工艺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(1)产品严格按照19”国际标准设计(除非标加工外)，相关尺寸符合GB/T3047.2-92标准。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(2)产品结构为半拼装型，各部件和附件均为标准件，互换性和通用性强。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(3)产品所有冷轧钢板均采用优质冷轧钢板厚度根据不同部件要求由1.2mm—2.5mm不等。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(4)产品表面处理为静电喷塑和热镀彩锌工艺——流程概述为：制图——编程——成形——去油去污——热磷化——表面刮导电腻子等（预处理）——喷塑（颜色可选）；内部部分结构件采用热镀彩锌工艺。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(5)产品所有配件均选用功能强、稳定性好、技术指标高、品牌有名、尺寸适合的构件。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导播间座椅</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把</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类别：可调节高度还脚轮网布电脑椅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材质：高档网布+镀铬碳钢五星脚</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产品尺寸（cm)：约48*58*128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主色调：黑色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钢制隔音门尺寸约2000*900mm。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59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虚拟绿箱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蓝箱高清抠像漆，蓝箱整体色调保持一致，表面平滑无针孔、褶皱、起泡等现象。立面与弧面、立面与地板、弧面与地板连接处过渡平滑，无棱角和缝隙。</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1.墙面75系轻钢龙骨框架，2层9.5mm纸面石膏板封面，内填充50mm岩棉板；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2.圆弧18mm阻燃胶合板裁剪半径R500mm圆弧；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3.地台18mm阻燃胶合板铺设高度100mm，9.5mm纸面水泥板封面；（阻燃等级：B1级）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4.腻子粉批刮3遍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5.抠像漆粉刷2遍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抠像地胶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地台铺设抠像蓝绿两面地胶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1、耐磨、耐踩、不反光、适合做全身抠像。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2、易清洁、易维护、可直接用抹布撑拭、或干净拖把拖。</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3、直接铺到蓝箱或绿箱地面，不会出现皱纹。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4、每块地胶有两面，经济使用，一面是蓝色，一面是绿色，专为影视拍摄抠像设计的地胶。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5、每卷标准长度为40米，宽度为1.6米，厚度为1.3毫来。</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观察窗</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观察窗尺寸3m*1m，金属包边10mm厚钢化玻璃。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高强度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热稳定性:可承受250℃的温差变化。0.07mm黑色不锈钢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材质：黑色磨砂不锈钢报边框，达到电视台观察窗制作标准。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13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盏</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LED平板灯，规格：600*600mm  电压：220v 功率： 48w 色温6000K，显值80/85。</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灯光钢结构层</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83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采用4*4厘米镀锌方管焊接，黑色喷涂处理，间距600mm。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演播室装修</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1、投标人中标后必须按照需求与业主沟通并出具效果图，且必须严格按照效果图进行施工。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施工应预先规划融媒体演播室的综合布线，特别是LED屏幕、播音台、点评区的过线处理，提前进行管道预埋，尽量避免布线影响融媒体演播室整体，对于需要的墙插、地插以及预埋管道的出口，都需考虑到与舞美制景的无缝结合。</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.对地面进行的重新处理符合融媒体演播室设计的整体风格，地面材料使用要合理、科学，根据现场实际情况安排铺设，并要求拼接要做到无缝拼接。</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.融媒体演播室的舞美灯带都必须进调光台可多种变色。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LED平板柔光灯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功率：100W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显色指数：Ra≥95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灯体重量：6.2kg颜  色：黑色外壳材质：铝合金灯珠数量：288颗 LED灯珠出光角度：120度显色指数：Ra≥95使用寿命：50000小时灯体尺寸：500×270×90mm色  温：5600K (±150K)额定电压：AC 100-240V    50/60Hz通道数量：1个通道工作温度：-20℃至50℃存放温度：-20℃至60℃冷却系统：自然风冷散热调光功能：0%至100%无极调节链接方式：电源线in/out，信号线in/out信号线：三芯卡侬头输入，三芯卡侬头输出操  作：数码显示管控制地址码和相对照度控制协议：DMX512（1990版）调光和主机调光控制两种。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LED聚光灯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额定功率：100W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显色指数： Ra≥95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色温： 5600K(±150K)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品名： LED影视聚光灯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电压： AC100-240V 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光源： LED集成灯珠 70W/颗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光束角度： 15-60度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发光效率： ≥90Lm/W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光学系统： 聚焦菲涅尔透镜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透镜直径： 130mm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通道数量： 1个通道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调光功能： 0%至100%无极调节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 数码显示管控制地址码和相对照度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信号线： 三芯卡侬头输入/输出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链接方式： 电源线in/out,信号线in/out</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驱动方式： 恒流驱动3500mA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冷却系统： 对流传热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使用寿命： 50000小时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工作温度： ‐20℃至50℃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颜色： 黑色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外壳材质： 铝型材</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灯钩</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金属材质，承重不低于25KG。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恒力绞链（标准型）</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弹簧选用高强弹不锈钢经特殊处理，厚度0.75MM，宽度23MM，优质铝合金材料制成，全喷塑处理，抗静电，承重2-13KG，具有重量轻，导向型好，定位精准，使用操作简单。</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69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灯具保险链</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规格：带胶钢丝绳扣件，自重0.05KG，承重30KG，长度700MM。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演播室灯具灯号牌</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规格110*150MM，材质：亚克力板，雕刻制作，永久不会褪色。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数字调光台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MX512/1990标准，最大256个DMX控制通道，一路光电隔离信号输出。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最大控制16台电脑灯或64路调光。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自动生成灯库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带背光的LCD显示屏，首创的中英文显示可切换界面。面板中英文可选。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内置图形轨迹发生器，有35个内置图形，方便用户对电脑灯进行图形轨迹控制，如画圆、螺旋、彩虹、追逐等多种效果。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图形参数（如：振幅、速度、间隔、波浪、方向）均可独立设置，更方便快捷的做出想要的造型和场景。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可储存80个重演场景，用于储存多步场景和单步场景。每个多步场景最多可储存600个单步。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可同时输出和运行16个重演场景。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带16根集控推杆。按键点控和推杆集控兼容。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关机或者突发断电等情况数据可记忆保持。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U盘可备份控台数据，并支持重新导入到控台使用，同型号控台数据可共享。</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支持远程软件升级，随时随地增加新的功能。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预置推杆可控制电脑灯的属性，属性控制更方便快捷。支持立即黑场、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产品尺寸：约480*220*75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电源：AC 100 -240V / 50-60Hz。</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数字DMX信号放大器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1路DMX512数码输入，1路DMX512直接输出。                                                                                                                                                                                                              输入输出光电隔离 。                                                                                                                                                                                                                4或8路独立放大驱动输出。                                                                                                                                                                                                       信号放大整形功能，延长信号传输距离。                                                                                                                                                                                                        增强数据总线接入设备数量的能力。保护灯光控制台DMX512输出接口，故障现场隔离，提高数字式灯光控制系统的安全可靠性。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电源线及信号线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满足灯光所需电源线及信号控制线、需达国标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视音频线缆及接头</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满足该演播室所需视音频线缆及接头、需达国标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1、该项目视音频系统集成，灯光调试、集成。                                             </w:t>
            </w:r>
            <w:r>
              <w:rPr>
                <w:rFonts w:ascii="宋体" w:hAnsi="宋体" w:cs="宋体"/>
                <w:color w:val="auto"/>
                <w:kern w:val="0"/>
                <w:szCs w:val="21"/>
                <w:highlight w:val="none"/>
              </w:rPr>
              <w:t>2</w:t>
            </w:r>
            <w:r>
              <w:rPr>
                <w:rFonts w:hint="eastAsia" w:ascii="宋体" w:hAnsi="宋体" w:cs="宋体"/>
                <w:color w:val="auto"/>
                <w:kern w:val="0"/>
                <w:szCs w:val="21"/>
                <w:highlight w:val="none"/>
              </w:rPr>
              <w:t>、含另购监控系统的安装材料、施工、调试。</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（04）101演播室整体改造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电视墙</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组</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材质：主框架采用钢铝混合结构，结构采用冷轧钢板加工而成，承重框架采用工业铝型材结构，四组，可嵌入4台不低于50寸液晶屏，两边嵌入式音箱，上面可嵌入式时钟。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规格：不低于长4500*高2300*深400（mm）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钢结构层及隔音层</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1.网格规格："田”字型，间距600mm，网架材料采用直径不小于3 mm方管；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2.演播室固定挂灯网架全部为焊接结构，上表面须在一个平面上。要求总高度差不大于5mm；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3.固定挂灯网架距地面高度为3-5.5米；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4.演播室仅灯光设备要求固定挂灯网架净承重≥80kg/平米；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5.钢材表面应做黑色防锈处理。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旧演播室拆除及垃圾清运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旧演播室舞美置景、塑胶地板、导播间门、演播室吊顶拆除及垃圾清理。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79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旧演播室灯光改造</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1、旧演播室LED柔光灯、聚光灯、灯号牌、恒力铰链、信号线缆、电源线缆、灯光放大器拆除。</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2、根据现有效果图功能分区重新布光。</w:t>
            </w:r>
          </w:p>
        </w:tc>
        <w:tc>
          <w:tcPr>
            <w:tcW w:w="74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舞美置景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1、投标人中标后须按照业主需求与业主沟通并出具效果图，且必须严格按照效果图进行施工。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施工应预先规划融媒体演播室的综合布线，特别是LED屏幕、播音台、点评区的过线处理，提前进行管道预埋，尽量避免布线影响融媒体演播室整体，对于需要的墙插、地插以及预埋管道的出口，都需考虑到与舞美制景的无缝结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5、对地面进行的重新处理符合融媒体演播室设计的整体风格，地面材料使用要合理、科学，根据现场实际情况安排铺设，并要求拼接要做到无缝拼接。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6、融媒体演播室的舞美灯带都必须进调光台可多种变色。</w:t>
            </w:r>
          </w:p>
        </w:tc>
        <w:tc>
          <w:tcPr>
            <w:tcW w:w="74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81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视频处理器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Faroudja® Real Color®真彩图像处理，10+ Bit Faroudja® DCDI去隔行视频处理，Faroudja® TureLife™视频图像增强；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 Vivid Color TM 图像处理技术，第二代PCM高精度色彩增强；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3、先进的隔行运动图像自适应处理技术，消除视频图像运动拖尾和锯齿现象；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4、4K2K_60Hz超高清(UHD)图像全硬件高速处理；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5、4K2K范围内LED显示屏点对点同步显示；支持图文叠加、无极缩放；单机可带载1600万像素点，即8K2K分辨率，无需繁琐的软件设置；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6、输入：HDMI2.0（4K2K60Hz）×2，DP1.2(4K2K60Hz)×1,CVBS×1,SDI/HD-SDI×1,DVI×1（通过拨码开关兼容HDMI1.3和VGA输入）；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各输入板卡之间，以及同一输入板卡之间的各路信号均可无缝切换；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 输出：输出DVI数字全高清，单机4路输出，单口分辨率达到全高清(HD)1080P@60Hz；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9、任意输入信号的图像均可被任意输出做任意截取显示，可轻松完成超高清分辨率LED大屏幕拼接，并可完成异步显示屏等复杂拼接；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 超高清和高清信号同时显示4窗口（不低于2路UHD同时显示），且可任意跨屏漫游，最多可显示6路信号画面；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11、高清（HD）板卡In A和In B可单独开启画中画（PIP）功能，且主子画面可任意设置窗口大小，和任意位移X和Y的坐标值；</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12、可对任意输入窗口和任意输出端口设置亮度、对比度、颜色，等级为0-255；此功能针对不同批次屏幕拼接在一起的色差有大幅改善效果；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13、同步监视，可使用1080P的显示器同步监视4K2K_60Hz输入画面；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 多种预存模式一键调用，模式调用保证无缝不黑屏切换过渡效果；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15、强大的快捷按键（M.S.）复制功能，可快速Copy模式参数，方便现场复杂应用；固定预留3个备份模式，可1键拷贝还原；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16、独有的拨码按键设计，使得高清板卡DVI输入端口，同时兼容HDMI和VGA的输入，以此来节约空间，加强硬件端口接收能力；</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 触碰式发光电源开关和蓝色发光触控旋钮为操控者提供实时工作状态回应；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18、特设一个“Lock”按键，可锁定前面板所有按键，保证设备不受操控者以外的外力影响；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输入和输出信号采用加强型插卡设计，可靠耐用，且便于用户按需求灵活配置，同时方便清理维护和售后服务；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20、便捷的面板按键操作或RS232/USB/LAN操控设置</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气压升降台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1、先进的气压支撑结构，完美地实现动态升降拍摄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2、气压恒定，无需充气。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3、中柱升降精密平稳，摄相机可轻松停留在任意高度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4、标准Ф100mm球座，易与各种云台连接，轻松调水平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5、举力：30KG，高度：970-1770mm，气压行程    340mm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6、云台承重：30KG，液压阻尼：8+8。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7、7 级平衡系统。由先进的抗扭弹簧部件构成。并与平衡辅助系统（快拆滑板的移动）相结合，实现不低于30kg 以内摄象机的最 佳平衡。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8、标配双手柄。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1、本次采购设备融入设备系统中，安装、集成、调试。          </w:t>
            </w:r>
          </w:p>
          <w:p>
            <w:pPr>
              <w:widowControl/>
              <w:jc w:val="left"/>
              <w:textAlignment w:val="center"/>
              <w:rPr>
                <w:rFonts w:ascii="宋体" w:hAnsi="宋体" w:cs="宋体"/>
                <w:strike/>
                <w:color w:val="auto"/>
                <w:kern w:val="0"/>
                <w:szCs w:val="21"/>
                <w:highlight w:val="none"/>
              </w:rPr>
            </w:pPr>
            <w:r>
              <w:rPr>
                <w:rFonts w:hint="eastAsia" w:ascii="宋体" w:hAnsi="宋体" w:cs="宋体"/>
                <w:color w:val="auto"/>
                <w:kern w:val="0"/>
                <w:szCs w:val="21"/>
                <w:highlight w:val="none"/>
              </w:rPr>
              <w:t>2、含另购监控系统的安装材料、施工、调试与录像机对接。</w:t>
            </w:r>
          </w:p>
        </w:tc>
        <w:tc>
          <w:tcPr>
            <w:tcW w:w="74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电台直播台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投标人在中标后按照与业主沟通效果出具效果图，并严格按照效果图施工制作。</w:t>
            </w:r>
          </w:p>
        </w:tc>
        <w:tc>
          <w:tcPr>
            <w:tcW w:w="74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演播桌</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投标人在中标后按照与业主沟通效果出具效果图，并严格按照效果图施工制作。</w:t>
            </w:r>
          </w:p>
        </w:tc>
        <w:tc>
          <w:tcPr>
            <w:tcW w:w="74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945" w:type="dxa"/>
            <w:gridSpan w:val="7"/>
            <w:tcBorders>
              <w:top w:val="single" w:color="auto" w:sz="4" w:space="0"/>
              <w:left w:val="single" w:color="auto" w:sz="4" w:space="0"/>
              <w:bottom w:val="single" w:color="auto" w:sz="4" w:space="0"/>
              <w:right w:val="single" w:color="auto" w:sz="4" w:space="0"/>
            </w:tcBorders>
            <w:vAlign w:val="center"/>
          </w:tcPr>
          <w:p>
            <w:pPr>
              <w:pStyle w:val="101"/>
              <w:ind w:firstLine="0" w:firstLineChars="0"/>
              <w:rPr>
                <w:rFonts w:ascii="宋体" w:hAnsi="宋体" w:cs="宋体"/>
                <w:color w:val="auto"/>
                <w:szCs w:val="21"/>
                <w:highlight w:val="none"/>
              </w:rPr>
            </w:pPr>
            <w:r>
              <w:rPr>
                <w:rFonts w:hint="eastAsia" w:hAnsi="宋体"/>
                <w:b/>
                <w:bCs/>
                <w:color w:val="auto"/>
                <w:highlight w:val="none"/>
              </w:rPr>
              <w:t>▲</w:t>
            </w:r>
            <w:r>
              <w:rPr>
                <w:rFonts w:hint="eastAsia" w:ascii="宋体" w:hAnsi="宋体" w:cs="宋体"/>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质量保证期</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shd w:val="clear" w:color="auto" w:fill="FFFFFF"/>
              </w:rPr>
              <w:t>1、国家有关产品“三包”规定执行“三包”，货物质量保证期  1  年（自最终验收合格之日算），</w:t>
            </w:r>
            <w:r>
              <w:rPr>
                <w:rFonts w:hint="eastAsia" w:ascii="宋体" w:hAnsi="宋体" w:cs="宋体"/>
                <w:color w:val="auto"/>
                <w:szCs w:val="21"/>
                <w:highlight w:val="none"/>
              </w:rPr>
              <w:t>在质保期内设备运行发生故障，免费上门维修、免费更换零部件；本分标设备提供终身服务。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售后技术服务要求</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mbria" w:hAnsi="Cambria"/>
                <w:b/>
                <w:bCs/>
                <w:color w:val="auto"/>
                <w:sz w:val="24"/>
                <w:highlight w:val="none"/>
              </w:rPr>
            </w:pPr>
            <w:r>
              <w:rPr>
                <w:rFonts w:hint="eastAsia"/>
                <w:color w:val="auto"/>
                <w:highlight w:val="none"/>
              </w:rPr>
              <w:t>1、免费送货上门，免费安装调试。接采购人报障电话1小时内响应，7×24小时电话和远程支持服务，若电话和远程无法解决，3小时内须派技术人员到达现场解决故障，如故障不能及时解决须提供备用设备替代，</w:t>
            </w:r>
            <w:r>
              <w:rPr>
                <w:rFonts w:hint="eastAsia"/>
                <w:color w:val="auto"/>
                <w:highlight w:val="none"/>
                <w:shd w:val="clear" w:color="auto" w:fill="FFFFFF"/>
              </w:rPr>
              <w:t>24小时</w:t>
            </w:r>
            <w:r>
              <w:rPr>
                <w:rFonts w:hint="eastAsia"/>
                <w:color w:val="auto"/>
                <w:highlight w:val="none"/>
              </w:rPr>
              <w:t>内未能解决或提供备用设备替代的，每次扣除履约保证金的1/3。培训服务：设备安装调试完成后，中标人提供免费技术培训，保证设备使用人员掌握设备操作的各种知识和技巧。</w:t>
            </w:r>
          </w:p>
          <w:p>
            <w:pPr>
              <w:spacing w:line="360" w:lineRule="exact"/>
              <w:jc w:val="left"/>
              <w:rPr>
                <w:rFonts w:ascii="Cambria" w:hAnsi="Cambria"/>
                <w:b/>
                <w:bCs/>
                <w:color w:val="auto"/>
                <w:sz w:val="24"/>
                <w:highlight w:val="none"/>
              </w:rPr>
            </w:pPr>
            <w:r>
              <w:rPr>
                <w:rFonts w:hint="eastAsia"/>
                <w:color w:val="auto"/>
                <w:highlight w:val="none"/>
              </w:rPr>
              <w:t>2、免费保修期内定期上门检查、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交货时间</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color w:val="auto"/>
                <w:highlight w:val="none"/>
              </w:rPr>
              <w:t>自签订合同之日起</w:t>
            </w:r>
            <w:r>
              <w:rPr>
                <w:color w:val="auto"/>
                <w:highlight w:val="none"/>
              </w:rPr>
              <w:t>30</w:t>
            </w:r>
            <w:r>
              <w:rPr>
                <w:rFonts w:hint="eastAsia"/>
                <w:color w:val="auto"/>
                <w:highlight w:val="none"/>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交货地点</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自中标通知书发出之日起25天内。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付款条件</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履约保证金：</w:t>
            </w: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履约保证金缴款账户信息：</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报价及其他要求</w:t>
            </w:r>
          </w:p>
          <w:p>
            <w:pPr>
              <w:spacing w:line="360" w:lineRule="exact"/>
              <w:rPr>
                <w:rFonts w:ascii="宋体" w:hAnsi="宋体" w:cs="宋体"/>
                <w:color w:val="auto"/>
                <w:szCs w:val="21"/>
                <w:highlight w:val="none"/>
              </w:rPr>
            </w:pP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ascii="宋体" w:hAnsi="宋体"/>
                <w:color w:val="auto"/>
                <w:szCs w:val="21"/>
                <w:highlight w:val="none"/>
              </w:rPr>
            </w:pPr>
            <w:r>
              <w:rPr>
                <w:rFonts w:hint="eastAsia" w:ascii="宋体" w:hAnsi="宋体"/>
                <w:color w:val="auto"/>
                <w:szCs w:val="21"/>
                <w:highlight w:val="none"/>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pPr>
              <w:spacing w:line="360" w:lineRule="exact"/>
              <w:rPr>
                <w:rFonts w:ascii="宋体" w:hAnsi="宋体"/>
                <w:color w:val="auto"/>
                <w:szCs w:val="21"/>
                <w:highlight w:val="none"/>
              </w:rPr>
            </w:pPr>
            <w:r>
              <w:rPr>
                <w:rFonts w:hint="eastAsia" w:ascii="宋体" w:hAnsi="宋体"/>
                <w:color w:val="auto"/>
                <w:szCs w:val="21"/>
                <w:highlight w:val="none"/>
              </w:rPr>
              <w:t>3.针对本项目提供切实可行的售后服务方案，否则投标无效。</w:t>
            </w:r>
          </w:p>
          <w:p>
            <w:pPr>
              <w:spacing w:line="360" w:lineRule="exact"/>
              <w:rPr>
                <w:rFonts w:ascii="宋体" w:hAnsi="宋体" w:cs="宋体"/>
                <w:color w:val="auto"/>
                <w:szCs w:val="21"/>
                <w:highlight w:val="none"/>
              </w:rPr>
            </w:pPr>
            <w:r>
              <w:rPr>
                <w:rFonts w:hint="eastAsia" w:ascii="宋体" w:hAnsi="宋体"/>
                <w:color w:val="auto"/>
                <w:szCs w:val="21"/>
                <w:highlight w:val="none"/>
              </w:rPr>
              <w:t>4.投标人提供的货物及制作安装采用的各种配件、材料均必须满足国家和行业规范标准。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质量要求及验收标准</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1、规范标准：采购标的需执行国家标准、行业标准、地方标准或者其他标准、规范。</w:t>
            </w:r>
          </w:p>
          <w:p>
            <w:pPr>
              <w:spacing w:line="360" w:lineRule="exact"/>
              <w:rPr>
                <w:rFonts w:ascii="宋体" w:hAnsi="宋体"/>
                <w:color w:val="auto"/>
                <w:szCs w:val="21"/>
                <w:highlight w:val="none"/>
              </w:rPr>
            </w:pPr>
            <w:r>
              <w:rPr>
                <w:rFonts w:hint="eastAsia" w:ascii="宋体" w:hAnsi="宋体"/>
                <w:color w:val="auto"/>
                <w:szCs w:val="21"/>
                <w:highlight w:val="none"/>
              </w:rPr>
              <w:t>2、中标人所提供的产品必须为原装正品的、全新的、符合国家标准、行业标准、地方标准或者其他标准、规范的产品。采购人对中标人提交的货物依据招标文件上的技术规格要求和上述标准进行现场初步验收，外观、说明书符合招标文件要求的，给予签收，初步验收不合格的不予签收。采购人应当在到货（安装、调试完）后5个工作日内进行验收。采购人现场根据招标文件要求及投标文件承诺逐条对应进行核验，核验不合格的，不予验收，同时报相关监督管理部门处理，由此造成采购人经济损失的由中标人负责承担全部赔偿责任。如有异议，将交由国家认可并具检验检测资格的第三方机构邀请相关专家进行实际检验，所有产生的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知识产权要求</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b/>
                <w:bCs/>
                <w:color w:val="auto"/>
                <w:highlight w:val="none"/>
              </w:rPr>
            </w:pPr>
            <w:r>
              <w:rPr>
                <w:rFonts w:hint="eastAsia" w:hAnsi="宋体"/>
                <w:b/>
                <w:bCs/>
                <w:color w:val="auto"/>
                <w:highlight w:val="none"/>
              </w:rPr>
              <w:t>核心产品</w:t>
            </w:r>
          </w:p>
          <w:p>
            <w:pPr>
              <w:spacing w:line="360" w:lineRule="exact"/>
              <w:rPr>
                <w:rFonts w:ascii="宋体" w:hAnsi="宋体"/>
                <w:b/>
                <w:bCs/>
                <w:color w:val="auto"/>
                <w:szCs w:val="21"/>
                <w:highlight w:val="none"/>
              </w:rPr>
            </w:pP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bCs/>
                <w:color w:val="auto"/>
                <w:szCs w:val="21"/>
                <w:highlight w:val="none"/>
                <w:u w:val="single"/>
              </w:rPr>
            </w:pPr>
            <w:r>
              <w:rPr>
                <w:rFonts w:hint="eastAsia" w:ascii="宋体" w:hAnsi="宋体"/>
                <w:b/>
                <w:bCs/>
                <w:color w:val="auto"/>
                <w:szCs w:val="21"/>
                <w:highlight w:val="none"/>
              </w:rPr>
              <w:t>核心产品为</w:t>
            </w:r>
            <w:r>
              <w:rPr>
                <w:rFonts w:hint="eastAsia" w:ascii="宋体" w:hAnsi="宋体"/>
                <w:b/>
                <w:bCs/>
                <w:color w:val="auto"/>
                <w:szCs w:val="21"/>
                <w:highlight w:val="none"/>
                <w:u w:val="single"/>
              </w:rPr>
              <w:t xml:space="preserve">  4</w:t>
            </w:r>
            <w:r>
              <w:rPr>
                <w:rFonts w:ascii="宋体" w:hAnsi="宋体"/>
                <w:b/>
                <w:bCs/>
                <w:color w:val="auto"/>
                <w:szCs w:val="21"/>
                <w:highlight w:val="none"/>
                <w:u w:val="single"/>
              </w:rPr>
              <w:t>8</w:t>
            </w:r>
            <w:r>
              <w:rPr>
                <w:rFonts w:hint="eastAsia" w:ascii="宋体" w:hAnsi="宋体"/>
                <w:b/>
                <w:bCs/>
                <w:color w:val="auto"/>
                <w:szCs w:val="21"/>
                <w:highlight w:val="none"/>
                <w:u w:val="single"/>
              </w:rPr>
              <w:t xml:space="preserve">项：4K超高清智能虚拟演播室软件    </w:t>
            </w:r>
            <w:r>
              <w:rPr>
                <w:rFonts w:hint="eastAsia" w:ascii="宋体" w:hAnsi="宋体"/>
                <w:b/>
                <w:bCs/>
                <w:color w:val="auto"/>
                <w:szCs w:val="21"/>
                <w:highlight w:val="none"/>
              </w:rPr>
              <w:t>。</w:t>
            </w:r>
          </w:p>
          <w:p>
            <w:pPr>
              <w:spacing w:line="36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w:t>
            </w:r>
          </w:p>
          <w:p>
            <w:pPr>
              <w:spacing w:line="360" w:lineRule="exact"/>
              <w:rPr>
                <w:rFonts w:ascii="宋体" w:hAnsi="宋体"/>
                <w:color w:val="auto"/>
                <w:szCs w:val="21"/>
                <w:highlight w:val="none"/>
              </w:rPr>
            </w:pPr>
            <w:r>
              <w:rPr>
                <w:rFonts w:hint="eastAsia" w:ascii="宋体" w:hAnsi="宋体"/>
                <w:color w:val="auto"/>
                <w:szCs w:val="21"/>
                <w:highlight w:val="none"/>
              </w:rPr>
              <w:t>下投标的，按一家投标人计算，评审 后得分最高的同品牌投标人获得中标人推</w:t>
            </w:r>
          </w:p>
          <w:p>
            <w:pPr>
              <w:spacing w:line="360" w:lineRule="exact"/>
              <w:rPr>
                <w:rFonts w:ascii="宋体" w:hAnsi="宋体"/>
                <w:color w:val="auto"/>
                <w:szCs w:val="21"/>
                <w:highlight w:val="none"/>
              </w:rPr>
            </w:pPr>
            <w:r>
              <w:rPr>
                <w:rFonts w:hint="eastAsia" w:ascii="宋体" w:hAnsi="宋体"/>
                <w:color w:val="auto"/>
                <w:szCs w:val="21"/>
                <w:highlight w:val="none"/>
              </w:rPr>
              <w:t>荐资格；评审得分相同的，由采购人或者采购人委托评标委员会按照招标文件</w:t>
            </w:r>
          </w:p>
          <w:p>
            <w:pPr>
              <w:spacing w:line="360" w:lineRule="exact"/>
              <w:rPr>
                <w:rFonts w:ascii="宋体" w:hAnsi="宋体"/>
                <w:color w:val="auto"/>
                <w:szCs w:val="21"/>
                <w:highlight w:val="none"/>
              </w:rPr>
            </w:pPr>
            <w:r>
              <w:rPr>
                <w:rFonts w:hint="eastAsia" w:ascii="宋体" w:hAnsi="宋体"/>
                <w:color w:val="auto"/>
                <w:szCs w:val="21"/>
                <w:highlight w:val="none"/>
              </w:rPr>
              <w:t>规定的方式确定一个投标人获得中标人推荐资格，招标文件未规定的采取随机</w:t>
            </w:r>
          </w:p>
          <w:p>
            <w:pPr>
              <w:spacing w:line="360" w:lineRule="exact"/>
              <w:rPr>
                <w:rFonts w:ascii="宋体" w:hAnsi="宋体"/>
                <w:b/>
                <w:bCs/>
                <w:color w:val="auto"/>
                <w:szCs w:val="21"/>
                <w:highlight w:val="none"/>
              </w:rPr>
            </w:pPr>
            <w:r>
              <w:rPr>
                <w:rFonts w:hint="eastAsia" w:ascii="宋体" w:hAnsi="宋体"/>
                <w:color w:val="auto"/>
                <w:szCs w:val="21"/>
                <w:highlight w:val="none"/>
              </w:rPr>
              <w:t>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场地考察</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color w:val="auto"/>
                <w:highlight w:val="none"/>
              </w:rPr>
            </w:pPr>
            <w:r>
              <w:rPr>
                <w:rFonts w:hint="eastAsia"/>
                <w:color w:val="auto"/>
                <w:highlight w:val="none"/>
              </w:rPr>
              <w:t>根据该项目需求，使用方决定集中投标人考察相关房间的实际环境，各投标人根据自己设计需求考察场地。</w:t>
            </w:r>
          </w:p>
          <w:p>
            <w:pPr>
              <w:spacing w:line="360" w:lineRule="exact"/>
              <w:ind w:left="210" w:leftChars="100"/>
              <w:jc w:val="left"/>
              <w:rPr>
                <w:color w:val="auto"/>
                <w:highlight w:val="none"/>
              </w:rPr>
            </w:pPr>
            <w:r>
              <w:rPr>
                <w:rFonts w:hint="eastAsia"/>
                <w:b/>
                <w:bCs/>
                <w:color w:val="auto"/>
                <w:highlight w:val="none"/>
              </w:rPr>
              <w:t xml:space="preserve">地点：广西南宁市青秀区合兴路3号南宁师范大学文理综楼3楼322室                      联系人： 梁颍涛   电话：13978886668  </w:t>
            </w:r>
            <w:r>
              <w:rPr>
                <w:b/>
                <w:bCs/>
                <w:color w:val="auto"/>
                <w:highlight w:val="none"/>
              </w:rPr>
              <w:t xml:space="preserve">   </w:t>
            </w:r>
            <w:r>
              <w:rPr>
                <w:rFonts w:hint="eastAsia"/>
                <w:b/>
                <w:bCs/>
                <w:color w:val="auto"/>
                <w:highlight w:val="none"/>
              </w:rPr>
              <w:t xml:space="preserve">  </w:t>
            </w:r>
            <w:r>
              <w:rPr>
                <w:rFonts w:hint="eastAsia"/>
                <w:color w:val="auto"/>
                <w:highlight w:val="none"/>
              </w:rPr>
              <w:t xml:space="preserve">                  </w:t>
            </w:r>
          </w:p>
        </w:tc>
      </w:tr>
    </w:tbl>
    <w:p>
      <w:pPr>
        <w:pStyle w:val="9"/>
        <w:rPr>
          <w:color w:val="auto"/>
          <w:highlight w:val="none"/>
        </w:rPr>
      </w:pPr>
    </w:p>
    <w:p>
      <w:pPr>
        <w:rPr>
          <w:color w:val="auto"/>
          <w:highlight w:val="none"/>
        </w:rPr>
      </w:pPr>
    </w:p>
    <w:p>
      <w:pPr>
        <w:pStyle w:val="16"/>
        <w:rPr>
          <w:color w:val="auto"/>
          <w:highlight w:val="none"/>
        </w:rPr>
      </w:pPr>
    </w:p>
    <w:p>
      <w:pPr>
        <w:rPr>
          <w:color w:val="auto"/>
          <w:highlight w:val="none"/>
        </w:rPr>
      </w:pPr>
    </w:p>
    <w:p>
      <w:pPr>
        <w:pStyle w:val="9"/>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9"/>
        <w:rPr>
          <w:color w:val="auto"/>
          <w:highlight w:val="none"/>
        </w:rPr>
      </w:pPr>
      <w:r>
        <w:rPr>
          <w:rFonts w:hint="eastAsia"/>
          <w:color w:val="auto"/>
          <w:highlight w:val="none"/>
        </w:rPr>
        <w:t>标项二</w:t>
      </w:r>
    </w:p>
    <w:tbl>
      <w:tblPr>
        <w:tblStyle w:val="34"/>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905"/>
        <w:gridCol w:w="17"/>
        <w:gridCol w:w="33"/>
        <w:gridCol w:w="407"/>
        <w:gridCol w:w="907"/>
        <w:gridCol w:w="767"/>
        <w:gridCol w:w="5476"/>
        <w:gridCol w:w="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945" w:type="dxa"/>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191"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一、舞台结构</w:t>
            </w:r>
          </w:p>
        </w:tc>
        <w:tc>
          <w:tcPr>
            <w:tcW w:w="75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 xml:space="preserve">基础舞台              </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18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便携式安装拆卸舞台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防火舞台板+铝合金支架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舞台尺寸：7.32米宽*3.66米深*0.2米高，</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舞台单元板尺寸：1.22m x 1.22m</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地毯包裹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200.00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拉绒地毯</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舞蹈地胶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130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color w:val="auto"/>
                <w:highlight w:val="none"/>
              </w:rPr>
              <w:t>玻纤通透材：长20米</w:t>
            </w:r>
            <w:r>
              <w:rPr>
                <w:rFonts w:hint="eastAsia"/>
                <w:color w:val="auto"/>
                <w:highlight w:val="none"/>
              </w:rPr>
              <w:t xml:space="preserve">x </w:t>
            </w:r>
            <w:r>
              <w:rPr>
                <w:color w:val="auto"/>
                <w:highlight w:val="none"/>
              </w:rPr>
              <w:t>宽1.5米，地板胶总厚度≥2.0mm，                                  产品技术要求:</w:t>
            </w:r>
          </w:p>
          <w:p>
            <w:pPr>
              <w:widowControl/>
              <w:jc w:val="left"/>
              <w:textAlignment w:val="center"/>
              <w:rPr>
                <w:color w:val="auto"/>
                <w:highlight w:val="none"/>
              </w:rPr>
            </w:pPr>
            <w:r>
              <w:rPr>
                <w:color w:val="auto"/>
                <w:highlight w:val="none"/>
              </w:rPr>
              <w:t>1.外观质量:色泽均匀,无色差,无裂痕、无分层缺陷。</w:t>
            </w:r>
          </w:p>
          <w:p>
            <w:pPr>
              <w:widowControl/>
              <w:jc w:val="left"/>
              <w:textAlignment w:val="center"/>
              <w:rPr>
                <w:color w:val="auto"/>
                <w:highlight w:val="none"/>
              </w:rPr>
            </w:pPr>
            <w:r>
              <w:rPr>
                <w:color w:val="auto"/>
                <w:highlight w:val="none"/>
              </w:rPr>
              <w:t>2.以回弹、韧性俱佳的EPVC材质，即便是被压陷变形，重物移走也能即刻恢复原形，不收缩，不变性。</w:t>
            </w:r>
          </w:p>
          <w:p>
            <w:pPr>
              <w:widowControl/>
              <w:jc w:val="left"/>
              <w:textAlignment w:val="center"/>
              <w:rPr>
                <w:color w:val="auto"/>
                <w:highlight w:val="none"/>
              </w:rPr>
            </w:pPr>
            <w:r>
              <w:rPr>
                <w:color w:val="auto"/>
                <w:highlight w:val="none"/>
              </w:rPr>
              <w:t>3.将聚酯纤维与玻璃纤维交叉编制，提升了产品抗撕裂能力。</w:t>
            </w:r>
          </w:p>
          <w:p>
            <w:pPr>
              <w:widowControl/>
              <w:jc w:val="left"/>
              <w:textAlignment w:val="center"/>
              <w:rPr>
                <w:color w:val="auto"/>
                <w:highlight w:val="none"/>
              </w:rPr>
            </w:pPr>
            <w:r>
              <w:rPr>
                <w:color w:val="auto"/>
                <w:highlight w:val="none"/>
              </w:rPr>
              <w:t>4.玻纤同透地胶表面为皮肤纹理面层，R10级防滑。</w:t>
            </w:r>
          </w:p>
          <w:p>
            <w:pPr>
              <w:widowControl/>
              <w:jc w:val="left"/>
              <w:textAlignment w:val="center"/>
              <w:rPr>
                <w:color w:val="auto"/>
                <w:highlight w:val="none"/>
              </w:rPr>
            </w:pPr>
            <w:r>
              <w:rPr>
                <w:color w:val="auto"/>
                <w:highlight w:val="none"/>
              </w:rPr>
              <w:t>5.临界热辐射通量≥7.0mm</w:t>
            </w:r>
            <w:r>
              <w:rPr>
                <w:rFonts w:hint="eastAsia"/>
                <w:color w:val="auto"/>
                <w:highlight w:val="none"/>
              </w:rPr>
              <w:t xml:space="preserve"> </w:t>
            </w:r>
            <w:r>
              <w:rPr>
                <w:color w:val="auto"/>
                <w:highlight w:val="none"/>
              </w:rPr>
              <w:t>。</w:t>
            </w:r>
          </w:p>
          <w:p>
            <w:pPr>
              <w:widowControl/>
              <w:jc w:val="left"/>
              <w:textAlignment w:val="center"/>
              <w:rPr>
                <w:color w:val="auto"/>
                <w:highlight w:val="none"/>
              </w:rPr>
            </w:pPr>
            <w:r>
              <w:rPr>
                <w:color w:val="auto"/>
                <w:highlight w:val="none"/>
              </w:rPr>
              <w:t xml:space="preserve">6.产烟量：≤180料纯EPVC耐磨层。                                                                                                                                                          </w:t>
            </w:r>
          </w:p>
          <w:p>
            <w:pPr>
              <w:widowControl/>
              <w:jc w:val="left"/>
              <w:textAlignment w:val="center"/>
              <w:rPr>
                <w:color w:val="auto"/>
                <w:highlight w:val="none"/>
              </w:rPr>
            </w:pPr>
            <w:r>
              <w:rPr>
                <w:color w:val="auto"/>
                <w:highlight w:val="none"/>
              </w:rPr>
              <w:t>7.防火阻燃等级达到B1级标准。</w:t>
            </w:r>
          </w:p>
          <w:p>
            <w:pPr>
              <w:widowControl/>
              <w:jc w:val="left"/>
              <w:textAlignment w:val="center"/>
              <w:rPr>
                <w:color w:val="auto"/>
                <w:highlight w:val="none"/>
              </w:rPr>
            </w:pPr>
            <w:r>
              <w:rPr>
                <w:color w:val="auto"/>
                <w:highlight w:val="none"/>
              </w:rPr>
              <w:t>8.环保性能通过合法检测机构关于有害物质释放速率检测。</w:t>
            </w:r>
          </w:p>
          <w:p>
            <w:pPr>
              <w:widowControl/>
              <w:jc w:val="left"/>
              <w:textAlignment w:val="center"/>
              <w:rPr>
                <w:color w:val="auto"/>
                <w:highlight w:val="none"/>
              </w:rPr>
            </w:pPr>
            <w:r>
              <w:rPr>
                <w:rFonts w:hint="eastAsia"/>
                <w:color w:val="auto"/>
                <w:highlight w:val="none"/>
              </w:rPr>
              <w:t>9、供货时</w:t>
            </w:r>
            <w:r>
              <w:rPr>
                <w:rFonts w:hint="eastAsia"/>
                <w:color w:val="auto"/>
                <w:szCs w:val="21"/>
                <w:highlight w:val="none"/>
              </w:rPr>
              <w:t>提供国家认可的第三方检测机构出具的检测报告复印件，并加盖公章。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灯光固定杆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用直径50mm钢管制作，含安装五金配件、刷哑光面漆。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景杆固定杆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用直径50mm钢管制作，含安装五金配件、刷哑光面漆。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天花板喷漆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195.00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舞台顶面、承重梁喷漆，喷灰色漆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消防管喷漆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点位</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舞台上空消防管喷漆，喷灰色漆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舞台背景对开大幕</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126.36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1.尺寸：10.53米×4米高×3褶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15.80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10.53米×0.5米×3褶米高，工字褶款式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对开大幕电机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通过国家强制 3C 认证、CE 认证、ISO 或同等级认证；额定电流0.85A，功率300W,转速140R,额定扭矩≥26N.M；无线频率433.92MHz；电机有到位自停、行程记忆、停电手拉、手拉启动等优点； 配液晶显示 摇控器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对开大幕电动轨道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1.轨道 ： 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舞台两侧幕布</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63.84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1.尺寸：2.66米×4米高×3褶×2套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4.00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2.66米×0.5米×3褶米高，工字褶款式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舞台两侧幕布轨道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窗口幕布</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190.89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1.尺寸：9.09米×3.5米高×3褶×2套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13.64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9.09米×0.8米×3褶，工字褶款式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窗户幕布轨道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控制台定制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张</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根据现场设备需求制作控制台，采用18mm防火板制作，控制台总尺寸：3.66米*800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二、声学安装</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四周墙壁精工声学软包</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82.50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rFonts w:hint="eastAsia"/>
                <w:color w:val="auto"/>
                <w:highlight w:val="none"/>
              </w:rPr>
              <w:t>1.规格：单边尺码300mm，15000 厚度30mm；</w:t>
            </w:r>
          </w:p>
          <w:p>
            <w:pPr>
              <w:widowControl/>
              <w:jc w:val="left"/>
              <w:textAlignment w:val="center"/>
              <w:rPr>
                <w:color w:val="auto"/>
                <w:highlight w:val="none"/>
              </w:rPr>
            </w:pPr>
            <w:r>
              <w:rPr>
                <w:rFonts w:hint="eastAsia"/>
                <w:color w:val="auto"/>
                <w:highlight w:val="none"/>
              </w:rPr>
              <w:t>2.基材：80kg/m³白色环保高密度微孔玻璃纤维板+轻质高强度金属成型框体+透气声学布；</w:t>
            </w:r>
          </w:p>
          <w:p>
            <w:pPr>
              <w:widowControl/>
              <w:jc w:val="left"/>
              <w:textAlignment w:val="center"/>
              <w:rPr>
                <w:color w:val="auto"/>
                <w:highlight w:val="none"/>
              </w:rPr>
            </w:pPr>
            <w:r>
              <w:rPr>
                <w:rFonts w:hint="eastAsia"/>
                <w:color w:val="auto"/>
                <w:highlight w:val="none"/>
              </w:rPr>
              <w:t>3.阻燃：声学基材及框体结构为A级不燃，声学布可加工B/C级阻燃；</w:t>
            </w:r>
          </w:p>
          <w:p>
            <w:pPr>
              <w:widowControl/>
              <w:jc w:val="left"/>
              <w:textAlignment w:val="center"/>
              <w:rPr>
                <w:color w:val="auto"/>
                <w:highlight w:val="none"/>
              </w:rPr>
            </w:pPr>
            <w:r>
              <w:rPr>
                <w:rFonts w:hint="eastAsia"/>
                <w:color w:val="auto"/>
                <w:highlight w:val="none"/>
              </w:rPr>
              <w:t>4.环保：符合E1级环保检测要求；</w:t>
            </w:r>
          </w:p>
          <w:p>
            <w:pPr>
              <w:widowControl/>
              <w:jc w:val="left"/>
              <w:textAlignment w:val="center"/>
              <w:rPr>
                <w:color w:val="auto"/>
                <w:highlight w:val="none"/>
              </w:rPr>
            </w:pPr>
            <w:r>
              <w:rPr>
                <w:rFonts w:hint="eastAsia"/>
                <w:color w:val="auto"/>
                <w:highlight w:val="none"/>
              </w:rPr>
              <w:t>5.声学：降噪系数（NRC）0.90，中高频（500-4000HZ）平均吸声系数0.96；</w:t>
            </w:r>
          </w:p>
          <w:p>
            <w:pPr>
              <w:widowControl/>
              <w:jc w:val="left"/>
              <w:textAlignment w:val="center"/>
              <w:rPr>
                <w:color w:val="auto"/>
                <w:highlight w:val="none"/>
              </w:rPr>
            </w:pPr>
            <w:r>
              <w:rPr>
                <w:rFonts w:hint="eastAsia"/>
                <w:color w:val="auto"/>
                <w:highlight w:val="none"/>
              </w:rPr>
              <w:t>6.防潮：符合国家GTB/T13350-2008《绝热用玻璃棉及其制品》标准，产品质量吸湿率2.8%；</w:t>
            </w:r>
          </w:p>
          <w:p>
            <w:pPr>
              <w:widowControl/>
              <w:jc w:val="left"/>
              <w:textAlignment w:val="center"/>
              <w:rPr>
                <w:color w:val="auto"/>
                <w:highlight w:val="none"/>
              </w:rPr>
            </w:pPr>
            <w:r>
              <w:rPr>
                <w:rFonts w:hint="eastAsia"/>
                <w:color w:val="auto"/>
                <w:highlight w:val="none"/>
              </w:rPr>
              <w:t>7.基材憎水率：根据GB/T13350-2017《绝热用玻璃棉及其制品》，检测结果憎水率为99.9%；</w:t>
            </w:r>
          </w:p>
          <w:p>
            <w:pPr>
              <w:widowControl/>
              <w:jc w:val="left"/>
              <w:textAlignment w:val="center"/>
              <w:rPr>
                <w:color w:val="auto"/>
                <w:highlight w:val="none"/>
              </w:rPr>
            </w:pPr>
            <w:r>
              <w:rPr>
                <w:rFonts w:hint="eastAsia"/>
                <w:color w:val="auto"/>
                <w:highlight w:val="none"/>
              </w:rPr>
              <w:t>8.铝型材框体盐雾测试：符合GB/T10125-2012《人造气氛腐蚀试险 盐雾试验》。</w:t>
            </w:r>
          </w:p>
          <w:p>
            <w:pPr>
              <w:widowControl/>
              <w:jc w:val="left"/>
              <w:textAlignment w:val="center"/>
              <w:rPr>
                <w:color w:val="auto"/>
                <w:highlight w:val="none"/>
              </w:rPr>
            </w:pPr>
            <w:r>
              <w:rPr>
                <w:rFonts w:hint="eastAsia"/>
                <w:color w:val="auto"/>
                <w:highlight w:val="none"/>
              </w:rPr>
              <w:t>9、</w:t>
            </w:r>
            <w:r>
              <w:rPr>
                <w:rFonts w:hint="eastAsia"/>
                <w:color w:val="auto"/>
                <w:szCs w:val="21"/>
                <w:highlight w:val="none"/>
              </w:rPr>
              <w:t>供货时提供以上国家认可的第三方检测机构出具的检测报告复印件，并加盖公章。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槽孔吸音板装饰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47.00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textAlignment w:val="center"/>
              <w:rPr>
                <w:color w:val="auto"/>
                <w:highlight w:val="none"/>
              </w:rPr>
            </w:pPr>
            <w:r>
              <w:rPr>
                <w:rFonts w:hint="eastAsia"/>
                <w:color w:val="auto"/>
                <w:highlight w:val="none"/>
              </w:rPr>
              <w:t>规格：2440*128*15mm，面密度9.8kg/m2，孔径10mm，槽宽3mm，穿孔率5.8%；</w:t>
            </w:r>
          </w:p>
          <w:p>
            <w:pPr>
              <w:widowControl/>
              <w:numPr>
                <w:ilvl w:val="0"/>
                <w:numId w:val="2"/>
              </w:numPr>
              <w:jc w:val="left"/>
              <w:textAlignment w:val="center"/>
              <w:rPr>
                <w:color w:val="auto"/>
                <w:highlight w:val="none"/>
              </w:rPr>
            </w:pPr>
            <w:r>
              <w:rPr>
                <w:rFonts w:hint="eastAsia"/>
                <w:color w:val="auto"/>
                <w:highlight w:val="none"/>
              </w:rPr>
              <w:t xml:space="preserve"> 基材：高密度阻燃基材，饰面木纹面或环保面漆；</w:t>
            </w:r>
          </w:p>
          <w:p>
            <w:pPr>
              <w:widowControl/>
              <w:numPr>
                <w:ilvl w:val="0"/>
                <w:numId w:val="2"/>
              </w:numPr>
              <w:jc w:val="left"/>
              <w:textAlignment w:val="center"/>
              <w:rPr>
                <w:color w:val="auto"/>
                <w:highlight w:val="none"/>
              </w:rPr>
            </w:pPr>
            <w:r>
              <w:rPr>
                <w:rFonts w:hint="eastAsia"/>
                <w:color w:val="auto"/>
                <w:highlight w:val="none"/>
              </w:rPr>
              <w:t>环保：符合GB18580-2001的E1环保标准，采用干燥器法，未检测出甲醛释放量，既证明：甲醛释放量（MDL）低于0.1mg/L；</w:t>
            </w:r>
          </w:p>
          <w:p>
            <w:pPr>
              <w:widowControl/>
              <w:jc w:val="left"/>
              <w:textAlignment w:val="center"/>
              <w:rPr>
                <w:color w:val="auto"/>
                <w:highlight w:val="none"/>
              </w:rPr>
            </w:pPr>
            <w:r>
              <w:rPr>
                <w:rFonts w:hint="eastAsia"/>
                <w:color w:val="auto"/>
                <w:highlight w:val="none"/>
              </w:rPr>
              <w:t>4. 阻燃：提供整体B1阻燃检测要求；</w:t>
            </w:r>
          </w:p>
          <w:p>
            <w:pPr>
              <w:widowControl/>
              <w:jc w:val="left"/>
              <w:textAlignment w:val="center"/>
              <w:rPr>
                <w:color w:val="auto"/>
                <w:highlight w:val="none"/>
              </w:rPr>
            </w:pPr>
            <w:r>
              <w:rPr>
                <w:rFonts w:hint="eastAsia"/>
                <w:color w:val="auto"/>
                <w:highlight w:val="none"/>
              </w:rPr>
              <w:t>5. 声学：降噪系数（NRC）为0.65。</w:t>
            </w:r>
          </w:p>
          <w:p>
            <w:pPr>
              <w:widowControl/>
              <w:jc w:val="left"/>
              <w:textAlignment w:val="center"/>
              <w:rPr>
                <w:color w:val="auto"/>
                <w:highlight w:val="none"/>
              </w:rPr>
            </w:pPr>
            <w:r>
              <w:rPr>
                <w:rFonts w:hint="eastAsia"/>
                <w:color w:val="auto"/>
                <w:highlight w:val="none"/>
              </w:rPr>
              <w:t>6、</w:t>
            </w:r>
            <w:r>
              <w:rPr>
                <w:rFonts w:hint="eastAsia"/>
                <w:color w:val="auto"/>
                <w:szCs w:val="21"/>
                <w:highlight w:val="none"/>
              </w:rPr>
              <w:t>供货时提供以上国家认可的第三方检测机构出具的检测报告复印件，并加盖公章。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亲肤棉</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47.00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亲肤声学棉，500mm*500mm*20mm</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龙骨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木质龙骨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铝合金收边条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加厚耐磨，嵌入式压边条</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安装辅材及系统集成费用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含软包安装固定件、钉子等安装辅材，含安装、调试、交通运输费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tabs>
                <w:tab w:val="left" w:pos="4323"/>
              </w:tabs>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三、灯光设备</w:t>
            </w:r>
          </w:p>
        </w:tc>
        <w:tc>
          <w:tcPr>
            <w:tcW w:w="754" w:type="dxa"/>
            <w:vMerge w:val="continue"/>
            <w:tcBorders>
              <w:left w:val="single" w:color="auto" w:sz="4" w:space="0"/>
              <w:right w:val="single" w:color="auto" w:sz="4" w:space="0"/>
            </w:tcBorders>
            <w:vAlign w:val="center"/>
          </w:tcPr>
          <w:p>
            <w:pPr>
              <w:tabs>
                <w:tab w:val="left" w:pos="4323"/>
              </w:tabs>
              <w:spacing w:line="360" w:lineRule="auto"/>
              <w:jc w:val="left"/>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调焦面光</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 xml:space="preserve">电压：AC 110V-220V/50-60HZ </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200W调焦COB面光灯</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技术参数:</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集成C0B灯珠面光灯适用范围越来越广，可用于舞台主光之用，大有代替传统筒灯之势；也可用于演播厅和会议室 等场所。</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此款产品采用进口光源:西铁城200W集成COB灯珠，结合订制组合光学透镜，并配备电子调焦功能，调光角度可在30--9度之间调节，特别适合大型演出之远距离投射。</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光源:原装进口灯珠-100W西铁城集成COB灯珠，光源寿命6~10万小时。</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调焦角度:9~30度电子调焦。</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灯具尺寸:约21*30*33CM</w:t>
            </w:r>
          </w:p>
          <w:p>
            <w:pPr>
              <w:widowControl/>
              <w:jc w:val="left"/>
              <w:textAlignment w:val="top"/>
              <w:rPr>
                <w:rFonts w:ascii="宋体" w:hAnsi="宋体" w:cs="宋体"/>
                <w:color w:val="auto"/>
                <w:kern w:val="0"/>
                <w:szCs w:val="21"/>
                <w:highlight w:val="none"/>
              </w:rPr>
            </w:pPr>
            <w:r>
              <w:rPr>
                <w:rStyle w:val="117"/>
                <w:rFonts w:hint="default" w:ascii="宋体" w:hAnsi="宋体" w:eastAsia="宋体" w:cs="宋体"/>
                <w:color w:val="auto"/>
                <w:sz w:val="21"/>
                <w:szCs w:val="21"/>
                <w:highlight w:val="none"/>
              </w:rPr>
              <w:t>灯具重量:约4.5KG。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成像灯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电源输入：PowerCON电源插 输入/输出 AC100~240V 50-60Hz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信号输入/输出：3P-XLR输入/输出，DMX512信号</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电源消耗功率：最大220W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LED光源：白光200W LED</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DMX通道：3DMX通道</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控制：4种调光曲线可选择；主从机同步；单独自走程序。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光束角度：19、26、36度</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防水等级：IP20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外壳材料：压铸铝</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工作环境温度：-20°-40°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灯体尺码：58*22*21.5cm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重量：10kg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LED会议灯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电压：AC100-250V 50-60Hz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功率：200W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色温：3200K/5600K，双色可选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流明：7800Lux(1.5m)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有效光照距离：15米</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驱动电流：20mA</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显色指数：Ra≥90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灯珠数量：432颗贴片灯珠</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显示板控制：主控/DMX</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控制协议：DMX512</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通道模式：3种通道模式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调光：0-100%线性调光平滑无闪烁</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散热方式：纯铸铝型材散热</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出光角度：60度</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颜色：黑色</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灯具连接：信号输入/输出  电源插座</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LED摇头染色灯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23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电器参数：  · 电源： AC 100～240V 50/60Hz  · 整灯功率： 600W@220V   光源：  · 类型: 12颗40W  RGBW四合一灯珠  · 平均寿命: ＞20000 小时   光源： · RGBW四色组合   效果：  · 放大：电子线性调节光斑角度5°~50°   · 单点控：（EOS-600A）可单颗单色控制  · 棱镜效果：（EOS-600A）在光斑缩放范围内，透镜可全行程无极旋转，具有类似棱镜缩放效果  · 调光及频闪：0-100%线性电子调光；快速电子频闪    显示与控制：  · 显示屏与主控：LCD显示屏，支持中英文切换；可查询灯具信息；USB充电拨地址码  · 通道：17通道/29通道/61通道  · DMX协议信号及连接: USITT DMX 512；3芯 XLR 输入和输出  · 控制：RDM功能，可选Art-Net或无线DMX512控制；通过DMX信号线对灯具升级  · 智能散热：温度传感检测，风扇转速自适应调节   扫描：  · 水平扫描：540°(16 bit解析度)  · 垂直扫描：245° (16 bit解析度)  · 具有自动纠错的复位功能    尺寸重量与防护等级：  · 产品尺寸：359x264x479mm  · 净重：13.3kg  · 防护等级：IP20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电脑摇头切割灯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电源：AC 100~240V 50/60Hz   输入功率：850W@220V   光源：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▲类型: 大功率LED光源  · 平均寿命: 大于20000 小时  · 光源色温: 6800K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色彩系统：  · 1个带有8个颜色片的颜色轮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CMY无极混色  · CTO色温校正（6800K-2800K）  · 高显指模式 面光模式 显色指数≥90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效果：  · 2个图案盘，其中一个带有6个金属图案的固定图案轮；另一个是带有可更换的7个玻璃图案的旋转图案盘，有图案定位、双向旋转、图案流水和抖动效果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1个旋转 8棱镜  · 1个独立柔光镜  · 4片式全切割系统，切割盘可90度旋转  · 电子频闪, 0-100% 线性调光, 调光效果特别的平滑  ·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▲电子线性变焦5°-45°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控制与编程：  · 标准模式: 39CH通道, 精简模式: 34CH通道  · DMX协议信号: USITT DMX 512   Art-Net / RDM   无线DMX512  · DMX 信号连接: 3芯 XLR 输入和输出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Pan/Tilt 解析度: 16 bit  · Dimmer 解析度: 16 bit   灯体结构：  · 为了方便运输，灯体两侧都有提手  · 为了维护和运输，灯体带有PAN 和TILT 轴向锁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LCD 显示, 用户友好的界面, 语言支持: 中文和英文   摇头参数：  · 角度:   PAN = 540°   TILT = 245°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在非控台操作的情况下，如果被意外触碰而造成的跑位情况，灯具可以自动回复到原有位置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电控技术：  · 风扇速度控制: 具备智能的风扇转速自适应功能  · 温度电子传感检测。  · LCD屏灯具信息查询  · USB充电拨码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重量：约29kg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三合一电脑摇头灯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电源 AC 100～240V 50/60Hz。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.输入功率500W@220V。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.光源 类型: 大功率300w LED光源   平均寿命: 20001 小时   光源色温 6500K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 色彩系统 ：2个颜色盘：色盘1：7个颜色片+空白，具有半色效果；色盘2：7个颜色片+空白，具有半色效果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5.效果：一个固定图案盘：8个固定金属图案+空白，一个旋转图案盘：6个可拆卸旋转图案片+空白，一个单向旋转棱镜盘， 电子频闪； 0-100% 线性调光，变焦：8°~32°,</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灯光控台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·6个DMX-512 输出，1个DMX-512 输入（复合输出功能）内置8192 控制参数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可以连接“网络处理单元”(NPU），每个会话实时控制65536个控制参数（256个域universe）</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·最多可达32个会话组，每个会话组多达200个站点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·独立背光且可调光的静音型机械按键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·内置推拉式专业背光机械键盘（背光亮度可调）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·15个电动程序执行推杆(60mm)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·2个电动A/B场切换推杆（100mm）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·1个主控电动推杆(60mm)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·1个高精度调光轮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·6个灵活方便操控的编码器(带PUSH功能)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·2个千兆网络接口，保证数据高效传输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·2个内置TFT宽屏式触摸屏(15.4 WXGA)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·2个DVI-I接口，可扩展两个外置显示屏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·1个内置指令屏幕，多点触摸式（9 SVGA）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·Midi输入/输出接口，支持LTC时间码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·宽电压电源：100-240V，50/60HZ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·内置UPS不间断电源，带零延迟自动切换、欠压、过压保护功能</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流动灯架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伸缩高度 1140mm-2800mm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收合长度 955mm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灯架节数 3节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灯架管径 中25mm/ф30mm/ф35mm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撑脚管径 ф22mm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撑开直径 ф1200mm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最大承重 6Kg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灯架净重 2.3kg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专业喷气式雾泡机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使用电压：AC 220V-240V 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限流保险：5A/250V功率：650WLED灯功率：8W*6pcsLED颜色：RGBY</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预热时间：3min烟量输出：4500cuft/min</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雾油耗油量：大约60min/L最大喷射高度：大约4m最远喷射距离：大约3.5m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泡泡水耗油量：大约40min/L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DMX-512 ：√DMX通道：12泡泡桶容积：1.3L雾油桶容积：1.3L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净重：14.5kg毛重：17kg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机器尺寸：426/317/394(mm)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使用耗材：PRO-P&amp;PRO-C</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专业泡泡水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规格：5L/桶    4桶/箱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专业高浓度雾油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规格：3L/桶   4桶/箱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信号放大器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1.本多功能DMX处理放大器共8路输出与二路输入 每路输入有三芯卡侬座与五芯卡侬座。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2.DMX处理放大器有四个工作模式，由三个LED指示在哪一个状态工作。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模式1（一入八出）:由第一路DMX输入后面八路输出；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模式2（一入四出）:第一路输入分配输出到1至4。第二路输入分配输出到5至8（相当于二台一入四出的放大器）；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模式3（一入八出）:这个模式默认为第一路输入有信号时输出第一路，在第一路没有信号时自动选择输出第二路信号；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模式4 (合并二路输入信号)：M3 闪动该模式比较二路同地址的数据。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大的输出，小的放弃。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3.放大器的信号模式通过DMX输出按键选择打开与关闭。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能打开：输入有信号时输出有信号。在输入没有时保持输出接收到最后一帧数据。（不管有没有信号，对应输出一直保持有信号输出）功能关闭：输入有信号对应输出有信号，输入没有信号对应输出也没有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4.背后输出8个位对应的LED亮或者闪表示该路有信号输出。熄灭表示该路无信号输出。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5.放大器共有二个按键，每按一下改变相应的功能，在没有操作按键30秒后记录当前工作状态。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模式按键在模式1到4循环 模式4为M3 LED闪动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36路直通柜</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36路电源输出（每路输出2KW）</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2.配备二级开关，符合供电规范</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3.指示灯显示三相电源状态</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4.电源供电：380Volt±10%AC，50Hz/60Hz</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电源线</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包含电房间至实训室主电缆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通讯线材及其它配件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信号线、卡农头、电源转接线等</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四、音响设备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单15寸全频音箱</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1.国际一线品牌：两分频音箱高功率的处理性能和卓越的音质，适用于多种声音环境。配备了15” 低音单元和1.4” 高音单元。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2.采用以聚脲涂层的胶合板箱体，将振动程度最小化以呈现清晰的音质，表面坚固且防刮擦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3.双角度音箱架安装孔可 0° 或 -7° 向下倾斜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4.搭配DSP的统一品牌功放，可调用专用扬声器预设，最大程度提高系统性能。                                                                                         5.频率响应(-10dB): 49 Hz - 20 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6.标称覆盖角度:水平 H90ﾟ* 垂直V60ﾟ                                                                                                                             7.分频点 2.0 kHz                                                                                                                                                 8.标称阻抗:8 Ω                                                                                                                                               9.SPL灵敏度 (1W; 1m ) :95dB SPL                                                                                                                                     10.SPL最大声压级:  持续 (Calculated) :125dB SPL /  峰值 (Calculated) :128dB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11.单组件元: LF低频: 直径: 15" 锥形,音圈: 2.5", 磁铁：铁氧体.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HF高频: 线圈: 1.4", 类型: 1" 喉管压缩驱动器, 磁铁：铁氧体.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12.额定功率:PGM 500 W、PEAK峰值：1000W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 IO 接口 SpeakON NL4MP x 2 (平衡)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14.身材质涂层: 胶合板,耐用的聚脲涂层、黑色                                                                                                                          15.音箱支架插孔: Φ35 mm x2 (底部, 0° or -7°)</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16.外观尺寸（宽*高*深):约432mm*692mm*405mm ；                                                                                                                              17.净重：约22kg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▲18.投标文件中提供生产厂商设备彩页并加盖竞标人公章。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▲19.交货时提供生产厂家出具的售后服务承诺书以保障货物质量，并由生产厂家安排有资质的技术人员进行现场培训。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左右主扩扬声器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rFonts w:hint="eastAsia"/>
                <w:color w:val="auto"/>
                <w:highlight w:val="none"/>
              </w:rPr>
              <w:t xml:space="preserve">类型 两分频扬声器，低音反射式 </w:t>
            </w:r>
          </w:p>
          <w:p>
            <w:pPr>
              <w:widowControl/>
              <w:jc w:val="left"/>
              <w:textAlignment w:val="center"/>
              <w:rPr>
                <w:color w:val="auto"/>
                <w:highlight w:val="none"/>
              </w:rPr>
            </w:pPr>
            <w:r>
              <w:rPr>
                <w:rFonts w:hint="eastAsia"/>
                <w:color w:val="auto"/>
                <w:highlight w:val="none"/>
              </w:rPr>
              <w:t xml:space="preserve">频响范围(-10dB) 50 Hz - 20 kHz </w:t>
            </w:r>
          </w:p>
          <w:p>
            <w:pPr>
              <w:widowControl/>
              <w:jc w:val="left"/>
              <w:textAlignment w:val="center"/>
              <w:rPr>
                <w:color w:val="auto"/>
                <w:highlight w:val="none"/>
              </w:rPr>
            </w:pPr>
            <w:r>
              <w:rPr>
                <w:rFonts w:hint="eastAsia"/>
                <w:color w:val="auto"/>
                <w:highlight w:val="none"/>
              </w:rPr>
              <w:t xml:space="preserve">投射角度 水平 90° 垂直 60° </w:t>
            </w:r>
          </w:p>
          <w:p>
            <w:pPr>
              <w:widowControl/>
              <w:jc w:val="left"/>
              <w:textAlignment w:val="center"/>
              <w:rPr>
                <w:color w:val="auto"/>
                <w:highlight w:val="none"/>
              </w:rPr>
            </w:pPr>
            <w:r>
              <w:rPr>
                <w:rFonts w:hint="eastAsia"/>
                <w:color w:val="auto"/>
                <w:highlight w:val="none"/>
              </w:rPr>
              <w:t xml:space="preserve">单元 LF 10" 锥形单元，2" 音圈 </w:t>
            </w:r>
          </w:p>
          <w:p>
            <w:pPr>
              <w:widowControl/>
              <w:jc w:val="left"/>
              <w:textAlignment w:val="center"/>
              <w:rPr>
                <w:color w:val="auto"/>
                <w:highlight w:val="none"/>
              </w:rPr>
            </w:pPr>
            <w:r>
              <w:rPr>
                <w:rFonts w:hint="eastAsia"/>
                <w:color w:val="auto"/>
                <w:highlight w:val="none"/>
              </w:rPr>
              <w:t xml:space="preserve">HF 1" 音圈，压缩驱动单元 </w:t>
            </w:r>
          </w:p>
          <w:p>
            <w:pPr>
              <w:widowControl/>
              <w:jc w:val="left"/>
              <w:textAlignment w:val="center"/>
              <w:rPr>
                <w:color w:val="auto"/>
                <w:highlight w:val="none"/>
              </w:rPr>
            </w:pPr>
            <w:r>
              <w:rPr>
                <w:rFonts w:hint="eastAsia"/>
                <w:color w:val="auto"/>
                <w:highlight w:val="none"/>
              </w:rPr>
              <w:t xml:space="preserve">分频点 2.8 kHz </w:t>
            </w:r>
          </w:p>
          <w:p>
            <w:pPr>
              <w:widowControl/>
              <w:jc w:val="left"/>
              <w:textAlignment w:val="center"/>
              <w:rPr>
                <w:color w:val="auto"/>
                <w:highlight w:val="none"/>
              </w:rPr>
            </w:pPr>
            <w:r>
              <w:rPr>
                <w:rFonts w:hint="eastAsia"/>
                <w:color w:val="auto"/>
                <w:highlight w:val="none"/>
              </w:rPr>
              <w:t xml:space="preserve">额定功率 噪声 175W </w:t>
            </w:r>
          </w:p>
          <w:p>
            <w:pPr>
              <w:widowControl/>
              <w:jc w:val="left"/>
              <w:textAlignment w:val="center"/>
              <w:rPr>
                <w:color w:val="auto"/>
                <w:highlight w:val="none"/>
              </w:rPr>
            </w:pPr>
            <w:r>
              <w:rPr>
                <w:rFonts w:hint="eastAsia"/>
                <w:color w:val="auto"/>
                <w:highlight w:val="none"/>
              </w:rPr>
              <w:t xml:space="preserve">程序 350W </w:t>
            </w:r>
          </w:p>
          <w:p>
            <w:pPr>
              <w:widowControl/>
              <w:jc w:val="left"/>
              <w:textAlignment w:val="center"/>
              <w:rPr>
                <w:color w:val="auto"/>
                <w:highlight w:val="none"/>
              </w:rPr>
            </w:pPr>
            <w:r>
              <w:rPr>
                <w:rFonts w:hint="eastAsia"/>
                <w:color w:val="auto"/>
                <w:highlight w:val="none"/>
              </w:rPr>
              <w:t xml:space="preserve">峰值 700W </w:t>
            </w:r>
          </w:p>
          <w:p>
            <w:pPr>
              <w:widowControl/>
              <w:jc w:val="left"/>
              <w:textAlignment w:val="center"/>
              <w:rPr>
                <w:color w:val="auto"/>
                <w:highlight w:val="none"/>
              </w:rPr>
            </w:pPr>
            <w:r>
              <w:rPr>
                <w:rFonts w:hint="eastAsia"/>
                <w:color w:val="auto"/>
                <w:highlight w:val="none"/>
              </w:rPr>
              <w:t xml:space="preserve">标称阻抗 8Ω </w:t>
            </w:r>
          </w:p>
          <w:p>
            <w:pPr>
              <w:widowControl/>
              <w:jc w:val="left"/>
              <w:textAlignment w:val="center"/>
              <w:rPr>
                <w:color w:val="auto"/>
                <w:highlight w:val="none"/>
              </w:rPr>
            </w:pPr>
            <w:r>
              <w:rPr>
                <w:rFonts w:hint="eastAsia"/>
                <w:color w:val="auto"/>
                <w:highlight w:val="none"/>
              </w:rPr>
              <w:t xml:space="preserve">SPL 灵敏度(1W, 1m) 94dB SPL </w:t>
            </w:r>
          </w:p>
          <w:p>
            <w:pPr>
              <w:widowControl/>
              <w:jc w:val="left"/>
              <w:textAlignment w:val="center"/>
              <w:rPr>
                <w:color w:val="auto"/>
                <w:highlight w:val="none"/>
              </w:rPr>
            </w:pPr>
            <w:r>
              <w:rPr>
                <w:rFonts w:hint="eastAsia"/>
                <w:color w:val="auto"/>
                <w:highlight w:val="none"/>
              </w:rPr>
              <w:t xml:space="preserve">峰值 (计算) 123 dB SPL </w:t>
            </w:r>
          </w:p>
          <w:p>
            <w:pPr>
              <w:widowControl/>
              <w:jc w:val="left"/>
              <w:textAlignment w:val="center"/>
              <w:rPr>
                <w:color w:val="auto"/>
                <w:highlight w:val="none"/>
              </w:rPr>
            </w:pPr>
            <w:r>
              <w:rPr>
                <w:rFonts w:hint="eastAsia"/>
                <w:color w:val="auto"/>
                <w:highlight w:val="none"/>
              </w:rPr>
              <w:t xml:space="preserve">连接头 1/4" Phone x 1, speakON NL4MP x 1 </w:t>
            </w:r>
          </w:p>
          <w:p>
            <w:pPr>
              <w:widowControl/>
              <w:jc w:val="left"/>
              <w:textAlignment w:val="center"/>
              <w:rPr>
                <w:color w:val="auto"/>
                <w:highlight w:val="none"/>
              </w:rPr>
            </w:pPr>
            <w:r>
              <w:rPr>
                <w:rFonts w:hint="eastAsia"/>
                <w:color w:val="auto"/>
                <w:highlight w:val="none"/>
              </w:rPr>
              <w:t xml:space="preserve">材质 塑料  </w:t>
            </w:r>
          </w:p>
          <w:p>
            <w:pPr>
              <w:widowControl/>
              <w:jc w:val="left"/>
              <w:textAlignment w:val="center"/>
              <w:rPr>
                <w:color w:val="auto"/>
                <w:highlight w:val="none"/>
              </w:rPr>
            </w:pPr>
            <w:r>
              <w:rPr>
                <w:rFonts w:hint="eastAsia"/>
                <w:color w:val="auto"/>
                <w:highlight w:val="none"/>
              </w:rPr>
              <w:t xml:space="preserve">颜色 黑色  </w:t>
            </w:r>
          </w:p>
          <w:p>
            <w:pPr>
              <w:widowControl/>
              <w:jc w:val="left"/>
              <w:textAlignment w:val="center"/>
              <w:rPr>
                <w:color w:val="auto"/>
                <w:highlight w:val="none"/>
              </w:rPr>
            </w:pPr>
            <w:r>
              <w:rPr>
                <w:rFonts w:hint="eastAsia"/>
                <w:color w:val="auto"/>
                <w:highlight w:val="none"/>
              </w:rPr>
              <w:t xml:space="preserve">把手 顶部x1  </w:t>
            </w:r>
          </w:p>
          <w:p>
            <w:pPr>
              <w:widowControl/>
              <w:jc w:val="left"/>
              <w:textAlignment w:val="center"/>
              <w:rPr>
                <w:color w:val="auto"/>
                <w:highlight w:val="none"/>
              </w:rPr>
            </w:pPr>
            <w:r>
              <w:rPr>
                <w:rFonts w:hint="eastAsia"/>
                <w:color w:val="auto"/>
                <w:highlight w:val="none"/>
              </w:rPr>
              <w:t xml:space="preserve">吊装孔 底部x2 ( 适用于M8 x 15mm 吊环螺栓)  </w:t>
            </w:r>
          </w:p>
          <w:p>
            <w:pPr>
              <w:widowControl/>
              <w:jc w:val="left"/>
              <w:textAlignment w:val="center"/>
              <w:rPr>
                <w:color w:val="auto"/>
                <w:highlight w:val="none"/>
              </w:rPr>
            </w:pPr>
            <w:r>
              <w:rPr>
                <w:rFonts w:hint="eastAsia"/>
                <w:color w:val="auto"/>
                <w:highlight w:val="none"/>
              </w:rPr>
              <w:t>支架插孔 35mm ( 底部 x 1)</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单18寸超低频音箱</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功率的处理性能和卓越的音质，均带有压铸铝框制成的传感器，清晰地呈现声音飙升的高度。具有可旋转的恒向角设计，为安装操作提供了更大的灵活空间,高功率的处理性能和卓越的音质，适用于多种声音环境。18寸反射式低频3" 音圈轻巧而强大的钕磁铁。频率响应(-10dB): 50Hz-20kHz                                                                                             ▲分频点:内置分频300HZ(可选择外置分频）</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单元转换器: LF低频:18" 锥形单元，3" 音圈钕磁铁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▲额定功率:PGM功率500W /  MAX功率:1000W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标称阻抗:8Ω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灵敏度 (1W; 1m ) :97dB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▲最大声压级:125dB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I/O 接口:SPEAKON NL4MP×1 / 4”Phone Jack×2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外观尺寸（宽*高*深):约562mm*811mm*639mm ；               净重：约49.5kg   </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吊架支撑架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吊架和托架两用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46</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音箱功放</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输出功率：2*1500W（8Ω）、2*2300W（4Ω）；桥接：4600W（8Ω）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输入灵敏度：0.77V；频率：20Hz-20kHz ,± 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输入接口：卡侬母座；输出接口：四芯音箱接口和接线柱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信噪比：≥98dB；电源：AC：220-230V/50Hz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尺寸(H×W×D)：482×333×88mm；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重量（KG）：14.5</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数字处理器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2入4出数字音箱处理器.内置分频、均衡、限幅、相位调节功能，24bit 192KHz D/A芯片 USB，RS485数据接口</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数字调音台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color w:val="auto"/>
                <w:highlight w:val="none"/>
              </w:rPr>
            </w:pPr>
            <w:r>
              <w:rPr>
                <w:rFonts w:hint="eastAsia"/>
                <w:color w:val="auto"/>
                <w:highlight w:val="none"/>
              </w:rPr>
              <w:t xml:space="preserve">1.采用最新触屏技术，顺滑、高效的操作流程，快速轻松的混音工作。                  </w:t>
            </w:r>
          </w:p>
          <w:p>
            <w:pPr>
              <w:widowControl/>
              <w:jc w:val="left"/>
              <w:textAlignment w:val="top"/>
              <w:rPr>
                <w:color w:val="auto"/>
                <w:highlight w:val="none"/>
              </w:rPr>
            </w:pPr>
            <w:r>
              <w:rPr>
                <w:rFonts w:hint="eastAsia"/>
                <w:color w:val="auto"/>
                <w:highlight w:val="none"/>
              </w:rPr>
              <w:t xml:space="preserve">2.“触摸和转动”旋钮为您提供更加精确的控制                                     </w:t>
            </w:r>
          </w:p>
          <w:p>
            <w:pPr>
              <w:widowControl/>
              <w:jc w:val="left"/>
              <w:textAlignment w:val="top"/>
              <w:rPr>
                <w:color w:val="auto"/>
                <w:highlight w:val="none"/>
              </w:rPr>
            </w:pPr>
            <w:r>
              <w:rPr>
                <w:rFonts w:hint="eastAsia"/>
                <w:color w:val="auto"/>
                <w:highlight w:val="none"/>
              </w:rPr>
              <w:t xml:space="preserve">3.双场景内存库，配备内存库A和B，每个内存库都能存储多达100个场景预设。需要时可从200个场景预设中瞬时调出所需场景。                                         </w:t>
            </w:r>
          </w:p>
          <w:p>
            <w:pPr>
              <w:widowControl/>
              <w:jc w:val="left"/>
              <w:textAlignment w:val="top"/>
              <w:rPr>
                <w:color w:val="auto"/>
                <w:highlight w:val="none"/>
              </w:rPr>
            </w:pPr>
            <w:r>
              <w:rPr>
                <w:rFonts w:hint="eastAsia"/>
                <w:color w:val="auto"/>
                <w:highlight w:val="none"/>
              </w:rPr>
              <w:t xml:space="preserve">4.功能强大的推子库，提供了两个输入库和一个输出库，当同时按住输入库的按键时，则可进入组合库。在组合库中可通过单个DCA推子对多通道电平进行控制。另还有一个用户自定义推子库，在这一层中可将任何输入、输出和DCA组分配至任何推子。                    </w:t>
            </w:r>
          </w:p>
          <w:p>
            <w:pPr>
              <w:widowControl/>
              <w:jc w:val="left"/>
              <w:textAlignment w:val="top"/>
              <w:rPr>
                <w:color w:val="auto"/>
                <w:highlight w:val="none"/>
              </w:rPr>
            </w:pPr>
            <w:r>
              <w:rPr>
                <w:rFonts w:hint="eastAsia"/>
                <w:color w:val="auto"/>
                <w:highlight w:val="none"/>
              </w:rPr>
              <w:t xml:space="preserve">5.Sends on Fader(推子发送)功能                                                  </w:t>
            </w:r>
          </w:p>
          <w:p>
            <w:pPr>
              <w:widowControl/>
              <w:jc w:val="left"/>
              <w:textAlignment w:val="top"/>
              <w:rPr>
                <w:color w:val="auto"/>
                <w:highlight w:val="none"/>
              </w:rPr>
            </w:pPr>
            <w:r>
              <w:rPr>
                <w:rFonts w:hint="eastAsia"/>
                <w:color w:val="auto"/>
                <w:highlight w:val="none"/>
              </w:rPr>
              <w:t xml:space="preserve">6.每个通道上的均衡器和两个动态处理器之外，调音台还为大范围的声控制提供了8个强大的处理器。配备了FX1和FX2效果器，能够提供包括混响、延时、调制效果如镶边或和唱、3-band多段压缩等17种内置程序。可调出D-PRE™前置话放所带来的音质 。                                                </w:t>
            </w:r>
          </w:p>
          <w:p>
            <w:pPr>
              <w:widowControl/>
              <w:jc w:val="left"/>
              <w:textAlignment w:val="top"/>
              <w:rPr>
                <w:color w:val="auto"/>
                <w:highlight w:val="none"/>
              </w:rPr>
            </w:pPr>
            <w:r>
              <w:rPr>
                <w:rFonts w:hint="eastAsia"/>
                <w:color w:val="auto"/>
                <w:highlight w:val="none"/>
              </w:rPr>
              <w:t xml:space="preserve">▲7.单旋钮压缩器和单旋钮均衡器可快速进入到压缩器和均衡器的完整显示页，可以根据需要对其进行微调设置。                                                       </w:t>
            </w:r>
          </w:p>
          <w:p>
            <w:pPr>
              <w:widowControl/>
              <w:jc w:val="left"/>
              <w:textAlignment w:val="top"/>
              <w:rPr>
                <w:color w:val="auto"/>
                <w:highlight w:val="none"/>
              </w:rPr>
            </w:pPr>
            <w:r>
              <w:rPr>
                <w:rFonts w:hint="eastAsia"/>
                <w:color w:val="auto"/>
                <w:highlight w:val="none"/>
              </w:rPr>
              <w:t>▲8.DCA Roll-Out功能强化编组控制：当编组推子库被选中时，除DCA以外的所有推子都能像Roll-Out推子一样控制1至8功能。                                                   ▲9.支持无线混音的TF StageMix™：提供无线控制的iPad应用程序，在任何听音位置对进行远程操控。</w:t>
            </w:r>
          </w:p>
          <w:p>
            <w:pPr>
              <w:widowControl/>
              <w:jc w:val="left"/>
              <w:textAlignment w:val="top"/>
              <w:rPr>
                <w:color w:val="auto"/>
                <w:highlight w:val="none"/>
              </w:rPr>
            </w:pPr>
            <w:r>
              <w:rPr>
                <w:rFonts w:hint="eastAsia"/>
                <w:color w:val="auto"/>
                <w:highlight w:val="none"/>
              </w:rPr>
              <w:t>▲10.混音能力输入通道:40条输入混音通道（32单声道+2立体声+2返送通道）</w:t>
            </w:r>
          </w:p>
          <w:p>
            <w:pPr>
              <w:widowControl/>
              <w:jc w:val="left"/>
              <w:textAlignment w:val="top"/>
              <w:rPr>
                <w:color w:val="auto"/>
                <w:highlight w:val="none"/>
              </w:rPr>
            </w:pPr>
            <w:r>
              <w:rPr>
                <w:rFonts w:hint="eastAsia"/>
                <w:color w:val="auto"/>
                <w:highlight w:val="none"/>
              </w:rPr>
              <w:t xml:space="preserve">▲11.AUX总线:20 (8 单声道 + 6 立体声)                                             </w:t>
            </w:r>
          </w:p>
          <w:p>
            <w:pPr>
              <w:widowControl/>
              <w:jc w:val="left"/>
              <w:textAlignment w:val="top"/>
              <w:rPr>
                <w:color w:val="auto"/>
                <w:highlight w:val="none"/>
              </w:rPr>
            </w:pPr>
            <w:r>
              <w:rPr>
                <w:rFonts w:hint="eastAsia"/>
                <w:color w:val="auto"/>
                <w:highlight w:val="none"/>
              </w:rPr>
              <w:t>▲12.输入通道功能:8个带有Roll-out的DCA编组</w:t>
            </w:r>
          </w:p>
          <w:p>
            <w:pPr>
              <w:widowControl/>
              <w:jc w:val="left"/>
              <w:textAlignment w:val="top"/>
              <w:rPr>
                <w:color w:val="auto"/>
                <w:highlight w:val="none"/>
              </w:rPr>
            </w:pPr>
            <w:r>
              <w:rPr>
                <w:rFonts w:hint="eastAsia"/>
                <w:color w:val="auto"/>
                <w:highlight w:val="none"/>
              </w:rPr>
              <w:t>▲13.16个模拟XLR/TRS混合麦克风/线路输入+2个模拟RCA立体声线路输入,16个模拟XLR输出</w:t>
            </w:r>
          </w:p>
          <w:p>
            <w:pPr>
              <w:widowControl/>
              <w:jc w:val="left"/>
              <w:textAlignment w:val="top"/>
              <w:rPr>
                <w:color w:val="auto"/>
                <w:highlight w:val="none"/>
              </w:rPr>
            </w:pPr>
            <w:r>
              <w:rPr>
                <w:rFonts w:hint="eastAsia"/>
                <w:color w:val="auto"/>
                <w:highlight w:val="none"/>
              </w:rPr>
              <w:t>▲14.1个支持NY64-D音频介面卡的扩展槽</w:t>
            </w:r>
          </w:p>
          <w:p>
            <w:pPr>
              <w:widowControl/>
              <w:jc w:val="left"/>
              <w:textAlignment w:val="top"/>
              <w:rPr>
                <w:color w:val="auto"/>
                <w:highlight w:val="none"/>
              </w:rPr>
            </w:pPr>
            <w:r>
              <w:rPr>
                <w:rFonts w:hint="eastAsia"/>
                <w:color w:val="auto"/>
                <w:highlight w:val="none"/>
              </w:rPr>
              <w:t xml:space="preserve">▲15.信号延迟:低于 2.6 ms, INPUT to OMNI OUT, Fs=48 kHz </w:t>
            </w:r>
          </w:p>
          <w:p>
            <w:pPr>
              <w:widowControl/>
              <w:jc w:val="left"/>
              <w:textAlignment w:val="top"/>
              <w:rPr>
                <w:color w:val="auto"/>
                <w:highlight w:val="none"/>
              </w:rPr>
            </w:pPr>
            <w:r>
              <w:rPr>
                <w:rFonts w:hint="eastAsia"/>
                <w:color w:val="auto"/>
                <w:highlight w:val="none"/>
              </w:rPr>
              <w:t>16.I/O接口:16 麦克风/线路 (XLR/TRS 混合) + 2 立体声线路 (RCA pin)</w:t>
            </w:r>
          </w:p>
          <w:p>
            <w:pPr>
              <w:widowControl/>
              <w:jc w:val="left"/>
              <w:textAlignment w:val="top"/>
              <w:rPr>
                <w:color w:val="auto"/>
                <w:highlight w:val="none"/>
              </w:rPr>
            </w:pPr>
            <w:r>
              <w:rPr>
                <w:rFonts w:hint="eastAsia"/>
                <w:color w:val="auto"/>
                <w:highlight w:val="none"/>
              </w:rPr>
              <w:t>17.USB:34x34 USB 音频接口, 通过USB存储设备可进行 2 轨录音,音频34ch 输入 / 34ch 输出, PCM</w:t>
            </w:r>
          </w:p>
          <w:p>
            <w:pPr>
              <w:widowControl/>
              <w:jc w:val="left"/>
              <w:textAlignment w:val="top"/>
              <w:rPr>
                <w:color w:val="auto"/>
                <w:highlight w:val="none"/>
              </w:rPr>
            </w:pPr>
            <w:r>
              <w:rPr>
                <w:rFonts w:hint="eastAsia"/>
                <w:color w:val="auto"/>
                <w:highlight w:val="none"/>
              </w:rPr>
              <w:t xml:space="preserve">▲18.DSP:8 效果器 + 10 GEQ                                                        </w:t>
            </w:r>
          </w:p>
          <w:p>
            <w:pPr>
              <w:widowControl/>
              <w:jc w:val="left"/>
              <w:textAlignment w:val="top"/>
              <w:rPr>
                <w:color w:val="auto"/>
                <w:highlight w:val="none"/>
              </w:rPr>
            </w:pPr>
            <w:r>
              <w:rPr>
                <w:rFonts w:hint="eastAsia"/>
                <w:color w:val="auto"/>
                <w:highlight w:val="none"/>
              </w:rPr>
              <w:t>▲19.配备内存库A和B，每个内存库都能存储可达100个场景预设</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r>
              <w:rPr>
                <w:rFonts w:hint="eastAsia" w:ascii="宋体" w:hAnsi="宋体" w:cs="宋体"/>
                <w:color w:val="auto"/>
                <w:kern w:val="0"/>
                <w:szCs w:val="21"/>
                <w:highlight w:val="none"/>
              </w:rPr>
              <w:t xml:space="preserve">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音频隔离器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隔离杂波噪声，平衡输入，平衡输出；可非平衡入转平衡出</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一拖一手持式话筒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阻抗 50Ω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话筒/线路开关 30dB衰减器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话筒/线路开关 30dB衰减器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一拖一头戴式话筒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阻抗 50Ω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话筒/线路开关 30dB衰减器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话筒/线路开关 30dB衰减器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司仪台话筒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1.精致典雅的结构设计，符合人体工程学，极具现代气息</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2.驻极体心形单指向性话筒</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3.全金属方柱形话筒，俯仰角度可调</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4.超强抗手机干扰能力</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5.背面3针卡侬公头插座，作为话筒信号输出端</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6.低阻抗的平衡音频输出                              7.灵敏度: -38 dBV/Pa</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8.频率响应:50 Hz ~20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9.输出阻抗:280 Ω</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10.方向性:0°/135° &gt; 20 dB (1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11.方向性 :0°/180° &gt; 15 dB (1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12.等效噪声:20 dBA (SPL)</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13.最大声压级:139 dB (THD&lt;3%)</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14.信噪比:&gt;66 dBA，动态范围:111 dB      15、供电：幻象直流，11V-52V,2mA</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话筒架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材料:高密度铝压铸横杆长度:40CM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表面处理:加硬氧氧化黑(耐磨耐刮花)</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电源时序器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DSP控制，彩屏，8路，外加2路直通，多功能插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电源滤波器，可接中控控制</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线材及接插件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2×2.5m² 扬声器线缆，国标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PVC管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安装配件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音频卡侬头、电源线、排插等</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设备机柜</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功放机柜</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五、摄录设备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微单相机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▲有效像素：不低于2420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▲传感器尺寸：全画幅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影像处理器：Bionz X（升级）对焦点数：699点相位+425点反差测光方式：感光度：ISO 100-51200 可扩展ISO 50-204800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▲快门速度：1/8000s至30s、B门连拍功能：最高约10张/秒</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超广角电动变焦G镜头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 PZ 10-20mm F4 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 ：APS-C画幅镜头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 ：微单镜头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 ：超广角镜头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 ：变焦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对焦方式 ：AF（自动对焦）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滤镜尺寸 ：62mm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 ：F4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等效焦距 ：15-30mm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 ：0.2m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最大放大倍率： 0.14倍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 ：178g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全画幅标准变焦微单相机G镜头 E卡口</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FE 24-105mm F4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镜头画幅：135mm全画幅镜头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镜头用途：标准镜头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镜头结构：具有四枚非球面镜片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最大光圈：F4.0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焦距范围：24-105mm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最近对焦距离：0.38m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镜头重量：663g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全画幅远摄变焦G大师镜头 E卡口</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FE 70-200mm F2.8 GM OSS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 ：135mm全画幅镜头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 ：微单镜头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 ：中长焦镜头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 ：变焦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镜头结构：18组23片（包括四片ED镜片，两片超级ED镜片）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镜头卡口 ：索尼FE卡口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滤镜尺寸；77mm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最小光圈：F22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光圈叶片数 ：11片（圆形光圈）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焦距范围： 70-200mm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等效焦距 ：105-300mm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 ：0.96m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最大放大倍率 ：0.25倍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视角范围 ：APS-C画幅：约23-8度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35mm等值：约34°-12°30'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其它性能 ：可使用新款1.4x与2.0x增倍镜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镜头直径： 88mm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镜头长度： 200mm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 约1480g（不含三脚架卡口）</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稳定器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产品类型 ：相机稳定器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使用方式 ：手持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稳定器尺寸： 210*118*450mm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稳定器重量 ：1250g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最大承重 ：3200g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电池续航时间 ：18小时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充电时间 ：2.5小时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电压 ：12.6V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航向范围： 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横滚范围 ：360°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俯仰范围 ：-135-185°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运动姿态跟踪误差： 最大：±0.1°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静止姿态跟踪误差 ：最大：±0.03°</w:t>
            </w:r>
          </w:p>
        </w:tc>
        <w:tc>
          <w:tcPr>
            <w:tcW w:w="75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945" w:type="dxa"/>
            <w:gridSpan w:val="9"/>
            <w:tcBorders>
              <w:top w:val="single" w:color="auto" w:sz="4" w:space="0"/>
              <w:left w:val="single" w:color="auto" w:sz="4" w:space="0"/>
              <w:bottom w:val="single" w:color="auto" w:sz="4" w:space="0"/>
              <w:right w:val="single" w:color="auto" w:sz="4" w:space="0"/>
            </w:tcBorders>
            <w:vAlign w:val="center"/>
          </w:tcPr>
          <w:p>
            <w:pPr>
              <w:pStyle w:val="101"/>
              <w:ind w:firstLine="0" w:firstLineChars="0"/>
              <w:rPr>
                <w:rFonts w:ascii="宋体" w:hAnsi="宋体" w:cs="宋体"/>
                <w:color w:val="auto"/>
                <w:szCs w:val="21"/>
                <w:highlight w:val="none"/>
              </w:rPr>
            </w:pPr>
            <w:r>
              <w:rPr>
                <w:rFonts w:hint="eastAsia" w:hAnsi="宋体"/>
                <w:b/>
                <w:bCs/>
                <w:color w:val="auto"/>
                <w:highlight w:val="none"/>
              </w:rPr>
              <w:t>▲</w:t>
            </w:r>
            <w:r>
              <w:rPr>
                <w:rFonts w:hint="eastAsia" w:ascii="宋体" w:hAnsi="宋体" w:cs="宋体"/>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质量保证期</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1、国家有关产品“三包”规定执行“三包”，货物质量保证期  1  年（自最终验收合格之日算），在质保期内设备运行发生故障，免费上门维修、免费更换零部件；本分标设备提供终身服务。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售后技术服务要求</w:t>
            </w:r>
          </w:p>
          <w:p>
            <w:pPr>
              <w:spacing w:line="360" w:lineRule="exact"/>
              <w:jc w:val="left"/>
              <w:rPr>
                <w:rFonts w:ascii="宋体" w:hAnsi="宋体" w:cs="宋体"/>
                <w:color w:val="auto"/>
                <w:szCs w:val="21"/>
                <w:highlight w:val="none"/>
              </w:rPr>
            </w:pPr>
          </w:p>
        </w:tc>
        <w:tc>
          <w:tcPr>
            <w:tcW w:w="8344" w:type="dxa"/>
            <w:gridSpan w:val="6"/>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exact"/>
              <w:jc w:val="left"/>
              <w:rPr>
                <w:color w:val="auto"/>
                <w:highlight w:val="none"/>
              </w:rPr>
            </w:pPr>
            <w:r>
              <w:rPr>
                <w:rFonts w:hint="eastAsia"/>
                <w:color w:val="auto"/>
                <w:highlight w:val="none"/>
              </w:rPr>
              <w:t>免费送货上门，免费安装调试。接采购人报障电话1小时内响应，7×24小时电话和远程支持服务，若电话和远程无法解决，24小时内须派技术人员到达现场解决故障，如故障不能及时解决须提供备用设备替代，48小时内未能解决或提供备用设备替代的，每次扣除履约保证金的1/3。培训服务：设备安装调试完成后，中标人提供免费技术培训，保证设备使用人员掌握设备操作的各种知识和技巧。</w:t>
            </w:r>
          </w:p>
          <w:p>
            <w:pPr>
              <w:pStyle w:val="9"/>
              <w:rPr>
                <w:color w:val="auto"/>
                <w:highlight w:val="none"/>
              </w:rPr>
            </w:pPr>
            <w:r>
              <w:rPr>
                <w:rFonts w:hint="eastAsia" w:ascii="Times New Roman" w:hAnsi="Times New Roman"/>
                <w:b w:val="0"/>
                <w:bCs w:val="0"/>
                <w:color w:val="auto"/>
                <w:sz w:val="21"/>
                <w:highlight w:val="none"/>
              </w:rPr>
              <w:t>2、免费保修期内定期上门检查、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交货时间</w:t>
            </w:r>
          </w:p>
        </w:tc>
        <w:tc>
          <w:tcPr>
            <w:tcW w:w="83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highlight w:val="none"/>
              </w:rPr>
              <w:t>自签订合同之日起30个工作日内</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hAnsi="宋体"/>
                <w:b/>
                <w:bCs/>
                <w:color w:val="auto"/>
                <w:highlight w:val="none"/>
              </w:rPr>
              <w:t>交货地点</w:t>
            </w:r>
          </w:p>
        </w:tc>
        <w:tc>
          <w:tcPr>
            <w:tcW w:w="83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自中标通知书发出之日起25天内。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付款条件</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履约保证金：</w:t>
            </w: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履约保证金缴款账户信息：</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报价及其他要求</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ascii="宋体" w:hAnsi="宋体"/>
                <w:color w:val="auto"/>
                <w:szCs w:val="21"/>
                <w:highlight w:val="none"/>
              </w:rPr>
            </w:pPr>
            <w:r>
              <w:rPr>
                <w:rFonts w:hint="eastAsia" w:ascii="宋体" w:hAnsi="宋体"/>
                <w:color w:val="auto"/>
                <w:szCs w:val="21"/>
                <w:highlight w:val="none"/>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pPr>
              <w:spacing w:line="360" w:lineRule="exact"/>
              <w:rPr>
                <w:rFonts w:ascii="宋体" w:hAnsi="宋体"/>
                <w:color w:val="auto"/>
                <w:szCs w:val="21"/>
                <w:highlight w:val="none"/>
              </w:rPr>
            </w:pPr>
            <w:r>
              <w:rPr>
                <w:rFonts w:hint="eastAsia" w:ascii="宋体" w:hAnsi="宋体"/>
                <w:color w:val="auto"/>
                <w:szCs w:val="21"/>
                <w:highlight w:val="none"/>
              </w:rPr>
              <w:t>3、针对本项目提供切实可行的售后服务方案，否则投标无效。</w:t>
            </w:r>
          </w:p>
          <w:p>
            <w:pPr>
              <w:spacing w:line="360" w:lineRule="exact"/>
              <w:rPr>
                <w:rFonts w:ascii="宋体" w:hAnsi="宋体"/>
                <w:b/>
                <w:bCs/>
                <w:color w:val="auto"/>
                <w:szCs w:val="21"/>
                <w:highlight w:val="none"/>
              </w:rPr>
            </w:pPr>
            <w:r>
              <w:rPr>
                <w:rFonts w:hint="eastAsia" w:ascii="宋体" w:hAnsi="宋体"/>
                <w:color w:val="auto"/>
                <w:szCs w:val="21"/>
                <w:highlight w:val="none"/>
              </w:rPr>
              <w:t>4、投标人提供的货物及制作安装采用的各种配件、材料均必须满足国家和行业规范标准。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质量要求及验收标准</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1、规范标准：采购标的需执行国家标准、行业标准、地方标准或者其他标准、规范。</w:t>
            </w:r>
          </w:p>
          <w:p>
            <w:pPr>
              <w:spacing w:line="360" w:lineRule="exact"/>
              <w:rPr>
                <w:rFonts w:ascii="宋体" w:hAnsi="宋体"/>
                <w:color w:val="auto"/>
                <w:szCs w:val="21"/>
                <w:highlight w:val="none"/>
              </w:rPr>
            </w:pPr>
            <w:r>
              <w:rPr>
                <w:rFonts w:hint="eastAsia" w:ascii="宋体" w:hAnsi="宋体"/>
                <w:color w:val="auto"/>
                <w:szCs w:val="21"/>
                <w:highlight w:val="none"/>
              </w:rPr>
              <w:t>2、中标人所提供的产品必须为原装正品的、全新的、符合国家标准、行业标准、地方标准或者其他标准、规范的产品。采购人对中标人提交的货物依据招标文件上的技术规格要求和上述标准进行现场初步验收，外观、说明书符合招标文件要求的，给予签收，初步验收不合格的不予签收。采购人应当在到货（安装、调试完）后5个工作日内进行验收。采购人现场根据招标文件要求及投标文件承诺逐条对应进行核验，核验不合格的，不予验收，同时报相关监督管理部门处理，由此造成采购人经济损失的由中标人负责承担全部赔偿责任。如有异议，将交由国家认可并具检验检测资格的第三方机构邀请相关专家进行实际检验，所有产生的费用由中标人承担。</w:t>
            </w:r>
          </w:p>
          <w:p>
            <w:pPr>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知识产权要求</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3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b/>
                <w:bCs/>
                <w:color w:val="auto"/>
                <w:highlight w:val="none"/>
              </w:rPr>
            </w:pPr>
            <w:r>
              <w:rPr>
                <w:rFonts w:hint="eastAsia" w:hAnsi="宋体"/>
                <w:b/>
                <w:bCs/>
                <w:color w:val="auto"/>
                <w:highlight w:val="none"/>
              </w:rPr>
              <w:t>核心产品</w:t>
            </w:r>
          </w:p>
          <w:p>
            <w:pPr>
              <w:spacing w:line="360" w:lineRule="exact"/>
              <w:rPr>
                <w:rFonts w:ascii="宋体" w:hAnsi="宋体"/>
                <w:b/>
                <w:bCs/>
                <w:color w:val="auto"/>
                <w:szCs w:val="21"/>
                <w:highlight w:val="none"/>
              </w:rPr>
            </w:pPr>
          </w:p>
        </w:tc>
        <w:tc>
          <w:tcPr>
            <w:tcW w:w="831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bCs/>
                <w:color w:val="auto"/>
                <w:szCs w:val="21"/>
                <w:highlight w:val="none"/>
                <w:u w:val="single"/>
              </w:rPr>
            </w:pPr>
            <w:r>
              <w:rPr>
                <w:rFonts w:hint="eastAsia" w:ascii="宋体" w:hAnsi="宋体"/>
                <w:b/>
                <w:bCs/>
                <w:color w:val="auto"/>
                <w:szCs w:val="21"/>
                <w:highlight w:val="none"/>
              </w:rPr>
              <w:t>核心产品为</w:t>
            </w:r>
            <w:r>
              <w:rPr>
                <w:rFonts w:hint="eastAsia" w:ascii="宋体" w:hAnsi="宋体"/>
                <w:b/>
                <w:bCs/>
                <w:color w:val="auto"/>
                <w:szCs w:val="21"/>
                <w:highlight w:val="none"/>
                <w:u w:val="single"/>
              </w:rPr>
              <w:t xml:space="preserve">   第60项相机       </w:t>
            </w:r>
            <w:r>
              <w:rPr>
                <w:rFonts w:hint="eastAsia" w:ascii="宋体" w:hAnsi="宋体"/>
                <w:b/>
                <w:bCs/>
                <w:color w:val="auto"/>
                <w:szCs w:val="21"/>
                <w:highlight w:val="none"/>
              </w:rPr>
              <w:t>。</w:t>
            </w:r>
          </w:p>
          <w:p>
            <w:pPr>
              <w:spacing w:line="36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w:t>
            </w:r>
          </w:p>
          <w:p>
            <w:pPr>
              <w:spacing w:line="360" w:lineRule="exact"/>
              <w:rPr>
                <w:rFonts w:ascii="宋体" w:hAnsi="宋体"/>
                <w:color w:val="auto"/>
                <w:szCs w:val="21"/>
                <w:highlight w:val="none"/>
              </w:rPr>
            </w:pPr>
            <w:r>
              <w:rPr>
                <w:rFonts w:hint="eastAsia" w:ascii="宋体" w:hAnsi="宋体"/>
                <w:color w:val="auto"/>
                <w:szCs w:val="21"/>
                <w:highlight w:val="none"/>
              </w:rPr>
              <w:t>下投标的，按一家投标人计算，评审后得分最高的同品牌投标人获得中标人推</w:t>
            </w:r>
          </w:p>
          <w:p>
            <w:pPr>
              <w:spacing w:line="360" w:lineRule="exact"/>
              <w:rPr>
                <w:rFonts w:ascii="宋体" w:hAnsi="宋体"/>
                <w:color w:val="auto"/>
                <w:szCs w:val="21"/>
                <w:highlight w:val="none"/>
              </w:rPr>
            </w:pPr>
            <w:r>
              <w:rPr>
                <w:rFonts w:hint="eastAsia" w:ascii="宋体" w:hAnsi="宋体"/>
                <w:color w:val="auto"/>
                <w:szCs w:val="21"/>
                <w:highlight w:val="none"/>
              </w:rPr>
              <w:t>荐资格；评审得分相同的，由采购人或者采购人委托评标委员会按照招标文件</w:t>
            </w:r>
          </w:p>
          <w:p>
            <w:pPr>
              <w:spacing w:line="360" w:lineRule="exact"/>
              <w:rPr>
                <w:rFonts w:ascii="宋体" w:hAnsi="宋体"/>
                <w:color w:val="auto"/>
                <w:szCs w:val="21"/>
                <w:highlight w:val="none"/>
              </w:rPr>
            </w:pPr>
            <w:r>
              <w:rPr>
                <w:rFonts w:hint="eastAsia" w:ascii="宋体" w:hAnsi="宋体"/>
                <w:color w:val="auto"/>
                <w:szCs w:val="21"/>
                <w:highlight w:val="none"/>
              </w:rPr>
              <w:t>规定的方式确定一个投标人获得中标人推荐资格，招标文件未规定的采取随机</w:t>
            </w:r>
          </w:p>
          <w:p>
            <w:pPr>
              <w:spacing w:line="360" w:lineRule="exact"/>
              <w:rPr>
                <w:rFonts w:ascii="宋体" w:hAnsi="宋体"/>
                <w:b/>
                <w:bCs/>
                <w:color w:val="auto"/>
                <w:szCs w:val="21"/>
                <w:highlight w:val="none"/>
              </w:rPr>
            </w:pPr>
            <w:r>
              <w:rPr>
                <w:rFonts w:hint="eastAsia" w:ascii="宋体" w:hAnsi="宋体"/>
                <w:color w:val="auto"/>
                <w:szCs w:val="21"/>
                <w:highlight w:val="none"/>
              </w:rPr>
              <w:t>抽取方式确定，其他同品牌投标人不作为中标候选人。</w:t>
            </w:r>
          </w:p>
        </w:tc>
      </w:tr>
    </w:tbl>
    <w:p>
      <w:pPr>
        <w:spacing w:line="428" w:lineRule="exact"/>
        <w:rPr>
          <w:rFonts w:hAnsi="宋体"/>
          <w:color w:val="auto"/>
          <w:highlight w:val="none"/>
        </w:rPr>
      </w:pPr>
    </w:p>
    <w:p>
      <w:pPr>
        <w:spacing w:line="428" w:lineRule="exact"/>
        <w:ind w:left="119"/>
        <w:rPr>
          <w:rFonts w:hAnsi="宋体"/>
          <w:color w:val="auto"/>
          <w:highlight w:val="none"/>
        </w:rPr>
      </w:pPr>
    </w:p>
    <w:p>
      <w:pPr>
        <w:pStyle w:val="16"/>
        <w:rPr>
          <w:color w:val="auto"/>
          <w:highlight w:val="none"/>
        </w:rPr>
      </w:pPr>
    </w:p>
    <w:p>
      <w:pPr>
        <w:rPr>
          <w:color w:val="auto"/>
          <w:highlight w:val="none"/>
        </w:rPr>
      </w:pPr>
    </w:p>
    <w:p>
      <w:pPr>
        <w:spacing w:line="428" w:lineRule="exact"/>
        <w:ind w:left="119"/>
        <w:rPr>
          <w:rFonts w:hAnsi="宋体"/>
          <w:color w:val="auto"/>
          <w:highlight w:val="none"/>
        </w:rPr>
      </w:pPr>
      <w:r>
        <w:rPr>
          <w:rFonts w:hAnsi="宋体"/>
          <w:color w:val="auto"/>
          <w:highlight w:val="none"/>
        </w:rPr>
        <w:t xml:space="preserve"> </w:t>
      </w:r>
    </w:p>
    <w:p>
      <w:pPr>
        <w:spacing w:line="428" w:lineRule="exact"/>
        <w:ind w:left="119"/>
        <w:rPr>
          <w:rFonts w:hAnsi="宋体"/>
          <w:color w:val="auto"/>
          <w:highlight w:val="none"/>
        </w:rPr>
      </w:pPr>
    </w:p>
    <w:p>
      <w:pPr>
        <w:spacing w:line="428" w:lineRule="exact"/>
        <w:ind w:left="119"/>
        <w:rPr>
          <w:rFonts w:hAnsi="宋体"/>
          <w:color w:val="auto"/>
          <w:highlight w:val="none"/>
        </w:rPr>
      </w:pPr>
    </w:p>
    <w:p>
      <w:pPr>
        <w:spacing w:line="428" w:lineRule="exact"/>
        <w:ind w:left="119"/>
        <w:rPr>
          <w:rFonts w:hAnsi="宋体"/>
          <w:color w:val="auto"/>
          <w:highlight w:val="none"/>
        </w:rPr>
      </w:pPr>
    </w:p>
    <w:p>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tbl>
      <w:tblPr>
        <w:tblStyle w:val="34"/>
        <w:tblW w:w="0" w:type="auto"/>
        <w:tblInd w:w="-5" w:type="dxa"/>
        <w:tblLayout w:type="fixed"/>
        <w:tblCellMar>
          <w:top w:w="0" w:type="dxa"/>
          <w:left w:w="0" w:type="dxa"/>
          <w:bottom w:w="0" w:type="dxa"/>
          <w:right w:w="0" w:type="dxa"/>
        </w:tblCellMar>
      </w:tblPr>
      <w:tblGrid>
        <w:gridCol w:w="574"/>
        <w:gridCol w:w="1134"/>
        <w:gridCol w:w="150"/>
        <w:gridCol w:w="1682"/>
        <w:gridCol w:w="140"/>
        <w:gridCol w:w="1363"/>
        <w:gridCol w:w="413"/>
        <w:gridCol w:w="3444"/>
        <w:gridCol w:w="15"/>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57" w:line="256" w:lineRule="auto"/>
              <w:ind w:left="59" w:right="60"/>
              <w:rPr>
                <w:rFonts w:ascii="宋体" w:hAnsi="宋体" w:cs="宋体"/>
                <w:color w:val="auto"/>
                <w:sz w:val="21"/>
                <w:szCs w:val="21"/>
                <w:highlight w:val="none"/>
              </w:rPr>
            </w:pPr>
            <w:r>
              <w:rPr>
                <w:rFonts w:hint="eastAsia" w:ascii="宋体" w:hAnsi="宋体" w:cs="宋体"/>
                <w:b/>
                <w:bCs/>
                <w:color w:val="auto"/>
                <w:w w:val="99"/>
                <w:sz w:val="21"/>
                <w:szCs w:val="21"/>
                <w:highlight w:val="none"/>
              </w:rPr>
              <w:t>品目序号</w:t>
            </w:r>
          </w:p>
        </w:tc>
        <w:tc>
          <w:tcPr>
            <w:tcW w:w="4882" w:type="dxa"/>
            <w:gridSpan w:val="6"/>
            <w:tcBorders>
              <w:top w:val="single" w:color="000000" w:sz="4" w:space="0"/>
              <w:left w:val="single" w:color="000000" w:sz="4" w:space="0"/>
              <w:bottom w:val="single" w:color="000000" w:sz="4" w:space="0"/>
              <w:right w:val="single" w:color="000000" w:sz="4" w:space="0"/>
            </w:tcBorders>
          </w:tcPr>
          <w:p>
            <w:pPr>
              <w:pStyle w:val="100"/>
              <w:spacing w:before="4"/>
              <w:rPr>
                <w:rFonts w:ascii="宋体" w:hAnsi="宋体" w:cs="宋体"/>
                <w:color w:val="auto"/>
                <w:sz w:val="21"/>
                <w:szCs w:val="21"/>
                <w:highlight w:val="none"/>
              </w:rPr>
            </w:pPr>
          </w:p>
          <w:p>
            <w:pPr>
              <w:pStyle w:val="100"/>
              <w:jc w:val="center"/>
              <w:rPr>
                <w:rFonts w:ascii="宋体" w:hAnsi="宋体" w:cs="宋体"/>
                <w:color w:val="auto"/>
                <w:sz w:val="21"/>
                <w:szCs w:val="21"/>
                <w:highlight w:val="none"/>
              </w:rPr>
            </w:pPr>
            <w:r>
              <w:rPr>
                <w:rFonts w:hint="eastAsia" w:ascii="宋体" w:hAnsi="宋体" w:cs="宋体"/>
                <w:b/>
                <w:bCs/>
                <w:color w:val="auto"/>
                <w:w w:val="99"/>
                <w:sz w:val="21"/>
                <w:szCs w:val="21"/>
                <w:highlight w:val="none"/>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
              <w:rPr>
                <w:rFonts w:ascii="宋体" w:hAnsi="宋体" w:cs="宋体"/>
                <w:color w:val="auto"/>
                <w:sz w:val="21"/>
                <w:szCs w:val="21"/>
                <w:highlight w:val="none"/>
              </w:rPr>
            </w:pPr>
          </w:p>
          <w:p>
            <w:pPr>
              <w:pStyle w:val="100"/>
              <w:ind w:left="926"/>
              <w:rPr>
                <w:rFonts w:ascii="宋体" w:hAnsi="宋体" w:cs="宋体"/>
                <w:color w:val="auto"/>
                <w:sz w:val="21"/>
                <w:szCs w:val="21"/>
                <w:highlight w:val="none"/>
              </w:rPr>
            </w:pPr>
            <w:r>
              <w:rPr>
                <w:rFonts w:hint="eastAsia" w:ascii="宋体" w:hAnsi="宋体" w:cs="宋体"/>
                <w:b/>
                <w:bCs/>
                <w:color w:val="auto"/>
                <w:w w:val="99"/>
                <w:sz w:val="21"/>
                <w:szCs w:val="21"/>
                <w:highlight w:val="none"/>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1"/>
              <w:rPr>
                <w:rFonts w:ascii="宋体" w:hAnsi="宋体" w:cs="宋体"/>
                <w:color w:val="auto"/>
                <w:sz w:val="21"/>
                <w:szCs w:val="21"/>
                <w:highlight w:val="none"/>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1</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1计算</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机设备</w:t>
            </w: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93"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04台式计算机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93"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44"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05便携式计算机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64" w:line="283" w:lineRule="auto"/>
              <w:ind w:left="7" w:right="5"/>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10</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07平板式微型计</w:t>
            </w:r>
            <w:r>
              <w:rPr>
                <w:rFonts w:hint="eastAsia" w:ascii="宋体" w:hAnsi="宋体" w:cs="宋体"/>
                <w:color w:val="auto"/>
                <w:spacing w:val="2"/>
                <w:w w:val="99"/>
                <w:sz w:val="21"/>
                <w:szCs w:val="21"/>
                <w:highlight w:val="none"/>
                <w:lang w:eastAsia="zh-CN"/>
              </w:rPr>
              <w:t>算</w:t>
            </w:r>
            <w:r>
              <w:rPr>
                <w:rFonts w:hint="eastAsia" w:ascii="宋体" w:hAnsi="宋体" w:cs="宋体"/>
                <w:color w:val="auto"/>
                <w:w w:val="99"/>
                <w:sz w:val="21"/>
                <w:szCs w:val="21"/>
                <w:highlight w:val="none"/>
                <w:lang w:eastAsia="zh-CN"/>
              </w:rPr>
              <w:t>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2"/>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2</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3"/>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6输入</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输出设备</w:t>
            </w:r>
          </w:p>
        </w:tc>
        <w:tc>
          <w:tcPr>
            <w:tcW w:w="183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64"/>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601打印设备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10</w:t>
            </w:r>
            <w:r>
              <w:rPr>
                <w:rFonts w:hint="eastAsia" w:ascii="宋体" w:hAnsi="宋体" w:cs="宋体"/>
                <w:color w:val="auto"/>
                <w:w w:val="99"/>
                <w:sz w:val="21"/>
                <w:szCs w:val="21"/>
                <w:highlight w:val="none"/>
              </w:rPr>
              <w:t>1喷墨打</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02激光</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04针式</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2"/>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604显示设备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68"/>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4</w:t>
            </w:r>
            <w:r>
              <w:rPr>
                <w:rFonts w:hint="eastAsia" w:ascii="宋体" w:hAnsi="宋体" w:cs="宋体"/>
                <w:color w:val="auto"/>
                <w:w w:val="99"/>
                <w:sz w:val="21"/>
                <w:szCs w:val="21"/>
                <w:highlight w:val="none"/>
              </w:rPr>
              <w:t>01液晶</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8"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《计算机显示器能效限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1666"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lang w:eastAsia="zh-CN"/>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609图形图像输入设备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spacing w:before="7"/>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9</w:t>
            </w:r>
            <w:r>
              <w:rPr>
                <w:rFonts w:hint="eastAsia" w:ascii="宋体" w:hAnsi="宋体" w:cs="宋体"/>
                <w:color w:val="auto"/>
                <w:w w:val="99"/>
                <w:sz w:val="21"/>
                <w:szCs w:val="21"/>
                <w:highlight w:val="none"/>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9"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参</w:t>
            </w:r>
            <w:r>
              <w:rPr>
                <w:rFonts w:hint="eastAsia" w:ascii="宋体" w:hAnsi="宋体" w:cs="宋体"/>
                <w:color w:val="auto"/>
                <w:spacing w:val="-29"/>
                <w:w w:val="99"/>
                <w:sz w:val="21"/>
                <w:szCs w:val="21"/>
                <w:highlight w:val="none"/>
                <w:lang w:eastAsia="zh-CN"/>
              </w:rPr>
              <w:t>照</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复</w:t>
            </w:r>
            <w:r>
              <w:rPr>
                <w:rFonts w:hint="eastAsia" w:ascii="宋体" w:hAnsi="宋体" w:cs="宋体"/>
                <w:color w:val="auto"/>
                <w:w w:val="99"/>
                <w:sz w:val="21"/>
                <w:szCs w:val="21"/>
                <w:highlight w:val="none"/>
                <w:lang w:eastAsia="zh-CN"/>
              </w:rPr>
              <w:t>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打</w:t>
            </w:r>
            <w:r>
              <w:rPr>
                <w:rFonts w:hint="eastAsia" w:ascii="宋体" w:hAnsi="宋体" w:cs="宋体"/>
                <w:color w:val="auto"/>
                <w:spacing w:val="2"/>
                <w:w w:val="99"/>
                <w:sz w:val="21"/>
                <w:szCs w:val="21"/>
                <w:highlight w:val="none"/>
                <w:lang w:eastAsia="zh-CN"/>
              </w:rPr>
              <w:t>印</w:t>
            </w:r>
            <w:r>
              <w:rPr>
                <w:rFonts w:hint="eastAsia" w:ascii="宋体" w:hAnsi="宋体" w:cs="宋体"/>
                <w:color w:val="auto"/>
                <w:w w:val="99"/>
                <w:sz w:val="21"/>
                <w:szCs w:val="21"/>
                <w:highlight w:val="none"/>
                <w:lang w:eastAsia="zh-CN"/>
              </w:rPr>
              <w:t>机和</w:t>
            </w:r>
            <w:r>
              <w:rPr>
                <w:rFonts w:hint="eastAsia" w:ascii="宋体" w:hAnsi="宋体" w:cs="宋体"/>
                <w:color w:val="auto"/>
                <w:spacing w:val="2"/>
                <w:w w:val="99"/>
                <w:sz w:val="21"/>
                <w:szCs w:val="21"/>
                <w:highlight w:val="none"/>
                <w:lang w:eastAsia="zh-CN"/>
              </w:rPr>
              <w:t>传</w:t>
            </w:r>
            <w:r>
              <w:rPr>
                <w:rFonts w:hint="eastAsia" w:ascii="宋体" w:hAnsi="宋体" w:cs="宋体"/>
                <w:color w:val="auto"/>
                <w:w w:val="99"/>
                <w:sz w:val="21"/>
                <w:szCs w:val="21"/>
                <w:highlight w:val="none"/>
                <w:lang w:eastAsia="zh-CN"/>
              </w:rPr>
              <w:t>真机能效限定</w:t>
            </w:r>
            <w:r>
              <w:rPr>
                <w:rFonts w:hint="eastAsia" w:ascii="宋体" w:hAnsi="宋体" w:cs="宋体"/>
                <w:color w:val="auto"/>
                <w:spacing w:val="2"/>
                <w:w w:val="99"/>
                <w:sz w:val="21"/>
                <w:szCs w:val="21"/>
                <w:highlight w:val="none"/>
                <w:lang w:eastAsia="zh-CN"/>
              </w:rPr>
              <w:t>值</w:t>
            </w:r>
            <w:r>
              <w:rPr>
                <w:rFonts w:hint="eastAsia" w:ascii="宋体" w:hAnsi="宋体" w:cs="宋体"/>
                <w:color w:val="auto"/>
                <w:w w:val="99"/>
                <w:sz w:val="21"/>
                <w:szCs w:val="21"/>
                <w:highlight w:val="none"/>
                <w:lang w:eastAsia="zh-CN"/>
              </w:rPr>
              <w:t>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2152</w:t>
            </w:r>
            <w:r>
              <w:rPr>
                <w:rFonts w:hint="eastAsia" w:ascii="宋体" w:hAnsi="宋体" w:cs="宋体"/>
                <w:color w:val="auto"/>
                <w:w w:val="99"/>
                <w:sz w:val="21"/>
                <w:szCs w:val="21"/>
                <w:highlight w:val="none"/>
                <w:lang w:eastAsia="zh-CN"/>
              </w:rPr>
              <w:t>1</w:t>
            </w:r>
          </w:p>
          <w:p>
            <w:pPr>
              <w:pStyle w:val="100"/>
              <w:spacing w:before="12" w:line="283" w:lineRule="auto"/>
              <w:ind w:left="7" w:right="5"/>
              <w:rPr>
                <w:rFonts w:ascii="宋体" w:hAnsi="宋体" w:cs="宋体"/>
                <w:color w:val="auto"/>
                <w:sz w:val="21"/>
                <w:szCs w:val="21"/>
                <w:highlight w:val="none"/>
                <w:lang w:eastAsia="zh-CN"/>
              </w:rPr>
            </w:pPr>
            <w:r>
              <w:rPr>
                <w:rFonts w:hint="eastAsia" w:ascii="宋体" w:hAnsi="宋体" w:cs="宋体"/>
                <w:color w:val="auto"/>
                <w:spacing w:val="2"/>
                <w:w w:val="99"/>
                <w:sz w:val="21"/>
                <w:szCs w:val="21"/>
                <w:highlight w:val="none"/>
                <w:lang w:eastAsia="zh-CN"/>
              </w:rPr>
              <w:t>中</w:t>
            </w:r>
            <w:r>
              <w:rPr>
                <w:rFonts w:hint="eastAsia" w:ascii="宋体" w:hAnsi="宋体" w:cs="宋体"/>
                <w:color w:val="auto"/>
                <w:spacing w:val="4"/>
                <w:w w:val="99"/>
                <w:sz w:val="21"/>
                <w:szCs w:val="21"/>
                <w:highlight w:val="none"/>
                <w:lang w:eastAsia="zh-CN"/>
              </w:rPr>
              <w:t>打印速</w:t>
            </w:r>
            <w:r>
              <w:rPr>
                <w:rFonts w:hint="eastAsia" w:ascii="宋体" w:hAnsi="宋体" w:cs="宋体"/>
                <w:color w:val="auto"/>
                <w:spacing w:val="2"/>
                <w:w w:val="99"/>
                <w:sz w:val="21"/>
                <w:szCs w:val="21"/>
                <w:highlight w:val="none"/>
                <w:lang w:eastAsia="zh-CN"/>
              </w:rPr>
              <w:t>度</w:t>
            </w:r>
            <w:r>
              <w:rPr>
                <w:rFonts w:hint="eastAsia" w:ascii="宋体" w:hAnsi="宋体" w:cs="宋体"/>
                <w:color w:val="auto"/>
                <w:w w:val="99"/>
                <w:sz w:val="21"/>
                <w:szCs w:val="21"/>
                <w:highlight w:val="none"/>
                <w:lang w:eastAsia="zh-CN"/>
              </w:rPr>
              <w:t>为</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5</w:t>
            </w:r>
            <w:r>
              <w:rPr>
                <w:rFonts w:hint="eastAsia" w:ascii="宋体" w:hAnsi="宋体" w:cs="宋体"/>
                <w:color w:val="auto"/>
                <w:spacing w:val="2"/>
                <w:w w:val="99"/>
                <w:sz w:val="21"/>
                <w:szCs w:val="21"/>
                <w:highlight w:val="none"/>
                <w:lang w:eastAsia="zh-CN"/>
              </w:rPr>
              <w:t>页</w:t>
            </w:r>
            <w:r>
              <w:rPr>
                <w:rFonts w:hint="eastAsia" w:ascii="宋体" w:hAnsi="宋体" w:cs="宋体"/>
                <w:color w:val="auto"/>
                <w:spacing w:val="5"/>
                <w:w w:val="99"/>
                <w:sz w:val="21"/>
                <w:szCs w:val="21"/>
                <w:highlight w:val="none"/>
                <w:lang w:eastAsia="zh-CN"/>
              </w:rPr>
              <w:t>/</w:t>
            </w:r>
            <w:r>
              <w:rPr>
                <w:rFonts w:hint="eastAsia" w:ascii="宋体" w:hAnsi="宋体" w:cs="宋体"/>
                <w:color w:val="auto"/>
                <w:spacing w:val="4"/>
                <w:w w:val="99"/>
                <w:sz w:val="21"/>
                <w:szCs w:val="21"/>
                <w:highlight w:val="none"/>
                <w:lang w:eastAsia="zh-CN"/>
              </w:rPr>
              <w:t>分的</w:t>
            </w:r>
            <w:r>
              <w:rPr>
                <w:rFonts w:hint="eastAsia" w:ascii="宋体" w:hAnsi="宋体" w:cs="宋体"/>
                <w:color w:val="auto"/>
                <w:spacing w:val="2"/>
                <w:w w:val="99"/>
                <w:sz w:val="21"/>
                <w:szCs w:val="21"/>
                <w:highlight w:val="none"/>
                <w:lang w:eastAsia="zh-CN"/>
              </w:rPr>
              <w:t>针</w:t>
            </w:r>
            <w:r>
              <w:rPr>
                <w:rFonts w:hint="eastAsia" w:ascii="宋体" w:hAnsi="宋体" w:cs="宋体"/>
                <w:color w:val="auto"/>
                <w:spacing w:val="4"/>
                <w:w w:val="99"/>
                <w:sz w:val="21"/>
                <w:szCs w:val="21"/>
                <w:highlight w:val="none"/>
                <w:lang w:eastAsia="zh-CN"/>
              </w:rPr>
              <w:t>式</w:t>
            </w:r>
            <w:r>
              <w:rPr>
                <w:rFonts w:hint="eastAsia" w:ascii="宋体" w:hAnsi="宋体" w:cs="宋体"/>
                <w:color w:val="auto"/>
                <w:w w:val="99"/>
                <w:sz w:val="21"/>
                <w:szCs w:val="21"/>
                <w:highlight w:val="none"/>
                <w:lang w:eastAsia="zh-CN"/>
              </w:rPr>
              <w:t>打印机相</w:t>
            </w:r>
            <w:r>
              <w:rPr>
                <w:rFonts w:hint="eastAsia" w:ascii="宋体" w:hAnsi="宋体" w:cs="宋体"/>
                <w:color w:val="auto"/>
                <w:spacing w:val="2"/>
                <w:w w:val="99"/>
                <w:sz w:val="21"/>
                <w:szCs w:val="21"/>
                <w:highlight w:val="none"/>
                <w:lang w:eastAsia="zh-CN"/>
              </w:rPr>
              <w:t>关</w:t>
            </w:r>
            <w:r>
              <w:rPr>
                <w:rFonts w:hint="eastAsia" w:ascii="宋体" w:hAnsi="宋体" w:cs="宋体"/>
                <w:color w:val="auto"/>
                <w:w w:val="99"/>
                <w:sz w:val="21"/>
                <w:szCs w:val="21"/>
                <w:highlight w:val="none"/>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79"/>
              <w:ind w:right="1"/>
              <w:jc w:val="center"/>
              <w:rPr>
                <w:rFonts w:ascii="宋体" w:hAnsi="宋体" w:cs="宋体"/>
                <w:color w:val="auto"/>
                <w:sz w:val="21"/>
                <w:szCs w:val="21"/>
                <w:highlight w:val="none"/>
              </w:rPr>
            </w:pPr>
            <w:r>
              <w:rPr>
                <w:rFonts w:hint="eastAsia" w:ascii="宋体"/>
                <w:color w:val="auto"/>
                <w:w w:val="99"/>
                <w:sz w:val="21"/>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2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2投影</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仪</w:t>
            </w:r>
          </w:p>
        </w:tc>
        <w:tc>
          <w:tcPr>
            <w:tcW w:w="183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23"/>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《投影</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w:t>
            </w:r>
            <w:r>
              <w:rPr>
                <w:rFonts w:hint="eastAsia" w:ascii="宋体" w:hAnsi="宋体" w:cs="宋体"/>
                <w:color w:val="auto"/>
                <w:spacing w:val="2"/>
                <w:w w:val="99"/>
                <w:sz w:val="21"/>
                <w:szCs w:val="21"/>
                <w:highlight w:val="none"/>
                <w:lang w:eastAsia="zh-CN"/>
              </w:rPr>
              <w:t>限</w:t>
            </w:r>
            <w:r>
              <w:rPr>
                <w:rFonts w:hint="eastAsia" w:ascii="宋体" w:hAnsi="宋体" w:cs="宋体"/>
                <w:color w:val="auto"/>
                <w:w w:val="99"/>
                <w:sz w:val="21"/>
                <w:szCs w:val="21"/>
                <w:highlight w:val="none"/>
                <w:lang w:eastAsia="zh-CN"/>
              </w:rPr>
              <w:t>定值</w:t>
            </w:r>
            <w:r>
              <w:rPr>
                <w:rFonts w:hint="eastAsia" w:ascii="宋体" w:hAnsi="宋体" w:cs="宋体"/>
                <w:color w:val="auto"/>
                <w:spacing w:val="2"/>
                <w:w w:val="99"/>
                <w:sz w:val="21"/>
                <w:szCs w:val="21"/>
                <w:highlight w:val="none"/>
                <w:lang w:eastAsia="zh-CN"/>
              </w:rPr>
              <w:t>及</w:t>
            </w:r>
            <w:r>
              <w:rPr>
                <w:rFonts w:hint="eastAsia" w:ascii="宋体" w:hAnsi="宋体" w:cs="宋体"/>
                <w:color w:val="auto"/>
                <w:w w:val="99"/>
                <w:sz w:val="21"/>
                <w:szCs w:val="21"/>
                <w:highlight w:val="none"/>
                <w:lang w:eastAsia="zh-CN"/>
              </w:rPr>
              <w:t>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G</w:t>
            </w:r>
            <w:r>
              <w:rPr>
                <w:rFonts w:hint="eastAsia" w:ascii="宋体" w:hAnsi="宋体" w:cs="宋体"/>
                <w:color w:val="auto"/>
                <w:w w:val="99"/>
                <w:sz w:val="21"/>
                <w:szCs w:val="21"/>
                <w:highlight w:val="none"/>
              </w:rPr>
              <w:t>B</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20</w:t>
            </w:r>
            <w:r>
              <w:rPr>
                <w:rFonts w:hint="eastAsia" w:ascii="宋体" w:hAnsi="宋体" w:cs="宋体"/>
                <w:color w:val="auto"/>
                <w:spacing w:val="1"/>
                <w:w w:val="99"/>
                <w:sz w:val="21"/>
                <w:szCs w:val="21"/>
                <w:highlight w:val="none"/>
              </w:rPr>
              <w:t>28</w:t>
            </w:r>
            <w:r>
              <w:rPr>
                <w:rFonts w:hint="eastAsia" w:ascii="宋体" w:hAnsi="宋体" w:cs="宋体"/>
                <w:color w:val="auto"/>
                <w:w w:val="99"/>
                <w:sz w:val="21"/>
                <w:szCs w:val="21"/>
                <w:highlight w:val="none"/>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3"/>
              <w:rPr>
                <w:rFonts w:ascii="宋体" w:hAnsi="宋体" w:cs="宋体"/>
                <w:color w:val="auto"/>
                <w:sz w:val="21"/>
                <w:szCs w:val="21"/>
                <w:highlight w:val="none"/>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66"/>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4多功</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能一体机</w:t>
            </w:r>
          </w:p>
        </w:tc>
        <w:tc>
          <w:tcPr>
            <w:tcW w:w="183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6"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76"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60"/>
              <w:ind w:right="1"/>
              <w:jc w:val="center"/>
              <w:rPr>
                <w:rFonts w:ascii="宋体" w:hAnsi="宋体" w:cs="宋体"/>
                <w:color w:val="auto"/>
                <w:sz w:val="21"/>
                <w:szCs w:val="21"/>
                <w:highlight w:val="none"/>
              </w:rPr>
            </w:pPr>
            <w:r>
              <w:rPr>
                <w:rFonts w:hint="eastAsia" w:ascii="宋体"/>
                <w:color w:val="auto"/>
                <w:w w:val="99"/>
                <w:sz w:val="21"/>
                <w:szCs w:val="21"/>
                <w:highlight w:val="none"/>
              </w:rPr>
              <w:t>5</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9泵</w:t>
            </w: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901离心泵</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《清水离心泵能效限定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及节</w:t>
            </w:r>
            <w:r>
              <w:rPr>
                <w:rFonts w:hint="eastAsia" w:ascii="宋体" w:hAnsi="宋体" w:cs="宋体"/>
                <w:color w:val="auto"/>
                <w:w w:val="99"/>
                <w:sz w:val="21"/>
                <w:szCs w:val="21"/>
                <w:highlight w:val="none"/>
                <w:lang w:eastAsia="zh-CN"/>
              </w:rPr>
              <w:t>能评价值</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w:t>
            </w:r>
            <w:r>
              <w:rPr>
                <w:rFonts w:hint="eastAsia" w:ascii="宋体" w:hAnsi="宋体" w:cs="宋体"/>
                <w:color w:val="auto"/>
                <w:w w:val="99"/>
                <w:sz w:val="21"/>
                <w:szCs w:val="21"/>
                <w:highlight w:val="none"/>
                <w:lang w:eastAsia="zh-CN"/>
              </w:rPr>
              <w:t>76</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163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7"/>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6</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8"/>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3制冷</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83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8"/>
              <w:rPr>
                <w:rFonts w:ascii="宋体" w:hAnsi="宋体" w:cs="宋体"/>
                <w:color w:val="auto"/>
                <w:sz w:val="21"/>
                <w:szCs w:val="21"/>
                <w:highlight w:val="none"/>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01制冷压缩机</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spacing w:before="1"/>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30" w:line="283" w:lineRule="auto"/>
              <w:ind w:left="7" w:right="4"/>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《冷水机组能效限定值</w:t>
            </w:r>
            <w:r>
              <w:rPr>
                <w:rFonts w:hint="eastAsia" w:ascii="宋体" w:hAnsi="宋体" w:cs="宋体"/>
                <w:color w:val="auto"/>
                <w:spacing w:val="9"/>
                <w:w w:val="99"/>
                <w:sz w:val="21"/>
                <w:szCs w:val="21"/>
                <w:highlight w:val="none"/>
                <w:lang w:eastAsia="zh-CN"/>
              </w:rPr>
              <w:t>及</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等级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77</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《低</w:t>
            </w:r>
            <w:r>
              <w:rPr>
                <w:rFonts w:hint="eastAsia" w:ascii="宋体" w:hAnsi="宋体" w:cs="宋体"/>
                <w:color w:val="auto"/>
                <w:spacing w:val="2"/>
                <w:w w:val="99"/>
                <w:sz w:val="21"/>
                <w:szCs w:val="21"/>
                <w:highlight w:val="none"/>
                <w:lang w:eastAsia="zh-CN"/>
              </w:rPr>
              <w:t>环</w:t>
            </w:r>
            <w:r>
              <w:rPr>
                <w:rFonts w:hint="eastAsia" w:ascii="宋体" w:hAnsi="宋体" w:cs="宋体"/>
                <w:color w:val="auto"/>
                <w:w w:val="99"/>
                <w:sz w:val="21"/>
                <w:szCs w:val="21"/>
                <w:highlight w:val="none"/>
                <w:lang w:eastAsia="zh-CN"/>
              </w:rPr>
              <w:t>境温度空气源</w:t>
            </w:r>
            <w:r>
              <w:rPr>
                <w:rFonts w:hint="eastAsia" w:ascii="宋体" w:hAnsi="宋体" w:cs="宋体"/>
                <w:color w:val="auto"/>
                <w:spacing w:val="2"/>
                <w:w w:val="99"/>
                <w:sz w:val="21"/>
                <w:szCs w:val="21"/>
                <w:highlight w:val="none"/>
                <w:lang w:eastAsia="zh-CN"/>
              </w:rPr>
              <w:t>热</w:t>
            </w:r>
            <w:r>
              <w:rPr>
                <w:rFonts w:hint="eastAsia" w:ascii="宋体" w:hAnsi="宋体" w:cs="宋体"/>
                <w:color w:val="auto"/>
                <w:spacing w:val="-29"/>
                <w:w w:val="99"/>
                <w:sz w:val="21"/>
                <w:szCs w:val="21"/>
                <w:highlight w:val="none"/>
                <w:lang w:eastAsia="zh-CN"/>
              </w:rPr>
              <w:t>泵</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冷水</w:t>
            </w:r>
            <w:r>
              <w:rPr>
                <w:rFonts w:hint="eastAsia" w:ascii="宋体" w:hAnsi="宋体" w:cs="宋体"/>
                <w:color w:val="auto"/>
                <w:spacing w:val="-27"/>
                <w:w w:val="99"/>
                <w:sz w:val="21"/>
                <w:szCs w:val="21"/>
                <w:highlight w:val="none"/>
                <w:lang w:eastAsia="zh-CN"/>
              </w:rPr>
              <w:t>）</w:t>
            </w:r>
            <w:r>
              <w:rPr>
                <w:rFonts w:hint="eastAsia" w:ascii="宋体" w:hAnsi="宋体" w:cs="宋体"/>
                <w:color w:val="auto"/>
                <w:w w:val="99"/>
                <w:sz w:val="21"/>
                <w:szCs w:val="21"/>
                <w:highlight w:val="none"/>
                <w:lang w:eastAsia="zh-CN"/>
              </w:rPr>
              <w:t>机组</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效限定值及能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48</w:t>
            </w:r>
            <w:r>
              <w:rPr>
                <w:rFonts w:hint="eastAsia" w:ascii="宋体" w:hAnsi="宋体" w:cs="宋体"/>
                <w:color w:val="auto"/>
                <w:spacing w:val="-2"/>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水源热</w:t>
            </w:r>
            <w:r>
              <w:rPr>
                <w:rFonts w:hint="eastAsia" w:ascii="宋体" w:hAnsi="宋体" w:cs="宋体"/>
                <w:color w:val="auto"/>
                <w:spacing w:val="2"/>
                <w:w w:val="99"/>
                <w:sz w:val="21"/>
                <w:szCs w:val="21"/>
                <w:highlight w:val="none"/>
              </w:rPr>
              <w:t>泵</w:t>
            </w:r>
            <w:r>
              <w:rPr>
                <w:rFonts w:hint="eastAsia" w:ascii="宋体" w:hAnsi="宋体" w:cs="宋体"/>
                <w:color w:val="auto"/>
                <w:w w:val="99"/>
                <w:sz w:val="21"/>
                <w:szCs w:val="21"/>
                <w:highlight w:val="none"/>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29"/>
                <w:w w:val="99"/>
                <w:sz w:val="21"/>
                <w:szCs w:val="21"/>
                <w:highlight w:val="none"/>
                <w:lang w:eastAsia="zh-CN"/>
              </w:rPr>
              <w:t>水</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地</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
                <w:w w:val="99"/>
                <w:sz w:val="21"/>
                <w:szCs w:val="21"/>
                <w:highlight w:val="none"/>
                <w:lang w:eastAsia="zh-CN"/>
              </w:rPr>
              <w:t>源</w:t>
            </w:r>
            <w:r>
              <w:rPr>
                <w:rFonts w:hint="eastAsia" w:ascii="宋体" w:hAnsi="宋体" w:cs="宋体"/>
                <w:color w:val="auto"/>
                <w:w w:val="99"/>
                <w:sz w:val="21"/>
                <w:szCs w:val="21"/>
                <w:highlight w:val="none"/>
                <w:lang w:eastAsia="zh-CN"/>
              </w:rPr>
              <w:t>热泵</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组能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限定值及能效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30721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93"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363" w:type="dxa"/>
            <w:tcBorders>
              <w:top w:val="single" w:color="000000" w:sz="4" w:space="0"/>
              <w:left w:val="single" w:color="000000" w:sz="4" w:space="0"/>
              <w:right w:val="single" w:color="000000" w:sz="4" w:space="0"/>
            </w:tcBorders>
          </w:tcPr>
          <w:p>
            <w:pPr>
              <w:pStyle w:val="100"/>
              <w:spacing w:before="9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溴化锂吸收式冷水</w:t>
            </w:r>
            <w:r>
              <w:rPr>
                <w:rFonts w:hint="eastAsia" w:ascii="宋体" w:hAnsi="宋体" w:cs="宋体"/>
                <w:color w:val="auto"/>
                <w:w w:val="99"/>
                <w:sz w:val="21"/>
                <w:szCs w:val="21"/>
                <w:highlight w:val="none"/>
                <w:lang w:eastAsia="zh-CN"/>
              </w:rPr>
              <w:t>机组</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9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《溴化锂吸收式冷水机</w:t>
            </w:r>
            <w:r>
              <w:rPr>
                <w:rFonts w:hint="eastAsia" w:ascii="宋体" w:hAnsi="宋体" w:cs="宋体"/>
                <w:color w:val="auto"/>
                <w:spacing w:val="9"/>
                <w:w w:val="99"/>
                <w:sz w:val="21"/>
                <w:szCs w:val="21"/>
                <w:highlight w:val="none"/>
                <w:lang w:eastAsia="zh-CN"/>
              </w:rPr>
              <w:t>组</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29</w:t>
            </w:r>
            <w:r>
              <w:rPr>
                <w:rFonts w:hint="eastAsia" w:ascii="宋体" w:hAnsi="宋体" w:cs="宋体"/>
                <w:color w:val="auto"/>
                <w:w w:val="99"/>
                <w:sz w:val="21"/>
                <w:szCs w:val="21"/>
                <w:highlight w:val="none"/>
                <w:lang w:eastAsia="zh-CN"/>
              </w:rPr>
              <w:t>54</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15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3"/>
              <w:rPr>
                <w:rFonts w:ascii="宋体" w:hAnsi="宋体" w:cs="宋体"/>
                <w:color w:val="auto"/>
                <w:sz w:val="21"/>
                <w:szCs w:val="21"/>
                <w:highlight w:val="none"/>
                <w:lang w:eastAsia="zh-CN"/>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05空调机组</w:t>
            </w:r>
          </w:p>
        </w:tc>
        <w:tc>
          <w:tcPr>
            <w:tcW w:w="1363" w:type="dxa"/>
            <w:tcBorders>
              <w:top w:val="single" w:color="000000" w:sz="4" w:space="0"/>
              <w:left w:val="single" w:color="000000" w:sz="4" w:space="0"/>
              <w:bottom w:val="single" w:color="000000" w:sz="4" w:space="0"/>
              <w:right w:val="single" w:color="000000" w:sz="4" w:space="0"/>
            </w:tcBorders>
          </w:tcPr>
          <w:p>
            <w:pPr>
              <w:pStyle w:val="100"/>
              <w:spacing w:before="4" w:line="283" w:lineRule="auto"/>
              <w:ind w:left="7" w:right="7"/>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多联式空</w:t>
            </w:r>
            <w:r>
              <w:rPr>
                <w:rFonts w:hint="eastAsia" w:ascii="宋体" w:hAnsi="宋体" w:cs="宋体"/>
                <w:color w:val="auto"/>
                <w:spacing w:val="11"/>
                <w:w w:val="99"/>
                <w:sz w:val="21"/>
                <w:szCs w:val="21"/>
                <w:highlight w:val="none"/>
                <w:lang w:eastAsia="zh-CN"/>
              </w:rPr>
              <w:t>调（</w:t>
            </w:r>
            <w:r>
              <w:rPr>
                <w:rFonts w:hint="eastAsia" w:ascii="宋体" w:hAnsi="宋体" w:cs="宋体"/>
                <w:color w:val="auto"/>
                <w:spacing w:val="12"/>
                <w:w w:val="99"/>
                <w:sz w:val="21"/>
                <w:szCs w:val="21"/>
                <w:highlight w:val="none"/>
                <w:lang w:eastAsia="zh-CN"/>
              </w:rPr>
              <w:t>热泵</w:t>
            </w:r>
            <w:r>
              <w:rPr>
                <w:rFonts w:hint="eastAsia" w:ascii="宋体" w:hAnsi="宋体" w:cs="宋体"/>
                <w:color w:val="auto"/>
                <w:w w:val="99"/>
                <w:sz w:val="21"/>
                <w:szCs w:val="21"/>
                <w:highlight w:val="none"/>
                <w:lang w:eastAsia="zh-CN"/>
              </w:rPr>
              <w:t>）机组(制冷量</w:t>
            </w:r>
            <w:r>
              <w:rPr>
                <w:rFonts w:hint="eastAsia" w:ascii="宋体" w:hAnsi="宋体" w:cs="宋体"/>
                <w:color w:val="auto"/>
                <w:spacing w:val="1"/>
                <w:w w:val="99"/>
                <w:sz w:val="21"/>
                <w:szCs w:val="21"/>
                <w:highlight w:val="none"/>
                <w:lang w:eastAsia="zh-CN"/>
              </w:rPr>
              <w:t>&gt;140</w:t>
            </w:r>
            <w:r>
              <w:rPr>
                <w:rFonts w:hint="eastAsia" w:ascii="宋体" w:hAnsi="宋体" w:cs="宋体"/>
                <w:color w:val="auto"/>
                <w:w w:val="99"/>
                <w:sz w:val="21"/>
                <w:szCs w:val="21"/>
                <w:highlight w:val="none"/>
                <w:lang w:eastAsia="zh-CN"/>
              </w:rPr>
              <w:t>00</w:t>
            </w:r>
            <w:r>
              <w:rPr>
                <w:rFonts w:hint="eastAsia" w:ascii="宋体" w:hAnsi="宋体" w:cs="宋体"/>
                <w:color w:val="auto"/>
                <w:spacing w:val="1"/>
                <w:w w:val="99"/>
                <w:sz w:val="21"/>
                <w:szCs w:val="21"/>
                <w:highlight w:val="none"/>
                <w:lang w:eastAsia="zh-CN"/>
              </w:rPr>
              <w:t>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60"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《多联</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空</w:t>
            </w:r>
            <w:r>
              <w:rPr>
                <w:rFonts w:hint="eastAsia" w:ascii="宋体" w:hAnsi="宋体" w:cs="宋体"/>
                <w:color w:val="auto"/>
                <w:spacing w:val="-27"/>
                <w:w w:val="99"/>
                <w:sz w:val="21"/>
                <w:szCs w:val="21"/>
                <w:highlight w:val="none"/>
                <w:lang w:eastAsia="zh-CN"/>
              </w:rPr>
              <w:t>调</w:t>
            </w:r>
            <w:r>
              <w:rPr>
                <w:rFonts w:hint="eastAsia" w:ascii="宋体" w:hAnsi="宋体" w:cs="宋体"/>
                <w:color w:val="auto"/>
                <w:w w:val="99"/>
                <w:sz w:val="21"/>
                <w:szCs w:val="21"/>
                <w:highlight w:val="none"/>
                <w:lang w:eastAsia="zh-CN"/>
              </w:rPr>
              <w:t>（热</w:t>
            </w:r>
            <w:r>
              <w:rPr>
                <w:rFonts w:hint="eastAsia" w:ascii="宋体" w:hAnsi="宋体" w:cs="宋体"/>
                <w:color w:val="auto"/>
                <w:spacing w:val="2"/>
                <w:w w:val="99"/>
                <w:sz w:val="21"/>
                <w:szCs w:val="21"/>
                <w:highlight w:val="none"/>
                <w:lang w:eastAsia="zh-CN"/>
              </w:rPr>
              <w:t>泵</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机</w:t>
            </w:r>
            <w:r>
              <w:rPr>
                <w:rFonts w:hint="eastAsia" w:ascii="宋体" w:hAnsi="宋体" w:cs="宋体"/>
                <w:color w:val="auto"/>
                <w:spacing w:val="2"/>
                <w:w w:val="99"/>
                <w:sz w:val="21"/>
                <w:szCs w:val="21"/>
                <w:highlight w:val="none"/>
                <w:lang w:eastAsia="zh-CN"/>
              </w:rPr>
              <w:t>组</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源效</w:t>
            </w:r>
            <w:r>
              <w:rPr>
                <w:rFonts w:hint="eastAsia" w:ascii="宋体" w:hAnsi="宋体" w:cs="宋体"/>
                <w:color w:val="auto"/>
                <w:spacing w:val="2"/>
                <w:w w:val="99"/>
                <w:sz w:val="21"/>
                <w:szCs w:val="21"/>
                <w:highlight w:val="none"/>
                <w:lang w:eastAsia="zh-CN"/>
              </w:rPr>
              <w:t>率</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2145</w:t>
            </w:r>
            <w:r>
              <w:rPr>
                <w:rFonts w:hint="eastAsia" w:ascii="宋体" w:hAnsi="宋体" w:cs="宋体"/>
                <w:color w:val="auto"/>
                <w:w w:val="99"/>
                <w:sz w:val="21"/>
                <w:szCs w:val="21"/>
                <w:highlight w:val="none"/>
                <w:lang w:eastAsia="zh-CN"/>
              </w:rPr>
              <w:t>4</w:t>
            </w:r>
          </w:p>
        </w:tc>
      </w:tr>
      <w:tr>
        <w:tblPrEx>
          <w:tblCellMar>
            <w:top w:w="0" w:type="dxa"/>
            <w:left w:w="0" w:type="dxa"/>
            <w:bottom w:w="0" w:type="dxa"/>
            <w:right w:w="0" w:type="dxa"/>
          </w:tblCellMar>
        </w:tblPrEx>
        <w:trPr>
          <w:gridAfter w:val="1"/>
          <w:wAfter w:w="15" w:type="dxa"/>
          <w:trHeight w:val="128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right w:val="single" w:color="000000" w:sz="4" w:space="0"/>
            </w:tcBorders>
          </w:tcPr>
          <w:p>
            <w:pPr>
              <w:pStyle w:val="100"/>
              <w:spacing w:before="7"/>
              <w:rPr>
                <w:rFonts w:ascii="宋体" w:hAnsi="宋体" w:cs="宋体"/>
                <w:color w:val="auto"/>
                <w:sz w:val="21"/>
                <w:szCs w:val="21"/>
                <w:highlight w:val="none"/>
                <w:lang w:eastAsia="zh-CN"/>
              </w:rPr>
            </w:pPr>
          </w:p>
          <w:p>
            <w:pPr>
              <w:pStyle w:val="100"/>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单元式空气调节机</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制冷量</w:t>
            </w:r>
            <w:r>
              <w:rPr>
                <w:rFonts w:hint="eastAsia" w:ascii="宋体" w:hAnsi="宋体" w:cs="宋体"/>
                <w:color w:val="auto"/>
                <w:spacing w:val="1"/>
                <w:w w:val="99"/>
                <w:sz w:val="21"/>
                <w:szCs w:val="21"/>
                <w:highlight w:val="none"/>
                <w:lang w:eastAsia="zh-CN"/>
              </w:rPr>
              <w:t>&gt;1400</w:t>
            </w:r>
            <w:r>
              <w:rPr>
                <w:rFonts w:hint="eastAsia" w:ascii="宋体" w:hAnsi="宋体" w:cs="宋体"/>
                <w:color w:val="auto"/>
                <w:w w:val="99"/>
                <w:sz w:val="21"/>
                <w:szCs w:val="21"/>
                <w:highlight w:val="none"/>
                <w:lang w:eastAsia="zh-CN"/>
              </w:rPr>
              <w:t>0W)</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9"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w:t>
            </w:r>
            <w:r>
              <w:rPr>
                <w:rFonts w:hint="eastAsia" w:ascii="宋体" w:hAnsi="宋体" w:cs="宋体"/>
                <w:color w:val="auto"/>
                <w:spacing w:val="-1"/>
                <w:w w:val="99"/>
                <w:sz w:val="21"/>
                <w:szCs w:val="21"/>
                <w:highlight w:val="none"/>
                <w:lang w:eastAsia="zh-CN"/>
              </w:rPr>
              <w:t>6</w:t>
            </w:r>
            <w:r>
              <w:rPr>
                <w:rFonts w:hint="eastAsia" w:ascii="宋体" w:hAnsi="宋体" w:cs="宋体"/>
                <w:color w:val="auto"/>
                <w:spacing w:val="-5"/>
                <w:w w:val="99"/>
                <w:sz w:val="21"/>
                <w:szCs w:val="21"/>
                <w:highlight w:val="none"/>
                <w:lang w:eastAsia="zh-CN"/>
              </w:rPr>
              <w:t>）</w:t>
            </w:r>
            <w:r>
              <w:rPr>
                <w:rFonts w:hint="eastAsia" w:ascii="宋体" w:hAnsi="宋体" w:cs="宋体"/>
                <w:color w:val="auto"/>
                <w:w w:val="99"/>
                <w:sz w:val="21"/>
                <w:szCs w:val="21"/>
                <w:highlight w:val="none"/>
                <w:lang w:eastAsia="zh-CN"/>
              </w:rPr>
              <w:t>《风管</w:t>
            </w:r>
            <w:r>
              <w:rPr>
                <w:rFonts w:hint="eastAsia" w:ascii="宋体" w:hAnsi="宋体" w:cs="宋体"/>
                <w:color w:val="auto"/>
                <w:spacing w:val="12"/>
                <w:w w:val="99"/>
                <w:sz w:val="21"/>
                <w:szCs w:val="21"/>
                <w:highlight w:val="none"/>
                <w:lang w:eastAsia="zh-CN"/>
              </w:rPr>
              <w:t>送风式空调机组能效限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47</w:t>
            </w:r>
            <w:r>
              <w:rPr>
                <w:rFonts w:hint="eastAsia" w:ascii="宋体" w:hAnsi="宋体" w:cs="宋体"/>
                <w:color w:val="auto"/>
                <w:spacing w:val="1"/>
                <w:w w:val="99"/>
                <w:sz w:val="21"/>
                <w:szCs w:val="21"/>
                <w:highlight w:val="none"/>
                <w:lang w:eastAsia="zh-CN"/>
              </w:rPr>
              <w:t>9</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1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83"/>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3</w:t>
            </w:r>
            <w:r>
              <w:rPr>
                <w:rFonts w:hint="eastAsia" w:ascii="宋体" w:hAnsi="宋体" w:cs="宋体"/>
                <w:color w:val="auto"/>
                <w:w w:val="99"/>
                <w:sz w:val="21"/>
                <w:szCs w:val="21"/>
                <w:highlight w:val="none"/>
                <w:lang w:eastAsia="zh-CN"/>
              </w:rPr>
              <w:t>09专用制</w:t>
            </w:r>
          </w:p>
          <w:p>
            <w:pPr>
              <w:pStyle w:val="100"/>
              <w:spacing w:line="254"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冷、空</w:t>
            </w:r>
            <w:r>
              <w:rPr>
                <w:rFonts w:hint="eastAsia" w:ascii="宋体" w:hAnsi="宋体" w:cs="宋体"/>
                <w:color w:val="auto"/>
                <w:spacing w:val="2"/>
                <w:w w:val="99"/>
                <w:sz w:val="21"/>
                <w:szCs w:val="21"/>
                <w:highlight w:val="none"/>
                <w:lang w:eastAsia="zh-CN"/>
              </w:rPr>
              <w:t>调</w:t>
            </w:r>
            <w:r>
              <w:rPr>
                <w:rFonts w:hint="eastAsia" w:ascii="宋体" w:hAnsi="宋体" w:cs="宋体"/>
                <w:color w:val="auto"/>
                <w:w w:val="99"/>
                <w:sz w:val="21"/>
                <w:szCs w:val="21"/>
                <w:highlight w:val="none"/>
                <w:lang w:eastAsia="zh-CN"/>
              </w:rPr>
              <w:t>设备</w:t>
            </w:r>
          </w:p>
        </w:tc>
        <w:tc>
          <w:tcPr>
            <w:tcW w:w="1363" w:type="dxa"/>
            <w:tcBorders>
              <w:top w:val="single" w:color="000000" w:sz="4" w:space="0"/>
              <w:left w:val="single" w:color="000000" w:sz="4" w:space="0"/>
              <w:bottom w:val="single" w:color="000000" w:sz="4" w:space="0"/>
              <w:right w:val="single" w:color="000000" w:sz="4" w:space="0"/>
            </w:tcBorders>
          </w:tcPr>
          <w:p>
            <w:pPr>
              <w:pStyle w:val="100"/>
              <w:spacing w:before="1"/>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机房空调</w:t>
            </w:r>
          </w:p>
        </w:tc>
        <w:tc>
          <w:tcPr>
            <w:tcW w:w="3857" w:type="dxa"/>
            <w:gridSpan w:val="2"/>
            <w:tcBorders>
              <w:top w:val="single" w:color="000000" w:sz="4" w:space="0"/>
              <w:left w:val="single" w:color="000000" w:sz="4" w:space="0"/>
              <w:right w:val="single" w:color="000000" w:sz="4" w:space="0"/>
            </w:tcBorders>
          </w:tcPr>
          <w:p>
            <w:pPr>
              <w:pStyle w:val="100"/>
              <w:spacing w:before="8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19576</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4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tcBorders>
              <w:top w:val="single" w:color="000000" w:sz="4" w:space="0"/>
              <w:left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spacing w:before="9"/>
              <w:rPr>
                <w:rFonts w:ascii="宋体" w:hAnsi="宋体" w:cs="宋体"/>
                <w:color w:val="auto"/>
                <w:sz w:val="21"/>
                <w:szCs w:val="21"/>
                <w:highlight w:val="none"/>
                <w:lang w:eastAsia="zh-CN"/>
              </w:rPr>
            </w:pPr>
          </w:p>
          <w:p>
            <w:pPr>
              <w:pStyle w:val="100"/>
              <w:ind w:left="7"/>
              <w:rPr>
                <w:rFonts w:ascii="宋体" w:hAnsi="宋体" w:cs="宋体"/>
                <w:color w:val="auto"/>
                <w:spacing w:val="1"/>
                <w:w w:val="99"/>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399其他制冷</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64"/>
              <w:ind w:left="7"/>
              <w:rPr>
                <w:rFonts w:ascii="宋体" w:hAnsi="宋体" w:cs="宋体"/>
                <w:color w:val="auto"/>
                <w:sz w:val="21"/>
                <w:szCs w:val="21"/>
                <w:highlight w:val="none"/>
              </w:rPr>
            </w:pPr>
            <w:r>
              <w:rPr>
                <w:rFonts w:hint="eastAsia" w:ascii="宋体" w:hAnsi="宋体" w:cs="宋体"/>
                <w:color w:val="auto"/>
                <w:w w:val="99"/>
                <w:sz w:val="21"/>
                <w:szCs w:val="21"/>
                <w:highlight w:val="none"/>
              </w:rPr>
              <w:t>冷却塔</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1"/>
              <w:rPr>
                <w:rFonts w:ascii="宋体" w:hAnsi="宋体" w:cs="宋体"/>
                <w:color w:val="auto"/>
                <w:sz w:val="21"/>
                <w:szCs w:val="21"/>
                <w:highlight w:val="none"/>
                <w:lang w:eastAsia="zh-CN"/>
              </w:rPr>
            </w:pPr>
          </w:p>
          <w:p>
            <w:pPr>
              <w:pStyle w:val="100"/>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《机械</w:t>
            </w:r>
            <w:r>
              <w:rPr>
                <w:rFonts w:hint="eastAsia" w:ascii="宋体" w:hAnsi="宋体" w:cs="宋体"/>
                <w:color w:val="auto"/>
                <w:spacing w:val="2"/>
                <w:w w:val="99"/>
                <w:sz w:val="21"/>
                <w:szCs w:val="21"/>
                <w:highlight w:val="none"/>
                <w:lang w:eastAsia="zh-CN"/>
              </w:rPr>
              <w:t>通</w:t>
            </w:r>
            <w:r>
              <w:rPr>
                <w:rFonts w:hint="eastAsia" w:ascii="宋体" w:hAnsi="宋体" w:cs="宋体"/>
                <w:color w:val="auto"/>
                <w:w w:val="99"/>
                <w:sz w:val="21"/>
                <w:szCs w:val="21"/>
                <w:highlight w:val="none"/>
                <w:lang w:eastAsia="zh-CN"/>
              </w:rPr>
              <w:t>风冷</w:t>
            </w:r>
            <w:r>
              <w:rPr>
                <w:rFonts w:hint="eastAsia" w:ascii="宋体" w:hAnsi="宋体" w:cs="宋体"/>
                <w:color w:val="auto"/>
                <w:spacing w:val="2"/>
                <w:w w:val="99"/>
                <w:sz w:val="21"/>
                <w:szCs w:val="21"/>
                <w:highlight w:val="none"/>
                <w:lang w:eastAsia="zh-CN"/>
              </w:rPr>
              <w:t>却</w:t>
            </w:r>
            <w:r>
              <w:rPr>
                <w:rFonts w:hint="eastAsia" w:ascii="宋体" w:hAnsi="宋体" w:cs="宋体"/>
                <w:color w:val="auto"/>
                <w:w w:val="99"/>
                <w:sz w:val="21"/>
                <w:szCs w:val="21"/>
                <w:highlight w:val="none"/>
                <w:lang w:eastAsia="zh-CN"/>
              </w:rPr>
              <w:t>塔第1部分：中</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小型开</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冷却</w:t>
            </w:r>
            <w:r>
              <w:rPr>
                <w:rFonts w:hint="eastAsia" w:ascii="宋体" w:hAnsi="宋体" w:cs="宋体"/>
                <w:color w:val="auto"/>
                <w:spacing w:val="2"/>
                <w:w w:val="99"/>
                <w:sz w:val="21"/>
                <w:szCs w:val="21"/>
                <w:highlight w:val="none"/>
                <w:lang w:eastAsia="zh-CN"/>
              </w:rPr>
              <w:t>塔</w:t>
            </w:r>
            <w:r>
              <w:rPr>
                <w:rFonts w:hint="eastAsia" w:ascii="宋体" w:hAnsi="宋体" w:cs="宋体"/>
                <w:color w:val="auto"/>
                <w:spacing w:val="-171"/>
                <w:w w:val="99"/>
                <w:sz w:val="21"/>
                <w:szCs w:val="21"/>
                <w:highlight w:val="none"/>
                <w:lang w:eastAsia="zh-CN"/>
              </w:rPr>
              <w:t>》</w:t>
            </w:r>
            <w:r>
              <w:rPr>
                <w:rFonts w:hint="eastAsia" w:ascii="宋体" w:hAnsi="宋体" w:cs="宋体"/>
                <w:color w:val="auto"/>
                <w:spacing w:val="-1"/>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T7190</w:t>
            </w:r>
            <w:r>
              <w:rPr>
                <w:rFonts w:hint="eastAsia" w:ascii="宋体" w:hAnsi="宋体" w:cs="宋体"/>
                <w:color w:val="auto"/>
                <w:spacing w:val="1"/>
                <w:w w:val="99"/>
                <w:sz w:val="21"/>
                <w:szCs w:val="21"/>
                <w:highlight w:val="none"/>
                <w:lang w:eastAsia="zh-CN"/>
              </w:rPr>
              <w:t>.1</w:t>
            </w:r>
            <w:r>
              <w:rPr>
                <w:rFonts w:hint="eastAsia" w:ascii="宋体" w:hAnsi="宋体" w:cs="宋体"/>
                <w:color w:val="auto"/>
                <w:spacing w:val="-87"/>
                <w:w w:val="99"/>
                <w:sz w:val="21"/>
                <w:szCs w:val="21"/>
                <w:highlight w:val="none"/>
                <w:lang w:eastAsia="zh-CN"/>
              </w:rPr>
              <w:t>）</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《机械</w:t>
            </w:r>
            <w:r>
              <w:rPr>
                <w:rFonts w:hint="eastAsia" w:ascii="宋体" w:hAnsi="宋体" w:cs="宋体"/>
                <w:color w:val="auto"/>
                <w:spacing w:val="2"/>
                <w:w w:val="99"/>
                <w:sz w:val="21"/>
                <w:szCs w:val="21"/>
                <w:highlight w:val="none"/>
                <w:lang w:eastAsia="zh-CN"/>
              </w:rPr>
              <w:t>通</w:t>
            </w:r>
            <w:r>
              <w:rPr>
                <w:rFonts w:hint="eastAsia" w:ascii="宋体" w:hAnsi="宋体" w:cs="宋体"/>
                <w:color w:val="auto"/>
                <w:w w:val="99"/>
                <w:sz w:val="21"/>
                <w:szCs w:val="21"/>
                <w:highlight w:val="none"/>
                <w:lang w:eastAsia="zh-CN"/>
              </w:rPr>
              <w:t>风冷</w:t>
            </w:r>
            <w:r>
              <w:rPr>
                <w:rFonts w:hint="eastAsia" w:ascii="宋体" w:hAnsi="宋体" w:cs="宋体"/>
                <w:color w:val="auto"/>
                <w:spacing w:val="2"/>
                <w:w w:val="99"/>
                <w:sz w:val="21"/>
                <w:szCs w:val="21"/>
                <w:highlight w:val="none"/>
                <w:lang w:eastAsia="zh-CN"/>
              </w:rPr>
              <w:t>却</w:t>
            </w:r>
            <w:r>
              <w:rPr>
                <w:rFonts w:hint="eastAsia" w:ascii="宋体" w:hAnsi="宋体" w:cs="宋体"/>
                <w:color w:val="auto"/>
                <w:w w:val="99"/>
                <w:sz w:val="21"/>
                <w:szCs w:val="21"/>
                <w:highlight w:val="none"/>
                <w:lang w:eastAsia="zh-CN"/>
              </w:rPr>
              <w:t>塔第2部分：大</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型开式</w:t>
            </w:r>
            <w:r>
              <w:rPr>
                <w:rFonts w:hint="eastAsia" w:ascii="宋体" w:hAnsi="宋体" w:cs="宋体"/>
                <w:color w:val="auto"/>
                <w:spacing w:val="2"/>
                <w:w w:val="99"/>
                <w:sz w:val="21"/>
                <w:szCs w:val="21"/>
                <w:highlight w:val="none"/>
                <w:lang w:eastAsia="zh-CN"/>
              </w:rPr>
              <w:t>冷</w:t>
            </w:r>
            <w:r>
              <w:rPr>
                <w:rFonts w:hint="eastAsia" w:ascii="宋体" w:hAnsi="宋体" w:cs="宋体"/>
                <w:color w:val="auto"/>
                <w:w w:val="99"/>
                <w:sz w:val="21"/>
                <w:szCs w:val="21"/>
                <w:highlight w:val="none"/>
                <w:lang w:eastAsia="zh-CN"/>
              </w:rPr>
              <w:t>却塔</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T719</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2）</w:t>
            </w:r>
          </w:p>
        </w:tc>
      </w:tr>
      <w:tr>
        <w:tblPrEx>
          <w:tblCellMar>
            <w:top w:w="0" w:type="dxa"/>
            <w:left w:w="0" w:type="dxa"/>
            <w:bottom w:w="0" w:type="dxa"/>
            <w:right w:w="0" w:type="dxa"/>
          </w:tblCellMar>
        </w:tblPrEx>
        <w:trPr>
          <w:gridAfter w:val="1"/>
          <w:wAfter w:w="15" w:type="dxa"/>
          <w:trHeight w:val="742"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7</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1电机</w:t>
            </w:r>
          </w:p>
        </w:tc>
        <w:tc>
          <w:tcPr>
            <w:tcW w:w="182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《中小型三相异步电动</w:t>
            </w:r>
            <w:r>
              <w:rPr>
                <w:rFonts w:hint="eastAsia" w:ascii="宋体" w:hAnsi="宋体" w:cs="宋体"/>
                <w:color w:val="auto"/>
                <w:spacing w:val="9"/>
                <w:w w:val="99"/>
                <w:sz w:val="21"/>
                <w:szCs w:val="21"/>
                <w:highlight w:val="none"/>
                <w:lang w:eastAsia="zh-CN"/>
              </w:rPr>
              <w:t>机</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18</w:t>
            </w:r>
            <w:r>
              <w:rPr>
                <w:rFonts w:hint="eastAsia" w:ascii="宋体" w:hAnsi="宋体" w:cs="宋体"/>
                <w:color w:val="auto"/>
                <w:w w:val="99"/>
                <w:sz w:val="21"/>
                <w:szCs w:val="21"/>
                <w:highlight w:val="none"/>
                <w:lang w:eastAsia="zh-CN"/>
              </w:rPr>
              <w:t>61</w:t>
            </w:r>
            <w:r>
              <w:rPr>
                <w:rFonts w:hint="eastAsia" w:ascii="宋体" w:hAnsi="宋体" w:cs="宋体"/>
                <w:color w:val="auto"/>
                <w:spacing w:val="1"/>
                <w:w w:val="99"/>
                <w:sz w:val="21"/>
                <w:szCs w:val="21"/>
                <w:highlight w:val="none"/>
                <w:lang w:eastAsia="zh-CN"/>
              </w:rPr>
              <w:t>3</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679"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3"/>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8</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30"/>
              <w:ind w:left="7"/>
              <w:rPr>
                <w:rFonts w:ascii="宋体" w:hAnsi="宋体" w:cs="宋体"/>
                <w:color w:val="auto"/>
                <w:spacing w:val="1"/>
                <w:w w:val="99"/>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2变压</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3"/>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配电变</w:t>
            </w:r>
            <w:r>
              <w:rPr>
                <w:rFonts w:hint="eastAsia" w:ascii="宋体" w:hAnsi="宋体" w:cs="宋体"/>
                <w:color w:val="auto"/>
                <w:spacing w:val="2"/>
                <w:w w:val="99"/>
                <w:sz w:val="21"/>
                <w:szCs w:val="21"/>
                <w:highlight w:val="none"/>
              </w:rPr>
              <w:t>压</w:t>
            </w:r>
            <w:r>
              <w:rPr>
                <w:rFonts w:hint="eastAsia" w:ascii="宋体" w:hAnsi="宋体" w:cs="宋体"/>
                <w:color w:val="auto"/>
                <w:w w:val="99"/>
                <w:sz w:val="21"/>
                <w:szCs w:val="21"/>
                <w:highlight w:val="none"/>
              </w:rPr>
              <w:t>器</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right w:val="single" w:color="000000" w:sz="4" w:space="0"/>
            </w:tcBorders>
          </w:tcPr>
          <w:p>
            <w:pPr>
              <w:pStyle w:val="100"/>
              <w:spacing w:before="30"/>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《三相配电变压器能效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及能效等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200</w:t>
            </w:r>
            <w:r>
              <w:rPr>
                <w:rFonts w:hint="eastAsia" w:ascii="宋体" w:hAnsi="宋体" w:cs="宋体"/>
                <w:color w:val="auto"/>
                <w:w w:val="99"/>
                <w:sz w:val="21"/>
                <w:szCs w:val="21"/>
                <w:highlight w:val="none"/>
                <w:lang w:eastAsia="zh-CN"/>
              </w:rPr>
              <w:t>5</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851"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9</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126"/>
              <w:ind w:left="7"/>
              <w:rPr>
                <w:rFonts w:ascii="宋体" w:hAnsi="宋体" w:cs="宋体"/>
                <w:color w:val="auto"/>
                <w:w w:val="99"/>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609镇</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流器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管型荧</w:t>
            </w:r>
            <w:r>
              <w:rPr>
                <w:rFonts w:hint="eastAsia" w:ascii="宋体" w:hAnsi="宋体" w:cs="宋体"/>
                <w:color w:val="auto"/>
                <w:spacing w:val="2"/>
                <w:w w:val="99"/>
                <w:sz w:val="21"/>
                <w:szCs w:val="21"/>
                <w:highlight w:val="none"/>
              </w:rPr>
              <w:t>光</w:t>
            </w:r>
            <w:r>
              <w:rPr>
                <w:rFonts w:hint="eastAsia" w:ascii="宋体" w:hAnsi="宋体" w:cs="宋体"/>
                <w:color w:val="auto"/>
                <w:w w:val="99"/>
                <w:sz w:val="21"/>
                <w:szCs w:val="21"/>
                <w:highlight w:val="none"/>
              </w:rPr>
              <w:t>灯镇</w:t>
            </w:r>
            <w:r>
              <w:rPr>
                <w:rFonts w:hint="eastAsia" w:ascii="宋体" w:hAnsi="宋体" w:cs="宋体"/>
                <w:color w:val="auto"/>
                <w:spacing w:val="2"/>
                <w:w w:val="99"/>
                <w:sz w:val="21"/>
                <w:szCs w:val="21"/>
                <w:highlight w:val="none"/>
              </w:rPr>
              <w:t>流</w:t>
            </w:r>
            <w:r>
              <w:rPr>
                <w:rFonts w:hint="eastAsia" w:ascii="宋体" w:hAnsi="宋体" w:cs="宋体"/>
                <w:color w:val="auto"/>
                <w:w w:val="99"/>
                <w:sz w:val="21"/>
                <w:szCs w:val="21"/>
                <w:highlight w:val="none"/>
              </w:rPr>
              <w:t>器</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right w:val="single" w:color="000000" w:sz="4" w:space="0"/>
            </w:tcBorders>
          </w:tcPr>
          <w:p>
            <w:pPr>
              <w:pStyle w:val="100"/>
              <w:spacing w:before="126"/>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《管形荧光灯镇流器能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17896</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8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5"/>
              <w:rPr>
                <w:rFonts w:ascii="宋体" w:hAnsi="宋体" w:cs="宋体"/>
                <w:color w:val="auto"/>
                <w:sz w:val="21"/>
                <w:szCs w:val="21"/>
                <w:highlight w:val="none"/>
                <w:lang w:eastAsia="zh-CN"/>
              </w:rPr>
            </w:pPr>
          </w:p>
          <w:p>
            <w:pPr>
              <w:pStyle w:val="100"/>
              <w:ind w:left="182"/>
              <w:rPr>
                <w:rFonts w:ascii="宋体" w:hAnsi="宋体" w:cs="宋体"/>
                <w:color w:val="auto"/>
                <w:sz w:val="21"/>
                <w:szCs w:val="21"/>
                <w:highlight w:val="none"/>
              </w:rPr>
            </w:pPr>
            <w:r>
              <w:rPr>
                <w:rFonts w:hint="eastAsia" w:ascii="宋体"/>
                <w:color w:val="auto"/>
                <w:spacing w:val="1"/>
                <w:w w:val="99"/>
                <w:sz w:val="21"/>
                <w:szCs w:val="21"/>
                <w:highlight w:val="none"/>
              </w:rPr>
              <w:t>1</w:t>
            </w:r>
            <w:r>
              <w:rPr>
                <w:rFonts w:hint="eastAsia" w:ascii="宋体"/>
                <w:color w:val="auto"/>
                <w:w w:val="99"/>
                <w:sz w:val="21"/>
                <w:szCs w:val="21"/>
                <w:highlight w:val="none"/>
              </w:rPr>
              <w:t>0</w:t>
            </w: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6"/>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8生活</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用电器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1"/>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01电冰箱</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54"/>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《家用电冰箱耗电量限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z w:val="21"/>
                <w:szCs w:val="21"/>
                <w:highlight w:val="none"/>
                <w:lang w:eastAsia="zh-CN"/>
              </w:rPr>
              <w:tab/>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20</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1.</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340"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171"/>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61</w:t>
            </w:r>
            <w:r>
              <w:rPr>
                <w:rFonts w:hint="eastAsia" w:ascii="宋体" w:hAnsi="宋体" w:cs="宋体"/>
                <w:color w:val="auto"/>
                <w:spacing w:val="1"/>
                <w:w w:val="99"/>
                <w:sz w:val="21"/>
                <w:szCs w:val="21"/>
                <w:highlight w:val="none"/>
              </w:rPr>
              <w:t>8</w:t>
            </w:r>
            <w:r>
              <w:rPr>
                <w:rFonts w:hint="eastAsia" w:ascii="宋体" w:hAnsi="宋体" w:cs="宋体"/>
                <w:color w:val="auto"/>
                <w:w w:val="99"/>
                <w:sz w:val="21"/>
                <w:szCs w:val="21"/>
                <w:highlight w:val="none"/>
              </w:rPr>
              <w:t>0203空调</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机</w:t>
            </w: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房间空</w:t>
            </w:r>
            <w:r>
              <w:rPr>
                <w:rFonts w:hint="eastAsia" w:ascii="宋体" w:hAnsi="宋体" w:cs="宋体"/>
                <w:color w:val="auto"/>
                <w:spacing w:val="2"/>
                <w:w w:val="99"/>
                <w:sz w:val="21"/>
                <w:szCs w:val="21"/>
                <w:highlight w:val="none"/>
              </w:rPr>
              <w:t>气</w:t>
            </w:r>
            <w:r>
              <w:rPr>
                <w:rFonts w:hint="eastAsia" w:ascii="宋体" w:hAnsi="宋体" w:cs="宋体"/>
                <w:color w:val="auto"/>
                <w:w w:val="99"/>
                <w:sz w:val="21"/>
                <w:szCs w:val="21"/>
                <w:highlight w:val="none"/>
              </w:rPr>
              <w:t>调节器</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wordWrap w:val="0"/>
              <w:spacing w:before="4"/>
              <w:ind w:left="6"/>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《转速可控型房间空气</w:t>
            </w:r>
            <w:r>
              <w:rPr>
                <w:rFonts w:hint="eastAsia" w:ascii="宋体" w:hAnsi="宋体" w:cs="宋体"/>
                <w:color w:val="auto"/>
                <w:spacing w:val="9"/>
                <w:w w:val="99"/>
                <w:sz w:val="21"/>
                <w:szCs w:val="21"/>
                <w:highlight w:val="none"/>
                <w:lang w:eastAsia="zh-CN"/>
              </w:rPr>
              <w:t>调</w:t>
            </w:r>
            <w:r>
              <w:rPr>
                <w:rFonts w:hint="eastAsia" w:ascii="宋体" w:hAnsi="宋体" w:cs="宋体"/>
                <w:color w:val="auto"/>
                <w:spacing w:val="12"/>
                <w:w w:val="99"/>
                <w:sz w:val="21"/>
                <w:szCs w:val="21"/>
                <w:highlight w:val="none"/>
                <w:lang w:eastAsia="zh-CN"/>
              </w:rPr>
              <w:t>节器</w:t>
            </w:r>
            <w:r>
              <w:rPr>
                <w:rFonts w:hint="eastAsia" w:ascii="宋体" w:hAnsi="宋体" w:cs="宋体"/>
                <w:color w:val="auto"/>
                <w:w w:val="99"/>
                <w:sz w:val="21"/>
                <w:szCs w:val="21"/>
                <w:highlight w:val="none"/>
                <w:lang w:eastAsia="zh-CN"/>
              </w:rPr>
              <w:t>能效限定值及能效等级》（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w:t>
            </w:r>
            <w:r>
              <w:rPr>
                <w:rFonts w:hint="eastAsia" w:ascii="宋体" w:hAnsi="宋体" w:cs="宋体"/>
                <w:color w:val="auto"/>
                <w:w w:val="99"/>
                <w:sz w:val="21"/>
                <w:szCs w:val="21"/>
                <w:highlight w:val="none"/>
                <w:lang w:eastAsia="zh-CN"/>
              </w:rPr>
              <w:t>55</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20</w:t>
            </w:r>
            <w:r>
              <w:rPr>
                <w:rFonts w:hint="eastAsia" w:ascii="宋体" w:hAnsi="宋体" w:cs="宋体"/>
                <w:color w:val="auto"/>
                <w:spacing w:val="1"/>
                <w:w w:val="99"/>
                <w:sz w:val="21"/>
                <w:szCs w:val="21"/>
                <w:highlight w:val="none"/>
                <w:lang w:eastAsia="zh-CN"/>
              </w:rPr>
              <w:t>13</w:t>
            </w:r>
            <w:r>
              <w:rPr>
                <w:rFonts w:hint="eastAsia" w:ascii="宋体" w:hAnsi="宋体" w:cs="宋体"/>
                <w:color w:val="auto"/>
                <w:w w:val="99"/>
                <w:sz w:val="21"/>
                <w:szCs w:val="21"/>
                <w:highlight w:val="none"/>
                <w:lang w:eastAsia="zh-CN"/>
              </w:rPr>
              <w:t>），待</w:t>
            </w:r>
            <w:r>
              <w:rPr>
                <w:rFonts w:hint="eastAsia" w:ascii="宋体" w:hAnsi="宋体" w:cs="宋体"/>
                <w:color w:val="auto"/>
                <w:spacing w:val="1"/>
                <w:w w:val="99"/>
                <w:sz w:val="21"/>
                <w:szCs w:val="21"/>
                <w:highlight w:val="none"/>
                <w:lang w:eastAsia="zh-CN"/>
              </w:rPr>
              <w:t>20</w:t>
            </w:r>
            <w:r>
              <w:rPr>
                <w:rFonts w:hint="eastAsia" w:ascii="宋体" w:hAnsi="宋体" w:cs="宋体"/>
                <w:color w:val="auto"/>
                <w:w w:val="99"/>
                <w:sz w:val="21"/>
                <w:szCs w:val="21"/>
                <w:highlight w:val="none"/>
                <w:lang w:eastAsia="zh-CN"/>
              </w:rPr>
              <w:t>19</w:t>
            </w:r>
            <w:r>
              <w:rPr>
                <w:rFonts w:hint="eastAsia" w:ascii="宋体" w:hAnsi="宋体" w:cs="宋体"/>
                <w:color w:val="auto"/>
                <w:spacing w:val="-3"/>
                <w:w w:val="99"/>
                <w:sz w:val="21"/>
                <w:szCs w:val="21"/>
                <w:highlight w:val="none"/>
                <w:lang w:eastAsia="zh-CN"/>
              </w:rPr>
              <w:t>年</w:t>
            </w:r>
            <w:r>
              <w:rPr>
                <w:rFonts w:hint="eastAsia" w:ascii="宋体" w:hAnsi="宋体" w:cs="宋体"/>
                <w:color w:val="auto"/>
                <w:w w:val="99"/>
                <w:sz w:val="21"/>
                <w:szCs w:val="21"/>
                <w:highlight w:val="none"/>
                <w:lang w:eastAsia="zh-CN"/>
              </w:rPr>
              <w:t>修订发布后</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7"/>
                <w:w w:val="99"/>
                <w:sz w:val="21"/>
                <w:szCs w:val="21"/>
                <w:highlight w:val="none"/>
                <w:lang w:eastAsia="zh-CN"/>
              </w:rPr>
              <w:t>按</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房</w:t>
            </w:r>
            <w:r>
              <w:rPr>
                <w:rFonts w:hint="eastAsia" w:ascii="宋体" w:hAnsi="宋体" w:cs="宋体"/>
                <w:color w:val="auto"/>
                <w:w w:val="99"/>
                <w:sz w:val="21"/>
                <w:szCs w:val="21"/>
                <w:highlight w:val="none"/>
                <w:lang w:eastAsia="zh-CN"/>
              </w:rPr>
              <w:t>间空</w:t>
            </w:r>
            <w:r>
              <w:rPr>
                <w:rFonts w:hint="eastAsia" w:ascii="宋体" w:hAnsi="宋体" w:cs="宋体"/>
                <w:color w:val="auto"/>
                <w:spacing w:val="2"/>
                <w:w w:val="99"/>
                <w:sz w:val="21"/>
                <w:szCs w:val="21"/>
                <w:highlight w:val="none"/>
                <w:lang w:eastAsia="zh-CN"/>
              </w:rPr>
              <w:t>气</w:t>
            </w:r>
            <w:r>
              <w:rPr>
                <w:rFonts w:hint="eastAsia" w:ascii="宋体" w:hAnsi="宋体" w:cs="宋体"/>
                <w:color w:val="auto"/>
                <w:w w:val="99"/>
                <w:sz w:val="21"/>
                <w:szCs w:val="21"/>
                <w:highlight w:val="none"/>
                <w:lang w:eastAsia="zh-CN"/>
              </w:rPr>
              <w:t>调节</w:t>
            </w:r>
            <w:r>
              <w:rPr>
                <w:rFonts w:hint="eastAsia" w:ascii="宋体" w:hAnsi="宋体" w:cs="宋体"/>
                <w:color w:val="auto"/>
                <w:spacing w:val="2"/>
                <w:w w:val="99"/>
                <w:sz w:val="21"/>
                <w:szCs w:val="21"/>
                <w:highlight w:val="none"/>
                <w:lang w:eastAsia="zh-CN"/>
              </w:rPr>
              <w:t>器</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spacing w:val="-15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GB214</w:t>
            </w:r>
            <w:r>
              <w:rPr>
                <w:rFonts w:hint="eastAsia" w:ascii="宋体" w:hAnsi="宋体" w:cs="宋体"/>
                <w:color w:val="auto"/>
                <w:w w:val="99"/>
                <w:sz w:val="21"/>
                <w:szCs w:val="21"/>
                <w:highlight w:val="none"/>
                <w:lang w:eastAsia="zh-CN"/>
              </w:rPr>
              <w:t>5</w:t>
            </w:r>
            <w:r>
              <w:rPr>
                <w:rFonts w:hint="eastAsia" w:ascii="宋体" w:hAnsi="宋体" w:cs="宋体"/>
                <w:color w:val="auto"/>
                <w:spacing w:val="-1"/>
                <w:w w:val="99"/>
                <w:sz w:val="21"/>
                <w:szCs w:val="21"/>
                <w:highlight w:val="none"/>
                <w:lang w:eastAsia="zh-CN"/>
              </w:rPr>
              <w:t>5</w:t>
            </w:r>
            <w:r>
              <w:rPr>
                <w:rFonts w:hint="eastAsia" w:ascii="宋体" w:hAnsi="宋体" w:cs="宋体"/>
                <w:color w:val="auto"/>
                <w:spacing w:val="-2"/>
                <w:w w:val="99"/>
                <w:sz w:val="21"/>
                <w:szCs w:val="21"/>
                <w:highlight w:val="none"/>
                <w:lang w:eastAsia="zh-CN"/>
              </w:rPr>
              <w:t>-</w:t>
            </w:r>
            <w:r>
              <w:rPr>
                <w:rFonts w:hint="eastAsia" w:ascii="宋体" w:hAnsi="宋体" w:cs="宋体"/>
                <w:color w:val="auto"/>
                <w:spacing w:val="1"/>
                <w:w w:val="99"/>
                <w:sz w:val="21"/>
                <w:szCs w:val="21"/>
                <w:highlight w:val="none"/>
                <w:lang w:eastAsia="zh-CN"/>
              </w:rPr>
              <w:t>201</w:t>
            </w:r>
            <w:r>
              <w:rPr>
                <w:rFonts w:hint="eastAsia" w:ascii="宋体" w:hAnsi="宋体" w:cs="宋体"/>
                <w:color w:val="auto"/>
                <w:w w:val="99"/>
                <w:sz w:val="21"/>
                <w:szCs w:val="21"/>
                <w:highlight w:val="none"/>
                <w:lang w:eastAsia="zh-CN"/>
              </w:rPr>
              <w:t>9实施。</w:t>
            </w:r>
          </w:p>
        </w:tc>
      </w:tr>
      <w:tr>
        <w:tblPrEx>
          <w:tblCellMar>
            <w:top w:w="0" w:type="dxa"/>
            <w:left w:w="0" w:type="dxa"/>
            <w:bottom w:w="0" w:type="dxa"/>
            <w:right w:w="0" w:type="dxa"/>
          </w:tblCellMar>
        </w:tblPrEx>
        <w:trPr>
          <w:gridAfter w:val="1"/>
          <w:wAfter w:w="15" w:type="dxa"/>
          <w:trHeight w:val="124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tcPr>
          <w:p>
            <w:pPr>
              <w:pStyle w:val="100"/>
              <w:wordWrap w:val="0"/>
              <w:spacing w:before="4" w:line="284" w:lineRule="auto"/>
              <w:ind w:left="6" w:right="6"/>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多联式空</w:t>
            </w:r>
            <w:r>
              <w:rPr>
                <w:rFonts w:hint="eastAsia" w:ascii="宋体" w:hAnsi="宋体" w:cs="宋体"/>
                <w:color w:val="auto"/>
                <w:spacing w:val="11"/>
                <w:w w:val="99"/>
                <w:sz w:val="21"/>
                <w:szCs w:val="21"/>
                <w:highlight w:val="none"/>
                <w:lang w:eastAsia="zh-CN"/>
              </w:rPr>
              <w:t>调（</w:t>
            </w:r>
            <w:r>
              <w:rPr>
                <w:rFonts w:hint="eastAsia" w:ascii="宋体" w:hAnsi="宋体" w:cs="宋体"/>
                <w:color w:val="auto"/>
                <w:spacing w:val="12"/>
                <w:w w:val="99"/>
                <w:sz w:val="21"/>
                <w:szCs w:val="21"/>
                <w:highlight w:val="none"/>
                <w:lang w:eastAsia="zh-CN"/>
              </w:rPr>
              <w:t>热泵</w:t>
            </w:r>
            <w:r>
              <w:rPr>
                <w:rFonts w:hint="eastAsia" w:ascii="宋体" w:hAnsi="宋体" w:cs="宋体"/>
                <w:color w:val="auto"/>
                <w:w w:val="99"/>
                <w:sz w:val="21"/>
                <w:szCs w:val="21"/>
                <w:highlight w:val="none"/>
                <w:lang w:eastAsia="zh-CN"/>
              </w:rPr>
              <w:t xml:space="preserve">）机组（制冷量≤ </w:t>
            </w:r>
            <w:r>
              <w:rPr>
                <w:rFonts w:hint="eastAsia" w:ascii="宋体" w:hAnsi="宋体" w:cs="宋体"/>
                <w:color w:val="auto"/>
                <w:spacing w:val="1"/>
                <w:w w:val="99"/>
                <w:sz w:val="21"/>
                <w:szCs w:val="21"/>
                <w:highlight w:val="none"/>
                <w:lang w:eastAsia="zh-CN"/>
              </w:rPr>
              <w:t>140</w:t>
            </w:r>
            <w:r>
              <w:rPr>
                <w:rFonts w:hint="eastAsia" w:ascii="宋体" w:hAnsi="宋体" w:cs="宋体"/>
                <w:color w:val="auto"/>
                <w:w w:val="99"/>
                <w:sz w:val="21"/>
                <w:szCs w:val="21"/>
                <w:highlight w:val="none"/>
                <w:lang w:eastAsia="zh-CN"/>
              </w:rPr>
              <w:t>00</w:t>
            </w:r>
            <w:r>
              <w:rPr>
                <w:rFonts w:hint="eastAsia" w:ascii="宋体" w:hAnsi="宋体" w:cs="宋体"/>
                <w:color w:val="auto"/>
                <w:spacing w:val="1"/>
                <w:w w:val="99"/>
                <w:sz w:val="21"/>
                <w:szCs w:val="21"/>
                <w:highlight w:val="none"/>
                <w:lang w:eastAsia="zh-CN"/>
              </w:rPr>
              <w:t>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60"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《多联</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空</w:t>
            </w:r>
            <w:r>
              <w:rPr>
                <w:rFonts w:hint="eastAsia" w:ascii="宋体" w:hAnsi="宋体" w:cs="宋体"/>
                <w:color w:val="auto"/>
                <w:spacing w:val="-27"/>
                <w:w w:val="99"/>
                <w:sz w:val="21"/>
                <w:szCs w:val="21"/>
                <w:highlight w:val="none"/>
                <w:lang w:eastAsia="zh-CN"/>
              </w:rPr>
              <w:t>调</w:t>
            </w:r>
            <w:r>
              <w:rPr>
                <w:rFonts w:hint="eastAsia" w:ascii="宋体" w:hAnsi="宋体" w:cs="宋体"/>
                <w:color w:val="auto"/>
                <w:w w:val="99"/>
                <w:sz w:val="21"/>
                <w:szCs w:val="21"/>
                <w:highlight w:val="none"/>
                <w:lang w:eastAsia="zh-CN"/>
              </w:rPr>
              <w:t>（热</w:t>
            </w:r>
            <w:r>
              <w:rPr>
                <w:rFonts w:hint="eastAsia" w:ascii="宋体" w:hAnsi="宋体" w:cs="宋体"/>
                <w:color w:val="auto"/>
                <w:spacing w:val="2"/>
                <w:w w:val="99"/>
                <w:sz w:val="21"/>
                <w:szCs w:val="21"/>
                <w:highlight w:val="none"/>
                <w:lang w:eastAsia="zh-CN"/>
              </w:rPr>
              <w:t>泵</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机</w:t>
            </w:r>
            <w:r>
              <w:rPr>
                <w:rFonts w:hint="eastAsia" w:ascii="宋体" w:hAnsi="宋体" w:cs="宋体"/>
                <w:color w:val="auto"/>
                <w:spacing w:val="2"/>
                <w:w w:val="99"/>
                <w:sz w:val="21"/>
                <w:szCs w:val="21"/>
                <w:highlight w:val="none"/>
                <w:lang w:eastAsia="zh-CN"/>
              </w:rPr>
              <w:t>组</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源效</w:t>
            </w:r>
            <w:r>
              <w:rPr>
                <w:rFonts w:hint="eastAsia" w:ascii="宋体" w:hAnsi="宋体" w:cs="宋体"/>
                <w:color w:val="auto"/>
                <w:spacing w:val="2"/>
                <w:w w:val="99"/>
                <w:sz w:val="21"/>
                <w:szCs w:val="21"/>
                <w:highlight w:val="none"/>
                <w:lang w:eastAsia="zh-CN"/>
              </w:rPr>
              <w:t>率</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2145</w:t>
            </w:r>
            <w:r>
              <w:rPr>
                <w:rFonts w:hint="eastAsia" w:ascii="宋体" w:hAnsi="宋体" w:cs="宋体"/>
                <w:color w:val="auto"/>
                <w:w w:val="99"/>
                <w:sz w:val="21"/>
                <w:szCs w:val="21"/>
                <w:highlight w:val="none"/>
                <w:lang w:eastAsia="zh-CN"/>
              </w:rPr>
              <w:t>4）</w:t>
            </w:r>
          </w:p>
        </w:tc>
      </w:tr>
      <w:tr>
        <w:tblPrEx>
          <w:tblCellMar>
            <w:top w:w="0" w:type="dxa"/>
            <w:left w:w="0" w:type="dxa"/>
            <w:bottom w:w="0" w:type="dxa"/>
            <w:right w:w="0" w:type="dxa"/>
          </w:tblCellMar>
        </w:tblPrEx>
        <w:trPr>
          <w:gridAfter w:val="1"/>
          <w:wAfter w:w="15" w:type="dxa"/>
          <w:trHeight w:val="139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单元式空气调节机</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制冷量≤</w:t>
            </w:r>
            <w:r>
              <w:rPr>
                <w:rFonts w:hint="eastAsia" w:ascii="宋体" w:hAnsi="宋体" w:cs="宋体"/>
                <w:color w:val="auto"/>
                <w:spacing w:val="1"/>
                <w:w w:val="99"/>
                <w:sz w:val="21"/>
                <w:szCs w:val="21"/>
                <w:highlight w:val="none"/>
                <w:lang w:eastAsia="zh-CN"/>
              </w:rPr>
              <w:t>14000W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right w:val="single" w:color="000000" w:sz="4" w:space="0"/>
            </w:tcBorders>
          </w:tcPr>
          <w:p>
            <w:pPr>
              <w:pStyle w:val="100"/>
              <w:spacing w:before="4"/>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值及能源</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率等</w:t>
            </w:r>
            <w:r>
              <w:rPr>
                <w:rFonts w:hint="eastAsia" w:ascii="宋体" w:hAnsi="宋体" w:cs="宋体"/>
                <w:color w:val="auto"/>
                <w:spacing w:val="2"/>
                <w:w w:val="99"/>
                <w:sz w:val="21"/>
                <w:szCs w:val="21"/>
                <w:highlight w:val="none"/>
                <w:lang w:eastAsia="zh-CN"/>
              </w:rPr>
              <w:t>级</w:t>
            </w:r>
            <w:r>
              <w:rPr>
                <w:rFonts w:hint="eastAsia" w:ascii="宋体" w:hAnsi="宋体" w:cs="宋体"/>
                <w:color w:val="auto"/>
                <w:spacing w:val="-104"/>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w:t>
            </w:r>
            <w:r>
              <w:rPr>
                <w:rFonts w:hint="eastAsia" w:ascii="宋体" w:hAnsi="宋体" w:cs="宋体"/>
                <w:color w:val="auto"/>
                <w:spacing w:val="-3"/>
                <w:w w:val="99"/>
                <w:sz w:val="21"/>
                <w:szCs w:val="21"/>
                <w:highlight w:val="none"/>
                <w:lang w:eastAsia="zh-CN"/>
              </w:rPr>
              <w:t>6</w:t>
            </w:r>
            <w:r>
              <w:rPr>
                <w:rFonts w:hint="eastAsia" w:ascii="宋体" w:hAnsi="宋体" w:cs="宋体"/>
                <w:color w:val="auto"/>
                <w:spacing w:val="-104"/>
                <w:w w:val="99"/>
                <w:sz w:val="21"/>
                <w:szCs w:val="21"/>
                <w:highlight w:val="none"/>
                <w:lang w:eastAsia="zh-CN"/>
              </w:rPr>
              <w:t>）</w:t>
            </w:r>
            <w:r>
              <w:rPr>
                <w:rFonts w:hint="eastAsia" w:ascii="宋体" w:hAnsi="宋体" w:cs="宋体"/>
                <w:color w:val="auto"/>
                <w:w w:val="99"/>
                <w:sz w:val="21"/>
                <w:szCs w:val="21"/>
                <w:highlight w:val="none"/>
                <w:lang w:eastAsia="zh-CN"/>
              </w:rPr>
              <w:t>《风</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管送风式空调机组能效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及能效等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374</w:t>
            </w:r>
            <w:r>
              <w:rPr>
                <w:rFonts w:hint="eastAsia" w:ascii="宋体" w:hAnsi="宋体" w:cs="宋体"/>
                <w:color w:val="auto"/>
                <w:w w:val="99"/>
                <w:sz w:val="21"/>
                <w:szCs w:val="21"/>
                <w:highlight w:val="none"/>
                <w:lang w:eastAsia="zh-CN"/>
              </w:rPr>
              <w:t>7</w:t>
            </w:r>
            <w:r>
              <w:rPr>
                <w:rFonts w:hint="eastAsia" w:ascii="宋体" w:hAnsi="宋体" w:cs="宋体"/>
                <w:color w:val="auto"/>
                <w:spacing w:val="-1"/>
                <w:w w:val="99"/>
                <w:sz w:val="21"/>
                <w:szCs w:val="21"/>
                <w:highlight w:val="none"/>
                <w:lang w:eastAsia="zh-CN"/>
              </w:rPr>
              <w:t>9</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98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16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80</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01洗衣机</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6"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《电动洗衣机能效水效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1202</w:t>
            </w:r>
            <w:r>
              <w:rPr>
                <w:rFonts w:hint="eastAsia" w:ascii="宋体" w:hAnsi="宋体" w:cs="宋体"/>
                <w:color w:val="auto"/>
                <w:w w:val="99"/>
                <w:sz w:val="21"/>
                <w:szCs w:val="21"/>
                <w:highlight w:val="none"/>
                <w:lang w:eastAsia="zh-CN"/>
              </w:rPr>
              <w:t>1.</w:t>
            </w:r>
            <w:r>
              <w:rPr>
                <w:rFonts w:hint="eastAsia" w:ascii="宋体" w:hAnsi="宋体" w:cs="宋体"/>
                <w:color w:val="auto"/>
                <w:spacing w:val="1"/>
                <w:w w:val="99"/>
                <w:sz w:val="21"/>
                <w:szCs w:val="21"/>
                <w:highlight w:val="none"/>
                <w:lang w:eastAsia="zh-CN"/>
              </w:rPr>
              <w:t>4</w:t>
            </w:r>
            <w:r>
              <w:rPr>
                <w:rFonts w:hint="eastAsia" w:ascii="宋体" w:hAnsi="宋体" w:cs="宋体"/>
                <w:color w:val="auto"/>
                <w:w w:val="99"/>
                <w:sz w:val="21"/>
                <w:szCs w:val="21"/>
                <w:highlight w:val="none"/>
                <w:lang w:eastAsia="zh-CN"/>
              </w:rPr>
              <w:t>）</w:t>
            </w:r>
          </w:p>
        </w:tc>
      </w:tr>
    </w:tbl>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pPr>
              <w:pStyle w:val="100"/>
              <w:spacing w:before="12"/>
              <w:rPr>
                <w:rFonts w:ascii="宋体" w:hAnsi="宋体" w:cs="宋体"/>
                <w:color w:val="auto"/>
                <w:sz w:val="15"/>
                <w:szCs w:val="15"/>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tabs>
                <w:tab w:val="left" w:pos="1608"/>
              </w:tabs>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100"/>
              <w:spacing w:before="2"/>
              <w:rPr>
                <w:rFonts w:ascii="宋体" w:hAnsi="宋体" w:cs="宋体"/>
                <w:color w:val="auto"/>
                <w:sz w:val="24"/>
                <w:szCs w:val="24"/>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100"/>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19"/>
                <w:szCs w:val="19"/>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9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100"/>
              <w:spacing w:before="12"/>
              <w:rPr>
                <w:rFonts w:ascii="宋体" w:hAnsi="宋体" w:cs="宋体"/>
                <w:color w:val="auto"/>
                <w:sz w:val="15"/>
                <w:szCs w:val="15"/>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3355" w:type="dxa"/>
            <w:tcBorders>
              <w:top w:val="single" w:color="auto" w:sz="4" w:space="0"/>
              <w:left w:val="single" w:color="auto" w:sz="4" w:space="0"/>
              <w:bottom w:val="single" w:color="auto" w:sz="4" w:space="0"/>
              <w:right w:val="single" w:color="auto" w:sz="4" w:space="0"/>
            </w:tcBorders>
          </w:tcPr>
          <w:p>
            <w:pPr>
              <w:pStyle w:val="100"/>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2"/>
              <w:rPr>
                <w:rFonts w:ascii="宋体" w:hAnsi="宋体" w:cs="宋体"/>
                <w:color w:val="auto"/>
                <w:sz w:val="23"/>
                <w:szCs w:val="23"/>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pPr>
              <w:pStyle w:val="100"/>
              <w:spacing w:before="13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3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92" w:line="283"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92"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4"/>
              <w:rPr>
                <w:rFonts w:ascii="宋体" w:hAnsi="宋体" w:cs="宋体"/>
                <w:color w:val="auto"/>
                <w:sz w:val="18"/>
                <w:szCs w:val="18"/>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83"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line="283" w:lineRule="auto"/>
              <w:ind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line="283" w:lineRule="auto"/>
              <w:ind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pPr>
              <w:pStyle w:val="100"/>
              <w:spacing w:before="1"/>
              <w:rPr>
                <w:rFonts w:ascii="宋体" w:hAnsi="宋体" w:cs="宋体"/>
                <w:color w:val="auto"/>
                <w:sz w:val="18"/>
                <w:szCs w:val="18"/>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pPr>
              <w:pStyle w:val="100"/>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pPr>
              <w:pStyle w:val="100"/>
              <w:spacing w:before="81" w:line="283"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8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0"/>
              <w:rPr>
                <w:rFonts w:ascii="宋体" w:hAnsi="宋体" w:cs="宋体"/>
                <w:color w:val="auto"/>
                <w:sz w:val="21"/>
                <w:szCs w:val="21"/>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spacing w:before="11"/>
              <w:rPr>
                <w:rFonts w:ascii="宋体" w:hAnsi="宋体" w:cs="宋体"/>
                <w:color w:val="auto"/>
                <w:sz w:val="29"/>
                <w:szCs w:val="29"/>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spacing w:before="11"/>
              <w:rPr>
                <w:rFonts w:ascii="宋体" w:hAnsi="宋体" w:cs="宋体"/>
                <w:color w:val="auto"/>
                <w:sz w:val="29"/>
                <w:szCs w:val="29"/>
                <w:highlight w:val="none"/>
              </w:rPr>
            </w:pPr>
          </w:p>
          <w:p>
            <w:pPr>
              <w:pStyle w:val="100"/>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10"/>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28" w:line="283"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pPr>
              <w:pStyle w:val="100"/>
              <w:spacing w:before="10"/>
              <w:rPr>
                <w:rFonts w:ascii="宋体" w:hAnsi="宋体" w:cs="宋体"/>
                <w:color w:val="auto"/>
                <w:sz w:val="17"/>
                <w:szCs w:val="17"/>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pPr>
              <w:pStyle w:val="100"/>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pPr>
              <w:pStyle w:val="100"/>
              <w:spacing w:before="10"/>
              <w:rPr>
                <w:rFonts w:ascii="宋体" w:hAnsi="宋体" w:cs="宋体"/>
                <w:color w:val="auto"/>
                <w:sz w:val="17"/>
                <w:szCs w:val="17"/>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7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
              <w:rPr>
                <w:rFonts w:ascii="宋体" w:hAnsi="宋体" w:cs="宋体"/>
                <w:color w:val="auto"/>
                <w:sz w:val="29"/>
                <w:szCs w:val="29"/>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9"/>
              <w:rPr>
                <w:rFonts w:ascii="宋体" w:hAnsi="宋体" w:cs="宋体"/>
                <w:color w:val="auto"/>
                <w:sz w:val="17"/>
                <w:szCs w:val="17"/>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pPr>
        <w:rPr>
          <w:rFonts w:ascii="Arial Unicode MS" w:hAnsi="Arial Unicode MS" w:eastAsia="Arial Unicode MS" w:cs="Arial Unicode MS"/>
          <w:color w:val="auto"/>
          <w:sz w:val="20"/>
          <w:szCs w:val="20"/>
          <w:highlight w:val="none"/>
        </w:rPr>
      </w:pPr>
    </w:p>
    <w:p>
      <w:pPr>
        <w:spacing w:before="16"/>
        <w:rPr>
          <w:rFonts w:ascii="Arial Unicode MS" w:hAnsi="Arial Unicode MS" w:eastAsia="Arial Unicode MS" w:cs="Arial Unicode MS"/>
          <w:color w:val="auto"/>
          <w:sz w:val="17"/>
          <w:szCs w:val="17"/>
          <w:highlight w:val="none"/>
        </w:rPr>
      </w:pPr>
    </w:p>
    <w:p>
      <w:pPr>
        <w:rPr>
          <w:rFonts w:ascii="宋体" w:hAnsi="宋体" w:cs="宋体"/>
          <w:color w:val="auto"/>
          <w:sz w:val="20"/>
          <w:szCs w:val="20"/>
          <w:highlight w:val="none"/>
        </w:rPr>
      </w:pPr>
    </w:p>
    <w:tbl>
      <w:tblPr>
        <w:tblStyle w:val="34"/>
        <w:tblW w:w="0" w:type="auto"/>
        <w:tblInd w:w="-3" w:type="dxa"/>
        <w:tblLayout w:type="fixed"/>
        <w:tblCellMar>
          <w:top w:w="0" w:type="dxa"/>
          <w:left w:w="0" w:type="dxa"/>
          <w:bottom w:w="0" w:type="dxa"/>
          <w:right w:w="0" w:type="dxa"/>
        </w:tblCellMar>
      </w:tblPr>
      <w:tblGrid>
        <w:gridCol w:w="555"/>
        <w:gridCol w:w="1215"/>
        <w:gridCol w:w="1785"/>
        <w:gridCol w:w="1905"/>
        <w:gridCol w:w="3330"/>
      </w:tblGrid>
      <w:tr>
        <w:tblPrEx>
          <w:tblCellMar>
            <w:top w:w="0" w:type="dxa"/>
            <w:left w:w="0" w:type="dxa"/>
            <w:bottom w:w="0" w:type="dxa"/>
            <w:right w:w="0" w:type="dxa"/>
          </w:tblCellMar>
        </w:tblPrEx>
        <w:trPr>
          <w:trHeight w:val="943"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3"/>
                <w:szCs w:val="23"/>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16</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CellMar>
            <w:top w:w="0" w:type="dxa"/>
            <w:left w:w="0" w:type="dxa"/>
            <w:bottom w:w="0" w:type="dxa"/>
            <w:right w:w="0" w:type="dxa"/>
          </w:tblCellMar>
        </w:tblPrEx>
        <w:trPr>
          <w:trHeight w:val="862"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6"/>
              <w:rPr>
                <w:rFonts w:ascii="宋体" w:hAnsi="宋体" w:cs="宋体"/>
                <w:color w:val="auto"/>
                <w:sz w:val="20"/>
                <w:szCs w:val="20"/>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17</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100"/>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CellMar>
            <w:top w:w="0" w:type="dxa"/>
            <w:left w:w="0" w:type="dxa"/>
            <w:bottom w:w="0" w:type="dxa"/>
            <w:right w:w="0" w:type="dxa"/>
          </w:tblCellMar>
        </w:tblPrEx>
        <w:trPr>
          <w:trHeight w:val="902"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18</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rPr>
          <w:rFonts w:ascii="宋体" w:hAnsi="宋体" w:cs="宋体"/>
          <w:color w:val="auto"/>
          <w:sz w:val="20"/>
          <w:szCs w:val="20"/>
          <w:highlight w:val="none"/>
        </w:rPr>
      </w:pPr>
    </w:p>
    <w:p>
      <w:pPr>
        <w:rPr>
          <w:rFonts w:ascii="宋体" w:hAnsi="宋体" w:cs="宋体"/>
          <w:color w:val="auto"/>
          <w:sz w:val="20"/>
          <w:szCs w:val="20"/>
          <w:highlight w:val="none"/>
        </w:rPr>
      </w:pPr>
    </w:p>
    <w:p>
      <w:pPr>
        <w:pStyle w:val="16"/>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pPr>
        <w:pStyle w:val="16"/>
        <w:spacing w:line="360" w:lineRule="auto"/>
        <w:rPr>
          <w:b/>
          <w:bCs/>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pStyle w:val="20"/>
        <w:jc w:val="left"/>
        <w:rPr>
          <w:rFonts w:ascii="Arial Unicode MS" w:hAnsi="Arial Unicode MS" w:eastAsia="Arial Unicode MS" w:cs="Arial Unicode MS"/>
          <w:color w:val="auto"/>
          <w:sz w:val="32"/>
          <w:szCs w:val="32"/>
          <w:highlight w:val="none"/>
        </w:rPr>
      </w:pPr>
      <w:r>
        <w:rPr>
          <w:rFonts w:hAnsi="宋体"/>
          <w:color w:val="auto"/>
          <w:highlight w:val="none"/>
        </w:rPr>
        <w:br w:type="page"/>
      </w:r>
      <w:r>
        <w:rPr>
          <w:rFonts w:hint="eastAsia" w:ascii="Arial Unicode MS" w:hAnsi="Arial Unicode MS" w:eastAsia="Arial Unicode MS" w:cs="Arial Unicode MS"/>
          <w:color w:val="auto"/>
          <w:sz w:val="32"/>
          <w:szCs w:val="32"/>
          <w:highlight w:val="none"/>
        </w:rPr>
        <w:t>附件2：</w:t>
      </w: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34"/>
        <w:tblW w:w="0" w:type="auto"/>
        <w:tblInd w:w="250" w:type="dxa"/>
        <w:tblLayout w:type="fixed"/>
        <w:tblCellMar>
          <w:top w:w="0" w:type="dxa"/>
          <w:left w:w="108" w:type="dxa"/>
          <w:bottom w:w="0" w:type="dxa"/>
          <w:right w:w="108" w:type="dxa"/>
        </w:tblCellMar>
      </w:tblPr>
      <w:tblGrid>
        <w:gridCol w:w="1701"/>
        <w:gridCol w:w="2436"/>
        <w:gridCol w:w="1380"/>
        <w:gridCol w:w="1500"/>
        <w:gridCol w:w="1305"/>
        <w:gridCol w:w="97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行业名称</w:t>
            </w:r>
          </w:p>
        </w:tc>
        <w:tc>
          <w:tcPr>
            <w:tcW w:w="243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指标名称</w:t>
            </w:r>
          </w:p>
        </w:tc>
        <w:tc>
          <w:tcPr>
            <w:tcW w:w="138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计量单位</w:t>
            </w:r>
          </w:p>
        </w:tc>
        <w:tc>
          <w:tcPr>
            <w:tcW w:w="150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农、林、牧、渔</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50≤Y＜500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工业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2000≤Y＜40000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建筑业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6000≤Y＜80000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300≤Y＜6000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5000≤Z＜80000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300≤Z＜5000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批发业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20≤X＜200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5≤X＜20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5000≤Y＜40000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零售业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10≤X＜50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100≤Y＜500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交通运输业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200≤Y＜3000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仓储业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邮政业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住宿业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餐饮业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信息传输业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软件和信息技术服务业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房地产开发经营</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1000≤Y＜200000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物业管理</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租赁和商务服务业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8000≤Z＜120000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100≤Z＜8000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其他未列明行业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0"/>
        <w:jc w:val="center"/>
        <w:outlineLvl w:val="0"/>
        <w:rPr>
          <w:rFonts w:hAnsi="宋体"/>
          <w:color w:val="auto"/>
          <w:highlight w:val="none"/>
        </w:rPr>
        <w:sectPr>
          <w:footerReference r:id="rId6" w:type="default"/>
          <w:pgSz w:w="11906" w:h="16838"/>
          <w:pgMar w:top="1134" w:right="1134" w:bottom="1134" w:left="1134" w:header="720" w:footer="720" w:gutter="0"/>
          <w:cols w:space="720" w:num="1"/>
          <w:docGrid w:type="lines" w:linePitch="331" w:charSpace="0"/>
        </w:sectPr>
      </w:pPr>
    </w:p>
    <w:p>
      <w:pPr>
        <w:pStyle w:val="20"/>
        <w:jc w:val="center"/>
        <w:outlineLvl w:val="0"/>
        <w:rPr>
          <w:rFonts w:hAnsi="宋体"/>
          <w:b/>
          <w:color w:val="auto"/>
          <w:sz w:val="36"/>
          <w:szCs w:val="36"/>
          <w:highlight w:val="none"/>
        </w:rPr>
      </w:pPr>
      <w:r>
        <w:rPr>
          <w:rFonts w:hAnsi="宋体"/>
          <w:color w:val="auto"/>
          <w:highlight w:val="none"/>
        </w:rPr>
        <w:t xml:space="preserve"> </w:t>
      </w:r>
      <w:bookmarkStart w:id="39" w:name="_Toc80092992"/>
      <w:bookmarkStart w:id="40" w:name="_Toc532545044"/>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39"/>
      <w:bookmarkEnd w:id="40"/>
    </w:p>
    <w:p>
      <w:pPr>
        <w:jc w:val="center"/>
        <w:rPr>
          <w:color w:val="auto"/>
          <w:sz w:val="36"/>
          <w:szCs w:val="36"/>
          <w:highlight w:val="none"/>
        </w:rPr>
      </w:pPr>
      <w:bookmarkStart w:id="41" w:name="_Toc254970526"/>
      <w:bookmarkStart w:id="42" w:name="_Toc254970667"/>
      <w:bookmarkStart w:id="43" w:name="_Toc80092993"/>
      <w:r>
        <w:rPr>
          <w:rFonts w:hint="eastAsia"/>
          <w:color w:val="auto"/>
          <w:sz w:val="36"/>
          <w:szCs w:val="36"/>
          <w:highlight w:val="none"/>
        </w:rPr>
        <w:t>投标人须知前附表</w:t>
      </w:r>
      <w:bookmarkEnd w:id="41"/>
      <w:bookmarkEnd w:id="42"/>
    </w:p>
    <w:p>
      <w:pPr>
        <w:jc w:val="center"/>
        <w:rPr>
          <w:color w:val="auto"/>
          <w:sz w:val="36"/>
          <w:szCs w:val="36"/>
          <w:highlight w:val="none"/>
        </w:rPr>
      </w:pPr>
    </w:p>
    <w:tbl>
      <w:tblPr>
        <w:tblStyle w:val="34"/>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bookmarkStart w:id="44" w:name="_Hlk54105293"/>
            <w:r>
              <w:rPr>
                <w:rFonts w:hint="eastAsia" w:ascii="宋体" w:hAnsi="宋体"/>
                <w:color w:val="auto"/>
                <w:szCs w:val="21"/>
                <w:highlight w:val="none"/>
              </w:rPr>
              <w:t>如接受联合体投标，</w:t>
            </w:r>
            <w:bookmarkEnd w:id="44"/>
            <w:r>
              <w:rPr>
                <w:rFonts w:hint="eastAsia" w:ascii="宋体" w:hAnsi="宋体"/>
                <w:color w:val="auto"/>
                <w:szCs w:val="21"/>
                <w:highlight w:val="none"/>
              </w:rPr>
              <w:t>联合体投标要求如下：</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1、两个以上投标人可以组成一个投标联合体，以一个投标人的身份共同参加投标，联合体投标人的名称应统一按“XXX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宋体" w:hAnsi="宋体"/>
                <w:color w:val="auto"/>
                <w:szCs w:val="21"/>
                <w:highlight w:val="none"/>
              </w:rPr>
            </w:pPr>
            <w:r>
              <w:rPr>
                <w:rFonts w:hint="eastAsia" w:ascii="宋体" w:hAnsi="宋体"/>
                <w:color w:val="auto"/>
                <w:szCs w:val="21"/>
                <w:highlight w:val="none"/>
              </w:rPr>
              <w:t>☑本项目不允许分包。</w:t>
            </w:r>
          </w:p>
          <w:p>
            <w:pPr>
              <w:pStyle w:val="14"/>
              <w:spacing w:line="400" w:lineRule="exact"/>
              <w:rPr>
                <w:rFonts w:ascii="宋体" w:hAnsi="宋体"/>
                <w:color w:val="auto"/>
                <w:szCs w:val="21"/>
                <w:highlight w:val="none"/>
              </w:rPr>
            </w:pPr>
            <w:r>
              <w:rPr>
                <w:rFonts w:hint="eastAsia" w:ascii="宋体" w:hAnsi="宋体"/>
                <w:color w:val="auto"/>
                <w:szCs w:val="21"/>
                <w:highlight w:val="none"/>
              </w:rPr>
              <w:t>□本项目允许分包：</w:t>
            </w:r>
          </w:p>
          <w:p>
            <w:pPr>
              <w:pStyle w:val="14"/>
              <w:spacing w:line="400" w:lineRule="exact"/>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14"/>
              <w:spacing w:line="400" w:lineRule="exact"/>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both"/>
              <w:rPr>
                <w:rFonts w:ascii="宋体" w:hAnsi="宋体"/>
                <w:color w:val="auto"/>
                <w:szCs w:val="21"/>
                <w:highlight w:val="none"/>
              </w:rPr>
            </w:pPr>
            <w:r>
              <w:rPr>
                <w:rFonts w:hint="eastAsia" w:ascii="宋体" w:hAnsi="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pPr>
              <w:pStyle w:val="14"/>
              <w:spacing w:line="400" w:lineRule="exact"/>
              <w:jc w:val="both"/>
              <w:rPr>
                <w:rFonts w:ascii="宋体" w:hAnsi="宋体"/>
                <w:color w:val="auto"/>
                <w:szCs w:val="21"/>
                <w:highlight w:val="none"/>
              </w:rPr>
            </w:pPr>
            <w:r>
              <w:rPr>
                <w:rFonts w:hint="eastAsia" w:ascii="宋体" w:hAnsi="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□本项目不组织现场考察。</w:t>
            </w:r>
          </w:p>
          <w:p>
            <w:pPr>
              <w:snapToGrid w:val="0"/>
              <w:spacing w:line="400" w:lineRule="exact"/>
              <w:rPr>
                <w:rFonts w:ascii="宋体" w:hAnsi="宋体"/>
                <w:color w:val="auto"/>
                <w:szCs w:val="21"/>
                <w:highlight w:val="none"/>
              </w:rPr>
            </w:pPr>
            <w:r>
              <w:rPr>
                <w:rFonts w:hint="eastAsia" w:ascii="宋体" w:hAnsi="宋体"/>
                <w:color w:val="auto"/>
                <w:szCs w:val="21"/>
                <w:highlight w:val="none"/>
              </w:rPr>
              <w:t>☑本项目组织现场考察：</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南宁师范大学五合校区文理综楼3楼322室 （集合并签到）</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梁颍涛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13978886668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400" w:lineRule="exact"/>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45" w:name="_13.1"/>
            <w:bookmarkEnd w:id="45"/>
            <w:r>
              <w:rPr>
                <w:rFonts w:hint="eastAsia" w:ascii="宋体" w:hAnsi="宋体"/>
                <w:color w:val="auto"/>
                <w:szCs w:val="21"/>
                <w:highlight w:val="none"/>
              </w:rPr>
              <w:t>13.</w:t>
            </w:r>
            <w:bookmarkStart w:id="46" w:name="_Hlt19632543"/>
            <w:r>
              <w:rPr>
                <w:rFonts w:hint="eastAsia" w:ascii="宋体" w:hAnsi="宋体"/>
                <w:color w:val="auto"/>
                <w:szCs w:val="21"/>
                <w:highlight w:val="none"/>
              </w:rPr>
              <w:t>1</w:t>
            </w:r>
            <w:bookmarkEnd w:id="46"/>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pPr>
              <w:tabs>
                <w:tab w:val="left" w:pos="459"/>
              </w:tabs>
              <w:snapToGrid w:val="0"/>
              <w:spacing w:line="400" w:lineRule="exact"/>
              <w:jc w:val="left"/>
              <w:rPr>
                <w:rFonts w:ascii="宋体" w:hAnsi="宋体"/>
                <w:color w:val="auto"/>
                <w:szCs w:val="21"/>
                <w:highlight w:val="none"/>
              </w:rPr>
            </w:pPr>
            <w:bookmarkStart w:id="47" w:name="_Hlk71299233"/>
            <w:r>
              <w:rPr>
                <w:rFonts w:hint="eastAsia" w:ascii="宋体" w:hAnsi="宋体"/>
                <w:color w:val="auto"/>
                <w:szCs w:val="21"/>
                <w:highlight w:val="none"/>
              </w:rPr>
              <w:t>2、开标一览表</w:t>
            </w:r>
            <w:bookmarkEnd w:id="47"/>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s="宋体"/>
                <w:color w:val="auto"/>
                <w:szCs w:val="21"/>
                <w:highlight w:val="none"/>
              </w:rPr>
              <w:t>1、供应商为法人或者其他组织的，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2、投标人依法缴纳税收的相关材料（2022年1月至2022年7月内连续三个月的依法缴纳税收的凭据复印件；依法免税的供应商，必须提供相应文件证明其依法免税。从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之日起的依法缴纳税收相应证明文件）；</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[2022年1月至2022年7月内连续三个月的依法缴纳社会保障资金的缴费凭证（专用收据或者社会保险缴纳清单）复印件；依法不需要缴纳社会保障资金的供应商，必须提供相应文件证明不需要缴纳社会保障资金。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之日起的依法缴纳社会保障资金的相应证明文件]；</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4、投标人财务状况报告（2020年度或2021年度财务报表复印件或者银行出具的资信证明；投标人属于成立</w:t>
            </w:r>
            <w:r>
              <w:rPr>
                <w:rFonts w:ascii="宋体" w:hAnsi="宋体" w:cs="宋体"/>
                <w:color w:val="auto"/>
                <w:szCs w:val="21"/>
                <w:highlight w:val="none"/>
              </w:rPr>
              <w:t>时间</w:t>
            </w:r>
            <w:r>
              <w:rPr>
                <w:rFonts w:hint="eastAsia" w:ascii="宋体" w:hAnsi="宋体" w:cs="宋体"/>
                <w:color w:val="auto"/>
                <w:szCs w:val="21"/>
                <w:highlight w:val="none"/>
              </w:rPr>
              <w:t>在规定年度之后</w:t>
            </w:r>
            <w:r>
              <w:rPr>
                <w:rFonts w:ascii="宋体" w:hAnsi="宋体" w:cs="宋体"/>
                <w:color w:val="auto"/>
                <w:szCs w:val="21"/>
                <w:highlight w:val="none"/>
              </w:rPr>
              <w:t>的</w:t>
            </w:r>
            <w:r>
              <w:rPr>
                <w:rFonts w:hint="eastAsia" w:ascii="宋体" w:hAnsi="宋体" w:cs="宋体"/>
                <w:color w:val="auto"/>
                <w:szCs w:val="21"/>
                <w:highlight w:val="none"/>
              </w:rPr>
              <w:t>法人或其他组织</w:t>
            </w:r>
            <w:r>
              <w:rPr>
                <w:rFonts w:ascii="宋体" w:hAnsi="宋体" w:cs="宋体"/>
                <w:color w:val="auto"/>
                <w:szCs w:val="21"/>
                <w:highlight w:val="none"/>
              </w:rPr>
              <w:t>，需提供成立</w:t>
            </w:r>
            <w:r>
              <w:rPr>
                <w:rFonts w:hint="eastAsia" w:ascii="宋体" w:hAnsi="宋体" w:cs="宋体"/>
                <w:color w:val="auto"/>
                <w:szCs w:val="21"/>
                <w:highlight w:val="none"/>
              </w:rPr>
              <w:t>之日起至投标截止时间前</w:t>
            </w:r>
            <w:r>
              <w:rPr>
                <w:rFonts w:ascii="宋体" w:hAnsi="宋体" w:cs="宋体"/>
                <w:color w:val="auto"/>
                <w:szCs w:val="21"/>
                <w:highlight w:val="none"/>
              </w:rPr>
              <w:t>的月报表</w:t>
            </w:r>
            <w:r>
              <w:rPr>
                <w:rFonts w:hint="eastAsia" w:ascii="宋体" w:hAnsi="宋体" w:cs="宋体"/>
                <w:color w:val="auto"/>
                <w:szCs w:val="21"/>
                <w:highlight w:val="none"/>
              </w:rPr>
              <w:t>或银行出具的资信证明；资信证明应在有效期内，未注明有效期的，银行出具时间至投标截止时间不超过一年）；</w:t>
            </w:r>
            <w:r>
              <w:rPr>
                <w:rFonts w:hint="eastAsia" w:ascii="宋体" w:hAnsi="宋体" w:cs="宋体"/>
                <w:b/>
                <w:color w:val="auto"/>
                <w:szCs w:val="21"/>
                <w:highlight w:val="none"/>
              </w:rPr>
              <w:t>（除自然人外必须提供，否则按无效投标处理）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（联合体投标时必须提供，否则按无效投标处理）</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w:t>
            </w:r>
          </w:p>
          <w:p>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4、联合体投标时，第1-5项资格证明文件联合体各方均必须分别提供，联合体各方分别盖章和签字，否则按无效投标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5、分公司参加投标的，应当取得总公司授权，否则按无效投标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6、投标人情况介绍（格式自拟）；</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i/>
                <w:color w:val="auto"/>
                <w:szCs w:val="21"/>
                <w:highlight w:val="none"/>
              </w:rPr>
            </w:pPr>
            <w:r>
              <w:rPr>
                <w:rFonts w:hint="eastAsia" w:ascii="宋体" w:hAnsi="宋体" w:cs="Courier New"/>
                <w:b/>
                <w:color w:val="auto"/>
                <w:szCs w:val="21"/>
                <w:highlight w:val="none"/>
              </w:rPr>
              <w:t>技术文件：</w:t>
            </w:r>
          </w:p>
          <w:p>
            <w:pPr>
              <w:snapToGrid w:val="0"/>
              <w:spacing w:line="400" w:lineRule="exact"/>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、项目实施方案（格式自拟）【项目前期准备、项目实施计划（人员构成、技术服务、技术培训）】；</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、项目实施人员一览表（格式后附）；</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、投标人对本项目的合理化建议和改进措施（格式自拟）；</w:t>
            </w:r>
          </w:p>
          <w:p>
            <w:pPr>
              <w:snapToGrid w:val="0"/>
              <w:spacing w:line="40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、除招标文件规定必须提供以外，投标人需要说明的其他文件和说明（格式自拟）。</w:t>
            </w:r>
          </w:p>
          <w:p>
            <w:pPr>
              <w:snapToGrid w:val="0"/>
              <w:spacing w:line="400" w:lineRule="exact"/>
              <w:ind w:firstLine="316" w:firstLineChars="15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48" w:name="_13.5"/>
            <w:bookmarkEnd w:id="48"/>
            <w:r>
              <w:rPr>
                <w:rFonts w:hint="eastAsia" w:ascii="宋体" w:hAnsi="宋体"/>
                <w:color w:val="auto"/>
                <w:szCs w:val="21"/>
                <w:highlight w:val="none"/>
              </w:rPr>
              <w:t>16</w:t>
            </w:r>
            <w:bookmarkStart w:id="49" w:name="_Hlt19194066"/>
            <w:bookmarkStart w:id="50" w:name="_Hlt19693759"/>
            <w:bookmarkStart w:id="51" w:name="_Hlt19693758"/>
            <w:bookmarkStart w:id="52" w:name="_Hlt19194067"/>
            <w:r>
              <w:rPr>
                <w:rFonts w:hint="eastAsia" w:ascii="宋体" w:hAnsi="宋体"/>
                <w:color w:val="auto"/>
                <w:szCs w:val="21"/>
                <w:highlight w:val="none"/>
              </w:rPr>
              <w:t>.</w:t>
            </w:r>
            <w:bookmarkEnd w:id="49"/>
            <w:bookmarkEnd w:id="50"/>
            <w:bookmarkEnd w:id="51"/>
            <w:bookmarkEnd w:id="52"/>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Cs w:val="21"/>
                <w:highlight w:val="none"/>
              </w:rPr>
            </w:pPr>
            <w:r>
              <w:rPr>
                <w:rFonts w:hint="eastAsia" w:ascii="宋体" w:hAnsi="宋体" w:cs="宋体"/>
                <w:color w:val="auto"/>
                <w:szCs w:val="21"/>
                <w:highlight w:val="none"/>
              </w:rPr>
              <w:t>投标报价是履行合同的最终价格，即满足全部采购需求所应提供的服务的价格；包括投标服务的成本、运输（含保险）（如有）、技术服务、培训、税费等所有费用。</w:t>
            </w:r>
            <w:r>
              <w:rPr>
                <w:rFonts w:hint="eastAsia" w:ascii="宋体" w:hAnsi="宋体" w:cs="宋体"/>
                <w:b/>
                <w:color w:val="auto"/>
                <w:szCs w:val="21"/>
                <w:highlight w:val="none"/>
              </w:rPr>
              <w:t>（采购需求另有约定的，从其约定。）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3" w:name="_19.2"/>
            <w:bookmarkEnd w:id="53"/>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szCs w:val="21"/>
                <w:highlight w:val="none"/>
              </w:rPr>
              <w:t>投标文件应按报价文件、资格证明文件、商务文件、技术文件分别编制，</w:t>
            </w:r>
            <w:r>
              <w:rPr>
                <w:rFonts w:hint="eastAsia" w:ascii="宋体" w:hAnsi="宋体" w:cs="宋体"/>
                <w:color w:val="auto"/>
                <w:szCs w:val="21"/>
                <w:highlight w:val="none"/>
              </w:rPr>
              <w:t>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Ansi="宋体"/>
                <w:color w:val="auto"/>
                <w:szCs w:val="21"/>
                <w:highlight w:val="none"/>
              </w:rPr>
            </w:pPr>
            <w:r>
              <w:rPr>
                <w:rFonts w:hint="eastAsia" w:ascii="宋体" w:hAnsi="宋体"/>
                <w:color w:val="auto"/>
                <w:szCs w:val="21"/>
                <w:highlight w:val="none"/>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bCs/>
                <w:color w:val="auto"/>
                <w:szCs w:val="21"/>
                <w:highlight w:val="none"/>
              </w:rPr>
              <w:t>“政采云”平台按开标时间自动提取所有投标文件。采购代理机构依托“政采云”平台向各投标人发出电子加密投标文件【开始解密】通知，由投标人进行投标文件解密。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4"/>
                <w:rFonts w:ascii="宋体" w:hAnsi="宋体"/>
                <w:color w:val="auto"/>
                <w:szCs w:val="21"/>
                <w:highlight w:val="none"/>
              </w:rPr>
              <w:t>www.ccgp.gov.cn</w:t>
            </w:r>
            <w:r>
              <w:rPr>
                <w:rStyle w:val="44"/>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s="宋体"/>
                <w:color w:val="auto"/>
                <w:szCs w:val="21"/>
                <w:highlight w:val="none"/>
              </w:rPr>
              <w:t>5人。（采购项目符合下列情形之一的，评标委员会成员人数应当为7人以上单数：1.采购预算金额在1000万元以上；2.技术复杂；3.社会影响较大。）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pPr>
              <w:snapToGrid w:val="0"/>
              <w:spacing w:line="400" w:lineRule="exact"/>
              <w:rPr>
                <w:rFonts w:ascii="宋体" w:hAnsi="宋体"/>
                <w:color w:val="auto"/>
                <w:szCs w:val="21"/>
                <w:highlight w:val="none"/>
              </w:rPr>
            </w:pPr>
            <w:r>
              <w:rPr>
                <w:rFonts w:hint="eastAsia" w:ascii="宋体" w:hAnsi="宋体"/>
                <w:color w:val="auto"/>
                <w:szCs w:val="21"/>
                <w:highlight w:val="none"/>
              </w:rPr>
              <w:t>技术要求评审中允许负偏离的条款数为</w:t>
            </w:r>
            <w:r>
              <w:rPr>
                <w:rFonts w:hint="eastAsia" w:ascii="宋体" w:hAnsi="宋体"/>
                <w:color w:val="auto"/>
                <w:szCs w:val="21"/>
                <w:highlight w:val="none"/>
                <w:u w:val="single"/>
              </w:rPr>
              <w:t xml:space="preserve"> 4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auto"/>
                <w:szCs w:val="21"/>
                <w:highlight w:val="none"/>
                <w:u w:val="single"/>
              </w:rPr>
            </w:pPr>
            <w:r>
              <w:rPr>
                <w:rFonts w:hAnsi="宋体"/>
                <w:color w:val="auto"/>
                <w:highlight w:val="none"/>
              </w:rPr>
              <w:t>中标候选人推荐数量</w:t>
            </w:r>
            <w:r>
              <w:rPr>
                <w:rFonts w:hint="eastAsia" w:hAnsi="宋体"/>
                <w:color w:val="auto"/>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采用综合评分法的采购项目，采购人确定中标人时，出现中标候选人并列的情形，采购人按以下的方式确定中标人：按综合评分中价格、技术服务、信誉资质业绩得分高低依次确定。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pPr>
              <w:pStyle w:val="14"/>
              <w:spacing w:line="400" w:lineRule="exact"/>
              <w:rPr>
                <w:rFonts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5 </w:t>
            </w:r>
            <w:r>
              <w:rPr>
                <w:rFonts w:hint="eastAsia" w:ascii="Arial" w:hAnsi="Arial" w:cs="Arial"/>
                <w:color w:val="auto"/>
                <w:szCs w:val="21"/>
                <w:highlight w:val="none"/>
              </w:rPr>
              <w:t>％</w:t>
            </w:r>
            <w:r>
              <w:rPr>
                <w:rFonts w:hint="eastAsia" w:ascii="宋体" w:hAnsi="宋体"/>
                <w:color w:val="auto"/>
                <w:szCs w:val="21"/>
                <w:highlight w:val="none"/>
              </w:rPr>
              <w:t>（注：履约保证金不超过</w:t>
            </w:r>
            <w:r>
              <w:rPr>
                <w:rFonts w:hint="eastAsia"/>
                <w:color w:val="auto"/>
                <w:highlight w:val="none"/>
              </w:rPr>
              <w:t>政府采购合同金额的</w:t>
            </w:r>
            <w:r>
              <w:rPr>
                <w:rFonts w:ascii="宋体" w:hAnsi="宋体"/>
                <w:color w:val="auto"/>
                <w:szCs w:val="21"/>
                <w:highlight w:val="none"/>
              </w:rPr>
              <w:t>5</w:t>
            </w:r>
            <w:r>
              <w:rPr>
                <w:rFonts w:hint="eastAsia" w:ascii="宋体" w:hAnsi="宋体"/>
                <w:color w:val="auto"/>
                <w:szCs w:val="21"/>
                <w:highlight w:val="non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autoSpaceDE w:val="0"/>
              <w:autoSpaceDN w:val="0"/>
              <w:snapToGrid w:val="0"/>
              <w:spacing w:line="400" w:lineRule="exact"/>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s="宋体"/>
                <w:b/>
                <w:color w:val="auto"/>
                <w:szCs w:val="21"/>
                <w:highlight w:val="none"/>
                <w:u w:val="single"/>
              </w:rPr>
              <w:t>如：由中标人向履约保证金收取单位提供《广西壮族自治区政府采购项目合同验收书》（详见桂财采〔2015〕22号），保证金收取单位在收到合格材料后5个工作日内办理退还手续（不计利息）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履约保证金指定账户：</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p>
          <w:p>
            <w:pPr>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pPr>
              <w:spacing w:line="400" w:lineRule="exact"/>
              <w:jc w:val="left"/>
              <w:rPr>
                <w:rFonts w:ascii="宋体" w:hAnsi="宋体"/>
                <w:b/>
                <w:color w:val="auto"/>
                <w:szCs w:val="21"/>
                <w:highlight w:val="none"/>
              </w:rPr>
            </w:pPr>
            <w:r>
              <w:rPr>
                <w:rFonts w:ascii="宋体" w:hAnsi="宋体"/>
                <w:b/>
                <w:color w:val="auto"/>
                <w:szCs w:val="21"/>
                <w:highlight w:val="none"/>
              </w:rPr>
              <w:t>1</w:t>
            </w:r>
            <w:bookmarkStart w:id="54"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4"/>
          </w:p>
          <w:p>
            <w:pPr>
              <w:spacing w:line="400" w:lineRule="exact"/>
              <w:jc w:val="left"/>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w:t>
            </w:r>
            <w:r>
              <w:rPr>
                <w:rFonts w:ascii="宋体" w:hAnsi="宋体"/>
                <w:b/>
                <w:color w:val="auto"/>
                <w:szCs w:val="21"/>
                <w:highlight w:val="none"/>
              </w:rPr>
              <w:t>采用金融、担保机构出具的保函的，必须为无条件保函，否则不予签订合同。</w:t>
            </w:r>
          </w:p>
          <w:p>
            <w:pPr>
              <w:spacing w:line="400" w:lineRule="exact"/>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质疑联系部门及联系方式：广西北部湾宏亚建设管理有限公司，质疑联系人：卢工 负责人       联系电话：0771-5670712 ，</w:t>
            </w:r>
            <w:r>
              <w:rPr>
                <w:rFonts w:ascii="宋体" w:hAnsi="宋体"/>
                <w:color w:val="auto"/>
                <w:szCs w:val="21"/>
                <w:highlight w:val="none"/>
              </w:rPr>
              <w:t>通讯地址</w:t>
            </w:r>
            <w:r>
              <w:rPr>
                <w:rFonts w:hint="eastAsia" w:ascii="宋体" w:hAnsi="宋体" w:cs="Helvetica"/>
                <w:color w:val="auto"/>
                <w:szCs w:val="21"/>
                <w:highlight w:val="none"/>
              </w:rPr>
              <w:t>：南宁市高新区科园大道东四路7号远信光电产业大楼25层2517号。</w:t>
            </w:r>
          </w:p>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highlight w:val="none"/>
              </w:rPr>
              <w:t>现场提交质疑办理业务时间：工作日，</w:t>
            </w:r>
            <w:r>
              <w:rPr>
                <w:rFonts w:hint="eastAsia" w:ascii="宋体" w:hAnsi="宋体" w:cs="Arial"/>
                <w:color w:val="auto"/>
                <w:szCs w:val="21"/>
                <w:highlight w:val="none"/>
              </w:rPr>
              <w:t>上午8:00-12:00；下午1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5" w:name="_Hlt17709148"/>
            <w:r>
              <w:rPr>
                <w:rFonts w:hint="eastAsia" w:ascii="宋体" w:hAnsi="宋体"/>
                <w:color w:val="auto"/>
                <w:szCs w:val="21"/>
                <w:highlight w:val="none"/>
              </w:rPr>
              <w:t>3</w:t>
            </w:r>
            <w:bookmarkEnd w:id="55"/>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color w:val="auto"/>
                <w:highlight w:val="none"/>
              </w:rPr>
            </w:pPr>
            <w:r>
              <w:rPr>
                <w:rFonts w:hint="eastAsia" w:hAnsi="宋体" w:cs="宋体"/>
                <w:color w:val="auto"/>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pPr>
              <w:pStyle w:val="20"/>
              <w:snapToGrid w:val="0"/>
              <w:spacing w:line="400" w:lineRule="exact"/>
              <w:rPr>
                <w:rFonts w:hAnsi="宋体" w:cs="宋体"/>
                <w:color w:val="auto"/>
                <w:highlight w:val="none"/>
              </w:rPr>
            </w:pPr>
            <w:r>
              <w:rPr>
                <w:rFonts w:hint="eastAsia" w:hAnsi="宋体" w:cs="宋体"/>
                <w:color w:val="auto"/>
                <w:highlight w:val="none"/>
              </w:rPr>
              <w:t>☑采购代理服务费收取标准：</w:t>
            </w:r>
          </w:p>
          <w:p>
            <w:pPr>
              <w:pStyle w:val="20"/>
              <w:snapToGrid w:val="0"/>
              <w:spacing w:line="400" w:lineRule="exact"/>
              <w:rPr>
                <w:rFonts w:hAnsi="宋体" w:cs="宋体"/>
                <w:color w:val="auto"/>
                <w:highlight w:val="none"/>
              </w:rPr>
            </w:pPr>
            <w:r>
              <w:rPr>
                <w:rFonts w:hint="eastAsia" w:hAnsi="宋体" w:cs="宋体"/>
                <w:color w:val="auto"/>
                <w:highlight w:val="none"/>
              </w:rPr>
              <w:t>以中标金额为计费额，按本须知正文第</w:t>
            </w:r>
            <w:r>
              <w:rPr>
                <w:rFonts w:hAnsi="宋体" w:cs="宋体"/>
                <w:color w:val="auto"/>
                <w:highlight w:val="none"/>
              </w:rPr>
              <w:t>39</w:t>
            </w:r>
            <w:r>
              <w:rPr>
                <w:rFonts w:hint="eastAsia" w:hAnsi="宋体" w:cs="宋体"/>
                <w:color w:val="auto"/>
                <w:highlight w:val="none"/>
              </w:rPr>
              <w:t>.</w:t>
            </w:r>
            <w:r>
              <w:rPr>
                <w:rFonts w:hAnsi="宋体" w:cs="宋体"/>
                <w:color w:val="auto"/>
                <w:highlight w:val="none"/>
              </w:rPr>
              <w:t>2</w:t>
            </w:r>
            <w:r>
              <w:rPr>
                <w:rFonts w:hint="eastAsia" w:hAnsi="宋体" w:cs="宋体"/>
                <w:color w:val="auto"/>
                <w:highlight w:val="none"/>
              </w:rPr>
              <w:t>条规定的收费计算标准（货物招标）采用差额定率累进法计算出收费基准价格，采购代理服务费收费以（收费基准价格）收取。</w:t>
            </w:r>
          </w:p>
          <w:p>
            <w:pPr>
              <w:pStyle w:val="20"/>
              <w:snapToGrid w:val="0"/>
              <w:spacing w:line="400" w:lineRule="exact"/>
              <w:rPr>
                <w:rFonts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p>
            <w:pPr>
              <w:pStyle w:val="20"/>
              <w:snapToGrid w:val="0"/>
              <w:spacing w:line="400" w:lineRule="exact"/>
              <w:rPr>
                <w:rFonts w:hAnsi="宋体" w:cs="宋体"/>
                <w:color w:val="auto"/>
                <w:highlight w:val="none"/>
              </w:rPr>
            </w:pPr>
            <w:r>
              <w:rPr>
                <w:rFonts w:hint="eastAsia" w:hAnsi="宋体" w:cs="宋体"/>
                <w:color w:val="auto"/>
                <w:highlight w:val="none"/>
              </w:rPr>
              <w:t xml:space="preserve">3、账户名称：广西北部湾宏亚建设管理有限公司南宁分公司 </w:t>
            </w:r>
          </w:p>
          <w:p>
            <w:pPr>
              <w:pStyle w:val="20"/>
              <w:snapToGrid w:val="0"/>
              <w:spacing w:line="400" w:lineRule="exact"/>
              <w:rPr>
                <w:rFonts w:hAnsi="宋体" w:cs="宋体"/>
                <w:color w:val="auto"/>
                <w:highlight w:val="none"/>
              </w:rPr>
            </w:pPr>
            <w:r>
              <w:rPr>
                <w:rFonts w:hint="eastAsia" w:hAnsi="宋体" w:cs="宋体"/>
                <w:color w:val="auto"/>
                <w:highlight w:val="none"/>
              </w:rPr>
              <w:t xml:space="preserve">开户银行：广西北部湾银行南宁市秀灵支行 </w:t>
            </w:r>
          </w:p>
          <w:p>
            <w:pPr>
              <w:pStyle w:val="20"/>
              <w:snapToGrid w:val="0"/>
              <w:spacing w:line="400" w:lineRule="exact"/>
              <w:rPr>
                <w:rFonts w:hAnsi="宋体" w:cs="宋体"/>
                <w:color w:val="auto"/>
                <w:highlight w:val="none"/>
              </w:rPr>
            </w:pPr>
            <w:r>
              <w:rPr>
                <w:rFonts w:hint="eastAsia" w:hAnsi="宋体" w:cs="宋体"/>
                <w:color w:val="auto"/>
                <w:highlight w:val="none"/>
              </w:rPr>
              <w:t>银行账号：805011663788888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pPr>
              <w:pStyle w:val="20"/>
              <w:snapToGrid w:val="0"/>
              <w:spacing w:line="400" w:lineRule="exact"/>
              <w:rPr>
                <w:rFonts w:hAnsi="宋体" w:cs="宋体"/>
                <w:bCs/>
                <w:color w:val="auto"/>
                <w:highlight w:val="none"/>
              </w:rPr>
            </w:pPr>
            <w:r>
              <w:rPr>
                <w:rFonts w:hint="eastAsia" w:hAnsi="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0"/>
              <w:snapToGrid w:val="0"/>
              <w:spacing w:line="400" w:lineRule="exact"/>
              <w:rPr>
                <w:rFonts w:hAnsi="宋体" w:cs="宋体"/>
                <w:bCs/>
                <w:color w:val="auto"/>
                <w:highlight w:val="none"/>
              </w:rPr>
            </w:pPr>
            <w:r>
              <w:rPr>
                <w:rFonts w:hint="eastAsia" w:hAnsi="宋体" w:cs="宋体"/>
                <w:bCs/>
                <w:color w:val="auto"/>
                <w:highlight w:val="none"/>
              </w:rPr>
              <w:t>3、本招标文件中描述投标人的“签字”是指投标人的法定代表人或者委托代理人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pPr>
              <w:pStyle w:val="20"/>
              <w:snapToGrid w:val="0"/>
              <w:spacing w:line="400" w:lineRule="exact"/>
              <w:rPr>
                <w:rFonts w:hAnsi="宋体" w:cs="宋体"/>
                <w:bCs/>
                <w:color w:val="auto"/>
                <w:highlight w:val="none"/>
              </w:rPr>
            </w:pPr>
            <w:r>
              <w:rPr>
                <w:rFonts w:hint="eastAsia" w:hAnsi="宋体" w:cs="宋体"/>
                <w:bCs/>
                <w:color w:val="auto"/>
                <w:highlight w:val="none"/>
              </w:rPr>
              <w:t>4、自然人投标的，招标文件规定盖公章处由自然人摁手指指印。</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snapToGrid w:val="0"/>
        <w:rPr>
          <w:rFonts w:ascii="宋体" w:hAnsi="宋体"/>
          <w:color w:val="auto"/>
          <w:sz w:val="24"/>
          <w:szCs w:val="20"/>
          <w:highlight w:val="none"/>
        </w:rPr>
      </w:pPr>
    </w:p>
    <w:p>
      <w:pPr>
        <w:snapToGrid w:val="0"/>
        <w:rPr>
          <w:rFonts w:ascii="宋体" w:hAnsi="宋体"/>
          <w:color w:val="auto"/>
          <w:sz w:val="24"/>
          <w:szCs w:val="20"/>
          <w:highlight w:val="none"/>
        </w:rPr>
      </w:pPr>
    </w:p>
    <w:p>
      <w:pPr>
        <w:pStyle w:val="5"/>
        <w:keepNext w:val="0"/>
        <w:keepLines w:val="0"/>
        <w:jc w:val="center"/>
        <w:rPr>
          <w:color w:val="auto"/>
          <w:highlight w:val="none"/>
        </w:rPr>
      </w:pPr>
      <w:r>
        <w:rPr>
          <w:color w:val="auto"/>
          <w:highlight w:val="none"/>
        </w:rPr>
        <w:br w:type="page"/>
      </w:r>
      <w:bookmarkEnd w:id="43"/>
      <w:r>
        <w:rPr>
          <w:rFonts w:hint="eastAsia"/>
          <w:color w:val="auto"/>
          <w:highlight w:val="none"/>
        </w:rPr>
        <w:t>投标人须知正文</w:t>
      </w:r>
    </w:p>
    <w:p>
      <w:pPr>
        <w:pStyle w:val="5"/>
        <w:keepNext w:val="0"/>
        <w:keepLines w:val="0"/>
        <w:jc w:val="center"/>
        <w:rPr>
          <w:color w:val="auto"/>
          <w:highlight w:val="none"/>
        </w:rPr>
      </w:pPr>
      <w:r>
        <w:rPr>
          <w:rFonts w:hint="eastAsia"/>
          <w:color w:val="auto"/>
          <w:highlight w:val="none"/>
        </w:rPr>
        <w:t>一、总  则</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1.适用范围</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2.定义</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8"/>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3.投标人的资格要求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投标人的资格要求详见“招标公告”。</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4.投标委托</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5.投标费用</w:t>
      </w:r>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7"/>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color w:val="auto"/>
          <w:sz w:val="21"/>
          <w:szCs w:val="21"/>
          <w:highlight w:val="none"/>
        </w:rPr>
        <w:t>6.3</w:t>
      </w:r>
      <w:r>
        <w:rPr>
          <w:rFonts w:ascii="宋体" w:hAnsi="宋体"/>
          <w:b w:val="0"/>
          <w:color w:val="auto"/>
          <w:sz w:val="21"/>
          <w:szCs w:val="21"/>
          <w:highlight w:val="none"/>
        </w:rPr>
        <w:t xml:space="preserve"> </w:t>
      </w:r>
      <w:bookmarkStart w:id="56" w:name="_Hlk65857072"/>
      <w:r>
        <w:rPr>
          <w:rFonts w:hint="eastAsia" w:ascii="宋体" w:hAnsi="宋体"/>
          <w:b w:val="0"/>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6"/>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8.特别说明</w:t>
      </w:r>
    </w:p>
    <w:p>
      <w:pPr>
        <w:pStyle w:val="7"/>
        <w:keepNext w:val="0"/>
        <w:keepLines w:val="0"/>
        <w:spacing w:before="0" w:after="0" w:line="360" w:lineRule="auto"/>
        <w:ind w:firstLine="562" w:firstLineChars="200"/>
        <w:rPr>
          <w:rFonts w:ascii="宋体" w:hAnsi="宋体"/>
          <w:b w:val="0"/>
          <w:color w:val="auto"/>
          <w:sz w:val="21"/>
          <w:szCs w:val="21"/>
          <w:highlight w:val="none"/>
        </w:rPr>
      </w:pPr>
      <w:r>
        <w:rPr>
          <w:color w:val="auto"/>
          <w:highlight w:val="none"/>
        </w:rPr>
        <w:fldChar w:fldCharType="begin"/>
      </w:r>
      <w:r>
        <w:rPr>
          <w:color w:val="auto"/>
          <w:highlight w:val="none"/>
        </w:rPr>
        <w:instrText xml:space="preserve"> HYPERLINK \l "_8.1" </w:instrText>
      </w:r>
      <w:r>
        <w:rPr>
          <w:color w:val="auto"/>
          <w:highlight w:val="none"/>
        </w:rPr>
        <w:fldChar w:fldCharType="separate"/>
      </w:r>
      <w:r>
        <w:rPr>
          <w:rFonts w:hint="eastAsia" w:ascii="宋体" w:hAnsi="宋体"/>
          <w:b w:val="0"/>
          <w:color w:val="auto"/>
          <w:sz w:val="21"/>
          <w:szCs w:val="21"/>
          <w:highlight w:val="none"/>
        </w:rPr>
        <w:t>8.1</w:t>
      </w:r>
      <w:r>
        <w:rPr>
          <w:rFonts w:hint="eastAsia"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highlight w:val="none"/>
        </w:rPr>
        <w:t>。</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 xml:space="preserve">（1）不同投标人的投标文件由同一单位或者个人编制； </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（2）不同投标人委托同一单位或者个人办理投标事宜；</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（4）不同投标人的投标文件异常一致或者投标报价呈规律性差异；</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（5）不同投标人的投标文件相互混装；</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（6）不同投标人的投标保证金从同一单位或者个人账户转出。</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（1）供应商直接或者间接从采购人或者采购代理机构处获得其他供应商的相关信息并修改其投标文件或者响应文件；</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（2）供应商按照采购人或者采购代理机构的授意撤换、修改投标文件或者响应文件；</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（3）供应商之间协商报价、技术方案等投标文件或者响应文件的实质性内容；</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pStyle w:val="20"/>
        <w:snapToGrid w:val="0"/>
        <w:spacing w:line="360" w:lineRule="auto"/>
        <w:ind w:left="2" w:leftChars="1" w:firstLine="422" w:firstLineChars="200"/>
        <w:rPr>
          <w:rFonts w:hAnsi="宋体"/>
          <w:b/>
          <w:color w:val="auto"/>
          <w:highlight w:val="none"/>
        </w:rPr>
      </w:pPr>
    </w:p>
    <w:p>
      <w:pPr>
        <w:pStyle w:val="5"/>
        <w:keepNext w:val="0"/>
        <w:keepLines w:val="0"/>
        <w:jc w:val="center"/>
        <w:rPr>
          <w:color w:val="auto"/>
          <w:highlight w:val="none"/>
        </w:rPr>
      </w:pPr>
      <w:r>
        <w:rPr>
          <w:rFonts w:hint="eastAsia"/>
          <w:color w:val="auto"/>
          <w:highlight w:val="none"/>
        </w:rPr>
        <w:t>二、招标文件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7"/>
        <w:keepNext w:val="0"/>
        <w:keepLines w:val="0"/>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pPr>
        <w:spacing w:line="360" w:lineRule="auto"/>
        <w:ind w:firstLine="420" w:firstLineChars="200"/>
        <w:rPr>
          <w:rFonts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pPr>
        <w:pStyle w:val="20"/>
        <w:snapToGrid w:val="0"/>
        <w:spacing w:line="360" w:lineRule="auto"/>
        <w:ind w:firstLine="420" w:firstLineChars="200"/>
        <w:rPr>
          <w:rFonts w:hAnsi="宋体"/>
          <w:color w:val="auto"/>
          <w:highlight w:val="none"/>
        </w:rPr>
      </w:pPr>
    </w:p>
    <w:p>
      <w:pPr>
        <w:pStyle w:val="5"/>
        <w:keepNext w:val="0"/>
        <w:keepLines w:val="0"/>
        <w:jc w:val="center"/>
        <w:rPr>
          <w:color w:val="auto"/>
          <w:highlight w:val="none"/>
        </w:rPr>
      </w:pPr>
      <w:r>
        <w:rPr>
          <w:rFonts w:hint="eastAsia"/>
          <w:color w:val="auto"/>
          <w:highlight w:val="none"/>
        </w:rPr>
        <w:t>三、投标文件的编制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14.投标文件的语言及计量</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0"/>
        <w:snapToGrid w:val="0"/>
        <w:spacing w:line="360" w:lineRule="auto"/>
        <w:ind w:firstLine="420" w:firstLineChars="200"/>
        <w:jc w:val="left"/>
        <w:rPr>
          <w:rFonts w:hAnsi="宋体"/>
          <w:color w:val="auto"/>
          <w:highlight w:val="none"/>
        </w:rPr>
      </w:pPr>
      <w:r>
        <w:rPr>
          <w:rFonts w:hint="eastAsia" w:hAnsi="宋体"/>
          <w:color w:val="auto"/>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16.投标报价</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 投标有效期应按规定的期限作出承诺，具体详见“投标人须知前附表”。</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18.投标保证金</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19.2投标文件应按报价文件、资格证明文件、商务文件、技术文件分别编制电子文件，并按“政采云”平台的要求编制、加密、上传。</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w:t>
      </w:r>
      <w:bookmarkStart w:id="57" w:name="_Hlk65832616"/>
      <w:r>
        <w:rPr>
          <w:rFonts w:hint="eastAsia" w:ascii="宋体" w:hAnsi="宋体"/>
          <w:b w:val="0"/>
          <w:color w:val="auto"/>
          <w:sz w:val="21"/>
          <w:szCs w:val="21"/>
          <w:highlight w:val="none"/>
        </w:rPr>
        <w:t>3投标文件须由投标人在规定位置盖公章并签字</w:t>
      </w:r>
      <w:bookmarkStart w:id="58" w:name="_Hlk65832569"/>
      <w:r>
        <w:rPr>
          <w:rFonts w:hint="eastAsia" w:ascii="宋体" w:hAnsi="宋体"/>
          <w:b w:val="0"/>
          <w:color w:val="auto"/>
          <w:sz w:val="21"/>
          <w:szCs w:val="21"/>
          <w:highlight w:val="none"/>
        </w:rPr>
        <w:t>（具体以投标人须知前附表或投标文件格式规定为准）</w:t>
      </w:r>
      <w:bookmarkEnd w:id="57"/>
      <w:bookmarkEnd w:id="58"/>
      <w:r>
        <w:rPr>
          <w:rFonts w:hint="eastAsia" w:ascii="宋体" w:hAnsi="宋体"/>
          <w:b w:val="0"/>
          <w:color w:val="auto"/>
          <w:sz w:val="21"/>
          <w:szCs w:val="21"/>
          <w:highlight w:val="none"/>
        </w:rPr>
        <w:t>，</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20.投标文件的加密、解密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20.1电子投标文件编制完成后，投标人应按“政采云”平台的要求进行加密，并在规定时间内解密，否则，由此产生的后果由投标人自行负责。</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21.1投标人必须在“投标人须知前附表”规定的投标文件接收时间和投标地点提交投标文件。</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7"/>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21.3未在规定时间内上传或者未按“政采云”平台的要求编制、加密的电子投标文件，“政采云”平台将拒收。</w:t>
      </w:r>
    </w:p>
    <w:p>
      <w:pPr>
        <w:pStyle w:val="8"/>
        <w:rPr>
          <w:color w:val="auto"/>
          <w:highlight w:val="none"/>
        </w:rPr>
      </w:pPr>
      <w:r>
        <w:rPr>
          <w:rFonts w:hint="eastAsia" w:ascii="宋体" w:hAnsi="宋体"/>
          <w:color w:val="auto"/>
          <w:szCs w:val="21"/>
          <w:highlight w:val="none"/>
        </w:rPr>
        <w:t>21.4电子投标文件提交方式见“招标公告”中“四、提交投标文件截止时间、开标时间和地点”</w:t>
      </w:r>
    </w:p>
    <w:p>
      <w:pPr>
        <w:pStyle w:val="8"/>
        <w:rPr>
          <w:color w:val="auto"/>
          <w:highlight w:val="none"/>
        </w:rPr>
      </w:pP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17"/>
        <w:snapToGrid w:val="0"/>
        <w:spacing w:line="360" w:lineRule="auto"/>
        <w:ind w:firstLine="739"/>
        <w:rPr>
          <w:rFonts w:hAnsi="宋体"/>
          <w:snapToGrid w:val="0"/>
          <w:color w:val="auto"/>
          <w:sz w:val="21"/>
          <w:szCs w:val="21"/>
          <w:highlight w:val="none"/>
        </w:rPr>
      </w:pPr>
    </w:p>
    <w:p>
      <w:pPr>
        <w:pStyle w:val="5"/>
        <w:keepNext w:val="0"/>
        <w:keepLines w:val="0"/>
        <w:jc w:val="center"/>
        <w:rPr>
          <w:color w:val="auto"/>
          <w:highlight w:val="none"/>
        </w:rPr>
      </w:pPr>
      <w:r>
        <w:rPr>
          <w:rFonts w:hint="eastAsia"/>
          <w:color w:val="auto"/>
          <w:highlight w:val="none"/>
        </w:rPr>
        <w:t>四、开    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采购代理机构将按照招标文件规定的时间通过“政采云”平台组织线上开标活动、开启投标文件，所有供应商均应当准时在线参加。投标人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（2）电子唱标。投标文件解密结束，各投标供应商报价均在“政采云”平台远程不见面开标大厅展示；</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特别说明：如遇“政采云”平台电子化开标或评审程序调整的，按调整后执行。</w:t>
      </w:r>
    </w:p>
    <w:p>
      <w:pPr>
        <w:pStyle w:val="20"/>
        <w:snapToGrid w:val="0"/>
        <w:spacing w:line="360" w:lineRule="auto"/>
        <w:ind w:left="689" w:leftChars="228" w:hanging="210" w:hangingChars="100"/>
        <w:rPr>
          <w:rFonts w:hAnsi="宋体"/>
          <w:color w:val="auto"/>
          <w:highlight w:val="none"/>
        </w:rPr>
      </w:pPr>
    </w:p>
    <w:p>
      <w:pPr>
        <w:pStyle w:val="5"/>
        <w:keepNext w:val="0"/>
        <w:keepLines w:val="0"/>
        <w:jc w:val="center"/>
        <w:rPr>
          <w:color w:val="auto"/>
          <w:highlight w:val="none"/>
        </w:rPr>
      </w:pPr>
    </w:p>
    <w:p>
      <w:pPr>
        <w:pStyle w:val="5"/>
        <w:keepNext w:val="0"/>
        <w:keepLines w:val="0"/>
        <w:jc w:val="center"/>
        <w:rPr>
          <w:color w:val="auto"/>
          <w:highlight w:val="none"/>
        </w:rPr>
      </w:pPr>
      <w:r>
        <w:rPr>
          <w:rFonts w:hint="eastAsia"/>
          <w:color w:val="auto"/>
          <w:highlight w:val="none"/>
        </w:rPr>
        <w:t>五、资格审查</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spacing w:before="0" w:after="0" w:line="360" w:lineRule="auto"/>
        <w:ind w:firstLine="422" w:firstLineChars="200"/>
        <w:rPr>
          <w:rFonts w:ascii="宋体" w:hAnsi="宋体"/>
          <w:color w:val="auto"/>
          <w:sz w:val="21"/>
          <w:szCs w:val="21"/>
          <w:highlight w:val="none"/>
        </w:rPr>
      </w:pPr>
      <w:r>
        <w:rPr>
          <w:rFonts w:hint="eastAsia" w:ascii="宋体" w:hAnsi="宋体"/>
          <w:color w:val="auto"/>
          <w:sz w:val="21"/>
          <w:szCs w:val="21"/>
          <w:highlight w:val="none"/>
        </w:rPr>
        <w:t>25.3 投标人有下列情形之一的，资格审查不通过，作无效投标处理：</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（1）未按招标文件规定的方式获取本招标文件的投标人；</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（2）不具备招标文件中规定的资格要求的；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）投标文件中的资格证明文件缺少任一项“投标人须知前附表”资格证明文件规定“必须提供”的文件资料的；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6</w:t>
      </w:r>
      <w:r>
        <w:rPr>
          <w:rFonts w:hint="eastAsia" w:hAnsi="宋体"/>
          <w:b/>
          <w:color w:val="auto"/>
          <w:highlight w:val="none"/>
        </w:rPr>
        <w:t>）投标文件中的资格证明文件出现任一项不符合“投标人须知前附表”资格证明文件规定“必须提供”的文件资料要求或者无效的。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20"/>
        <w:snapToGrid w:val="0"/>
        <w:spacing w:line="360" w:lineRule="auto"/>
        <w:ind w:left="689" w:leftChars="228" w:hanging="210" w:hangingChars="100"/>
        <w:rPr>
          <w:rFonts w:hAnsi="宋体"/>
          <w:color w:val="auto"/>
          <w:highlight w:val="none"/>
        </w:rPr>
      </w:pPr>
    </w:p>
    <w:p>
      <w:pPr>
        <w:pStyle w:val="5"/>
        <w:keepNext w:val="0"/>
        <w:keepLines w:val="0"/>
        <w:jc w:val="center"/>
        <w:rPr>
          <w:color w:val="auto"/>
          <w:highlight w:val="none"/>
        </w:rPr>
      </w:pPr>
      <w:r>
        <w:rPr>
          <w:rFonts w:hint="eastAsia"/>
          <w:color w:val="auto"/>
          <w:highlight w:val="none"/>
        </w:rPr>
        <w:t>六、评   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pPr>
        <w:pStyle w:val="20"/>
        <w:snapToGrid w:val="0"/>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评标委员会由采购人代表和评审专家组成，具体人数详见“投标人须知前附表”，其中评审专家不得少于成员总数的三分之二。</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pStyle w:val="20"/>
        <w:snapToGrid w:val="0"/>
        <w:spacing w:line="360" w:lineRule="auto"/>
        <w:ind w:firstLine="420" w:firstLineChars="200"/>
        <w:rPr>
          <w:rFonts w:hAnsi="宋体"/>
          <w:color w:val="auto"/>
          <w:highlight w:val="none"/>
        </w:rPr>
      </w:pPr>
      <w:r>
        <w:rPr>
          <w:rFonts w:hint="eastAsia" w:hAnsi="宋体"/>
          <w:color w:val="auto"/>
          <w:highlight w:val="none"/>
        </w:rPr>
        <w:t>评标委员会以</w:t>
      </w:r>
      <w:r>
        <w:rPr>
          <w:rFonts w:hint="eastAsia" w:hAnsi="宋体" w:cs="宋体"/>
          <w:color w:val="auto"/>
          <w:highlight w:val="none"/>
        </w:rPr>
        <w:t>“第四章 评标方法和评标标准”</w:t>
      </w:r>
      <w:r>
        <w:rPr>
          <w:rFonts w:hint="eastAsia" w:hAnsi="宋体"/>
          <w:color w:val="auto"/>
          <w:highlight w:val="none"/>
        </w:rPr>
        <w:t>为依据对投标文件进行评审，</w:t>
      </w:r>
      <w:r>
        <w:rPr>
          <w:rFonts w:hAnsi="宋体"/>
          <w:color w:val="auto"/>
          <w:highlight w:val="none"/>
        </w:rPr>
        <w:t>没有规定的方法、评审因素和标准，不作为评标依据。</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28.2评委表决。评标委员会成员对需要共同认定的事项存在争议的，应当按照少数服从多数的原则作出结论。</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评标过程的监控。本项目评标过程实行全程录音、录像监控，</w:t>
      </w:r>
      <w:r>
        <w:rPr>
          <w:rFonts w:hint="eastAsia" w:hAnsi="宋体"/>
          <w:b/>
          <w:bCs/>
          <w:color w:val="auto"/>
          <w:highlight w:val="none"/>
        </w:rPr>
        <w:t>投标人在评标过程中所进行的试图影响评标结果的不公正活动，可能导致其投标无效</w:t>
      </w:r>
      <w:r>
        <w:rPr>
          <w:rFonts w:hint="eastAsia" w:hAnsi="宋体"/>
          <w:color w:val="auto"/>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中标候选人推荐数量详见</w:t>
      </w:r>
      <w:r>
        <w:rPr>
          <w:rFonts w:hint="eastAsia" w:hAnsi="宋体"/>
          <w:color w:val="auto"/>
          <w:highlight w:val="none"/>
        </w:rPr>
        <w:t>“投标人须知前附表”。</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w:t>
      </w:r>
      <w:r>
        <w:rPr>
          <w:rFonts w:hint="eastAsia" w:hAnsi="宋体"/>
          <w:color w:val="auto"/>
          <w:highlight w:val="none"/>
        </w:rPr>
        <w:t>3</w:t>
      </w:r>
      <w:r>
        <w:rPr>
          <w:rFonts w:hAnsi="宋体"/>
          <w:color w:val="auto"/>
          <w:highlight w:val="none"/>
        </w:rPr>
        <w:t>评标委员会</w:t>
      </w:r>
      <w:r>
        <w:rPr>
          <w:rFonts w:hint="eastAsia" w:hAnsi="宋体"/>
          <w:color w:val="auto"/>
          <w:highlight w:val="none"/>
        </w:rPr>
        <w:t>将</w:t>
      </w:r>
      <w:r>
        <w:rPr>
          <w:rFonts w:hAnsi="宋体"/>
          <w:color w:val="auto"/>
          <w:highlight w:val="none"/>
        </w:rPr>
        <w:t>按照</w:t>
      </w:r>
      <w:r>
        <w:rPr>
          <w:rFonts w:hint="eastAsia" w:hAnsi="宋体"/>
          <w:color w:val="auto"/>
          <w:highlight w:val="none"/>
        </w:rPr>
        <w:t>“第四章 评标方法和评标标准”</w:t>
      </w:r>
      <w:r>
        <w:rPr>
          <w:rFonts w:hAnsi="宋体"/>
          <w:color w:val="auto"/>
          <w:highlight w:val="none"/>
        </w:rPr>
        <w:t>规定的方法、评审因素、标准和程序对投标文件进行评审。</w:t>
      </w:r>
    </w:p>
    <w:p>
      <w:pPr>
        <w:pStyle w:val="20"/>
        <w:snapToGrid w:val="0"/>
        <w:spacing w:line="360" w:lineRule="auto"/>
        <w:ind w:firstLine="420" w:firstLineChars="200"/>
        <w:rPr>
          <w:rFonts w:hAnsi="宋体"/>
          <w:color w:val="auto"/>
          <w:highlight w:val="none"/>
        </w:rPr>
      </w:pPr>
      <w:r>
        <w:rPr>
          <w:rFonts w:hint="eastAsia" w:hAnsi="宋体"/>
          <w:color w:val="auto"/>
          <w:highlight w:val="none"/>
        </w:rPr>
        <w:t>29.4电子交易活动的中止。采购过程中出现以下情形，导致电子交易平台无法正常运行，或者无法保证电子交易的公平、公正和安全时，采购代理机构可中止电子交易活动：</w:t>
      </w:r>
    </w:p>
    <w:p>
      <w:pPr>
        <w:pStyle w:val="20"/>
        <w:snapToGrid w:val="0"/>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pStyle w:val="20"/>
        <w:snapToGrid w:val="0"/>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pStyle w:val="20"/>
        <w:snapToGrid w:val="0"/>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pStyle w:val="20"/>
        <w:snapToGrid w:val="0"/>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pStyle w:val="20"/>
        <w:snapToGrid w:val="0"/>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pPr>
        <w:pStyle w:val="20"/>
        <w:snapToGrid w:val="0"/>
        <w:spacing w:line="360" w:lineRule="auto"/>
        <w:ind w:firstLine="420" w:firstLineChars="200"/>
        <w:rPr>
          <w:rFonts w:hAnsi="宋体"/>
          <w:color w:val="auto"/>
          <w:highlight w:val="none"/>
        </w:rPr>
      </w:pPr>
      <w:r>
        <w:rPr>
          <w:rFonts w:hint="eastAsia" w:hAnsi="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20"/>
        <w:snapToGrid w:val="0"/>
        <w:spacing w:line="360" w:lineRule="auto"/>
        <w:rPr>
          <w:rFonts w:hAnsi="宋体"/>
          <w:color w:val="auto"/>
          <w:highlight w:val="none"/>
        </w:rPr>
      </w:pPr>
    </w:p>
    <w:p>
      <w:pPr>
        <w:pStyle w:val="5"/>
        <w:keepNext w:val="0"/>
        <w:keepLines w:val="0"/>
        <w:jc w:val="center"/>
        <w:rPr>
          <w:color w:val="auto"/>
          <w:highlight w:val="none"/>
        </w:rPr>
      </w:pPr>
      <w:r>
        <w:rPr>
          <w:rFonts w:hint="eastAsia"/>
          <w:color w:val="auto"/>
          <w:highlight w:val="none"/>
        </w:rPr>
        <w:t>七、中标和合同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7"/>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w:t>
      </w:r>
      <w:r>
        <w:rPr>
          <w:rFonts w:ascii="宋体" w:hAnsi="宋体"/>
          <w:b w:val="0"/>
          <w:color w:val="auto"/>
          <w:sz w:val="21"/>
          <w:szCs w:val="21"/>
          <w:highlight w:val="none"/>
        </w:rPr>
        <w:t>联合体各方应当共同与采购人签订采购合同，就采购合同约定的事项对采购人承担连带责任。</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37.政府采购合同公告</w:t>
      </w:r>
    </w:p>
    <w:p>
      <w:pPr>
        <w:pStyle w:val="20"/>
        <w:snapToGrid w:val="0"/>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采购人或者受托采购代理机构应当自政府采购合同签订之日起2个工作日内，将政府采购合同在省级以上人民政府财政部门指定的媒体上公告，</w:t>
      </w:r>
      <w:r>
        <w:rPr>
          <w:rFonts w:hAnsi="宋体"/>
          <w:color w:val="auto"/>
          <w:highlight w:val="none"/>
        </w:rPr>
        <w:t>但政府采购合同中涉及国家秘密、商业秘密的内容除外。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8"/>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0"/>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）对可以质疑的</w:t>
      </w:r>
      <w:r>
        <w:rPr>
          <w:rFonts w:hint="eastAsia" w:hAnsi="宋体"/>
          <w:color w:val="auto"/>
          <w:highlight w:val="none"/>
        </w:rPr>
        <w:t>招标</w:t>
      </w:r>
      <w:r>
        <w:rPr>
          <w:rFonts w:hAnsi="宋体"/>
          <w:color w:val="auto"/>
          <w:highlight w:val="none"/>
        </w:rPr>
        <w:t>文件提出质疑的，为收到</w:t>
      </w:r>
      <w:r>
        <w:rPr>
          <w:rFonts w:hint="eastAsia" w:hAnsi="宋体"/>
          <w:color w:val="auto"/>
          <w:highlight w:val="none"/>
        </w:rPr>
        <w:t>招标</w:t>
      </w:r>
      <w:r>
        <w:rPr>
          <w:rFonts w:hAnsi="宋体"/>
          <w:color w:val="auto"/>
          <w:highlight w:val="none"/>
        </w:rPr>
        <w:t>文件之日</w:t>
      </w:r>
      <w:r>
        <w:rPr>
          <w:rFonts w:hint="eastAsia" w:hAnsi="宋体"/>
          <w:color w:val="auto"/>
          <w:highlight w:val="none"/>
        </w:rPr>
        <w:t>或者招标文件公告期限届满之日</w:t>
      </w:r>
      <w:r>
        <w:rPr>
          <w:rFonts w:hAnsi="宋体"/>
          <w:color w:val="auto"/>
          <w:highlight w:val="none"/>
        </w:rPr>
        <w:t>；</w:t>
      </w:r>
    </w:p>
    <w:p>
      <w:pPr>
        <w:pStyle w:val="20"/>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）对</w:t>
      </w:r>
      <w:r>
        <w:rPr>
          <w:rFonts w:hint="eastAsia" w:hAnsi="宋体"/>
          <w:color w:val="auto"/>
          <w:highlight w:val="none"/>
        </w:rPr>
        <w:t>采购</w:t>
      </w:r>
      <w:r>
        <w:rPr>
          <w:rFonts w:hAnsi="宋体"/>
          <w:color w:val="auto"/>
          <w:highlight w:val="none"/>
        </w:rPr>
        <w:t>过程提出质疑的，为各采购程序环节结束之日；</w:t>
      </w:r>
    </w:p>
    <w:p>
      <w:pPr>
        <w:pStyle w:val="20"/>
        <w:snapToGrid w:val="0"/>
        <w:spacing w:line="360" w:lineRule="auto"/>
        <w:ind w:firstLine="420" w:firstLineChars="200"/>
        <w:rPr>
          <w:rFonts w:hAnsi="宋体"/>
          <w:bCs/>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）对中标结果提出质疑的，为中标结果公告期限届满之日。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color w:val="auto"/>
          <w:sz w:val="21"/>
          <w:highlight w:val="none"/>
        </w:rPr>
        <w:t>供应商提出质疑应当提交质疑函和必要的证明材料</w:t>
      </w:r>
      <w:r>
        <w:rPr>
          <w:rFonts w:hint="eastAsia" w:hAnsi="宋体"/>
          <w:color w:val="auto"/>
          <w:sz w:val="21"/>
          <w:highlight w:val="none"/>
        </w:rPr>
        <w:t>，</w:t>
      </w:r>
      <w:r>
        <w:rPr>
          <w:rFonts w:hAnsi="宋体"/>
          <w:color w:val="auto"/>
          <w:sz w:val="21"/>
          <w:highlight w:val="none"/>
        </w:rPr>
        <w:t>针对同一采购程序环节的质疑</w:t>
      </w:r>
      <w:r>
        <w:rPr>
          <w:rFonts w:hint="eastAsia" w:hAnsi="宋体"/>
          <w:color w:val="auto"/>
          <w:sz w:val="21"/>
          <w:highlight w:val="none"/>
        </w:rPr>
        <w:t>必须</w:t>
      </w:r>
      <w:r>
        <w:rPr>
          <w:rFonts w:hAnsi="宋体"/>
          <w:color w:val="auto"/>
          <w:sz w:val="21"/>
          <w:highlight w:val="none"/>
        </w:rPr>
        <w:t>在法定质疑期内一次性提出。质疑函应当包括下列内容</w:t>
      </w:r>
      <w:r>
        <w:rPr>
          <w:rFonts w:hint="eastAsia" w:hAnsi="宋体"/>
          <w:color w:val="auto"/>
          <w:sz w:val="21"/>
          <w:highlight w:val="none"/>
        </w:rPr>
        <w:t>（质疑函格式后附）</w:t>
      </w:r>
      <w:r>
        <w:rPr>
          <w:rFonts w:hAnsi="宋体"/>
          <w:color w:val="auto"/>
          <w:sz w:val="21"/>
          <w:highlight w:val="none"/>
        </w:rPr>
        <w:t>：</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pStyle w:val="20"/>
        <w:snapToGrid w:val="0"/>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pStyle w:val="7"/>
        <w:keepNext w:val="0"/>
        <w:keepLines w:val="0"/>
        <w:snapToGrid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38.4</w:t>
      </w:r>
      <w:r>
        <w:rPr>
          <w:rFonts w:hint="eastAsia" w:ascii="宋体" w:hAnsi="宋体"/>
          <w:b w:val="0"/>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0"/>
        <w:snapToGrid w:val="0"/>
        <w:spacing w:line="360" w:lineRule="auto"/>
        <w:rPr>
          <w:rFonts w:hAnsi="宋体"/>
          <w:bCs/>
          <w:color w:val="auto"/>
          <w:highlight w:val="none"/>
        </w:rPr>
      </w:pPr>
      <w:r>
        <w:rPr>
          <w:rFonts w:hint="eastAsia" w:hAnsi="宋体"/>
          <w:bCs/>
          <w:color w:val="auto"/>
          <w:highlight w:val="none"/>
        </w:rPr>
        <w:t>　　（1）对招标文件提出的质疑，依法通过澄清或者修改可以继续开展采购活动的，澄清或者修改招标文件后继续开展采购活动；否则应当修改招标文件后重新开展采购活动。</w:t>
      </w:r>
    </w:p>
    <w:p>
      <w:pPr>
        <w:pStyle w:val="20"/>
        <w:snapToGrid w:val="0"/>
        <w:spacing w:line="360" w:lineRule="auto"/>
        <w:rPr>
          <w:rFonts w:hAnsi="宋体"/>
          <w:bCs/>
          <w:color w:val="auto"/>
          <w:highlight w:val="none"/>
        </w:rPr>
      </w:pPr>
      <w:r>
        <w:rPr>
          <w:rFonts w:hint="eastAsia" w:hAnsi="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pPr>
        <w:pStyle w:val="20"/>
        <w:snapToGrid w:val="0"/>
        <w:spacing w:line="360" w:lineRule="auto"/>
        <w:ind w:firstLine="42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pStyle w:val="20"/>
        <w:snapToGrid w:val="0"/>
        <w:spacing w:line="360" w:lineRule="auto"/>
        <w:ind w:firstLine="420" w:firstLineChars="200"/>
        <w:rPr>
          <w:rFonts w:hAnsi="宋体"/>
          <w:color w:val="auto"/>
          <w:highlight w:val="none"/>
        </w:rPr>
      </w:pPr>
      <w:r>
        <w:rPr>
          <w:rFonts w:hAnsi="宋体"/>
          <w:color w:val="auto"/>
          <w:highlight w:val="none"/>
        </w:rPr>
        <w:t>38</w:t>
      </w:r>
      <w:r>
        <w:rPr>
          <w:rFonts w:hint="eastAsia" w:hAnsi="宋体"/>
          <w:color w:val="auto"/>
          <w:highlight w:val="none"/>
        </w:rPr>
        <w:t>.</w:t>
      </w:r>
      <w:r>
        <w:rPr>
          <w:rFonts w:hAnsi="宋体"/>
          <w:color w:val="auto"/>
          <w:highlight w:val="none"/>
        </w:rPr>
        <w:t>5</w:t>
      </w:r>
      <w:r>
        <w:rPr>
          <w:rFonts w:hint="eastAsia" w:hAnsi="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20"/>
        <w:snapToGrid w:val="0"/>
        <w:spacing w:line="360" w:lineRule="auto"/>
        <w:ind w:firstLine="420" w:firstLineChars="200"/>
        <w:rPr>
          <w:color w:val="auto"/>
          <w:highlight w:val="none"/>
        </w:rPr>
      </w:pPr>
    </w:p>
    <w:p>
      <w:pPr>
        <w:pStyle w:val="5"/>
        <w:keepNext w:val="0"/>
        <w:keepLines w:val="0"/>
        <w:jc w:val="center"/>
        <w:rPr>
          <w:color w:val="auto"/>
          <w:highlight w:val="none"/>
        </w:rPr>
      </w:pPr>
      <w:r>
        <w:rPr>
          <w:rFonts w:hint="eastAsia"/>
          <w:color w:val="auto"/>
          <w:highlight w:val="none"/>
        </w:rPr>
        <w:t>八、其他事项</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20"/>
        <w:snapToGrid w:val="0"/>
        <w:spacing w:line="360" w:lineRule="auto"/>
        <w:ind w:firstLine="420" w:firstLineChars="200"/>
        <w:rPr>
          <w:rFonts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.1代理服务收取标准及缴费账户详见“投标人须知前附表”，投标人为联合体的，可以由联合体中的一方或者多方共同交纳代理服务费。</w:t>
      </w:r>
    </w:p>
    <w:p>
      <w:pPr>
        <w:pStyle w:val="20"/>
        <w:snapToGrid w:val="0"/>
        <w:spacing w:line="360" w:lineRule="auto"/>
        <w:ind w:firstLine="420" w:firstLineChars="200"/>
        <w:rPr>
          <w:rFonts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.2代理服务收费标准：</w:t>
      </w:r>
    </w:p>
    <w:p>
      <w:pPr>
        <w:pStyle w:val="20"/>
        <w:snapToGrid w:val="0"/>
        <w:spacing w:line="360" w:lineRule="auto"/>
        <w:ind w:firstLine="420" w:firstLineChars="200"/>
        <w:rPr>
          <w:rFonts w:hAnsi="宋体"/>
          <w:color w:val="auto"/>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20"/>
        <w:snapToGrid w:val="0"/>
        <w:spacing w:line="360" w:lineRule="auto"/>
        <w:ind w:firstLine="420" w:firstLineChars="200"/>
        <w:rPr>
          <w:rFonts w:hAnsi="宋体" w:cs="宋体"/>
          <w:color w:val="auto"/>
          <w:highlight w:val="none"/>
        </w:rPr>
      </w:pPr>
      <w:r>
        <w:rPr>
          <w:rFonts w:hAnsi="宋体" w:cs="宋体"/>
          <w:color w:val="auto"/>
          <w:highlight w:val="none"/>
        </w:rPr>
        <w:t>合计收费＝ 1.5</w:t>
      </w:r>
      <w:r>
        <w:rPr>
          <w:rFonts w:hint="eastAsia" w:hAnsi="宋体" w:cs="宋体"/>
          <w:color w:val="auto"/>
          <w:highlight w:val="none"/>
        </w:rPr>
        <w:t>+</w:t>
      </w:r>
      <w:r>
        <w:rPr>
          <w:rFonts w:hAnsi="宋体" w:cs="宋体"/>
          <w:color w:val="auto"/>
          <w:highlight w:val="none"/>
        </w:rPr>
        <w:t>0.8＝ 2.3（万元）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广西北部湾宏亚建设管理有限公司南宁分公司</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广西北部湾银行南宁市秀灵支行</w:t>
      </w:r>
    </w:p>
    <w:p>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805011663788888</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40.1本招标文件解释规则详见“投标人须知前附表”。</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40.2 其他事项详见“投标人须知前附表”。</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（1）在货物采购项目中，货物由中小企业制造，即货物由中小企业生产且使用该中小企业商号或者注册商标，不对其中涉及的工程承建商和服务的承接商作出要求；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（2）在工程采购项目中，工程由中小企业承建，即工程施工单位为中小企业，不对其中涉及的货物的制造商和服务的承接商作出要求；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依据本招标文件规定享受扶持政策获得政府采购合同的，小微企业不得将合同分包给大中型企业，中型企业不得将合同分包给大型企业。</w:t>
      </w:r>
    </w:p>
    <w:p>
      <w:pPr>
        <w:spacing w:line="360" w:lineRule="auto"/>
        <w:ind w:firstLine="420" w:firstLineChars="200"/>
        <w:jc w:val="left"/>
        <w:rPr>
          <w:rFonts w:hAnsi="宋体"/>
          <w:color w:val="auto"/>
          <w:highlight w:val="none"/>
        </w:rPr>
      </w:pPr>
      <w:r>
        <w:rPr>
          <w:rFonts w:hAnsi="宋体"/>
          <w:color w:val="auto"/>
          <w:highlight w:val="none"/>
        </w:rPr>
        <w:br w:type="page"/>
      </w:r>
      <w:bookmarkStart w:id="59" w:name="_Toc532545043"/>
    </w:p>
    <w:p>
      <w:pPr>
        <w:pStyle w:val="20"/>
        <w:jc w:val="center"/>
        <w:outlineLvl w:val="0"/>
        <w:rPr>
          <w:rFonts w:ascii="Times New Roman" w:hAnsi="Times New Roman"/>
          <w:b/>
          <w:color w:val="auto"/>
          <w:sz w:val="36"/>
          <w:highlight w:val="none"/>
        </w:rPr>
      </w:pPr>
      <w:bookmarkStart w:id="60" w:name="_Toc8009300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59"/>
      <w:r>
        <w:rPr>
          <w:rFonts w:hint="eastAsia" w:ascii="Times New Roman" w:hAnsi="Times New Roman"/>
          <w:b/>
          <w:color w:val="auto"/>
          <w:sz w:val="36"/>
          <w:highlight w:val="none"/>
        </w:rPr>
        <w:t>及评分标准</w:t>
      </w:r>
      <w:bookmarkEnd w:id="60"/>
    </w:p>
    <w:p>
      <w:pPr>
        <w:pStyle w:val="5"/>
        <w:keepNext w:val="0"/>
        <w:keepLines w:val="0"/>
        <w:ind w:firstLine="602"/>
        <w:jc w:val="center"/>
        <w:rPr>
          <w:color w:val="auto"/>
          <w:sz w:val="30"/>
          <w:szCs w:val="30"/>
          <w:highlight w:val="none"/>
        </w:rPr>
      </w:pPr>
      <w:bookmarkStart w:id="61" w:name="_Toc80093006"/>
      <w:r>
        <w:rPr>
          <w:rFonts w:hint="eastAsia"/>
          <w:color w:val="auto"/>
          <w:sz w:val="30"/>
          <w:szCs w:val="30"/>
          <w:highlight w:val="none"/>
        </w:rPr>
        <w:t>一、评标方法</w:t>
      </w:r>
    </w:p>
    <w:p>
      <w:pPr>
        <w:pStyle w:val="20"/>
        <w:spacing w:line="360" w:lineRule="auto"/>
        <w:ind w:firstLine="420"/>
        <w:rPr>
          <w:rFonts w:hAnsi="宋体"/>
          <w:color w:val="auto"/>
          <w:highlight w:val="none"/>
        </w:rPr>
      </w:pPr>
      <w:r>
        <w:rPr>
          <w:rFonts w:hint="eastAsia" w:hAnsi="宋体"/>
          <w:color w:val="auto"/>
          <w:szCs w:val="21"/>
          <w:highlight w:val="none"/>
        </w:rPr>
        <w:t>☑</w:t>
      </w:r>
      <w:r>
        <w:rPr>
          <w:rFonts w:hint="eastAsia" w:hAnsi="宋体"/>
          <w:color w:val="auto"/>
          <w:highlight w:val="none"/>
        </w:rPr>
        <w:t>综合评分法，是指投标文件满足招标文件全部实质性要求，且按照评审因素的量化指标评审得分最高的投标人为中标候选人的评标方法。</w:t>
      </w:r>
    </w:p>
    <w:p>
      <w:pPr>
        <w:pStyle w:val="20"/>
        <w:spacing w:line="360" w:lineRule="auto"/>
        <w:ind w:firstLine="420"/>
        <w:rPr>
          <w:rFonts w:hAnsi="宋体"/>
          <w:color w:val="auto"/>
          <w:highlight w:val="none"/>
        </w:rPr>
      </w:pPr>
      <w:r>
        <w:rPr>
          <w:rFonts w:hint="eastAsia" w:hAnsi="宋体"/>
          <w:color w:val="auto"/>
          <w:szCs w:val="21"/>
          <w:highlight w:val="none"/>
        </w:rPr>
        <w:t>□</w:t>
      </w:r>
      <w:r>
        <w:rPr>
          <w:rFonts w:hint="eastAsia" w:hAnsi="宋体"/>
          <w:color w:val="auto"/>
          <w:highlight w:val="none"/>
        </w:rPr>
        <w:t>最低评标价法，是指投标文件满足招标文件全部实质性要求，且投标报价最低的投标人为中标候选人的评标方法。</w:t>
      </w:r>
    </w:p>
    <w:p>
      <w:pPr>
        <w:pStyle w:val="5"/>
        <w:keepNext w:val="0"/>
        <w:keepLines w:val="0"/>
        <w:ind w:firstLine="602"/>
        <w:jc w:val="center"/>
        <w:rPr>
          <w:color w:val="auto"/>
          <w:sz w:val="30"/>
          <w:szCs w:val="30"/>
          <w:highlight w:val="none"/>
        </w:rPr>
      </w:pPr>
      <w:r>
        <w:rPr>
          <w:rFonts w:hint="eastAsia"/>
          <w:color w:val="auto"/>
          <w:sz w:val="30"/>
          <w:szCs w:val="30"/>
          <w:highlight w:val="none"/>
        </w:rPr>
        <w:t>二、评标程序</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pPr>
        <w:pStyle w:val="20"/>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（1）技术要求评审允许负偏离的条款数超过“投标人须知前附表”规定项数的；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（2）投标文件未提供“投标人须知前附表”第13.</w:t>
      </w:r>
      <w:r>
        <w:rPr>
          <w:rFonts w:hAnsi="宋体"/>
          <w:b/>
          <w:color w:val="auto"/>
          <w:sz w:val="21"/>
          <w:szCs w:val="21"/>
          <w:highlight w:val="none"/>
        </w:rPr>
        <w:t>1</w:t>
      </w:r>
      <w:r>
        <w:rPr>
          <w:rFonts w:hint="eastAsia" w:hAnsi="宋体"/>
          <w:b/>
          <w:color w:val="auto"/>
          <w:sz w:val="21"/>
          <w:szCs w:val="21"/>
          <w:highlight w:val="none"/>
        </w:rPr>
        <w:t>条规定中“必须提供”的文件资料的；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（3）虚假投标，或者出现其他情形而导致被评标委员会认定无效的；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（4）</w:t>
      </w:r>
      <w:bookmarkStart w:id="62" w:name="_Hlk71706244"/>
      <w:r>
        <w:rPr>
          <w:rFonts w:hint="eastAsia" w:hAnsi="宋体"/>
          <w:b/>
          <w:color w:val="auto"/>
          <w:sz w:val="21"/>
          <w:szCs w:val="21"/>
          <w:highlight w:val="none"/>
        </w:rPr>
        <w:t>招标文件未载明允许提供备选（替代）投标方案或明确不允许提供备选（替代）投标方案时，投标人提供了备选（替代）投标方案的；</w:t>
      </w:r>
      <w:bookmarkEnd w:id="62"/>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（5）未响应招标文件实质性要求的。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2.4通过符合性审查的投标人不足3家，评标委员会不得继续评标，并出具评标报告。</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20"/>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20"/>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pPr>
        <w:pStyle w:val="7"/>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4"/>
        <w:rPr>
          <w:color w:val="auto"/>
          <w:highlight w:val="none"/>
        </w:rPr>
      </w:pPr>
    </w:p>
    <w:p>
      <w:pPr>
        <w:pStyle w:val="4"/>
        <w:rPr>
          <w:color w:val="auto"/>
          <w:highlight w:val="none"/>
        </w:rPr>
      </w:pPr>
    </w:p>
    <w:bookmarkEnd w:id="61"/>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三 评分标准</w:t>
      </w: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综合评分法（适用于标项一）</w:t>
      </w:r>
    </w:p>
    <w:tbl>
      <w:tblPr>
        <w:tblStyle w:val="3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20"/>
        <w:gridCol w:w="157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gridSpan w:val="2"/>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57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02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320"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价格分</w:t>
            </w:r>
          </w:p>
          <w:p>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rPr>
              <w:t>50</w:t>
            </w:r>
            <w:r>
              <w:rPr>
                <w:rFonts w:hint="eastAsia" w:ascii="宋体" w:hAnsi="宋体"/>
                <w:color w:val="auto"/>
                <w:szCs w:val="21"/>
                <w:highlight w:val="none"/>
              </w:rPr>
              <w:t>分）</w:t>
            </w:r>
          </w:p>
          <w:p>
            <w:pPr>
              <w:adjustRightInd w:val="0"/>
              <w:spacing w:line="360" w:lineRule="auto"/>
              <w:jc w:val="left"/>
              <w:textAlignment w:val="baseline"/>
              <w:rPr>
                <w:rFonts w:ascii="宋体" w:hAnsi="宋体"/>
                <w:strike/>
                <w:color w:val="auto"/>
                <w:szCs w:val="21"/>
                <w:highlight w:val="none"/>
              </w:rPr>
            </w:pPr>
          </w:p>
        </w:tc>
        <w:tc>
          <w:tcPr>
            <w:tcW w:w="1578"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028" w:type="dxa"/>
            <w:vAlign w:val="center"/>
          </w:tcPr>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（2）政策性扣除计算方法。</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（6）价格分计算公式：价格分＝（评标基准价／评标报价）×50分。</w:t>
            </w:r>
          </w:p>
          <w:p>
            <w:pPr>
              <w:pStyle w:val="20"/>
              <w:spacing w:line="360" w:lineRule="auto"/>
              <w:ind w:firstLine="234" w:firstLineChars="111"/>
              <w:rPr>
                <w:rFonts w:hAnsi="宋体" w:cs="Courier New"/>
                <w:bCs/>
                <w:color w:val="auto"/>
                <w:highlight w:val="none"/>
              </w:rPr>
            </w:pPr>
            <w:r>
              <w:rPr>
                <w:rFonts w:hint="eastAsia" w:hAnsi="宋体"/>
                <w:b/>
                <w:color w:val="auto"/>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320" w:type="dxa"/>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bCs/>
                <w:color w:val="auto"/>
                <w:szCs w:val="21"/>
                <w:highlight w:val="none"/>
              </w:rPr>
              <w:t>分）</w:t>
            </w: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color w:val="auto"/>
                <w:szCs w:val="21"/>
                <w:highlight w:val="none"/>
              </w:rPr>
              <w:t>分）</w:t>
            </w:r>
          </w:p>
        </w:tc>
        <w:tc>
          <w:tcPr>
            <w:tcW w:w="6028" w:type="dxa"/>
            <w:vAlign w:val="center"/>
          </w:tcPr>
          <w:p>
            <w:pPr>
              <w:rPr>
                <w:rFonts w:ascii="宋体" w:hAnsi="宋体" w:cs="宋体"/>
                <w:color w:val="auto"/>
                <w:szCs w:val="21"/>
                <w:highlight w:val="none"/>
              </w:rPr>
            </w:pPr>
            <w:r>
              <w:rPr>
                <w:rFonts w:hint="eastAsia" w:ascii="宋体" w:hAnsi="宋体" w:cs="宋体"/>
                <w:color w:val="auto"/>
                <w:szCs w:val="21"/>
                <w:highlight w:val="none"/>
              </w:rPr>
              <w:t>根据投标文件所提供产品的参数和技术的响应情况评审综合打分: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一、基本分（满分</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pPr>
              <w:pStyle w:val="25"/>
              <w:spacing w:line="360" w:lineRule="auto"/>
              <w:rPr>
                <w:rFonts w:ascii="宋体" w:hAnsi="宋体" w:cs="宋体"/>
                <w:color w:val="0000FF"/>
                <w:sz w:val="21"/>
                <w:szCs w:val="21"/>
                <w:highlight w:val="none"/>
              </w:rPr>
            </w:pPr>
            <w:r>
              <w:rPr>
                <w:rFonts w:hint="eastAsia" w:ascii="宋体" w:hAnsi="宋体" w:cs="宋体"/>
                <w:color w:val="auto"/>
                <w:sz w:val="21"/>
                <w:szCs w:val="21"/>
                <w:highlight w:val="none"/>
              </w:rPr>
              <w:t>技术参数完全满足招标文件要求，无负偏离，得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r>
              <w:rPr>
                <w:rFonts w:hint="eastAsia" w:ascii="宋体" w:hAnsi="宋体"/>
                <w:bCs/>
                <w:color w:val="0000FF"/>
                <w:sz w:val="21"/>
                <w:szCs w:val="21"/>
                <w:highlight w:val="none"/>
              </w:rPr>
              <w:t>未标注“▲”参数不满足招标文件要求的一项扣</w:t>
            </w:r>
            <w:r>
              <w:rPr>
                <w:rFonts w:hint="eastAsia" w:ascii="宋体" w:hAnsi="宋体"/>
                <w:bCs/>
                <w:color w:val="0000FF"/>
                <w:sz w:val="21"/>
                <w:szCs w:val="21"/>
                <w:highlight w:val="none"/>
                <w:lang w:val="en-US" w:eastAsia="zh-CN"/>
              </w:rPr>
              <w:t>1</w:t>
            </w:r>
            <w:r>
              <w:rPr>
                <w:rFonts w:hint="eastAsia" w:ascii="宋体" w:hAnsi="宋体"/>
                <w:bCs/>
                <w:color w:val="0000FF"/>
                <w:sz w:val="21"/>
                <w:szCs w:val="21"/>
                <w:highlight w:val="none"/>
              </w:rPr>
              <w:t>分</w:t>
            </w:r>
            <w:r>
              <w:rPr>
                <w:rFonts w:hint="eastAsia" w:ascii="宋体" w:hAnsi="宋体"/>
                <w:bCs/>
                <w:color w:val="0000FF"/>
                <w:szCs w:val="21"/>
                <w:highlight w:val="none"/>
              </w:rPr>
              <w:t>。</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二、设备性能分（满分2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投标人所投产品标注“▲”技术参数及配置优于招标文件且评标时被评标委员会接受的，每提升一项加1分（同样内容的证明材料不能累计加分）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w:t>
            </w:r>
            <w:r>
              <w:rPr>
                <w:rFonts w:hint="eastAsia" w:ascii="宋体" w:hAnsi="宋体"/>
                <w:color w:val="auto"/>
                <w:szCs w:val="21"/>
                <w:highlight w:val="none"/>
                <w:lang w:eastAsia="zh-CN"/>
              </w:rPr>
              <w:t>标注：</w:t>
            </w:r>
            <w:r>
              <w:rPr>
                <w:rFonts w:hint="eastAsia" w:ascii="宋体" w:hAnsi="宋体"/>
                <w:color w:val="0000FF"/>
                <w:szCs w:val="21"/>
                <w:highlight w:val="none"/>
                <w:lang w:eastAsia="zh-CN"/>
              </w:rPr>
              <w:t>“</w:t>
            </w:r>
            <w:r>
              <w:rPr>
                <w:rFonts w:hint="eastAsia" w:ascii="宋体" w:hAnsi="宋体"/>
                <w:color w:val="0000FF"/>
                <w:szCs w:val="21"/>
                <w:highlight w:val="none"/>
                <w:lang w:val="en-US" w:eastAsia="zh-CN"/>
              </w:rPr>
              <w:t>#</w:t>
            </w:r>
            <w:r>
              <w:rPr>
                <w:rFonts w:hint="eastAsia" w:ascii="宋体" w:hAnsi="宋体"/>
                <w:color w:val="0000FF"/>
                <w:szCs w:val="21"/>
                <w:highlight w:val="none"/>
                <w:lang w:eastAsia="zh-CN"/>
              </w:rPr>
              <w:t>”且满足技术参数及要求且被</w:t>
            </w:r>
            <w:r>
              <w:rPr>
                <w:rFonts w:hint="eastAsia" w:ascii="宋体" w:hAnsi="宋体"/>
                <w:color w:val="0000FF"/>
                <w:szCs w:val="21"/>
                <w:highlight w:val="none"/>
              </w:rPr>
              <w:t>评标委员会接受的，</w:t>
            </w:r>
            <w:r>
              <w:rPr>
                <w:rFonts w:hint="eastAsia" w:ascii="宋体" w:hAnsi="宋体"/>
                <w:color w:val="0000FF"/>
                <w:szCs w:val="21"/>
                <w:highlight w:val="none"/>
                <w:lang w:eastAsia="zh-CN"/>
              </w:rPr>
              <w:t>优于招标文件要求得</w:t>
            </w:r>
            <w:r>
              <w:rPr>
                <w:rFonts w:hint="eastAsia" w:ascii="宋体" w:hAnsi="宋体"/>
                <w:color w:val="0000FF"/>
                <w:szCs w:val="21"/>
                <w:highlight w:val="none"/>
                <w:lang w:val="en-US" w:eastAsia="zh-CN"/>
              </w:rPr>
              <w:t>1</w:t>
            </w:r>
            <w:r>
              <w:rPr>
                <w:rFonts w:hint="eastAsia" w:ascii="宋体" w:hAnsi="宋体"/>
                <w:color w:val="0000FF"/>
                <w:szCs w:val="21"/>
                <w:highlight w:val="none"/>
                <w:lang w:eastAsia="zh-CN"/>
              </w:rPr>
              <w:t>分</w:t>
            </w:r>
            <w:r>
              <w:rPr>
                <w:rFonts w:hint="eastAsia" w:ascii="宋体" w:hAnsi="宋体"/>
                <w:color w:val="auto"/>
                <w:szCs w:val="21"/>
                <w:highlight w:val="none"/>
              </w:rPr>
              <w:t>，（同样内容的证明材料不能累计加分）</w:t>
            </w:r>
          </w:p>
          <w:p>
            <w:pPr>
              <w:widowControl/>
              <w:ind w:firstLine="420" w:firstLineChars="200"/>
              <w:jc w:val="left"/>
              <w:textAlignment w:val="center"/>
              <w:rPr>
                <w:rFonts w:ascii="Calibri" w:hAnsi="宋体"/>
                <w:b/>
                <w:color w:val="auto"/>
                <w:spacing w:val="-4"/>
                <w:szCs w:val="21"/>
                <w:highlight w:val="none"/>
              </w:rPr>
            </w:pPr>
            <w:r>
              <w:rPr>
                <w:rFonts w:hint="eastAsia" w:ascii="宋体" w:hAnsi="宋体"/>
                <w:color w:val="auto"/>
                <w:szCs w:val="21"/>
                <w:highlight w:val="none"/>
              </w:rPr>
              <w:t>以上两项共计满分2</w:t>
            </w:r>
            <w:r>
              <w:rPr>
                <w:rFonts w:hint="eastAsia" w:ascii="宋体" w:hAnsi="宋体"/>
                <w:color w:val="auto"/>
                <w:szCs w:val="21"/>
                <w:highlight w:val="none"/>
                <w:lang w:val="en-US" w:eastAsia="zh-CN"/>
              </w:rPr>
              <w:t>5</w:t>
            </w:r>
            <w:r>
              <w:rPr>
                <w:rFonts w:hint="eastAsia" w:ascii="宋体" w:hAnsi="宋体"/>
                <w:color w:val="auto"/>
                <w:szCs w:val="21"/>
                <w:highlight w:val="none"/>
              </w:rPr>
              <w:t>分（投标人需在投标文件中提供第三方检测报告或厂家产品彩页复印件或相关产品截图证明的证明材料并加盖投标人公章，否则不得分）。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320"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bCs/>
                <w:color w:val="auto"/>
                <w:szCs w:val="21"/>
                <w:highlight w:val="none"/>
              </w:rPr>
              <w:t>商务</w:t>
            </w:r>
            <w:r>
              <w:rPr>
                <w:rFonts w:hint="eastAsia" w:ascii="宋体" w:hAnsi="宋体"/>
                <w:b/>
                <w:color w:val="auto"/>
                <w:szCs w:val="21"/>
                <w:highlight w:val="none"/>
              </w:rPr>
              <w:t>分</w:t>
            </w:r>
          </w:p>
          <w:p>
            <w:pPr>
              <w:pStyle w:val="25"/>
              <w:rPr>
                <w:color w:val="auto"/>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20</w:t>
            </w:r>
            <w:r>
              <w:rPr>
                <w:rFonts w:hint="eastAsia" w:ascii="宋体" w:hAnsi="宋体"/>
                <w:bCs/>
                <w:color w:val="auto"/>
                <w:szCs w:val="21"/>
                <w:highlight w:val="none"/>
              </w:rPr>
              <w:t>分）</w:t>
            </w: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售后服务分（满分</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6028" w:type="dxa"/>
            <w:vAlign w:val="center"/>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评标委员会根据投标人提供的售后服务承诺书的内容，综合评定其档次并在相应档次内打分，未提供不得分。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一档（1分）：售后服务承诺书内容的完整、方案一般，免费保修期限满足招标文件要求，提供故障出现的解决方案、到达故障现场时间满足招标文件要求，免费技术培训方案满足招标文件要求、提供保修期外维修方案，综合评定为一般，进入一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二档（2分）：售后服务承诺书内容的完整、方案可行，免费保修期限满足招标文件要求，提供故障出现的解决方案、到达故障现场时间满足招标文件要求，免费技术培训方案满足招标文件要求、提供保修期外维修方案，综合评定为一般，进入二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三档（3分）：售后服务承诺书内容的完整、方案可行，免费保修期限满足招标文件要求、具有本地化服务能力（提供本地化服务相关证明文件或承诺中标后提供本地化服务，提供的本地化服务方案评定为良好），到达故障现场时间优于招标文件要求，免费技术培训方案优于招标文件要求，明确巡检安排以及定期保养维护方案，提供明确的保养优惠措施，提供保修期外维修方案，综合评定为良好，进入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业绩分（满分5分）</w:t>
            </w:r>
          </w:p>
        </w:tc>
        <w:tc>
          <w:tcPr>
            <w:tcW w:w="6028" w:type="dxa"/>
          </w:tcPr>
          <w:p>
            <w:pPr>
              <w:pStyle w:val="25"/>
              <w:spacing w:line="360" w:lineRule="auto"/>
              <w:rPr>
                <w:rFonts w:hAnsi="宋体" w:cs="Courier New"/>
                <w:bCs/>
                <w:color w:val="auto"/>
                <w:sz w:val="21"/>
                <w:szCs w:val="24"/>
                <w:highlight w:val="none"/>
              </w:rPr>
            </w:pPr>
            <w:r>
              <w:rPr>
                <w:rFonts w:hint="eastAsia" w:ascii="宋体" w:hAnsi="宋体" w:cs="宋体"/>
                <w:color w:val="auto"/>
                <w:sz w:val="21"/>
                <w:szCs w:val="21"/>
                <w:highlight w:val="none"/>
              </w:rPr>
              <w:t>提供近三年（2019年以来）完成类似项目业绩合同，每提交一个得1分，最高得标准分，未提供不得分。合同内容至少包含合同首尾页、金额页、签字盖章页和项目验收报告。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信誉分（满分10分）</w:t>
            </w:r>
          </w:p>
        </w:tc>
        <w:tc>
          <w:tcPr>
            <w:tcW w:w="6028" w:type="dxa"/>
          </w:tcPr>
          <w:p>
            <w:pPr>
              <w:widowControl/>
              <w:spacing w:line="400" w:lineRule="exact"/>
              <w:rPr>
                <w:rFonts w:hAnsi="宋体" w:cs="Courier New"/>
                <w:bCs/>
                <w:color w:val="auto"/>
                <w:highlight w:val="none"/>
              </w:rPr>
            </w:pPr>
            <w:r>
              <w:rPr>
                <w:rFonts w:hint="eastAsia" w:ascii="宋体" w:hAnsi="宋体" w:cs="仿宋_GB2312"/>
                <w:color w:val="auto"/>
                <w:highlight w:val="none"/>
              </w:rPr>
              <w:t>投标人所投设备生产厂商拥有</w:t>
            </w:r>
            <w:r>
              <w:rPr>
                <w:rFonts w:hint="eastAsia" w:ascii="宋体" w:hAnsi="宋体" w:cs="宋体"/>
                <w:color w:val="auto"/>
                <w:szCs w:val="21"/>
                <w:highlight w:val="none"/>
              </w:rPr>
              <w:t>超清4K虚拟软件著作权、高清视频编辑著作权、超清虚拟控制系统软件著作权、媒资管理著作权、</w:t>
            </w:r>
            <w:r>
              <w:rPr>
                <w:rFonts w:hint="eastAsia"/>
                <w:color w:val="auto"/>
                <w:highlight w:val="none"/>
              </w:rPr>
              <w:t>图文在线包装著作权、所投交换机产品荣获中央电教馆颁发的“数字校园综合解决方案”证书 、所投交换机需具备中国质量认证中心颁发的CCC认证证书、所投交换机厂商提供公安部准许的计算机信息系统安全专用产品，并提供销售许可证、为保证交换机产品软件成熟度，设备生产厂商需具备CMMI5级证书、 为保障产品后期服务质量，设备生产制造商需具备GB/T27922-2011售后服务认证证书，且达到“五星级”；</w:t>
            </w:r>
            <w:r>
              <w:rPr>
                <w:rFonts w:hint="eastAsia" w:ascii="宋体" w:hAnsi="宋体"/>
                <w:color w:val="auto"/>
                <w:szCs w:val="21"/>
                <w:highlight w:val="none"/>
              </w:rPr>
              <w:t>每有一项得1分，</w:t>
            </w:r>
            <w:r>
              <w:rPr>
                <w:rFonts w:hint="eastAsia" w:ascii="宋体" w:hAnsi="宋体" w:cs="Courier New"/>
                <w:color w:val="auto"/>
                <w:szCs w:val="21"/>
                <w:highlight w:val="none"/>
              </w:rPr>
              <w:t>满分10分</w:t>
            </w:r>
            <w:r>
              <w:rPr>
                <w:rFonts w:hint="eastAsia" w:ascii="宋体" w:hAnsi="宋体"/>
                <w:color w:val="auto"/>
                <w:szCs w:val="21"/>
                <w:highlight w:val="none"/>
              </w:rPr>
              <w:t>（投标文件中提供证书复印件）</w:t>
            </w:r>
            <w:r>
              <w:rPr>
                <w:rFonts w:hint="eastAsia" w:ascii="宋体" w:hAnsi="宋体" w:cs="Courier New"/>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Borders>
              <w:bottom w:val="single" w:color="auto" w:sz="4" w:space="0"/>
            </w:tcBorders>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color w:val="auto"/>
                <w:highlight w:val="none"/>
              </w:rPr>
              <w:t>备品备件</w:t>
            </w:r>
            <w:r>
              <w:rPr>
                <w:rFonts w:hint="eastAsia" w:ascii="宋体" w:hAnsi="宋体"/>
                <w:bCs/>
                <w:color w:val="auto"/>
                <w:szCs w:val="21"/>
                <w:highlight w:val="none"/>
              </w:rPr>
              <w:t>（满分</w:t>
            </w:r>
            <w:r>
              <w:rPr>
                <w:rFonts w:hint="eastAsia" w:ascii="宋体" w:hAnsi="宋体"/>
                <w:bCs/>
                <w:color w:val="auto"/>
                <w:szCs w:val="21"/>
                <w:highlight w:val="none"/>
                <w:u w:val="single"/>
              </w:rPr>
              <w:t>2</w:t>
            </w:r>
            <w:r>
              <w:rPr>
                <w:rFonts w:hint="eastAsia" w:ascii="宋体" w:hAnsi="宋体"/>
                <w:bCs/>
                <w:color w:val="auto"/>
                <w:szCs w:val="21"/>
                <w:highlight w:val="none"/>
              </w:rPr>
              <w:t>分）</w:t>
            </w:r>
          </w:p>
        </w:tc>
        <w:tc>
          <w:tcPr>
            <w:tcW w:w="6028" w:type="dxa"/>
          </w:tcPr>
          <w:p>
            <w:pPr>
              <w:pStyle w:val="20"/>
              <w:spacing w:line="360" w:lineRule="auto"/>
              <w:rPr>
                <w:rFonts w:hAnsi="宋体" w:cs="Courier New"/>
                <w:color w:val="auto"/>
                <w:highlight w:val="none"/>
              </w:rPr>
            </w:pPr>
            <w:r>
              <w:rPr>
                <w:rFonts w:hint="eastAsia" w:hAnsi="宋体" w:cs="宋体"/>
                <w:color w:val="auto"/>
                <w:szCs w:val="21"/>
                <w:highlight w:val="none"/>
              </w:rPr>
              <w:t>横向比较各投标人提供的备品备件方案，至少包括:货物的优惠程度、质量保证、应急保障等方面。</w:t>
            </w:r>
            <w:r>
              <w:rPr>
                <w:rFonts w:hint="eastAsia" w:hAnsi="宋体" w:cs="宋体"/>
                <w:color w:val="0000FF"/>
                <w:szCs w:val="21"/>
                <w:highlight w:val="none"/>
              </w:rPr>
              <w:t>优秀得2分，良好得1</w:t>
            </w:r>
            <w:r>
              <w:rPr>
                <w:rFonts w:hint="eastAsia" w:hAnsi="宋体" w:cs="宋体"/>
                <w:color w:val="0000FF"/>
                <w:szCs w:val="21"/>
                <w:highlight w:val="none"/>
                <w:lang w:val="en-US" w:eastAsia="zh-CN"/>
              </w:rPr>
              <w:t>.5</w:t>
            </w:r>
            <w:r>
              <w:rPr>
                <w:rFonts w:hint="eastAsia" w:hAnsi="宋体" w:cs="宋体"/>
                <w:color w:val="0000FF"/>
                <w:szCs w:val="21"/>
                <w:highlight w:val="none"/>
              </w:rPr>
              <w:t>分，一般得</w:t>
            </w:r>
            <w:r>
              <w:rPr>
                <w:rFonts w:hint="eastAsia" w:hAnsi="宋体" w:cs="宋体"/>
                <w:color w:val="0000FF"/>
                <w:szCs w:val="21"/>
                <w:highlight w:val="none"/>
                <w:lang w:val="en-US" w:eastAsia="zh-CN"/>
              </w:rPr>
              <w:t>1</w:t>
            </w:r>
            <w:r>
              <w:rPr>
                <w:rFonts w:hint="eastAsia" w:hAnsi="宋体" w:cs="宋体"/>
                <w:color w:val="0000FF"/>
                <w:szCs w:val="21"/>
                <w:highlight w:val="none"/>
              </w:rPr>
              <w:t>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0"/>
              <w:spacing w:line="360" w:lineRule="auto"/>
              <w:ind w:firstLine="420"/>
              <w:rPr>
                <w:rFonts w:hAnsi="宋体" w:cs="Courier New"/>
                <w:bCs/>
                <w:color w:val="auto"/>
                <w:highlight w:val="none"/>
              </w:rPr>
            </w:pPr>
            <w:r>
              <w:rPr>
                <w:rFonts w:hint="eastAsia" w:hAnsi="宋体" w:cs="Courier New"/>
                <w:b/>
                <w:bCs/>
                <w:color w:val="auto"/>
                <w:highlight w:val="none"/>
              </w:rPr>
              <w:t>总得分=1+2+3。</w:t>
            </w:r>
          </w:p>
        </w:tc>
      </w:tr>
    </w:tbl>
    <w:p>
      <w:pPr>
        <w:pStyle w:val="11"/>
        <w:rPr>
          <w:color w:val="auto"/>
          <w:highlight w:val="none"/>
        </w:rPr>
      </w:pPr>
    </w:p>
    <w:p>
      <w:pPr>
        <w:rPr>
          <w:color w:val="auto"/>
          <w:highlight w:val="none"/>
        </w:rPr>
      </w:pPr>
    </w:p>
    <w:p>
      <w:pPr>
        <w:rPr>
          <w:color w:val="auto"/>
          <w:highlight w:val="none"/>
        </w:rPr>
      </w:pPr>
    </w:p>
    <w:p>
      <w:pPr>
        <w:pStyle w:val="16"/>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综合评分法（适用于标项二）</w:t>
      </w:r>
    </w:p>
    <w:tbl>
      <w:tblPr>
        <w:tblStyle w:val="3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20"/>
        <w:gridCol w:w="157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gridSpan w:val="2"/>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57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02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320"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价格分</w:t>
            </w:r>
          </w:p>
          <w:p>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rPr>
              <w:t>50</w:t>
            </w:r>
            <w:r>
              <w:rPr>
                <w:rFonts w:hint="eastAsia" w:ascii="宋体" w:hAnsi="宋体"/>
                <w:color w:val="auto"/>
                <w:szCs w:val="21"/>
                <w:highlight w:val="none"/>
              </w:rPr>
              <w:t>分）</w:t>
            </w:r>
          </w:p>
          <w:p>
            <w:pPr>
              <w:adjustRightInd w:val="0"/>
              <w:spacing w:line="360" w:lineRule="auto"/>
              <w:jc w:val="left"/>
              <w:textAlignment w:val="baseline"/>
              <w:rPr>
                <w:rFonts w:ascii="宋体" w:hAnsi="宋体"/>
                <w:strike/>
                <w:color w:val="auto"/>
                <w:szCs w:val="21"/>
                <w:highlight w:val="none"/>
              </w:rPr>
            </w:pPr>
          </w:p>
        </w:tc>
        <w:tc>
          <w:tcPr>
            <w:tcW w:w="1578"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028" w:type="dxa"/>
            <w:vAlign w:val="center"/>
          </w:tcPr>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（2）政策性扣除计算方法。</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（6）价格分计算公式：价格分＝（评标基准价／评标报价）×50分。</w:t>
            </w:r>
          </w:p>
          <w:p>
            <w:pPr>
              <w:pStyle w:val="20"/>
              <w:spacing w:line="360" w:lineRule="auto"/>
              <w:ind w:firstLine="234" w:firstLineChars="111"/>
              <w:rPr>
                <w:rFonts w:hAnsi="宋体" w:cs="Courier New"/>
                <w:bCs/>
                <w:color w:val="auto"/>
                <w:highlight w:val="none"/>
              </w:rPr>
            </w:pPr>
            <w:r>
              <w:rPr>
                <w:rFonts w:hint="eastAsia" w:hAnsi="宋体"/>
                <w:b/>
                <w:color w:val="auto"/>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320" w:type="dxa"/>
            <w:vMerge w:val="restart"/>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bCs/>
                <w:color w:val="auto"/>
                <w:szCs w:val="21"/>
                <w:highlight w:val="none"/>
              </w:rPr>
              <w:t>分）</w:t>
            </w: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rPr>
              <w:t>21</w:t>
            </w:r>
            <w:r>
              <w:rPr>
                <w:rFonts w:hint="eastAsia" w:ascii="宋体" w:hAnsi="宋体"/>
                <w:color w:val="auto"/>
                <w:szCs w:val="21"/>
                <w:highlight w:val="none"/>
              </w:rPr>
              <w:t>分）</w:t>
            </w:r>
          </w:p>
        </w:tc>
        <w:tc>
          <w:tcPr>
            <w:tcW w:w="6028" w:type="dxa"/>
            <w:vAlign w:val="center"/>
          </w:tcPr>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一、基本分（满分10分）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技术参数完全满足招标文件要求，无负偏离，得10分。</w:t>
            </w:r>
            <w:r>
              <w:rPr>
                <w:rFonts w:hint="eastAsia" w:ascii="宋体" w:hAnsi="宋体"/>
                <w:bCs/>
                <w:color w:val="auto"/>
                <w:sz w:val="21"/>
                <w:szCs w:val="21"/>
                <w:highlight w:val="none"/>
              </w:rPr>
              <w:t>未标注▲一般参数不满足招标文件要求的一项扣</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分</w:t>
            </w:r>
            <w:r>
              <w:rPr>
                <w:rFonts w:hint="eastAsia" w:ascii="宋体" w:hAnsi="宋体"/>
                <w:bCs/>
                <w:color w:val="auto"/>
                <w:szCs w:val="21"/>
                <w:highlight w:val="none"/>
              </w:rPr>
              <w:t>。</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二、设备性能分（满分11分）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投标人所投产品标注“▲”技术参数及配置优于招标文件且评标时被评标委员会接受的，每提升一项加1分（同样内容的证明材料不能累计加分）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投标人所投产品对一般技术参数及配置优于招标文件且评标时被评标委员会接受的，每提升三项加1分，不足三项的不计分（同样内容的证明材料不能累计加分）</w:t>
            </w:r>
          </w:p>
          <w:p>
            <w:pPr>
              <w:widowControl/>
              <w:ind w:firstLine="420" w:firstLineChars="200"/>
              <w:jc w:val="left"/>
              <w:textAlignment w:val="center"/>
              <w:rPr>
                <w:rFonts w:ascii="Calibri" w:hAnsi="宋体"/>
                <w:b/>
                <w:color w:val="auto"/>
                <w:spacing w:val="-4"/>
                <w:szCs w:val="21"/>
                <w:highlight w:val="none"/>
              </w:rPr>
            </w:pPr>
            <w:r>
              <w:rPr>
                <w:rFonts w:hint="eastAsia" w:ascii="宋体" w:hAnsi="宋体"/>
                <w:color w:val="auto"/>
                <w:szCs w:val="21"/>
                <w:highlight w:val="none"/>
              </w:rPr>
              <w:t>以上两项共计满分11分（投标人需在投标文件中提供第三方检测报告或厂家产品彩页复印件或相关产品截图证明的证明材料并加盖投标人公章，否则不得分）。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24" w:type="dxa"/>
            <w:vMerge w:val="continue"/>
            <w:vAlign w:val="center"/>
          </w:tcPr>
          <w:p>
            <w:pPr>
              <w:adjustRightInd w:val="0"/>
              <w:spacing w:line="360" w:lineRule="auto"/>
              <w:jc w:val="center"/>
              <w:textAlignment w:val="baseline"/>
              <w:rPr>
                <w:rFonts w:ascii="宋体" w:hAnsi="宋体"/>
                <w:b/>
                <w:color w:val="auto"/>
                <w:szCs w:val="21"/>
                <w:highlight w:val="none"/>
              </w:rPr>
            </w:pPr>
          </w:p>
        </w:tc>
        <w:tc>
          <w:tcPr>
            <w:tcW w:w="1320" w:type="dxa"/>
            <w:vMerge w:val="continue"/>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实施方案分</w:t>
            </w:r>
          </w:p>
          <w:p>
            <w:pPr>
              <w:pStyle w:val="25"/>
              <w:rPr>
                <w:color w:val="auto"/>
                <w:sz w:val="21"/>
                <w:szCs w:val="21"/>
                <w:highlight w:val="none"/>
              </w:rPr>
            </w:pPr>
            <w:r>
              <w:rPr>
                <w:rFonts w:hint="eastAsia" w:ascii="宋体" w:hAnsi="宋体"/>
                <w:color w:val="auto"/>
                <w:sz w:val="21"/>
                <w:szCs w:val="21"/>
                <w:highlight w:val="none"/>
              </w:rPr>
              <w:t>（满分9分）</w:t>
            </w:r>
          </w:p>
        </w:tc>
        <w:tc>
          <w:tcPr>
            <w:tcW w:w="6028" w:type="dxa"/>
            <w:vAlign w:val="center"/>
          </w:tcPr>
          <w:p>
            <w:pPr>
              <w:spacing w:line="360" w:lineRule="auto"/>
              <w:ind w:firstLine="420" w:firstLineChars="200"/>
              <w:rPr>
                <w:rFonts w:hAnsi="宋体" w:cs="Courier New"/>
                <w:bCs/>
                <w:color w:val="auto"/>
                <w:highlight w:val="none"/>
              </w:rPr>
            </w:pPr>
            <w:r>
              <w:rPr>
                <w:rFonts w:hint="eastAsia" w:hAnsi="宋体" w:cs="Courier New"/>
                <w:bCs/>
                <w:color w:val="auto"/>
                <w:highlight w:val="none"/>
              </w:rPr>
              <w:t>由评标委员会根据项目实施方案内容的完整性、合理行、可行性等进行独立打分，未提供不得分。</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一档 （3分）：对本项目提出的实施方案内容不够完整，对项目理解不透彻，且措施执行可行性不强；</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二档 （6 分）：对本项目提出的实施方案内容较完整，对项目理解较好，方案系统架构图合理贴近项目需求，对各个系统技术路线和实施可行性有一定描述，配套有货物存放仓库、送货人员、运输工具，基本能够保证货物质量，有一定的可行性。</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三档 （9分）：针对本项目提出的实施方案内容完整且十分详细，对项目的分析到位，方案系统架构图合理贴近项目需求，详细准确地描述了各个系统技术路线和实施可行性，配套有货物存放仓库、送货人员、运输工具，能保证项目实施的技术水平，内容和措施安排科学合理，建议的验收方法或方案完善有效且更优化、切实可行；完全满足项目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320"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bCs/>
                <w:color w:val="auto"/>
                <w:szCs w:val="21"/>
                <w:highlight w:val="none"/>
              </w:rPr>
              <w:t>商务</w:t>
            </w:r>
            <w:r>
              <w:rPr>
                <w:rFonts w:hint="eastAsia" w:ascii="宋体" w:hAnsi="宋体"/>
                <w:b/>
                <w:color w:val="auto"/>
                <w:szCs w:val="21"/>
                <w:highlight w:val="none"/>
              </w:rPr>
              <w:t>分</w:t>
            </w:r>
          </w:p>
          <w:p>
            <w:pPr>
              <w:pStyle w:val="25"/>
              <w:rPr>
                <w:color w:val="auto"/>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20</w:t>
            </w:r>
            <w:r>
              <w:rPr>
                <w:rFonts w:hint="eastAsia" w:ascii="宋体" w:hAnsi="宋体"/>
                <w:bCs/>
                <w:color w:val="auto"/>
                <w:szCs w:val="21"/>
                <w:highlight w:val="none"/>
              </w:rPr>
              <w:t>分）</w:t>
            </w: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售后服务分（满分</w:t>
            </w:r>
            <w:r>
              <w:rPr>
                <w:rFonts w:hint="eastAsia" w:ascii="宋体" w:hAnsi="宋体"/>
                <w:color w:val="auto"/>
                <w:szCs w:val="21"/>
                <w:highlight w:val="none"/>
                <w:u w:val="single"/>
              </w:rPr>
              <w:t>9</w:t>
            </w:r>
            <w:r>
              <w:rPr>
                <w:rFonts w:hint="eastAsia" w:ascii="宋体" w:hAnsi="宋体"/>
                <w:color w:val="auto"/>
                <w:szCs w:val="21"/>
                <w:highlight w:val="none"/>
              </w:rPr>
              <w:t>分）</w:t>
            </w:r>
          </w:p>
        </w:tc>
        <w:tc>
          <w:tcPr>
            <w:tcW w:w="6028" w:type="dxa"/>
            <w:vAlign w:val="center"/>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评标委员会根据投标人提供的售后服务承诺书的内容，综合评定其档次并在相应档次内打分，未提供不得分。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一档（3分）：售后服务承诺书内容的完整、方案一般，免费保修期限满足招标文件要求，提供故障出现的解决方案、到达故障现场时间满足招标文件要求，免费技术培训方案满足招标文件要求、提供保修期外维修方案，综合评定为一般，进入一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二档（6分）：售后服务承诺书内容的完整、方案可行，免费保修期限满足招标文件要求，提供故障出现的解决方案、到达故障现场时间满足招标文件要求，免费技术培训方案满足招标文件要求、提供保修期外维修方案，综合评定为一般，进入二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三档（9分）：售后服务承诺书内容的完整、方案可行，免费保修期限满足招标文件要求、具有本地化服务能力（提供本地化服务相关证明文件或承诺中标后提供本地化服务，提供的本地化服务方案评定为良好），投标公司施工人员具有机电工程国家二级建造师资质的提供故障出现的解决方案良好、到达故障现场时间优于招标文件要求，免费技术培训方案优于招标文件要求，明确巡检安排以及定期保养维护方案，提供明确的保养优惠措施，提供保修期外维修方案，综合评定为良好，进入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业绩分（满分4分）</w:t>
            </w:r>
          </w:p>
        </w:tc>
        <w:tc>
          <w:tcPr>
            <w:tcW w:w="6028" w:type="dxa"/>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供应商自 2019年1月1日以来有类似业绩的，每个得1分，满分4分。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注：以签订的合同或中标（成交）通知书附带相关签订的合同复印件为准，否则将不予评审；同一个编号的项目有两个或两个以上的分标中标的只算一次。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信誉分（满分5分）</w:t>
            </w:r>
          </w:p>
        </w:tc>
        <w:tc>
          <w:tcPr>
            <w:tcW w:w="6028" w:type="dxa"/>
          </w:tcPr>
          <w:p>
            <w:pPr>
              <w:widowControl/>
              <w:spacing w:line="400" w:lineRule="exact"/>
              <w:rPr>
                <w:rFonts w:ascii="宋体" w:hAnsi="宋体" w:cs="Courier New"/>
                <w:color w:val="auto"/>
                <w:szCs w:val="21"/>
                <w:highlight w:val="none"/>
              </w:rPr>
            </w:pPr>
            <w:r>
              <w:rPr>
                <w:rFonts w:hint="eastAsia" w:ascii="宋体" w:hAnsi="宋体" w:cs="仿宋_GB2312"/>
                <w:color w:val="auto"/>
                <w:highlight w:val="none"/>
              </w:rPr>
              <w:t>投标人拥有ISO9000系列国际质量体系认证</w:t>
            </w:r>
            <w:r>
              <w:rPr>
                <w:rFonts w:hint="eastAsia" w:ascii="宋体" w:hAnsi="宋体"/>
                <w:color w:val="auto"/>
                <w:szCs w:val="21"/>
                <w:highlight w:val="none"/>
              </w:rPr>
              <w:t>、</w:t>
            </w:r>
            <w:r>
              <w:rPr>
                <w:rFonts w:hint="eastAsia"/>
                <w:color w:val="auto"/>
                <w:highlight w:val="none"/>
              </w:rPr>
              <w:t>拥有</w:t>
            </w:r>
            <w:r>
              <w:rPr>
                <w:rFonts w:hint="eastAsia" w:ascii="宋体" w:hAnsi="宋体" w:cs="仿宋_GB2312"/>
                <w:color w:val="auto"/>
                <w:highlight w:val="none"/>
              </w:rPr>
              <w:t>舞台设计制作工程甲级资质等级证书</w:t>
            </w:r>
            <w:r>
              <w:rPr>
                <w:rFonts w:hint="eastAsia" w:ascii="宋体" w:hAnsi="宋体"/>
                <w:color w:val="auto"/>
                <w:szCs w:val="21"/>
                <w:highlight w:val="none"/>
              </w:rPr>
              <w:t>、</w:t>
            </w:r>
            <w:r>
              <w:rPr>
                <w:rFonts w:hint="eastAsia" w:hAnsi="宋体"/>
                <w:color w:val="auto"/>
                <w:szCs w:val="21"/>
                <w:highlight w:val="none"/>
              </w:rPr>
              <w:t>拥有舞台灯光设计、安装及调试甲级资质等级证书、</w:t>
            </w:r>
            <w:r>
              <w:rPr>
                <w:rFonts w:hint="eastAsia" w:ascii="宋体" w:hAnsi="宋体" w:cs="仿宋_GB2312"/>
                <w:color w:val="auto"/>
                <w:highlight w:val="none"/>
              </w:rPr>
              <w:t>拥有音视频集成企业一级等级证书</w:t>
            </w:r>
            <w:r>
              <w:rPr>
                <w:rFonts w:hint="eastAsia" w:ascii="宋体" w:hAnsi="宋体"/>
                <w:color w:val="auto"/>
                <w:szCs w:val="21"/>
                <w:highlight w:val="none"/>
              </w:rPr>
              <w:t>，每有一项得1分，</w:t>
            </w:r>
            <w:r>
              <w:rPr>
                <w:rFonts w:hint="eastAsia" w:ascii="宋体" w:hAnsi="宋体" w:cs="Courier New"/>
                <w:color w:val="auto"/>
                <w:szCs w:val="21"/>
                <w:highlight w:val="none"/>
              </w:rPr>
              <w:t>满分5分</w:t>
            </w:r>
            <w:r>
              <w:rPr>
                <w:rFonts w:hint="eastAsia" w:ascii="宋体" w:hAnsi="宋体"/>
                <w:color w:val="auto"/>
                <w:szCs w:val="21"/>
                <w:highlight w:val="none"/>
              </w:rPr>
              <w:t>（投标文件中提供证书复印件）</w:t>
            </w:r>
            <w:r>
              <w:rPr>
                <w:rFonts w:hint="eastAsia" w:ascii="宋体" w:hAnsi="宋体" w:cs="Courier New"/>
                <w:color w:val="auto"/>
                <w:szCs w:val="21"/>
                <w:highlight w:val="none"/>
              </w:rPr>
              <w:t>。</w:t>
            </w:r>
          </w:p>
          <w:p>
            <w:pPr>
              <w:pStyle w:val="25"/>
              <w:spacing w:line="360" w:lineRule="auto"/>
              <w:rPr>
                <w:rFonts w:hAnsi="宋体" w:cs="Courier New"/>
                <w:bCs/>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Borders>
              <w:bottom w:val="single" w:color="auto" w:sz="4" w:space="0"/>
            </w:tcBorders>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节能、环境标志</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政策分（满分</w:t>
            </w:r>
          </w:p>
          <w:p>
            <w:pPr>
              <w:spacing w:line="360" w:lineRule="auto"/>
              <w:jc w:val="center"/>
              <w:rPr>
                <w:rFonts w:ascii="宋体" w:hAnsi="宋体"/>
                <w:bCs/>
                <w:color w:val="auto"/>
                <w:szCs w:val="21"/>
                <w:highlight w:val="none"/>
              </w:rPr>
            </w:pPr>
            <w:r>
              <w:rPr>
                <w:rFonts w:hint="eastAsia" w:ascii="宋体" w:hAnsi="宋体"/>
                <w:bCs/>
                <w:color w:val="auto"/>
                <w:szCs w:val="21"/>
                <w:highlight w:val="none"/>
                <w:u w:val="single"/>
              </w:rPr>
              <w:t>2</w:t>
            </w:r>
            <w:r>
              <w:rPr>
                <w:rFonts w:hint="eastAsia" w:ascii="宋体" w:hAnsi="宋体"/>
                <w:bCs/>
                <w:color w:val="auto"/>
                <w:szCs w:val="21"/>
                <w:highlight w:val="none"/>
              </w:rPr>
              <w:t>分）</w:t>
            </w:r>
          </w:p>
        </w:tc>
        <w:tc>
          <w:tcPr>
            <w:tcW w:w="6028" w:type="dxa"/>
          </w:tcPr>
          <w:p>
            <w:pPr>
              <w:pStyle w:val="20"/>
              <w:spacing w:line="360" w:lineRule="auto"/>
              <w:rPr>
                <w:rFonts w:hAnsi="宋体" w:cs="Courier New"/>
                <w:bCs/>
                <w:color w:val="auto"/>
                <w:highlight w:val="none"/>
              </w:rPr>
            </w:pPr>
            <w:r>
              <w:rPr>
                <w:rFonts w:hint="eastAsia" w:hAnsi="宋体" w:cs="Courier New"/>
                <w:bCs/>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项目中节能产品合计金额所占该项目（或分标）总报价金额比例进行计算给分，占比达总报价金额50%的得0.5分，达90%的得1分。满1分。</w:t>
            </w:r>
          </w:p>
          <w:p>
            <w:pPr>
              <w:pStyle w:val="20"/>
              <w:spacing w:line="360" w:lineRule="auto"/>
              <w:rPr>
                <w:rFonts w:hAnsi="宋体" w:cs="Courier New"/>
                <w:color w:val="auto"/>
                <w:highlight w:val="none"/>
              </w:rPr>
            </w:pPr>
            <w:r>
              <w:rPr>
                <w:rFonts w:hint="eastAsia" w:hAnsi="宋体" w:cs="Courier New"/>
                <w:bCs/>
                <w:color w:val="auto"/>
                <w:highlight w:val="none"/>
              </w:rPr>
              <w:t>（2）属于财政部《环境标志产品政府采购品目清单》内的产品[投标文件中提供有效的认证证书复印件及品目清单（标注出投标产品在品目清单中所属的品目），并加盖投标人公章]，根据项目中环保产品合计金额所占该项目（或分标）总报价金额比例进行计算给分，占比达总报价金额50%的得0.5分，达90%的得1分。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0"/>
              <w:spacing w:line="360" w:lineRule="auto"/>
              <w:ind w:firstLine="420"/>
              <w:rPr>
                <w:rFonts w:hAnsi="宋体" w:cs="Courier New"/>
                <w:bCs/>
                <w:color w:val="auto"/>
                <w:highlight w:val="none"/>
              </w:rPr>
            </w:pPr>
            <w:r>
              <w:rPr>
                <w:rFonts w:hint="eastAsia" w:hAnsi="宋体" w:cs="Courier New"/>
                <w:b/>
                <w:bCs/>
                <w:color w:val="auto"/>
                <w:highlight w:val="none"/>
              </w:rPr>
              <w:t>总得分=1+2+3。</w:t>
            </w:r>
          </w:p>
        </w:tc>
      </w:tr>
    </w:tbl>
    <w:p>
      <w:pPr>
        <w:pStyle w:val="20"/>
        <w:keepLines/>
        <w:spacing w:line="360" w:lineRule="auto"/>
        <w:ind w:firstLine="420" w:firstLineChars="200"/>
        <w:rPr>
          <w:rFonts w:hAnsi="宋体"/>
          <w:bCs/>
          <w:color w:val="auto"/>
          <w:highlight w:val="none"/>
        </w:rPr>
      </w:pPr>
      <w:r>
        <w:rPr>
          <w:rFonts w:hint="eastAsia" w:hAnsi="宋体"/>
          <w:bCs/>
          <w:color w:val="auto"/>
          <w:highlight w:val="none"/>
        </w:rPr>
        <w:t>注：1.计分方法按四舍五入取至百分位；</w:t>
      </w:r>
    </w:p>
    <w:p>
      <w:pPr>
        <w:pStyle w:val="20"/>
        <w:keepLines/>
        <w:spacing w:line="360" w:lineRule="auto"/>
        <w:ind w:firstLine="840" w:firstLineChars="400"/>
        <w:rPr>
          <w:rFonts w:hAnsi="宋体"/>
          <w:bCs/>
          <w:color w:val="auto"/>
          <w:highlight w:val="none"/>
        </w:rPr>
      </w:pPr>
      <w:r>
        <w:rPr>
          <w:rFonts w:hint="eastAsia" w:hAnsi="宋体"/>
          <w:bCs/>
          <w:color w:val="auto"/>
          <w:highlight w:val="none"/>
        </w:rPr>
        <w:t>2.因落实政府采购政策进行价格调整的，以调整后的价格计算评标基准价和投标报价。</w:t>
      </w:r>
    </w:p>
    <w:p>
      <w:pPr>
        <w:pStyle w:val="5"/>
        <w:keepNext w:val="0"/>
        <w:keepLines w:val="0"/>
        <w:jc w:val="center"/>
        <w:rPr>
          <w:color w:val="auto"/>
          <w:highlight w:val="none"/>
        </w:rPr>
      </w:pPr>
      <w:bookmarkStart w:id="63" w:name="_Toc80093007"/>
    </w:p>
    <w:bookmarkEnd w:id="63"/>
    <w:p>
      <w:pPr>
        <w:rPr>
          <w:b/>
          <w:color w:val="auto"/>
          <w:sz w:val="36"/>
          <w:highlight w:val="none"/>
        </w:rPr>
      </w:pPr>
      <w:bookmarkStart w:id="64" w:name="_Toc80093009"/>
      <w:r>
        <w:rPr>
          <w:rFonts w:hint="eastAsia"/>
          <w:b/>
          <w:color w:val="auto"/>
          <w:sz w:val="36"/>
          <w:highlight w:val="none"/>
        </w:rPr>
        <w:br w:type="page"/>
      </w:r>
    </w:p>
    <w:p>
      <w:pPr>
        <w:pStyle w:val="4"/>
        <w:jc w:val="center"/>
        <w:rPr>
          <w:color w:val="auto"/>
          <w:sz w:val="30"/>
          <w:szCs w:val="30"/>
          <w:highlight w:val="none"/>
        </w:rPr>
      </w:pPr>
      <w:r>
        <w:rPr>
          <w:rFonts w:hint="eastAsia"/>
          <w:color w:val="auto"/>
          <w:sz w:val="30"/>
          <w:szCs w:val="30"/>
          <w:highlight w:val="none"/>
        </w:rPr>
        <w:t>四、中标候选人推荐原则</w:t>
      </w:r>
    </w:p>
    <w:p>
      <w:pPr>
        <w:pStyle w:val="20"/>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pPr>
        <w:pStyle w:val="20"/>
        <w:spacing w:line="360" w:lineRule="auto"/>
        <w:ind w:firstLine="420" w:firstLineChars="200"/>
        <w:contextualSpacing/>
        <w:rPr>
          <w:rFonts w:hAnsi="宋体"/>
          <w:color w:val="auto"/>
          <w:highlight w:val="none"/>
        </w:rPr>
      </w:pPr>
      <w:r>
        <w:rPr>
          <w:rFonts w:hint="eastAsia" w:hAnsi="宋体"/>
          <w:color w:val="auto"/>
          <w:highlight w:val="none"/>
        </w:rPr>
        <w:t>评标委员会将根据总得分由高到低排列次序并推荐中标候选人。</w:t>
      </w:r>
      <w:r>
        <w:rPr>
          <w:rFonts w:hAnsi="宋体"/>
          <w:color w:val="auto"/>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pStyle w:val="20"/>
        <w:spacing w:line="360" w:lineRule="auto"/>
        <w:ind w:firstLine="420" w:firstLineChars="200"/>
        <w:contextualSpacing/>
        <w:rPr>
          <w:rFonts w:hAnsi="宋体"/>
          <w:color w:val="auto"/>
          <w:highlight w:val="none"/>
        </w:rPr>
      </w:pPr>
    </w:p>
    <w:p>
      <w:pPr>
        <w:spacing w:before="165" w:beforeLines="50" w:after="165" w:afterLines="50" w:line="400" w:lineRule="exact"/>
        <w:rPr>
          <w:rFonts w:ascii="宋体" w:hAnsi="宋体"/>
          <w:b/>
          <w:color w:val="auto"/>
          <w:sz w:val="24"/>
          <w:highlight w:val="none"/>
        </w:rPr>
      </w:pPr>
    </w:p>
    <w:p>
      <w:pPr>
        <w:pStyle w:val="11"/>
        <w:rPr>
          <w:color w:val="auto"/>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r>
        <w:rPr>
          <w:rFonts w:hint="eastAsia" w:ascii="Times New Roman" w:hAnsi="Times New Roman"/>
          <w:b/>
          <w:color w:val="auto"/>
          <w:sz w:val="36"/>
          <w:highlight w:val="none"/>
        </w:rPr>
        <w:t>第五章 拟签订的合同文本</w:t>
      </w:r>
      <w:bookmarkEnd w:id="64"/>
    </w:p>
    <w:p>
      <w:pPr>
        <w:pStyle w:val="20"/>
        <w:jc w:val="center"/>
        <w:rPr>
          <w:rFonts w:hAnsi="宋体"/>
          <w:b/>
          <w:color w:val="auto"/>
          <w:sz w:val="52"/>
          <w:szCs w:val="52"/>
          <w:highlight w:val="none"/>
        </w:rPr>
      </w:pPr>
      <w:r>
        <w:rPr>
          <w:rFonts w:hint="eastAsia" w:hAnsi="宋体"/>
          <w:b/>
          <w:color w:val="auto"/>
          <w:sz w:val="52"/>
          <w:szCs w:val="52"/>
          <w:highlight w:val="none"/>
        </w:rPr>
        <w:t>广西壮族自治区政府采购合同</w:t>
      </w:r>
    </w:p>
    <w:p>
      <w:pPr>
        <w:pStyle w:val="20"/>
        <w:rPr>
          <w:rFonts w:hAnsi="宋体"/>
          <w:color w:val="auto"/>
          <w:highlight w:val="none"/>
        </w:rPr>
      </w:pPr>
    </w:p>
    <w:p>
      <w:pPr>
        <w:pStyle w:val="20"/>
        <w:rPr>
          <w:rFonts w:hAnsi="宋体"/>
          <w:color w:val="auto"/>
          <w:highlight w:val="none"/>
        </w:rPr>
      </w:pPr>
    </w:p>
    <w:p>
      <w:pPr>
        <w:pStyle w:val="20"/>
        <w:rPr>
          <w:rFonts w:hAnsi="宋体"/>
          <w:color w:val="auto"/>
          <w:highlight w:val="none"/>
        </w:rPr>
      </w:pPr>
    </w:p>
    <w:p>
      <w:pPr>
        <w:pStyle w:val="20"/>
        <w:rPr>
          <w:rFonts w:hAnsi="宋体"/>
          <w:color w:val="auto"/>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0"/>
        <w:ind w:firstLine="1590" w:firstLineChars="495"/>
        <w:rPr>
          <w:rFonts w:hAnsi="宋体"/>
          <w:b/>
          <w:color w:val="auto"/>
          <w:sz w:val="32"/>
          <w:szCs w:val="32"/>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jc w:val="center"/>
        <w:rPr>
          <w:rFonts w:hAnsi="宋体"/>
          <w:color w:val="auto"/>
          <w:highlight w:val="none"/>
        </w:rPr>
      </w:pPr>
    </w:p>
    <w:p>
      <w:pPr>
        <w:pStyle w:val="20"/>
        <w:spacing w:after="165"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南宁师范大学     </w:t>
      </w:r>
    </w:p>
    <w:p>
      <w:pPr>
        <w:pStyle w:val="20"/>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南宁市明秀东路175号   </w:t>
      </w:r>
    </w:p>
    <w:p>
      <w:pPr>
        <w:pStyle w:val="20"/>
        <w:spacing w:line="340" w:lineRule="exact"/>
        <w:ind w:firstLine="1590" w:firstLineChars="495"/>
        <w:rPr>
          <w:rFonts w:hAnsi="宋体"/>
          <w:b/>
          <w:color w:val="auto"/>
          <w:sz w:val="32"/>
          <w:szCs w:val="32"/>
          <w:highlight w:val="none"/>
        </w:rPr>
      </w:pPr>
    </w:p>
    <w:p>
      <w:pPr>
        <w:pStyle w:val="20"/>
        <w:spacing w:line="340" w:lineRule="exact"/>
        <w:ind w:firstLine="1590" w:firstLineChars="495"/>
        <w:rPr>
          <w:rFonts w:hAnsi="宋体"/>
          <w:b/>
          <w:color w:val="auto"/>
          <w:sz w:val="32"/>
          <w:szCs w:val="32"/>
          <w:highlight w:val="none"/>
        </w:rPr>
      </w:pPr>
    </w:p>
    <w:p>
      <w:pPr>
        <w:pStyle w:val="20"/>
        <w:spacing w:after="165"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0"/>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0"/>
        <w:spacing w:line="340" w:lineRule="exact"/>
        <w:ind w:firstLine="1590" w:firstLineChars="495"/>
        <w:rPr>
          <w:rFonts w:hAnsi="宋体"/>
          <w:b/>
          <w:color w:val="auto"/>
          <w:sz w:val="32"/>
          <w:szCs w:val="32"/>
          <w:highlight w:val="none"/>
        </w:rPr>
      </w:pPr>
    </w:p>
    <w:p>
      <w:pPr>
        <w:pStyle w:val="20"/>
        <w:jc w:val="center"/>
        <w:rPr>
          <w:rFonts w:hAnsi="宋体"/>
          <w:color w:val="auto"/>
          <w:highlight w:val="none"/>
        </w:rPr>
      </w:pPr>
      <w:r>
        <w:rPr>
          <w:rFonts w:hint="eastAsia" w:hAnsi="宋体"/>
          <w:color w:val="auto"/>
          <w:highlight w:val="non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南宁市         </w:t>
      </w:r>
    </w:p>
    <w:p>
      <w:pPr>
        <w:pStyle w:val="20"/>
        <w:ind w:firstLine="1590" w:firstLineChars="495"/>
        <w:rPr>
          <w:rFonts w:hAnsi="宋体"/>
          <w:b/>
          <w:color w:val="auto"/>
          <w:sz w:val="32"/>
          <w:szCs w:val="32"/>
          <w:highlight w:val="none"/>
        </w:rPr>
      </w:pPr>
    </w:p>
    <w:p>
      <w:pPr>
        <w:pStyle w:val="20"/>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jc w:val="center"/>
        <w:rPr>
          <w:rFonts w:hAnsi="宋体"/>
          <w:color w:val="auto"/>
          <w:highlight w:val="none"/>
        </w:rPr>
      </w:pPr>
    </w:p>
    <w:p>
      <w:pPr>
        <w:rPr>
          <w:color w:val="auto"/>
          <w:highlight w:val="none"/>
        </w:rPr>
      </w:pPr>
    </w:p>
    <w:p>
      <w:pPr>
        <w:pStyle w:val="20"/>
        <w:jc w:val="center"/>
        <w:rPr>
          <w:rFonts w:hAnsi="宋体"/>
          <w:color w:val="auto"/>
          <w:highlight w:val="none"/>
        </w:rPr>
      </w:pPr>
    </w:p>
    <w:p>
      <w:pPr>
        <w:pStyle w:val="20"/>
        <w:spacing w:line="420" w:lineRule="exact"/>
        <w:jc w:val="center"/>
        <w:rPr>
          <w:rFonts w:hAnsi="宋体"/>
          <w:color w:val="auto"/>
          <w:highlight w:val="none"/>
        </w:rPr>
      </w:pPr>
      <w:r>
        <w:rPr>
          <w:rFonts w:hint="eastAsia" w:hAnsi="宋体"/>
          <w:color w:val="auto"/>
          <w:highlight w:val="none"/>
        </w:rPr>
        <w:t>合同使用说明：根据《中华人民共和国政府采购法》、</w:t>
      </w:r>
      <w:r>
        <w:rPr>
          <w:rFonts w:hint="eastAsia" w:hAnsi="宋体" w:cs="Courier New"/>
          <w:color w:val="auto"/>
          <w:highlight w:val="none"/>
        </w:rPr>
        <w:t>《中华人民共和国民法典》</w:t>
      </w:r>
      <w:r>
        <w:rPr>
          <w:rFonts w:hint="eastAsia" w:hAnsi="宋体"/>
          <w:color w:val="auto"/>
          <w:highlight w:val="none"/>
        </w:rPr>
        <w:t>等法律、法规规定，</w:t>
      </w:r>
    </w:p>
    <w:p>
      <w:pPr>
        <w:pStyle w:val="20"/>
        <w:snapToGrid w:val="0"/>
        <w:spacing w:before="120" w:after="120"/>
        <w:jc w:val="center"/>
        <w:outlineLvl w:val="0"/>
        <w:rPr>
          <w:color w:val="auto"/>
          <w:highlight w:val="none"/>
        </w:rPr>
      </w:pPr>
      <w:r>
        <w:rPr>
          <w:rFonts w:hint="eastAsia" w:hAnsi="宋体"/>
          <w:color w:val="auto"/>
          <w:highlight w:val="none"/>
        </w:rPr>
        <w:t>按照招标文件规定条款和中标供应商投标文件及其承诺，甲乙双方签订本合同。</w:t>
      </w:r>
    </w:p>
    <w:p>
      <w:pPr>
        <w:spacing w:line="300" w:lineRule="auto"/>
        <w:ind w:left="420" w:hanging="420"/>
        <w:jc w:val="center"/>
        <w:rPr>
          <w:rFonts w:ascii="黑体" w:eastAsia="黑体"/>
          <w:b/>
          <w:bCs/>
          <w:color w:val="auto"/>
          <w:sz w:val="44"/>
          <w:szCs w:val="44"/>
          <w:highlight w:val="none"/>
        </w:rPr>
      </w:pPr>
      <w:r>
        <w:rPr>
          <w:rFonts w:hint="eastAsia" w:ascii="黑体" w:eastAsia="黑体"/>
          <w:b/>
          <w:color w:val="auto"/>
          <w:sz w:val="44"/>
          <w:szCs w:val="44"/>
          <w:highlight w:val="none"/>
        </w:rPr>
        <w:br w:type="page"/>
      </w:r>
      <w:r>
        <w:rPr>
          <w:rFonts w:hint="eastAsia" w:ascii="黑体" w:eastAsia="黑体"/>
          <w:b/>
          <w:color w:val="auto"/>
          <w:sz w:val="44"/>
          <w:szCs w:val="44"/>
          <w:highlight w:val="none"/>
        </w:rPr>
        <w:t>采购</w:t>
      </w:r>
      <w:r>
        <w:rPr>
          <w:rFonts w:hint="eastAsia" w:ascii="黑体" w:eastAsia="黑体"/>
          <w:b/>
          <w:bCs/>
          <w:color w:val="auto"/>
          <w:sz w:val="44"/>
          <w:szCs w:val="44"/>
          <w:highlight w:val="none"/>
        </w:rPr>
        <w:t>合同文本</w:t>
      </w:r>
    </w:p>
    <w:p>
      <w:pPr>
        <w:snapToGrid w:val="0"/>
        <w:spacing w:line="360" w:lineRule="exact"/>
        <w:jc w:val="center"/>
        <w:rPr>
          <w:rFonts w:ascii="宋体"/>
          <w:b/>
          <w:bCs/>
          <w:color w:val="auto"/>
          <w:szCs w:val="21"/>
          <w:highlight w:val="none"/>
        </w:rPr>
      </w:pPr>
      <w:r>
        <w:rPr>
          <w:rFonts w:hint="eastAsia" w:ascii="宋体"/>
          <w:b/>
          <w:bCs/>
          <w:color w:val="auto"/>
          <w:szCs w:val="21"/>
          <w:highlight w:val="none"/>
        </w:rPr>
        <w:t>广西壮族自治区政府采购合同</w:t>
      </w:r>
    </w:p>
    <w:p>
      <w:pPr>
        <w:snapToGrid w:val="0"/>
        <w:spacing w:line="360" w:lineRule="exact"/>
        <w:jc w:val="center"/>
        <w:rPr>
          <w:rFonts w:ascii="宋体"/>
          <w:b/>
          <w:bCs/>
          <w:color w:val="auto"/>
          <w:szCs w:val="21"/>
          <w:highlight w:val="none"/>
        </w:rPr>
      </w:pPr>
    </w:p>
    <w:p>
      <w:pPr>
        <w:snapToGrid w:val="0"/>
        <w:spacing w:line="360" w:lineRule="exact"/>
        <w:jc w:val="center"/>
        <w:rPr>
          <w:rFonts w:ascii="宋体"/>
          <w:b/>
          <w:bCs/>
          <w:color w:val="auto"/>
          <w:szCs w:val="21"/>
          <w:highlight w:val="none"/>
        </w:rPr>
      </w:pPr>
    </w:p>
    <w:p>
      <w:pPr>
        <w:snapToGrid w:val="0"/>
        <w:spacing w:line="360" w:lineRule="exact"/>
        <w:ind w:right="480" w:firstLine="5985" w:firstLineChars="2850"/>
        <w:rPr>
          <w:rFonts w:ascii="宋体"/>
          <w:bCs/>
          <w:color w:val="auto"/>
          <w:szCs w:val="21"/>
          <w:highlight w:val="none"/>
          <w:u w:val="single"/>
        </w:rPr>
      </w:pPr>
      <w:r>
        <w:rPr>
          <w:rFonts w:hint="eastAsia" w:ascii="宋体"/>
          <w:bCs/>
          <w:color w:val="auto"/>
          <w:szCs w:val="21"/>
          <w:highlight w:val="none"/>
        </w:rPr>
        <w:t>合同编号：</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u w:val="single"/>
        </w:rPr>
      </w:pPr>
      <w:r>
        <w:rPr>
          <w:rFonts w:hint="eastAsia" w:ascii="宋体"/>
          <w:color w:val="auto"/>
          <w:szCs w:val="21"/>
          <w:highlight w:val="none"/>
        </w:rPr>
        <w:t>采购单位（甲方）</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ascii="宋体"/>
          <w:color w:val="auto"/>
          <w:spacing w:val="-20"/>
          <w:szCs w:val="21"/>
          <w:highlight w:val="none"/>
        </w:rPr>
        <w:t>采 购 计 划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供 应 商（乙方）</w:t>
      </w:r>
      <w:r>
        <w:rPr>
          <w:rFonts w:hint="eastAsia" w:ascii="宋体"/>
          <w:color w:val="auto"/>
          <w:szCs w:val="21"/>
          <w:highlight w:val="none"/>
          <w:u w:val="single"/>
        </w:rPr>
        <w:t xml:space="preserve">                          </w:t>
      </w:r>
      <w:r>
        <w:rPr>
          <w:rFonts w:hint="eastAsia" w:ascii="宋体"/>
          <w:color w:val="auto"/>
          <w:szCs w:val="21"/>
          <w:highlight w:val="none"/>
        </w:rPr>
        <w:t xml:space="preserve">  项目名称</w:t>
      </w:r>
      <w:r>
        <w:rPr>
          <w:rFonts w:hint="eastAsia" w:ascii="宋体"/>
          <w:color w:val="auto"/>
          <w:spacing w:val="-20"/>
          <w:szCs w:val="21"/>
          <w:highlight w:val="none"/>
        </w:rPr>
        <w:t>编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 xml:space="preserve">签  订  地  点  </w:t>
      </w:r>
      <w:r>
        <w:rPr>
          <w:rFonts w:hint="eastAsia" w:ascii="宋体"/>
          <w:color w:val="auto"/>
          <w:szCs w:val="21"/>
          <w:highlight w:val="none"/>
          <w:u w:val="single"/>
        </w:rPr>
        <w:t xml:space="preserve">                          </w:t>
      </w:r>
      <w:r>
        <w:rPr>
          <w:rFonts w:hint="eastAsia" w:ascii="宋体"/>
          <w:color w:val="auto"/>
          <w:szCs w:val="21"/>
          <w:highlight w:val="none"/>
        </w:rPr>
        <w:t xml:space="preserve">  签 订 时 间</w:t>
      </w:r>
      <w:r>
        <w:rPr>
          <w:rFonts w:hint="eastAsia" w:ascii="宋体"/>
          <w:color w:val="auto"/>
          <w:szCs w:val="21"/>
          <w:highlight w:val="none"/>
          <w:u w:val="single"/>
        </w:rPr>
        <w:t xml:space="preserve">                             </w:t>
      </w:r>
    </w:p>
    <w:p>
      <w:pPr>
        <w:snapToGrid w:val="0"/>
        <w:spacing w:line="360" w:lineRule="exact"/>
        <w:ind w:firstLine="420" w:firstLineChars="200"/>
        <w:rPr>
          <w:rFonts w:ascii="宋体"/>
          <w:color w:val="auto"/>
          <w:szCs w:val="21"/>
          <w:highlight w:val="none"/>
        </w:rPr>
      </w:pPr>
    </w:p>
    <w:p>
      <w:pPr>
        <w:pStyle w:val="20"/>
        <w:spacing w:line="420" w:lineRule="exact"/>
        <w:ind w:firstLine="420" w:firstLineChars="200"/>
        <w:rPr>
          <w:color w:val="auto"/>
          <w:szCs w:val="21"/>
          <w:highlight w:val="none"/>
        </w:rPr>
      </w:pPr>
      <w:r>
        <w:rPr>
          <w:rFonts w:hint="eastAsia"/>
          <w:color w:val="auto"/>
          <w:szCs w:val="21"/>
          <w:highlight w:val="none"/>
        </w:rPr>
        <w:t>根据《中华人民共和国政府采购法》、</w:t>
      </w:r>
      <w:r>
        <w:rPr>
          <w:rFonts w:hint="eastAsia" w:cs="Courier New"/>
          <w:color w:val="auto"/>
          <w:szCs w:val="21"/>
          <w:highlight w:val="none"/>
        </w:rPr>
        <w:t>《中华人民共和国民法典》</w:t>
      </w:r>
      <w:r>
        <w:rPr>
          <w:rFonts w:hint="eastAsia"/>
          <w:color w:val="auto"/>
          <w:szCs w:val="21"/>
          <w:highlight w:val="none"/>
        </w:rPr>
        <w:t>等法律、法规规定，按照招标文件规定条款和中标供应商投标文件及其承诺，甲乙双方签订本合同。</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第一条　合同标的</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1、供货一览表</w:t>
      </w:r>
    </w:p>
    <w:tbl>
      <w:tblPr>
        <w:tblStyle w:val="3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产品</w:t>
            </w:r>
          </w:p>
          <w:p>
            <w:pPr>
              <w:snapToGrid w:val="0"/>
              <w:spacing w:line="360" w:lineRule="exact"/>
              <w:jc w:val="center"/>
              <w:rPr>
                <w:rFonts w:ascii="宋体"/>
                <w:color w:val="auto"/>
                <w:szCs w:val="21"/>
                <w:highlight w:val="none"/>
              </w:rPr>
            </w:pPr>
            <w:r>
              <w:rPr>
                <w:rFonts w:hint="eastAsia" w:ascii="宋体"/>
                <w:color w:val="auto"/>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商标</w:t>
            </w:r>
          </w:p>
          <w:p>
            <w:pPr>
              <w:snapToGrid w:val="0"/>
              <w:spacing w:line="360" w:lineRule="exact"/>
              <w:jc w:val="center"/>
              <w:rPr>
                <w:rFonts w:ascii="宋体"/>
                <w:color w:val="auto"/>
                <w:szCs w:val="21"/>
                <w:highlight w:val="none"/>
              </w:rPr>
            </w:pPr>
            <w:r>
              <w:rPr>
                <w:rFonts w:hint="eastAsia" w:ascii="宋体"/>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规格</w:t>
            </w:r>
          </w:p>
          <w:p>
            <w:pPr>
              <w:snapToGrid w:val="0"/>
              <w:spacing w:line="360" w:lineRule="exact"/>
              <w:jc w:val="center"/>
              <w:rPr>
                <w:rFonts w:ascii="宋体"/>
                <w:color w:val="auto"/>
                <w:szCs w:val="21"/>
                <w:highlight w:val="none"/>
              </w:rPr>
            </w:pPr>
            <w:r>
              <w:rPr>
                <w:rFonts w:hint="eastAsia" w:ascii="宋体"/>
                <w:color w:val="auto"/>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生产</w:t>
            </w:r>
          </w:p>
          <w:p>
            <w:pPr>
              <w:snapToGrid w:val="0"/>
              <w:spacing w:line="360" w:lineRule="exact"/>
              <w:jc w:val="center"/>
              <w:rPr>
                <w:rFonts w:ascii="宋体"/>
                <w:color w:val="auto"/>
                <w:szCs w:val="21"/>
                <w:highlight w:val="none"/>
              </w:rPr>
            </w:pPr>
            <w:r>
              <w:rPr>
                <w:rFonts w:hint="eastAsia" w:ascii="宋体"/>
                <w:color w:val="auto"/>
                <w:szCs w:val="21"/>
                <w:highlight w:val="none"/>
              </w:rPr>
              <w:t>厂家</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单  价</w:t>
            </w:r>
          </w:p>
          <w:p>
            <w:pPr>
              <w:snapToGrid w:val="0"/>
              <w:spacing w:line="360" w:lineRule="exact"/>
              <w:jc w:val="center"/>
              <w:rPr>
                <w:rFonts w:ascii="宋体"/>
                <w:color w:val="auto"/>
                <w:szCs w:val="21"/>
                <w:highlight w:val="none"/>
              </w:rPr>
            </w:pPr>
            <w:r>
              <w:rPr>
                <w:rFonts w:hint="eastAsia" w:ascii="宋体"/>
                <w:color w:val="auto"/>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金  额</w:t>
            </w:r>
          </w:p>
          <w:p>
            <w:pPr>
              <w:snapToGrid w:val="0"/>
              <w:spacing w:line="360" w:lineRule="exact"/>
              <w:jc w:val="center"/>
              <w:rPr>
                <w:rFonts w:ascii="宋体"/>
                <w:color w:val="auto"/>
                <w:szCs w:val="21"/>
                <w:highlight w:val="none"/>
              </w:rPr>
            </w:pPr>
            <w:r>
              <w:rPr>
                <w:rFonts w:hint="eastAsia" w:asci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p>
        </w:tc>
        <w:tc>
          <w:tcPr>
            <w:tcW w:w="904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制作合同时须补充完整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人民币合计金额（大写）                          （小写）                 </w:t>
            </w:r>
          </w:p>
        </w:tc>
      </w:tr>
    </w:tbl>
    <w:p>
      <w:pPr>
        <w:numPr>
          <w:ilvl w:val="0"/>
          <w:numId w:val="8"/>
        </w:numPr>
        <w:snapToGrid w:val="0"/>
        <w:spacing w:line="360" w:lineRule="exact"/>
        <w:ind w:right="420" w:firstLine="420" w:firstLineChars="200"/>
        <w:rPr>
          <w:rFonts w:ascii="宋体"/>
          <w:color w:val="auto"/>
          <w:szCs w:val="21"/>
          <w:highlight w:val="none"/>
        </w:rPr>
      </w:pPr>
      <w:r>
        <w:rPr>
          <w:rFonts w:hint="eastAsia" w:ascii="宋体"/>
          <w:color w:val="auto"/>
          <w:szCs w:val="21"/>
          <w:highlight w:val="none"/>
        </w:rPr>
        <w:t>合同合计金额包括货物价款，标准附件、备品配件、专用工具、安装耗材、包装、运输、装</w:t>
      </w:r>
      <w:bookmarkStart w:id="70" w:name="_GoBack"/>
      <w:bookmarkEnd w:id="70"/>
      <w:r>
        <w:rPr>
          <w:rFonts w:hint="eastAsia" w:ascii="宋体"/>
          <w:color w:val="auto"/>
          <w:szCs w:val="21"/>
          <w:highlight w:val="none"/>
        </w:rPr>
        <w:t>卸、保险、税金、货物到就位以及安装、调试、检验、技术培训及技术资料、软件费、保修等全部费用。如招投标文件对其另有规定的，从其规定。</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第二条　质量保证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2、乙方应按招标文件规定的货物性能、技术要求、质量标准提供全新、未经使用的原装产品，且在正常安装、使用和保养条件下，其使用寿命期内各项指标均达到质量要求。</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第三条　权利保证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1、乙方应保证所提供货物在使用时不会侵犯任何第三方的专利权、商标权、工业设计权或其他权利。</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2、乙方应按招标文件规定的时间向甲方提供使用货物的有关技术资料。</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4、乙方保证所交付的货物的所有权完全属于乙方且无任何抵押、质押、查封等产权瑕疵。</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第四条　包装和运输</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2、货物的运输方式：</w:t>
      </w:r>
      <w:r>
        <w:rPr>
          <w:rFonts w:hint="eastAsia" w:ascii="宋体"/>
          <w:color w:val="auto"/>
          <w:szCs w:val="21"/>
          <w:highlight w:val="none"/>
          <w:u w:val="single"/>
        </w:rPr>
        <w:t xml:space="preserve">  乙方自定  。</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3、乙方负责货物运输，货物运输合理损耗及计算方法：</w:t>
      </w:r>
      <w:r>
        <w:rPr>
          <w:rFonts w:hint="eastAsia" w:ascii="宋体"/>
          <w:color w:val="auto"/>
          <w:szCs w:val="21"/>
          <w:highlight w:val="none"/>
          <w:u w:val="single"/>
        </w:rPr>
        <w:t xml:space="preserve">  甲方不接受损耗    。</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第五条　交付和验收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1、交付使用时间、地点。</w:t>
      </w:r>
    </w:p>
    <w:p>
      <w:pPr>
        <w:ind w:firstLine="525" w:firstLineChars="249"/>
        <w:rPr>
          <w:rFonts w:ascii="宋体"/>
          <w:b/>
          <w:color w:val="auto"/>
          <w:szCs w:val="21"/>
          <w:highlight w:val="none"/>
        </w:rPr>
      </w:pPr>
      <w:r>
        <w:rPr>
          <w:rFonts w:hint="eastAsia" w:ascii="宋体"/>
          <w:b/>
          <w:color w:val="auto"/>
          <w:szCs w:val="21"/>
          <w:highlight w:val="none"/>
        </w:rPr>
        <w:t>交付使用时间：按乙方投标文件中所承诺的时间；交付使用地点：采购人指定地点。</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2、乙方提供不符合招投标文件和本合同规定的货物，甲方有权拒绝接受。</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4、甲方应当在到货（安装、调试完）后十个工作日内进行验收，逾期不验收的，乙方可视同验收合格。</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5、甲方对验收有异议的，在验收后五个工作日内以书面形式向乙方提出，乙方应自收到甲方书面异议后</w:t>
      </w:r>
      <w:r>
        <w:rPr>
          <w:rFonts w:hint="eastAsia" w:ascii="宋体"/>
          <w:color w:val="auto"/>
          <w:szCs w:val="21"/>
          <w:highlight w:val="none"/>
          <w:u w:val="single"/>
        </w:rPr>
        <w:t xml:space="preserve">   五  </w:t>
      </w:r>
      <w:r>
        <w:rPr>
          <w:rFonts w:hint="eastAsia" w:ascii="宋体"/>
          <w:color w:val="auto"/>
          <w:szCs w:val="21"/>
          <w:highlight w:val="none"/>
        </w:rPr>
        <w:t>日内及时予以解决。</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第六条　安装和培训</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1、甲方应提供必要安装条件（如场地、电源、水源等）。</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2、乙方负责甲方有关人员的培训。培训时间、地点：</w:t>
      </w:r>
      <w:r>
        <w:rPr>
          <w:rFonts w:hint="eastAsia"/>
          <w:b/>
          <w:color w:val="auto"/>
          <w:szCs w:val="21"/>
          <w:highlight w:val="none"/>
          <w:u w:val="single"/>
        </w:rPr>
        <w:t>按交付使用时间、地点培训</w:t>
      </w:r>
      <w:r>
        <w:rPr>
          <w:rFonts w:hint="eastAsia" w:ascii="宋体"/>
          <w:color w:val="auto"/>
          <w:szCs w:val="21"/>
          <w:highlight w:val="none"/>
        </w:rPr>
        <w:t>。</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第七条  售后服务、保修期</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1、乙方应按照国家有关法律法规和“三包”规定以及招投标文件和本合同所附的《服务承诺》，为甲方提供售后服务。</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2、货物保修期：</w:t>
      </w:r>
      <w:r>
        <w:rPr>
          <w:rFonts w:hint="eastAsia"/>
          <w:b/>
          <w:color w:val="auto"/>
          <w:szCs w:val="21"/>
          <w:highlight w:val="none"/>
          <w:u w:val="single"/>
        </w:rPr>
        <w:t>按投标响应</w:t>
      </w:r>
      <w:r>
        <w:rPr>
          <w:rFonts w:hint="eastAsia" w:ascii="宋体"/>
          <w:color w:val="auto"/>
          <w:szCs w:val="21"/>
          <w:highlight w:val="none"/>
        </w:rPr>
        <w:t>。</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3、乙方提供的服务承诺和售后服务及保修期责任等其它具体约定事项。（见合同附件）</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第八条　付款方式和保证金</w:t>
      </w:r>
    </w:p>
    <w:p>
      <w:pPr>
        <w:pStyle w:val="20"/>
        <w:snapToGrid w:val="0"/>
        <w:spacing w:before="120" w:after="120" w:line="360" w:lineRule="exact"/>
        <w:ind w:left="420" w:leftChars="200"/>
        <w:rPr>
          <w:color w:val="auto"/>
          <w:szCs w:val="21"/>
          <w:highlight w:val="none"/>
        </w:rPr>
      </w:pPr>
      <w:r>
        <w:rPr>
          <w:rFonts w:hint="eastAsia"/>
          <w:bCs/>
          <w:color w:val="auto"/>
          <w:szCs w:val="21"/>
          <w:highlight w:val="none"/>
        </w:rPr>
        <w:t>1、</w:t>
      </w:r>
      <w:r>
        <w:rPr>
          <w:rFonts w:hint="eastAsia"/>
          <w:color w:val="auto"/>
          <w:szCs w:val="21"/>
          <w:highlight w:val="none"/>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2、资金性质：</w:t>
      </w:r>
      <w:r>
        <w:rPr>
          <w:rFonts w:hint="eastAsia" w:ascii="宋体"/>
          <w:color w:val="auto"/>
          <w:szCs w:val="21"/>
          <w:highlight w:val="none"/>
          <w:u w:val="single"/>
        </w:rPr>
        <w:t xml:space="preserve"> </w:t>
      </w:r>
      <w:r>
        <w:rPr>
          <w:rFonts w:hint="eastAsia" w:ascii="宋体"/>
          <w:b/>
          <w:color w:val="auto"/>
          <w:szCs w:val="21"/>
          <w:highlight w:val="none"/>
          <w:u w:val="single"/>
        </w:rPr>
        <w:t>财政性资金</w:t>
      </w:r>
      <w:r>
        <w:rPr>
          <w:rFonts w:hint="eastAsia" w:ascii="宋体"/>
          <w:b/>
          <w:color w:val="auto"/>
          <w:szCs w:val="21"/>
          <w:highlight w:val="none"/>
        </w:rPr>
        <w:t>。</w:t>
      </w:r>
    </w:p>
    <w:p>
      <w:pPr>
        <w:spacing w:line="360" w:lineRule="exact"/>
        <w:ind w:firstLine="420" w:firstLineChars="200"/>
        <w:jc w:val="left"/>
        <w:rPr>
          <w:rFonts w:hAnsi="宋体"/>
          <w:color w:val="auto"/>
          <w:szCs w:val="21"/>
          <w:highlight w:val="none"/>
        </w:rPr>
      </w:pPr>
      <w:r>
        <w:rPr>
          <w:rFonts w:hint="eastAsia" w:ascii="宋体"/>
          <w:color w:val="auto"/>
          <w:szCs w:val="21"/>
          <w:highlight w:val="none"/>
        </w:rPr>
        <w:t>3、付款方式：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ind w:left="-61" w:leftChars="-29" w:firstLine="517" w:firstLineChars="245"/>
        <w:rPr>
          <w:rFonts w:ascii="宋体"/>
          <w:b/>
          <w:color w:val="auto"/>
          <w:szCs w:val="21"/>
          <w:highlight w:val="none"/>
        </w:rPr>
      </w:pPr>
      <w:r>
        <w:rPr>
          <w:rFonts w:hint="eastAsia" w:ascii="宋体"/>
          <w:b/>
          <w:color w:val="auto"/>
          <w:szCs w:val="21"/>
          <w:highlight w:val="none"/>
        </w:rPr>
        <w:t>第九条　履约保证金</w:t>
      </w:r>
    </w:p>
    <w:p>
      <w:pPr>
        <w:autoSpaceDE w:val="0"/>
        <w:autoSpaceDN w:val="0"/>
        <w:adjustRightInd w:val="0"/>
        <w:spacing w:line="320" w:lineRule="exact"/>
        <w:ind w:firstLine="420" w:firstLineChars="200"/>
        <w:jc w:val="left"/>
        <w:rPr>
          <w:rFonts w:hAnsi="宋体"/>
          <w:color w:val="auto"/>
          <w:szCs w:val="21"/>
          <w:highlight w:val="none"/>
        </w:rPr>
      </w:pP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履约保证金缴款账户信息：</w:t>
      </w:r>
    </w:p>
    <w:p>
      <w:pPr>
        <w:autoSpaceDE w:val="0"/>
        <w:autoSpaceDN w:val="0"/>
        <w:adjustRightInd w:val="0"/>
        <w:spacing w:line="320" w:lineRule="exact"/>
        <w:ind w:firstLine="420" w:firstLineChars="200"/>
        <w:jc w:val="left"/>
        <w:rPr>
          <w:color w:val="auto"/>
          <w:szCs w:val="21"/>
          <w:highlight w:val="none"/>
        </w:rPr>
      </w:pPr>
      <w:r>
        <w:rPr>
          <w:rFonts w:hint="eastAsia" w:hAnsi="宋体"/>
          <w:color w:val="auto"/>
          <w:szCs w:val="21"/>
          <w:highlight w:val="none"/>
        </w:rPr>
        <w:t>户名：南宁师范大学，开户银行：中国银行南宁市明秀东支行，账号：626257498267。</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第十条  税费本合同执行中相关的一切税费均由乙方负担。</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第十一条  质量保证及售后服务</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按</w:t>
      </w:r>
      <w:r>
        <w:rPr>
          <w:rFonts w:hint="eastAsia" w:ascii="宋体"/>
          <w:color w:val="auto"/>
          <w:szCs w:val="21"/>
          <w:highlight w:val="none"/>
          <w:u w:val="single"/>
        </w:rPr>
        <w:t>（3）</w:t>
      </w:r>
      <w:r>
        <w:rPr>
          <w:rFonts w:hint="eastAsia" w:ascii="宋体"/>
          <w:color w:val="auto"/>
          <w:szCs w:val="21"/>
          <w:highlight w:val="none"/>
        </w:rPr>
        <w:t>处理：</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（1）更换：由乙方承担所发生的全部费用。</w:t>
      </w:r>
    </w:p>
    <w:p>
      <w:pPr>
        <w:pStyle w:val="20"/>
        <w:snapToGrid w:val="0"/>
        <w:spacing w:before="120" w:after="120" w:line="360" w:lineRule="exact"/>
        <w:ind w:firstLine="420"/>
        <w:rPr>
          <w:color w:val="auto"/>
          <w:szCs w:val="21"/>
          <w:highlight w:val="none"/>
        </w:rPr>
      </w:pPr>
      <w:r>
        <w:rPr>
          <w:rFonts w:hint="eastAsia"/>
          <w:color w:val="auto"/>
          <w:szCs w:val="21"/>
          <w:highlight w:val="none"/>
        </w:rPr>
        <w:t>（2）贬值处理：由甲乙双方合议定价。</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（3）退货处理：乙方应退还甲方支付的合同款，同时应承担该货物的直接费用（运输、保险、检验、货款利息及银行手续费等）。</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2、如在使用过程中发生质量问题，乙方在接到甲方通知后在</w:t>
      </w:r>
      <w:r>
        <w:rPr>
          <w:rFonts w:hint="eastAsia"/>
          <w:color w:val="auto"/>
          <w:szCs w:val="21"/>
          <w:highlight w:val="none"/>
          <w:u w:val="single"/>
        </w:rPr>
        <w:t xml:space="preserve"> 2 </w:t>
      </w:r>
      <w:r>
        <w:rPr>
          <w:rFonts w:hint="eastAsia"/>
          <w:color w:val="auto"/>
          <w:szCs w:val="21"/>
          <w:highlight w:val="none"/>
        </w:rPr>
        <w:t>小时内到达甲方现场。</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3、在质保期内，乙方应对货物出现的质量及安全问题负责处理解决并承担一切费用。</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4、上述的货物免费保修期为</w:t>
      </w:r>
      <w:r>
        <w:rPr>
          <w:rFonts w:hint="eastAsia"/>
          <w:color w:val="auto"/>
          <w:szCs w:val="21"/>
          <w:highlight w:val="none"/>
          <w:u w:val="single"/>
        </w:rPr>
        <w:t xml:space="preserve">      </w:t>
      </w:r>
      <w:r>
        <w:rPr>
          <w:rFonts w:hint="eastAsia"/>
          <w:color w:val="auto"/>
          <w:szCs w:val="21"/>
          <w:highlight w:val="none"/>
        </w:rPr>
        <w:t>年（服务承诺或投票响应的保修期超出此期限的，按更长保修期约定执行），因人为因素出现的故障不在免费保修范围内。超过保修期的机器设备，终生维修，维修时只收部件成本费。</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第十二条  调试和验收</w:t>
      </w:r>
    </w:p>
    <w:p>
      <w:pPr>
        <w:pStyle w:val="20"/>
        <w:snapToGrid w:val="0"/>
        <w:spacing w:before="120" w:after="120" w:line="360" w:lineRule="exact"/>
        <w:ind w:firstLine="420" w:firstLineChars="200"/>
        <w:jc w:val="left"/>
        <w:rPr>
          <w:color w:val="auto"/>
          <w:szCs w:val="21"/>
          <w:highlight w:val="none"/>
        </w:rPr>
      </w:pPr>
      <w:r>
        <w:rPr>
          <w:rFonts w:hint="eastAsia"/>
          <w:color w:val="auto"/>
          <w:szCs w:val="21"/>
          <w:highlight w:val="none"/>
        </w:rPr>
        <w:t>1、甲方对乙方提交的货物依据招标文件上的技术规格要求和国家有关质量标准进行现场初步验收，外观、说明书符合招标文件技术要求的，给予签收，初步验收不合格的不予签收。</w:t>
      </w:r>
      <w:r>
        <w:rPr>
          <w:rFonts w:hint="eastAsia"/>
          <w:bCs/>
          <w:color w:val="auto"/>
          <w:szCs w:val="21"/>
          <w:highlight w:val="none"/>
        </w:rPr>
        <w:t>安装、调试完毕</w:t>
      </w:r>
      <w:r>
        <w:rPr>
          <w:rFonts w:hint="eastAsia"/>
          <w:color w:val="auto"/>
          <w:szCs w:val="21"/>
          <w:highlight w:val="none"/>
        </w:rPr>
        <w:t>后，</w:t>
      </w:r>
      <w:r>
        <w:rPr>
          <w:rFonts w:hint="eastAsia"/>
          <w:bCs/>
          <w:color w:val="auto"/>
          <w:szCs w:val="21"/>
          <w:highlight w:val="none"/>
        </w:rPr>
        <w:t>甲方应当在十个工作日内进行验收</w:t>
      </w:r>
      <w:r>
        <w:rPr>
          <w:rFonts w:hint="eastAsia"/>
          <w:color w:val="auto"/>
          <w:szCs w:val="21"/>
          <w:highlight w:val="none"/>
        </w:rPr>
        <w:t>。</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2、乙方交货前应对产品作出全面检查和对验收文件进行整理，并列出清单，作为甲方收货验收和使用的技术条件依据，检验的结果应随货物交甲方。</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3、甲方对乙方提供的货物在使用前进行调试时，乙方需负责安装并培训甲方的使用操作人员，并协助甲方一起调试，直到符合技术要求，甲方才做最终验收。</w:t>
      </w:r>
    </w:p>
    <w:p>
      <w:pPr>
        <w:pStyle w:val="20"/>
        <w:snapToGrid w:val="0"/>
        <w:spacing w:before="120" w:after="120" w:line="360" w:lineRule="exact"/>
        <w:ind w:firstLine="420" w:firstLineChars="200"/>
        <w:rPr>
          <w:color w:val="auto"/>
          <w:szCs w:val="21"/>
          <w:highlight w:val="none"/>
          <w:u w:val="single"/>
        </w:rPr>
      </w:pPr>
      <w:r>
        <w:rPr>
          <w:rFonts w:hint="eastAsia" w:hAnsi="宋体"/>
          <w:color w:val="auto"/>
          <w:szCs w:val="21"/>
          <w:highlight w:val="none"/>
        </w:rPr>
        <w:t>4、对技术复杂的货物，甲方应请国家认可的专业检测机构参与初步验收及最终验收，并由其出具质量检测报告，检测相关费用由</w:t>
      </w:r>
      <w:r>
        <w:rPr>
          <w:rFonts w:hint="eastAsia" w:hAnsi="宋体"/>
          <w:color w:val="auto"/>
          <w:szCs w:val="21"/>
          <w:highlight w:val="none"/>
          <w:u w:val="single"/>
        </w:rPr>
        <w:t xml:space="preserve"> 甲 </w:t>
      </w:r>
      <w:r>
        <w:rPr>
          <w:rFonts w:hint="eastAsia" w:hAnsi="宋体"/>
          <w:color w:val="auto"/>
          <w:szCs w:val="21"/>
          <w:highlight w:val="none"/>
        </w:rPr>
        <w:t>方承担。</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5、验收时乙方必须在现场，验收完毕后作出验收结果报告。</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第十三条  货物包装、发运及运输</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1、乙方应在货物发运前对其进行满足运输距离、防潮、防震、防锈和防破损装卸等要求包装，以保证货物安全运达甲方指定地点。</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2、使用说明书、质量检验证明书、随配附件和工具以及清单一并附于货物内。</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3、乙方在货物发运手续办理完毕后二十四小时内或货到甲方四十八小时前通知甲方，以准备接货。</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4、货物在交付甲方前发生的风险均由乙方负责。</w:t>
      </w:r>
    </w:p>
    <w:p>
      <w:pPr>
        <w:pStyle w:val="20"/>
        <w:snapToGrid w:val="0"/>
        <w:spacing w:line="360" w:lineRule="exact"/>
        <w:ind w:left="420" w:leftChars="200" w:right="26"/>
        <w:jc w:val="distribute"/>
        <w:rPr>
          <w:color w:val="auto"/>
          <w:spacing w:val="-8"/>
          <w:szCs w:val="21"/>
          <w:highlight w:val="none"/>
        </w:rPr>
      </w:pPr>
      <w:r>
        <w:rPr>
          <w:rFonts w:hint="eastAsia"/>
          <w:color w:val="auto"/>
          <w:szCs w:val="21"/>
          <w:highlight w:val="none"/>
        </w:rPr>
        <w:t>5、货</w:t>
      </w:r>
      <w:r>
        <w:rPr>
          <w:rFonts w:hint="eastAsia"/>
          <w:color w:val="auto"/>
          <w:spacing w:val="-8"/>
          <w:szCs w:val="21"/>
          <w:highlight w:val="none"/>
        </w:rPr>
        <w:t>物在规定的交付期限内由乙方送达甲方指定的地点视为交付，乙方同时需通知甲方货物已送达。</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第十四条　违约责任</w:t>
      </w:r>
    </w:p>
    <w:p>
      <w:pPr>
        <w:snapToGrid w:val="0"/>
        <w:spacing w:line="360" w:lineRule="exact"/>
        <w:ind w:firstLine="525" w:firstLineChars="250"/>
        <w:rPr>
          <w:rFonts w:ascii="宋体"/>
          <w:color w:val="auto"/>
          <w:szCs w:val="21"/>
          <w:highlight w:val="none"/>
        </w:rPr>
      </w:pPr>
      <w:r>
        <w:rPr>
          <w:rFonts w:hint="eastAsia" w:asci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color w:val="auto"/>
          <w:szCs w:val="21"/>
          <w:highlight w:val="none"/>
        </w:rPr>
      </w:pPr>
      <w:r>
        <w:rPr>
          <w:rFonts w:hint="eastAsia" w:ascii="宋体"/>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3、因包装、运输引起的货物损坏，按质量不合格处罚。</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4、乙方逾期交货的，每天向甲方偿付违约货款额3‰违约金，但违约金累计不得超过违约货款额</w:t>
      </w:r>
      <w:r>
        <w:rPr>
          <w:rFonts w:hint="eastAsia" w:ascii="宋体"/>
          <w:color w:val="auto"/>
          <w:szCs w:val="21"/>
          <w:highlight w:val="none"/>
          <w:u w:val="single"/>
        </w:rPr>
        <w:t>5%</w:t>
      </w:r>
      <w:r>
        <w:rPr>
          <w:rFonts w:hint="eastAsia" w:ascii="宋体"/>
          <w:color w:val="auto"/>
          <w:szCs w:val="21"/>
          <w:highlight w:val="none"/>
        </w:rPr>
        <w:t>，超过</w:t>
      </w:r>
      <w:r>
        <w:rPr>
          <w:rFonts w:hint="eastAsia" w:ascii="宋体"/>
          <w:color w:val="auto"/>
          <w:szCs w:val="21"/>
          <w:highlight w:val="none"/>
          <w:u w:val="single"/>
        </w:rPr>
        <w:t xml:space="preserve"> 20 </w:t>
      </w:r>
      <w:r>
        <w:rPr>
          <w:rFonts w:hint="eastAsia" w:ascii="宋体"/>
          <w:color w:val="auto"/>
          <w:szCs w:val="21"/>
          <w:highlight w:val="none"/>
        </w:rPr>
        <w:t>天对方有权解除合同，违约方承担因此给对方造成经济损失；甲方延期付货款的，每天向乙方偿付延期货款额</w:t>
      </w:r>
      <w:r>
        <w:rPr>
          <w:rFonts w:hint="eastAsia" w:ascii="宋体"/>
          <w:color w:val="auto"/>
          <w:szCs w:val="21"/>
          <w:highlight w:val="none"/>
          <w:u w:val="single"/>
        </w:rPr>
        <w:t xml:space="preserve">3‰ </w:t>
      </w:r>
      <w:r>
        <w:rPr>
          <w:rFonts w:hint="eastAsia" w:ascii="宋体"/>
          <w:color w:val="auto"/>
          <w:szCs w:val="21"/>
          <w:highlight w:val="none"/>
        </w:rPr>
        <w:t>滞纳金，但滞纳金累计不得超过延期货款额</w:t>
      </w:r>
      <w:r>
        <w:rPr>
          <w:rFonts w:hint="eastAsia" w:ascii="宋体"/>
          <w:color w:val="auto"/>
          <w:szCs w:val="21"/>
          <w:highlight w:val="none"/>
          <w:u w:val="single"/>
        </w:rPr>
        <w:t>5%</w:t>
      </w:r>
      <w:r>
        <w:rPr>
          <w:rFonts w:hint="eastAsia" w:ascii="宋体"/>
          <w:color w:val="auto"/>
          <w:szCs w:val="21"/>
          <w:highlight w:val="none"/>
        </w:rPr>
        <w:t>。</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5、乙方未按本合同和投标文件中规定的服务承诺提供售后服务的，乙方应按本合同合计金额</w:t>
      </w:r>
      <w:r>
        <w:rPr>
          <w:rFonts w:hint="eastAsia" w:ascii="宋体"/>
          <w:color w:val="auto"/>
          <w:szCs w:val="21"/>
          <w:highlight w:val="none"/>
          <w:u w:val="single"/>
        </w:rPr>
        <w:t xml:space="preserve"> 5%</w:t>
      </w:r>
      <w:r>
        <w:rPr>
          <w:rFonts w:hint="eastAsia" w:ascii="宋体"/>
          <w:color w:val="auto"/>
          <w:szCs w:val="21"/>
          <w:highlight w:val="none"/>
        </w:rPr>
        <w:t>向甲方支付违约金。</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6、乙方提供的货物在质量保修期内，因设计、工艺或材料的缺陷和其它质量原因造成的问题，由乙方负责，费用从履约保证金中扣除，不足另补。</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7、其它违约行为按违约货款额5%收取违约金并赔偿经济损失。</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第十五条  不可抗力事件处理</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1、在合同有效期内，任何一方因不可抗力事件导致不能履行合同，则合同履行期可延长，其延长期与不可抗力影响期相同。</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2、不可抗力事件发生后，应立即通知对方，并寄送有关权威机构出具的证明。</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3、不可抗力事件延续一百二十天以上，双方应通过友好协商，确定是否继续履行合同。</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第十六条  合同争议解决</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1、因货物质量问题发生争议的，可邀请国家认可的质量检测机构对货物质量进行鉴定。货物符合标准的，鉴定费由甲方承担；货物不符合标准的，鉴定费由乙方承担。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2、因履行本合同引起的或与本合同有关的争议，甲乙双方应首先通过友好协商解决，如果协商不能解决，应向甲方所在地人民法院提起诉讼。</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3、诉讼期间，本合同继续履行。</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第十七条  诉讼</w:t>
      </w:r>
    </w:p>
    <w:p>
      <w:pPr>
        <w:snapToGrid w:val="0"/>
        <w:spacing w:line="360" w:lineRule="exact"/>
        <w:ind w:firstLine="420" w:firstLineChars="200"/>
        <w:rPr>
          <w:rFonts w:ascii="宋体"/>
          <w:color w:val="auto"/>
          <w:szCs w:val="21"/>
          <w:highlight w:val="none"/>
        </w:rPr>
      </w:pPr>
      <w:r>
        <w:rPr>
          <w:rFonts w:hint="eastAsia"/>
          <w:color w:val="auto"/>
          <w:szCs w:val="21"/>
          <w:highlight w:val="none"/>
        </w:rPr>
        <w:t xml:space="preserve">  双方在执行合同中所发生的一切争议，应通过协商解决。如果协商不能解决，应向甲方所在地人民法院提起诉讼。</w:t>
      </w:r>
      <w:r>
        <w:rPr>
          <w:rFonts w:ascii="宋体"/>
          <w:color w:val="auto"/>
          <w:szCs w:val="21"/>
          <w:highlight w:val="none"/>
        </w:rPr>
        <w:t>包括但不限于案件受理费、调查取证、鉴定费、差旅费、律师费等由败诉方承担。</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第十八条  合同生效及其它</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1、合同经双方法定代表人或授权代表签字并加盖单位公章后生效。</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2、合同执行中涉及采购资金和采购内容修改或补充的，须经财政部门审批，并签书面补充协议报财政部门备案，方可作为主合同不可分割的一部分。</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3、本合同未尽事宜，遵照《中华人民共和国民法典》有关条文执行。</w:t>
      </w:r>
    </w:p>
    <w:p>
      <w:pPr>
        <w:pStyle w:val="20"/>
        <w:snapToGrid w:val="0"/>
        <w:spacing w:before="120" w:after="120" w:line="360" w:lineRule="exact"/>
        <w:ind w:left="561" w:leftChars="267"/>
        <w:rPr>
          <w:b/>
          <w:color w:val="auto"/>
          <w:szCs w:val="21"/>
          <w:highlight w:val="none"/>
        </w:rPr>
      </w:pPr>
      <w:r>
        <w:rPr>
          <w:rFonts w:hint="eastAsia"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第十九条　合同的变更、终止与转让</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1、除《中华人民共和国政府采购法》第五十条规定的情形外，本合同一经签订，甲乙双方不得擅自变更、中止或终止。</w:t>
      </w:r>
    </w:p>
    <w:p>
      <w:pPr>
        <w:pStyle w:val="20"/>
        <w:snapToGrid w:val="0"/>
        <w:spacing w:before="120" w:after="120" w:line="360" w:lineRule="exact"/>
        <w:ind w:firstLine="411" w:firstLineChars="196"/>
        <w:rPr>
          <w:b/>
          <w:color w:val="auto"/>
          <w:szCs w:val="21"/>
          <w:highlight w:val="none"/>
        </w:rPr>
      </w:pPr>
      <w:r>
        <w:rPr>
          <w:rFonts w:hint="eastAsia"/>
          <w:color w:val="auto"/>
          <w:szCs w:val="21"/>
          <w:highlight w:val="none"/>
        </w:rPr>
        <w:t>2、乙方不得擅自转让（无进口资格的供应商委托进口货物除外）其应履行的合同义务。</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第二十条　签订本合同依据</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1、政府采购招标文件；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2、乙方提供的投标文件；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3、投标承诺书；</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4、中标通知书。</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第二十一条　</w:t>
      </w:r>
      <w:r>
        <w:rPr>
          <w:rFonts w:hint="eastAsia" w:ascii="宋体"/>
          <w:color w:val="auto"/>
          <w:szCs w:val="21"/>
          <w:highlight w:val="none"/>
        </w:rPr>
        <w:t>本合同一式七份，均具有同等法律效力。</w:t>
      </w:r>
      <w:r>
        <w:rPr>
          <w:rFonts w:hint="eastAsia" w:ascii="宋体"/>
          <w:color w:val="auto"/>
          <w:spacing w:val="4"/>
          <w:szCs w:val="21"/>
          <w:highlight w:val="none"/>
        </w:rPr>
        <w:t>广西壮族自治区财政厅政府采购监督管理处、采购代理机构各一份</w:t>
      </w:r>
      <w:r>
        <w:rPr>
          <w:rFonts w:hint="eastAsia" w:ascii="宋体"/>
          <w:color w:val="auto"/>
          <w:szCs w:val="21"/>
          <w:highlight w:val="none"/>
        </w:rPr>
        <w:t>，甲方三份，乙方二份。</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本合同甲乙双方签字盖章后生效，自签订之日起七个工作日内，采购人或采购代理机构应当将合同副本报</w:t>
      </w:r>
      <w:r>
        <w:rPr>
          <w:rFonts w:hint="eastAsia" w:ascii="宋体"/>
          <w:color w:val="auto"/>
          <w:spacing w:val="4"/>
          <w:szCs w:val="21"/>
          <w:highlight w:val="none"/>
        </w:rPr>
        <w:t>广西壮族自治区财政厅政府采购监督管理处</w:t>
      </w:r>
      <w:r>
        <w:rPr>
          <w:rFonts w:hint="eastAsia" w:ascii="宋体"/>
          <w:color w:val="auto"/>
          <w:szCs w:val="21"/>
          <w:highlight w:val="none"/>
        </w:rPr>
        <w:t>备案。</w:t>
      </w:r>
    </w:p>
    <w:p>
      <w:pPr>
        <w:snapToGrid w:val="0"/>
        <w:spacing w:line="360" w:lineRule="exact"/>
        <w:ind w:firstLine="420" w:firstLineChars="200"/>
        <w:rPr>
          <w:rFonts w:ascii="宋体"/>
          <w:color w:val="auto"/>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甲方（章）           </w:t>
            </w:r>
          </w:p>
          <w:p>
            <w:pPr>
              <w:snapToGrid w:val="0"/>
              <w:spacing w:line="360" w:lineRule="exact"/>
              <w:ind w:firstLine="945" w:firstLineChars="450"/>
              <w:jc w:val="right"/>
              <w:rPr>
                <w:rFonts w:ascii="宋体"/>
                <w:color w:val="auto"/>
                <w:szCs w:val="21"/>
                <w:highlight w:val="none"/>
              </w:rPr>
            </w:pPr>
            <w:r>
              <w:rPr>
                <w:rFonts w:hint="eastAsia" w:ascii="宋体"/>
                <w:color w:val="auto"/>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乙方（章）             </w:t>
            </w:r>
          </w:p>
          <w:p>
            <w:pPr>
              <w:snapToGrid w:val="0"/>
              <w:spacing w:line="360" w:lineRule="exact"/>
              <w:jc w:val="right"/>
              <w:rPr>
                <w:rFonts w:ascii="宋体"/>
                <w:color w:val="auto"/>
                <w:szCs w:val="21"/>
                <w:highlight w:val="none"/>
              </w:rPr>
            </w:pPr>
            <w:r>
              <w:rPr>
                <w:rFonts w:hint="eastAsia" w:asci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通讯地址：南宁市明秀东路175号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电话：0771-3908051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开户银行：中国银行南宁市明秀东支行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账号：6262 5749 8267</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邮政编码：530001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color w:val="auto"/>
                <w:szCs w:val="21"/>
                <w:highlight w:val="none"/>
              </w:rPr>
            </w:pPr>
            <w:r>
              <w:rPr>
                <w:rFonts w:hint="eastAsia" w:ascii="宋体"/>
                <w:color w:val="auto"/>
                <w:szCs w:val="21"/>
                <w:highlight w:val="none"/>
              </w:rPr>
              <w:t>经办人：</w:t>
            </w:r>
          </w:p>
          <w:p>
            <w:pPr>
              <w:snapToGrid w:val="0"/>
              <w:spacing w:line="360" w:lineRule="exact"/>
              <w:ind w:firstLine="630" w:firstLineChars="300"/>
              <w:jc w:val="right"/>
              <w:rPr>
                <w:rFonts w:ascii="宋体"/>
                <w:color w:val="auto"/>
                <w:szCs w:val="21"/>
                <w:highlight w:val="none"/>
              </w:rPr>
            </w:pPr>
            <w:r>
              <w:rPr>
                <w:rFonts w:hint="eastAsia" w:ascii="宋体"/>
                <w:color w:val="auto"/>
                <w:szCs w:val="21"/>
                <w:highlight w:val="none"/>
              </w:rPr>
              <w:t>年    月    日</w:t>
            </w:r>
          </w:p>
        </w:tc>
      </w:tr>
    </w:tbl>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br w:type="page"/>
      </w: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t>合 同 附 件</w:t>
      </w:r>
    </w:p>
    <w:p>
      <w:pPr>
        <w:snapToGrid w:val="0"/>
        <w:spacing w:line="360" w:lineRule="exact"/>
        <w:jc w:val="center"/>
        <w:rPr>
          <w:rFonts w:ascii="宋体"/>
          <w:b/>
          <w:color w:val="auto"/>
          <w:szCs w:val="21"/>
          <w:highlight w:val="none"/>
        </w:rPr>
      </w:pPr>
    </w:p>
    <w:tbl>
      <w:tblPr>
        <w:tblStyle w:val="34"/>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4、其他具体事项：</w:t>
            </w:r>
          </w:p>
        </w:tc>
      </w:tr>
      <w:tr>
        <w:tblPrEx>
          <w:tblCellMar>
            <w:top w:w="0" w:type="dxa"/>
            <w:left w:w="108" w:type="dxa"/>
            <w:bottom w:w="0" w:type="dxa"/>
            <w:right w:w="108" w:type="dxa"/>
          </w:tblCellMar>
        </w:tblPrEx>
        <w:trPr>
          <w:trHeight w:val="257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甲方（章）</w:t>
            </w: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乙方（章）</w:t>
            </w: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 xml:space="preserve">                       年   月   日</w:t>
            </w:r>
          </w:p>
        </w:tc>
      </w:tr>
    </w:tbl>
    <w:p>
      <w:pPr>
        <w:snapToGrid w:val="0"/>
        <w:spacing w:line="360" w:lineRule="exact"/>
        <w:rPr>
          <w:rFonts w:ascii="宋体"/>
          <w:color w:val="auto"/>
          <w:szCs w:val="21"/>
          <w:highlight w:val="none"/>
        </w:rPr>
      </w:pPr>
      <w:r>
        <w:rPr>
          <w:rFonts w:hint="eastAsia" w:ascii="宋体"/>
          <w:color w:val="auto"/>
          <w:szCs w:val="21"/>
          <w:highlight w:val="none"/>
        </w:rPr>
        <w:t xml:space="preserve">  注：售后服务事项填不下时可另加附页</w:t>
      </w:r>
    </w:p>
    <w:p>
      <w:pPr>
        <w:rPr>
          <w:color w:val="auto"/>
          <w:highlight w:val="none"/>
        </w:rPr>
      </w:pPr>
    </w:p>
    <w:p>
      <w:pPr>
        <w:snapToGrid w:val="0"/>
        <w:spacing w:line="360" w:lineRule="auto"/>
        <w:jc w:val="left"/>
        <w:rPr>
          <w:rFonts w:ascii="宋体" w:hAnsi="宋体"/>
          <w:color w:val="auto"/>
          <w:szCs w:val="21"/>
          <w:highlight w:val="none"/>
        </w:rPr>
      </w:pPr>
    </w:p>
    <w:p>
      <w:pPr>
        <w:spacing w:before="4"/>
        <w:rPr>
          <w:rFonts w:ascii="宋体" w:hAnsi="宋体" w:cs="宋体"/>
          <w:color w:val="auto"/>
          <w:sz w:val="6"/>
          <w:szCs w:val="6"/>
          <w:highlight w:val="none"/>
        </w:rPr>
      </w:pPr>
      <w:r>
        <w:rPr>
          <w:rFonts w:ascii="宋体" w:hAnsi="宋体"/>
          <w:b/>
          <w:color w:val="auto"/>
          <w:sz w:val="32"/>
          <w:szCs w:val="32"/>
          <w:highlight w:val="none"/>
        </w:rPr>
        <w:br w:type="page"/>
      </w:r>
    </w:p>
    <w:p>
      <w:pPr>
        <w:pStyle w:val="20"/>
        <w:spacing w:line="360" w:lineRule="auto"/>
        <w:ind w:left="178" w:leftChars="85"/>
        <w:rPr>
          <w:rFonts w:hAnsi="宋体"/>
          <w:color w:val="auto"/>
          <w:highlight w:val="none"/>
        </w:rPr>
      </w:pPr>
    </w:p>
    <w:p>
      <w:pPr>
        <w:pStyle w:val="20"/>
        <w:tabs>
          <w:tab w:val="left" w:pos="2472"/>
        </w:tabs>
        <w:spacing w:line="460" w:lineRule="exact"/>
        <w:jc w:val="center"/>
        <w:rPr>
          <w:rFonts w:ascii="Times New Roman" w:hAnsi="Times New Roman"/>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pStyle w:val="20"/>
        <w:tabs>
          <w:tab w:val="left" w:pos="2472"/>
        </w:tabs>
        <w:spacing w:line="460" w:lineRule="exact"/>
        <w:jc w:val="center"/>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bookmarkStart w:id="65" w:name="_Toc80093010"/>
      <w:r>
        <w:rPr>
          <w:rFonts w:hint="eastAsia" w:ascii="Times New Roman" w:hAnsi="Times New Roman"/>
          <w:b/>
          <w:color w:val="auto"/>
          <w:sz w:val="36"/>
          <w:highlight w:val="none"/>
        </w:rPr>
        <w:t>第六章 投标文件格式</w:t>
      </w:r>
      <w:bookmarkEnd w:id="65"/>
    </w:p>
    <w:p>
      <w:pPr>
        <w:pStyle w:val="20"/>
        <w:spacing w:line="360" w:lineRule="auto"/>
        <w:rPr>
          <w:rFonts w:hAnsi="宋体"/>
          <w:color w:val="auto"/>
          <w:highlight w:val="none"/>
        </w:rPr>
        <w:sectPr>
          <w:footerReference r:id="rId7" w:type="default"/>
          <w:pgSz w:w="11906" w:h="16838"/>
          <w:pgMar w:top="1134" w:right="1134" w:bottom="1134" w:left="1134" w:header="720" w:footer="720" w:gutter="0"/>
          <w:cols w:space="720" w:num="1"/>
          <w:docGrid w:type="lines" w:linePitch="331" w:charSpace="0"/>
        </w:sectPr>
      </w:pPr>
    </w:p>
    <w:p>
      <w:pPr>
        <w:rPr>
          <w:b/>
          <w:color w:val="auto"/>
          <w:sz w:val="28"/>
          <w:szCs w:val="28"/>
          <w:highlight w:val="none"/>
        </w:rPr>
      </w:pPr>
      <w:r>
        <w:rPr>
          <w:rFonts w:hint="eastAsia"/>
          <w:b/>
          <w:color w:val="auto"/>
          <w:sz w:val="28"/>
          <w:szCs w:val="28"/>
          <w:highlight w:val="none"/>
        </w:rPr>
        <w:t>一、报价文件格式</w:t>
      </w:r>
    </w:p>
    <w:p>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ascii="宋体" w:hAnsi="宋体"/>
          <w:bCs/>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line="400" w:lineRule="exact"/>
        <w:jc w:val="center"/>
        <w:rPr>
          <w:rFonts w:ascii="宋体" w:hAnsi="宋体"/>
          <w:bCs/>
          <w:color w:val="auto"/>
          <w:sz w:val="32"/>
          <w:szCs w:val="32"/>
          <w:highlight w:val="none"/>
        </w:rPr>
      </w:pPr>
    </w:p>
    <w:p>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20"/>
        <w:spacing w:line="44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20"/>
        <w:spacing w:line="44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60" w:lineRule="auto"/>
        <w:rPr>
          <w:rFonts w:ascii="宋体" w:hAnsi="宋体" w:cs="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r>
        <w:rPr>
          <w:rFonts w:hint="eastAsia" w:ascii="宋体" w:hAnsi="宋体" w:cs="仿宋_GB2312"/>
          <w:color w:val="auto"/>
          <w:sz w:val="24"/>
          <w:highlight w:val="none"/>
        </w:rPr>
        <w:t xml:space="preserve">                                        </w:t>
      </w:r>
    </w:p>
    <w:tbl>
      <w:tblPr>
        <w:tblStyle w:val="3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6"/>
        <w:gridCol w:w="2810"/>
        <w:gridCol w:w="869"/>
        <w:gridCol w:w="1027"/>
        <w:gridCol w:w="1027"/>
        <w:gridCol w:w="3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firstLine="482" w:firstLineChars="200"/>
        <w:rPr>
          <w:rFonts w:ascii="宋体" w:hAnsi="宋体"/>
          <w:b/>
          <w:color w:val="auto"/>
          <w:sz w:val="24"/>
          <w:highlight w:val="none"/>
        </w:rPr>
      </w:pPr>
    </w:p>
    <w:p>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pPr>
        <w:rPr>
          <w:b/>
          <w:color w:val="auto"/>
          <w:sz w:val="28"/>
          <w:szCs w:val="28"/>
          <w:highlight w:val="none"/>
        </w:rPr>
      </w:pPr>
      <w:r>
        <w:rPr>
          <w:rFonts w:ascii="宋体" w:hAnsi="宋体"/>
          <w:b/>
          <w:bCs/>
          <w:color w:val="auto"/>
          <w:sz w:val="24"/>
          <w:highlight w:val="none"/>
        </w:rPr>
        <w:br w:type="page"/>
      </w:r>
      <w:bookmarkStart w:id="66" w:name="_Toc19686837"/>
      <w:r>
        <w:rPr>
          <w:rFonts w:hint="eastAsia"/>
          <w:b/>
          <w:color w:val="auto"/>
          <w:sz w:val="28"/>
          <w:szCs w:val="28"/>
          <w:highlight w:val="none"/>
        </w:rPr>
        <w:t>二、资格证明文件格式</w:t>
      </w:r>
      <w:bookmarkEnd w:id="66"/>
    </w:p>
    <w:p>
      <w:pPr>
        <w:numPr>
          <w:ilvl w:val="2"/>
          <w:numId w:val="9"/>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ascii="宋体" w:hAnsi="宋体"/>
          <w:color w:val="auto"/>
          <w:sz w:val="24"/>
          <w:szCs w:val="20"/>
          <w:highlight w:val="none"/>
        </w:rPr>
      </w:pPr>
    </w:p>
    <w:p>
      <w:pPr>
        <w:numPr>
          <w:ilvl w:val="2"/>
          <w:numId w:val="9"/>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numPr>
          <w:ilvl w:val="2"/>
          <w:numId w:val="9"/>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ascii="宋体" w:hAnsi="宋体"/>
          <w:b/>
          <w:color w:val="auto"/>
          <w:sz w:val="28"/>
          <w:szCs w:val="28"/>
          <w:highlight w:val="none"/>
        </w:rPr>
      </w:pPr>
    </w:p>
    <w:p>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34"/>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ascii="宋体" w:hAnsi="宋体"/>
          <w:color w:val="auto"/>
          <w:szCs w:val="21"/>
          <w:highlight w:val="none"/>
        </w:rPr>
      </w:pPr>
    </w:p>
    <w:p>
      <w:pPr>
        <w:snapToGrid w:val="0"/>
        <w:spacing w:before="120" w:beforeLines="50" w:after="50"/>
        <w:jc w:val="left"/>
        <w:rPr>
          <w:rFonts w:ascii="宋体" w:hAnsi="宋体"/>
          <w:b/>
          <w:color w:val="auto"/>
          <w:sz w:val="24"/>
          <w:szCs w:val="20"/>
          <w:highlight w:val="none"/>
        </w:rPr>
      </w:pPr>
    </w:p>
    <w:p>
      <w:pPr>
        <w:numPr>
          <w:ilvl w:val="2"/>
          <w:numId w:val="9"/>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pPr>
        <w:snapToGrid w:val="0"/>
        <w:spacing w:before="50" w:after="120" w:afterLines="50"/>
        <w:jc w:val="left"/>
        <w:rPr>
          <w:rFonts w:ascii="宋体" w:hAnsi="宋体"/>
          <w:color w:val="auto"/>
          <w:highlight w:val="none"/>
        </w:rPr>
      </w:pP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pPr>
        <w:spacing w:line="400" w:lineRule="exact"/>
        <w:contextualSpacing/>
        <w:jc w:val="left"/>
        <w:rPr>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pPr>
        <w:rPr>
          <w:b/>
          <w:color w:val="auto"/>
          <w:sz w:val="28"/>
          <w:szCs w:val="28"/>
          <w:highlight w:val="none"/>
        </w:rPr>
      </w:pPr>
      <w:bookmarkStart w:id="67" w:name="_Toc19686838"/>
      <w:r>
        <w:rPr>
          <w:b/>
          <w:color w:val="auto"/>
          <w:sz w:val="28"/>
          <w:szCs w:val="28"/>
          <w:highlight w:val="none"/>
        </w:rPr>
        <w:br w:type="page"/>
      </w:r>
      <w:r>
        <w:rPr>
          <w:rFonts w:hint="eastAsia"/>
          <w:b/>
          <w:color w:val="auto"/>
          <w:sz w:val="28"/>
          <w:szCs w:val="28"/>
          <w:highlight w:val="none"/>
        </w:rPr>
        <w:t>三、商务文件格式</w:t>
      </w:r>
      <w:bookmarkEnd w:id="67"/>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0"/>
        <w:spacing w:line="440" w:lineRule="exact"/>
        <w:ind w:firstLine="6840" w:firstLineChars="2850"/>
        <w:contextualSpacing/>
        <w:rPr>
          <w:rFonts w:hAnsi="宋体"/>
          <w:color w:val="auto"/>
          <w:sz w:val="24"/>
          <w:szCs w:val="24"/>
          <w:highlight w:val="none"/>
        </w:rPr>
      </w:pPr>
    </w:p>
    <w:p>
      <w:pPr>
        <w:pStyle w:val="20"/>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20"/>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ascii="宋体" w:hAnsi="宋体"/>
          <w:color w:val="auto"/>
          <w:sz w:val="24"/>
          <w:highlight w:val="none"/>
        </w:rPr>
      </w:pP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ascii="宋体" w:hAnsi="宋体"/>
          <w:b/>
          <w:color w:val="auto"/>
          <w:sz w:val="24"/>
          <w:highlight w:val="none"/>
        </w:rPr>
      </w:pPr>
    </w:p>
    <w:p>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ascii="宋体" w:hAnsi="宋体"/>
          <w:color w:val="auto"/>
          <w:sz w:val="24"/>
          <w:highlight w:val="none"/>
        </w:rPr>
      </w:pP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68" w:name="_Hlk65851555"/>
      <w:bookmarkStart w:id="69" w:name="_Hlk65851620"/>
      <w:r>
        <w:rPr>
          <w:rFonts w:hint="eastAsia" w:ascii="宋体" w:hAnsi="宋体" w:cs="仿宋_GB2312"/>
          <w:color w:val="auto"/>
          <w:sz w:val="24"/>
          <w:highlight w:val="none"/>
        </w:rPr>
        <w:t>法定代表人必须在授权委托书上亲笔签字或者盖章，</w:t>
      </w:r>
      <w:bookmarkEnd w:id="68"/>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69"/>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ascii="宋体" w:hAnsi="宋体"/>
          <w:color w:val="auto"/>
          <w:sz w:val="24"/>
          <w:highlight w:val="none"/>
        </w:rPr>
        <w:sectPr>
          <w:footerReference r:id="rId11" w:type="first"/>
          <w:headerReference r:id="rId8" w:type="default"/>
          <w:footerReference r:id="rId9" w:type="default"/>
          <w:footerReference r:id="rId10" w:type="even"/>
          <w:pgSz w:w="11906" w:h="16838"/>
          <w:pgMar w:top="1134" w:right="1134" w:bottom="2269" w:left="1134" w:header="851" w:footer="567" w:gutter="0"/>
          <w:cols w:space="720" w:num="1"/>
          <w:titlePg/>
          <w:docGrid w:linePitch="312" w:charSpace="0"/>
        </w:sectPr>
      </w:pPr>
    </w:p>
    <w:p>
      <w:pPr>
        <w:rPr>
          <w:rFonts w:ascii="宋体" w:hAnsi="宋体"/>
          <w:color w:val="auto"/>
          <w:sz w:val="24"/>
          <w:highlight w:val="none"/>
        </w:rPr>
      </w:pPr>
    </w:p>
    <w:p>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ascii="宋体" w:hAnsi="宋体"/>
          <w:color w:val="auto"/>
          <w:sz w:val="24"/>
          <w:highlight w:val="none"/>
        </w:rPr>
      </w:pPr>
    </w:p>
    <w:p>
      <w:pPr>
        <w:pStyle w:val="2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ascii="宋体" w:hAnsi="宋体"/>
          <w:color w:val="auto"/>
          <w:sz w:val="24"/>
          <w:highlight w:val="none"/>
          <w:u w:val="single"/>
        </w:rPr>
      </w:pP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质量保证期</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售后技术服务要求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bl>
    <w:p>
      <w:pPr>
        <w:pStyle w:val="15"/>
        <w:rPr>
          <w:rFonts w:ascii="宋体" w:hAnsi="宋体"/>
          <w:color w:val="auto"/>
          <w:highlight w:val="none"/>
        </w:rPr>
      </w:pPr>
      <w:r>
        <w:rPr>
          <w:rFonts w:hint="eastAsia" w:ascii="宋体" w:hAnsi="宋体"/>
          <w:color w:val="auto"/>
          <w:highlight w:val="none"/>
        </w:rPr>
        <w:t>注：</w:t>
      </w:r>
    </w:p>
    <w:p>
      <w:pPr>
        <w:pStyle w:val="17"/>
        <w:spacing w:line="520" w:lineRule="exact"/>
        <w:ind w:firstLine="0"/>
        <w:rPr>
          <w:rFonts w:hAnsi="仿宋_GB2312" w:cs="仿宋_GB2312"/>
          <w:color w:val="auto"/>
          <w:szCs w:val="32"/>
          <w:highlight w:val="none"/>
        </w:rPr>
      </w:pPr>
      <w:r>
        <w:rPr>
          <w:rFonts w:hint="eastAsia" w:hAnsi="宋体"/>
          <w:color w:val="auto"/>
          <w:sz w:val="24"/>
          <w:szCs w:val="24"/>
          <w:highlight w:val="none"/>
        </w:rPr>
        <w:t>1.</w:t>
      </w:r>
      <w:r>
        <w:rPr>
          <w:rFonts w:hint="eastAsia"/>
          <w:color w:val="auto"/>
          <w:highlight w:val="none"/>
        </w:rPr>
        <w:t xml:space="preserve"> </w:t>
      </w:r>
      <w:r>
        <w:rPr>
          <w:rFonts w:hint="eastAsia" w:hAnsi="宋体"/>
          <w:color w:val="auto"/>
          <w:sz w:val="24"/>
          <w:szCs w:val="24"/>
          <w:highlight w:val="none"/>
        </w:rPr>
        <w:t>说明：应对照招标文件“第二章 采购需求”中的商务要求逐条作明确的投标响应，并作出偏离说明。</w:t>
      </w:r>
    </w:p>
    <w:p>
      <w:pPr>
        <w:pStyle w:val="15"/>
        <w:rPr>
          <w:rFonts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29"/>
        <w:snapToGrid w:val="0"/>
        <w:ind w:left="480" w:hanging="480"/>
        <w:rPr>
          <w:rFonts w:ascii="宋体" w:hAnsi="宋体"/>
          <w:color w:val="auto"/>
          <w:sz w:val="24"/>
          <w:highlight w:val="none"/>
        </w:rPr>
      </w:pPr>
    </w:p>
    <w:p>
      <w:pPr>
        <w:pStyle w:val="29"/>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pStyle w:val="12"/>
        <w:spacing w:before="0" w:after="0" w:line="360" w:lineRule="auto"/>
        <w:contextualSpacing/>
        <w:rPr>
          <w:rFonts w:ascii="宋体" w:hAnsi="宋体" w:eastAsia="宋体"/>
          <w:color w:val="auto"/>
          <w:sz w:val="24"/>
          <w:szCs w:val="24"/>
          <w:highlight w:val="none"/>
        </w:rPr>
      </w:pPr>
    </w:p>
    <w:p>
      <w:pPr>
        <w:pStyle w:val="12"/>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注：投标人根据评标标准具体要求附业绩证明材料。</w:t>
      </w:r>
    </w:p>
    <w:p>
      <w:pPr>
        <w:pStyle w:val="12"/>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rPr>
          <w:b/>
          <w:color w:val="auto"/>
          <w:sz w:val="28"/>
          <w:szCs w:val="28"/>
          <w:highlight w:val="none"/>
        </w:rPr>
      </w:pPr>
      <w:r>
        <w:rPr>
          <w:rFonts w:hint="eastAsia"/>
          <w:b/>
          <w:color w:val="auto"/>
          <w:sz w:val="28"/>
          <w:szCs w:val="28"/>
          <w:highlight w:val="none"/>
        </w:rPr>
        <w:t>四、技术文件格式</w:t>
      </w: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ascii="宋体" w:hAnsi="宋体"/>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ascii="宋体" w:hAnsi="宋体"/>
          <w:color w:val="auto"/>
          <w:sz w:val="24"/>
          <w:szCs w:val="20"/>
          <w:highlight w:val="none"/>
        </w:rPr>
      </w:pPr>
    </w:p>
    <w:p>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4. 技术要求偏离表格式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pPr>
        <w:pStyle w:val="2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分标（如有）</w:t>
      </w:r>
    </w:p>
    <w:tbl>
      <w:tblPr>
        <w:tblStyle w:val="3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项号</w:t>
            </w:r>
          </w:p>
        </w:tc>
        <w:tc>
          <w:tcPr>
            <w:tcW w:w="2143"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jc w:val="center"/>
              <w:rPr>
                <w:rFonts w:hAnsi="宋体" w:cs="Courier New"/>
                <w:color w:val="auto"/>
                <w:sz w:val="24"/>
                <w:szCs w:val="24"/>
                <w:highlight w:val="none"/>
              </w:rPr>
            </w:pPr>
          </w:p>
        </w:tc>
        <w:tc>
          <w:tcPr>
            <w:tcW w:w="2143" w:type="dxa"/>
            <w:vAlign w:val="center"/>
          </w:tcPr>
          <w:p>
            <w:pPr>
              <w:pStyle w:val="20"/>
              <w:spacing w:line="600" w:lineRule="exact"/>
              <w:jc w:val="center"/>
              <w:rPr>
                <w:rFonts w:hAnsi="宋体" w:cs="Courier New"/>
                <w:color w:val="auto"/>
                <w:sz w:val="24"/>
                <w:szCs w:val="24"/>
                <w:highlight w:val="none"/>
              </w:rPr>
            </w:pPr>
          </w:p>
        </w:tc>
        <w:tc>
          <w:tcPr>
            <w:tcW w:w="1834" w:type="dxa"/>
            <w:vAlign w:val="center"/>
          </w:tcPr>
          <w:p>
            <w:pPr>
              <w:pStyle w:val="20"/>
              <w:spacing w:line="600" w:lineRule="exact"/>
              <w:jc w:val="center"/>
              <w:rPr>
                <w:rFonts w:hAnsi="宋体" w:cs="Courier New"/>
                <w:color w:val="auto"/>
                <w:sz w:val="24"/>
                <w:szCs w:val="24"/>
                <w:highlight w:val="none"/>
              </w:rPr>
            </w:pPr>
          </w:p>
        </w:tc>
        <w:tc>
          <w:tcPr>
            <w:tcW w:w="2181" w:type="dxa"/>
            <w:vAlign w:val="center"/>
          </w:tcPr>
          <w:p>
            <w:pPr>
              <w:pStyle w:val="20"/>
              <w:spacing w:line="600" w:lineRule="exact"/>
              <w:jc w:val="center"/>
              <w:rPr>
                <w:rFonts w:hAnsi="宋体" w:cs="Courier New"/>
                <w:color w:val="auto"/>
                <w:sz w:val="24"/>
                <w:szCs w:val="24"/>
                <w:highlight w:val="none"/>
              </w:rPr>
            </w:pPr>
          </w:p>
        </w:tc>
        <w:tc>
          <w:tcPr>
            <w:tcW w:w="1934" w:type="dxa"/>
            <w:vAlign w:val="center"/>
          </w:tcPr>
          <w:p>
            <w:pPr>
              <w:pStyle w:val="20"/>
              <w:spacing w:line="600" w:lineRule="exact"/>
              <w:jc w:val="center"/>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bl>
    <w:p>
      <w:pPr>
        <w:pStyle w:val="15"/>
        <w:rPr>
          <w:rFonts w:ascii="宋体" w:hAnsi="宋体"/>
          <w:color w:val="auto"/>
          <w:spacing w:val="-4"/>
          <w:sz w:val="24"/>
          <w:szCs w:val="24"/>
          <w:highlight w:val="none"/>
        </w:rPr>
      </w:pPr>
      <w:r>
        <w:rPr>
          <w:rFonts w:hint="eastAsia" w:ascii="宋体" w:hAnsi="宋体"/>
          <w:color w:val="auto"/>
          <w:spacing w:val="-4"/>
          <w:sz w:val="24"/>
          <w:szCs w:val="24"/>
          <w:highlight w:val="none"/>
        </w:rPr>
        <w:t>注：</w:t>
      </w:r>
    </w:p>
    <w:p>
      <w:pPr>
        <w:pStyle w:val="17"/>
        <w:spacing w:line="360" w:lineRule="auto"/>
        <w:ind w:firstLine="0"/>
        <w:contextualSpacing/>
        <w:rPr>
          <w:rFonts w:hAnsi="仿宋_GB2312" w:cs="仿宋_GB2312"/>
          <w:color w:val="auto"/>
          <w:szCs w:val="32"/>
          <w:highlight w:val="none"/>
        </w:rPr>
      </w:pPr>
      <w:r>
        <w:rPr>
          <w:rFonts w:hint="eastAsia" w:hAnsi="宋体"/>
          <w:color w:val="auto"/>
          <w:sz w:val="24"/>
          <w:szCs w:val="24"/>
          <w:highlight w:val="none"/>
        </w:rPr>
        <w:t>1.说明：应对照招标文件“第二章 采购需求”中的“技术要求”逐条作明确的投标响应，并作出偏离说明。</w:t>
      </w:r>
    </w:p>
    <w:p>
      <w:pPr>
        <w:pStyle w:val="15"/>
        <w:spacing w:line="360" w:lineRule="auto"/>
        <w:contextualSpacing/>
        <w:rPr>
          <w:rFonts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pStyle w:val="17"/>
        <w:spacing w:line="360" w:lineRule="auto"/>
        <w:ind w:firstLine="0"/>
        <w:rPr>
          <w:rFonts w:hAnsi="宋体"/>
          <w:color w:val="auto"/>
          <w:sz w:val="24"/>
          <w:szCs w:val="24"/>
          <w:highlight w:val="none"/>
        </w:rPr>
      </w:pPr>
      <w:r>
        <w:rPr>
          <w:rFonts w:hint="eastAsia" w:hAnsi="宋体"/>
          <w:color w:val="auto"/>
          <w:sz w:val="24"/>
          <w:szCs w:val="24"/>
          <w:highlight w:val="none"/>
        </w:rPr>
        <w:t>3.投标人认为其投标响应有正偏离的，请在技术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17"/>
        <w:spacing w:line="360" w:lineRule="auto"/>
        <w:ind w:firstLine="0"/>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w:t>
      </w:r>
      <w:r>
        <w:rPr>
          <w:rFonts w:hint="eastAsia" w:hAnsi="宋体"/>
          <w:color w:val="auto"/>
          <w:sz w:val="24"/>
          <w:szCs w:val="24"/>
          <w:highlight w:val="none"/>
        </w:rPr>
        <w:t xml:space="preserve"> 如技术偏离表中的投标响应与佐证材料不一致的，以佐证材料为准。</w:t>
      </w:r>
    </w:p>
    <w:p>
      <w:pPr>
        <w:snapToGrid w:val="0"/>
        <w:spacing w:before="50" w:after="50" w:line="360" w:lineRule="auto"/>
        <w:rPr>
          <w:rFonts w:ascii="宋体" w:hAnsi="宋体"/>
          <w:color w:val="auto"/>
          <w:sz w:val="24"/>
          <w:highlight w:val="none"/>
        </w:rPr>
      </w:pPr>
    </w:p>
    <w:p>
      <w:pPr>
        <w:pStyle w:val="9"/>
        <w:rPr>
          <w:color w:val="auto"/>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分标（如有）</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bl>
    <w:p>
      <w:pPr>
        <w:snapToGrid w:val="0"/>
        <w:spacing w:before="50" w:after="120" w:afterLines="50"/>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bl>
    <w:p>
      <w:pPr>
        <w:spacing w:line="360" w:lineRule="auto"/>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b/>
          <w:color w:val="auto"/>
          <w:sz w:val="28"/>
          <w:szCs w:val="28"/>
          <w:highlight w:val="none"/>
        </w:rPr>
      </w:pPr>
      <w:r>
        <w:rPr>
          <w:rFonts w:hint="eastAsia"/>
          <w:b/>
          <w:color w:val="auto"/>
          <w:sz w:val="28"/>
          <w:szCs w:val="28"/>
          <w:highlight w:val="none"/>
        </w:rPr>
        <w:t>五、其他文书、文件格式</w:t>
      </w:r>
    </w:p>
    <w:p>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1.联合投标协议书格式（如有要求）</w:t>
      </w:r>
    </w:p>
    <w:p>
      <w:pPr>
        <w:snapToGrid w:val="0"/>
        <w:spacing w:before="120" w:beforeLines="50" w:after="50"/>
        <w:ind w:left="142"/>
        <w:jc w:val="left"/>
        <w:rPr>
          <w:rFonts w:ascii="宋体" w:hAnsi="宋体"/>
          <w:b/>
          <w:color w:val="auto"/>
          <w:spacing w:val="20"/>
          <w:sz w:val="24"/>
          <w:highlight w:val="none"/>
        </w:rPr>
      </w:pPr>
    </w:p>
    <w:p>
      <w:pPr>
        <w:pStyle w:val="8"/>
        <w:overflowPunct w:val="0"/>
        <w:ind w:firstLine="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pPr>
        <w:pStyle w:val="8"/>
        <w:overflowPunct w:val="0"/>
        <w:rPr>
          <w:rFonts w:ascii="宋体" w:hAnsi="宋体"/>
          <w:color w:val="auto"/>
          <w:sz w:val="24"/>
          <w:highlight w:val="none"/>
        </w:rPr>
      </w:pPr>
    </w:p>
    <w:p>
      <w:pPr>
        <w:pStyle w:val="8"/>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snapToGrid w:val="0"/>
        <w:spacing w:before="120" w:beforeLines="50" w:after="50"/>
        <w:jc w:val="left"/>
        <w:rPr>
          <w:color w:val="auto"/>
          <w:highlight w:val="none"/>
        </w:rPr>
      </w:pPr>
      <w:r>
        <w:rPr>
          <w:rFonts w:hint="eastAsia" w:ascii="宋体" w:hAnsi="宋体"/>
          <w:b/>
          <w:color w:val="auto"/>
          <w:sz w:val="24"/>
          <w:highlight w:val="none"/>
        </w:rPr>
        <w:t xml:space="preserve"> 2.中小企业声明函格式</w:t>
      </w:r>
    </w:p>
    <w:p>
      <w:pPr>
        <w:rPr>
          <w:color w:val="auto"/>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6"/>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6"/>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6"/>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6"/>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6"/>
        <w:spacing w:line="360" w:lineRule="auto"/>
        <w:ind w:left="3960" w:right="1808"/>
        <w:contextualSpacing/>
        <w:rPr>
          <w:rFonts w:ascii="宋体" w:hAnsi="宋体"/>
          <w:color w:val="auto"/>
          <w:kern w:val="24"/>
          <w:highlight w:val="none"/>
        </w:rPr>
      </w:pPr>
    </w:p>
    <w:p>
      <w:pPr>
        <w:pStyle w:val="16"/>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6"/>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6"/>
        <w:spacing w:line="360" w:lineRule="auto"/>
        <w:ind w:left="3960" w:right="1808"/>
        <w:contextualSpacing/>
        <w:rPr>
          <w:rFonts w:ascii="宋体" w:hAnsi="宋体"/>
          <w:color w:val="auto"/>
          <w:kern w:val="24"/>
          <w:highlight w:val="none"/>
        </w:rPr>
      </w:pPr>
    </w:p>
    <w:p>
      <w:pPr>
        <w:pStyle w:val="16"/>
        <w:spacing w:line="360" w:lineRule="auto"/>
        <w:ind w:left="3960" w:right="1808"/>
        <w:contextualSpacing/>
        <w:rPr>
          <w:rFonts w:ascii="宋体" w:hAnsi="宋体"/>
          <w:color w:val="auto"/>
          <w:kern w:val="24"/>
          <w:highlight w:val="none"/>
        </w:rPr>
      </w:pPr>
    </w:p>
    <w:p>
      <w:pPr>
        <w:pStyle w:val="16"/>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b/>
          <w:color w:val="auto"/>
          <w:sz w:val="24"/>
          <w:highlight w:val="none"/>
        </w:rPr>
      </w:pPr>
    </w:p>
    <w:p>
      <w:pPr>
        <w:pStyle w:val="20"/>
        <w:jc w:val="left"/>
        <w:rPr>
          <w:rFonts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pPr>
        <w:ind w:left="1871"/>
        <w:rPr>
          <w:rFonts w:ascii="宋体" w:hAnsi="宋体" w:cs="Arial Unicode MS"/>
          <w:color w:val="auto"/>
          <w:szCs w:val="21"/>
          <w:highlight w:val="none"/>
        </w:rPr>
      </w:pPr>
    </w:p>
    <w:tbl>
      <w:tblPr>
        <w:tblStyle w:val="34"/>
        <w:tblW w:w="7983" w:type="dxa"/>
        <w:tblInd w:w="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p>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pPr>
        <w:spacing w:line="588" w:lineRule="exact"/>
        <w:jc w:val="center"/>
        <w:rPr>
          <w:rFonts w:ascii="仿宋_GB2312" w:eastAsia="仿宋_GB2312"/>
          <w:b/>
          <w:color w:val="auto"/>
          <w:spacing w:val="6"/>
          <w:sz w:val="32"/>
          <w:szCs w:val="32"/>
          <w:highlight w:val="none"/>
        </w:rPr>
      </w:pPr>
    </w:p>
    <w:p>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pPr>
        <w:pStyle w:val="20"/>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0"/>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0"/>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0"/>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20"/>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pPr>
        <w:pStyle w:val="20"/>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pPr>
        <w:pStyle w:val="20"/>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0"/>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0"/>
        <w:spacing w:line="360" w:lineRule="auto"/>
        <w:ind w:left="25" w:leftChars="12" w:firstLine="352" w:firstLineChars="147"/>
        <w:rPr>
          <w:rFonts w:hAnsi="宋体"/>
          <w:color w:val="auto"/>
          <w:sz w:val="24"/>
          <w:szCs w:val="24"/>
          <w:highlight w:val="none"/>
        </w:rPr>
      </w:pP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0"/>
        <w:spacing w:line="360" w:lineRule="auto"/>
        <w:ind w:left="25" w:leftChars="12" w:firstLine="352" w:firstLineChars="147"/>
        <w:rPr>
          <w:rFonts w:hAnsi="宋体"/>
          <w:color w:val="auto"/>
          <w:sz w:val="24"/>
          <w:szCs w:val="24"/>
          <w:highlight w:val="none"/>
        </w:rPr>
      </w:pP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0"/>
        <w:snapToGrid w:val="0"/>
        <w:spacing w:line="360" w:lineRule="auto"/>
        <w:rPr>
          <w:rFonts w:hAnsi="宋体"/>
          <w:b/>
          <w:color w:val="auto"/>
          <w:sz w:val="24"/>
          <w:szCs w:val="24"/>
          <w:highlight w:val="none"/>
        </w:rPr>
      </w:pPr>
    </w:p>
    <w:p>
      <w:pPr>
        <w:pStyle w:val="20"/>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0"/>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0"/>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0"/>
        <w:snapToGrid w:val="0"/>
        <w:rPr>
          <w:b/>
          <w:color w:val="auto"/>
          <w:sz w:val="24"/>
          <w:szCs w:val="24"/>
          <w:highlight w:val="none"/>
        </w:rPr>
      </w:pPr>
    </w:p>
    <w:p>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5.投诉书格式</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pPr>
        <w:pStyle w:val="20"/>
        <w:snapToGrid w:val="0"/>
        <w:spacing w:line="440" w:lineRule="exact"/>
        <w:ind w:firstLine="482" w:firstLineChars="200"/>
        <w:rPr>
          <w:rFonts w:hAnsi="宋体"/>
          <w:b/>
          <w:bCs/>
          <w:color w:val="auto"/>
          <w:sz w:val="24"/>
          <w:szCs w:val="24"/>
          <w:highlight w:val="none"/>
        </w:rPr>
      </w:pPr>
    </w:p>
    <w:p>
      <w:pPr>
        <w:pStyle w:val="20"/>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0"/>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20"/>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20"/>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pPr>
        <w:pStyle w:val="20"/>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20"/>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0"/>
        <w:spacing w:line="440" w:lineRule="exact"/>
        <w:ind w:left="25" w:leftChars="12" w:firstLine="352" w:firstLineChars="147"/>
        <w:rPr>
          <w:rFonts w:hAnsi="宋体"/>
          <w:color w:val="auto"/>
          <w:sz w:val="24"/>
          <w:szCs w:val="24"/>
          <w:highlight w:val="none"/>
        </w:rPr>
      </w:pP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0"/>
        <w:spacing w:line="440" w:lineRule="exact"/>
        <w:ind w:left="25" w:leftChars="12" w:firstLine="352" w:firstLineChars="147"/>
        <w:rPr>
          <w:rFonts w:hAnsi="宋体"/>
          <w:color w:val="auto"/>
          <w:sz w:val="24"/>
          <w:szCs w:val="24"/>
          <w:highlight w:val="none"/>
        </w:rPr>
      </w:pP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pPr>
        <w:pStyle w:val="20"/>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pPr>
        <w:pStyle w:val="20"/>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0"/>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snapToGrid w:val="0"/>
        <w:spacing w:before="50" w:after="120" w:afterLines="50" w:line="360" w:lineRule="auto"/>
        <w:ind w:firstLine="480" w:firstLineChars="200"/>
        <w:jc w:val="left"/>
        <w:rPr>
          <w:color w:val="auto"/>
          <w:sz w:val="24"/>
          <w:highlight w:val="none"/>
        </w:rPr>
      </w:pPr>
    </w:p>
    <w:sectPr>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6</w:t>
    </w:r>
    <w:r>
      <w:fldChar w:fldCharType="end"/>
    </w:r>
  </w:p>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sz w:val="21"/>
      </w:rPr>
    </w:pPr>
    <w:r>
      <w:rPr>
        <w:sz w:val="21"/>
      </w:rPr>
      <w:fldChar w:fldCharType="begin"/>
    </w:r>
    <w:r>
      <w:rPr>
        <w:rStyle w:val="37"/>
        <w:sz w:val="21"/>
      </w:rPr>
      <w:instrText xml:space="preserve">PAGE  </w:instrText>
    </w:r>
    <w:r>
      <w:rPr>
        <w:sz w:val="21"/>
      </w:rPr>
      <w:fldChar w:fldCharType="separate"/>
    </w:r>
    <w:r>
      <w:rPr>
        <w:rStyle w:val="37"/>
        <w:sz w:val="21"/>
      </w:rPr>
      <w:t>0</w:t>
    </w:r>
    <w:r>
      <w:rPr>
        <w:sz w:val="21"/>
      </w:rPr>
      <w:fldChar w:fldCharType="end"/>
    </w:r>
  </w:p>
  <w:p>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0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5"/>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IluObMMBAAB8AwAADgAAAAAAAAABACAAAAAf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53</w:t>
                    </w:r>
                    <w:r>
                      <w:fldChar w:fldCharType="end"/>
                    </w:r>
                  </w:p>
                </w:txbxContent>
              </v:textbox>
            </v:rect>
          </w:pict>
        </mc:Fallback>
      </mc:AlternateConten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10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5"/>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FSo2xMMBAAB8AwAADgAAAAAAAAABACAAAAAf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84</w:t>
                    </w:r>
                    <w:r>
                      <w:fldChar w:fldCharType="end"/>
                    </w:r>
                  </w:p>
                </w:txbxContent>
              </v:textbox>
            </v:rect>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 PAGE   \* MERGEFORMAT </w:instrText>
                          </w:r>
                          <w:r>
                            <w:fldChar w:fldCharType="separate"/>
                          </w:r>
                          <w:r>
                            <w:rPr>
                              <w:lang w:val="zh-CN"/>
                            </w:rPr>
                            <w:t>111</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rZ6G9AQAAewMAAA4AAABkcnMvZTJvRG9jLnhtbK1TS27bMBDdF8gd&#10;CO5jykZb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jb6uaGEsct7vz04/vp5+/T&#10;r2/kX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0Ctnob0BAAB7AwAADgAAAAAAAAABACAAAAAfAQAAZHJzL2Uyb0RvYy54bWxQSwUGAAAA&#10;AAYABgBZAQAATgU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111</w:t>
                    </w:r>
                    <w:r>
                      <w:fldChar w:fldCharType="end"/>
                    </w:r>
                  </w:p>
                </w:txbxContent>
              </v:textbox>
            </v:rect>
          </w:pict>
        </mc:Fallback>
      </mc:AlternateContent>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PAGE   \* MERGEFORMAT</w:instrText>
                          </w:r>
                          <w:r>
                            <w:fldChar w:fldCharType="separate"/>
                          </w:r>
                          <w:r>
                            <w:rPr>
                              <w:lang w:val="zh-CN"/>
                            </w:rP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2/btq7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qEpjlvc+enHy+nn79Ov&#10;7+Q6O9QHqLHxOTzFKQMMs9xBRZt/UQgZiqvHi6tySETg5Xy5WC4ztsDaOUEc9vr3ECHdSW9JDhoa&#10;cW3FTX54gDS2nlvyNOPy6fytNmas5huWaY7EcpSG7TCx3fr2iCp7XHNDHb5qSsy9QxfzizgH8Rxs&#10;pyDPgPB5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O2/btq7AQAAewMAAA4AAAAAAAAAAQAgAAAAHwEAAGRycy9lMm9Eb2MueG1sUEsFBgAAAAAG&#10;AAYAWQEAAEwFAAAAAA==&#10;">
              <v:fill on="f" focussize="0,0"/>
              <v:stroke on="f"/>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94</w:t>
                    </w:r>
                    <w:r>
                      <w:fldChar w:fldCharType="end"/>
                    </w:r>
                  </w:p>
                </w:txbxContent>
              </v:textbox>
            </v:rect>
          </w:pict>
        </mc:Fallback>
      </mc:AlternateContent>
    </w:r>
  </w:p>
  <w:p>
    <w:pPr>
      <w:pStyle w:val="25"/>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 PAGE   \* MERGEFORMAT </w:instrText>
                          </w:r>
                          <w:r>
                            <w:fldChar w:fldCharType="separate"/>
                          </w:r>
                          <w:r>
                            <w:rPr>
                              <w:lang w:val="zh-CN"/>
                            </w:rPr>
                            <w:t>125</w:t>
                          </w:r>
                          <w:r>
                            <w:fldChar w:fldCharType="end"/>
                          </w: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125</w:t>
                    </w:r>
                    <w:r>
                      <w:fldChar w:fldCharType="end"/>
                    </w:r>
                  </w:p>
                </w:txbxContent>
              </v:textbox>
            </v:rect>
          </w:pict>
        </mc:Fallback>
      </mc:AlternateContent>
    </w:r>
  </w:p>
  <w:p>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6"/>
      <w:numFmt w:val="decimal"/>
      <w:suff w:val="nothing"/>
      <w:lvlText w:val="%1、"/>
      <w:lvlJc w:val="left"/>
    </w:lvl>
  </w:abstractNum>
  <w:abstractNum w:abstractNumId="5">
    <w:nsid w:val="00000005"/>
    <w:multiLevelType w:val="singleLevel"/>
    <w:tmpl w:val="00000005"/>
    <w:lvl w:ilvl="0" w:tentative="0">
      <w:start w:val="1"/>
      <w:numFmt w:val="decimal"/>
      <w:suff w:val="space"/>
      <w:lvlText w:val="%1."/>
      <w:lvlJc w:val="left"/>
    </w:lvl>
  </w:abstractNum>
  <w:abstractNum w:abstractNumId="6">
    <w:nsid w:val="00000006"/>
    <w:multiLevelType w:val="singleLevel"/>
    <w:tmpl w:val="00000006"/>
    <w:lvl w:ilvl="0" w:tentative="0">
      <w:start w:val="1"/>
      <w:numFmt w:val="decimal"/>
      <w:suff w:val="nothing"/>
      <w:lvlText w:val="（%1）"/>
      <w:lvlJc w:val="left"/>
      <w:pPr>
        <w:ind w:left="-2"/>
      </w:p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multilevel"/>
    <w:tmpl w:val="00000008"/>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MTI3MDRiZWJlZDRkZTA3NmY0MjY1ZjJiMjJkMzMifQ=="/>
  </w:docVars>
  <w:rsids>
    <w:rsidRoot w:val="00000000"/>
    <w:rsid w:val="067A20E2"/>
    <w:rsid w:val="0CF00A98"/>
    <w:rsid w:val="14CA41A8"/>
    <w:rsid w:val="15B21996"/>
    <w:rsid w:val="1C4E237C"/>
    <w:rsid w:val="243B59EA"/>
    <w:rsid w:val="283D111F"/>
    <w:rsid w:val="30EF796E"/>
    <w:rsid w:val="38D96AA0"/>
    <w:rsid w:val="422B4C4A"/>
    <w:rsid w:val="45C73FC5"/>
    <w:rsid w:val="4A935E7A"/>
    <w:rsid w:val="4DC2505E"/>
    <w:rsid w:val="623C47F1"/>
    <w:rsid w:val="63253AE5"/>
    <w:rsid w:val="68773D84"/>
    <w:rsid w:val="68C2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53"/>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54"/>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99"/>
    <w:pPr>
      <w:keepNext/>
      <w:keepLines/>
      <w:spacing w:before="240" w:after="64" w:line="320" w:lineRule="auto"/>
      <w:outlineLvl w:val="5"/>
    </w:pPr>
    <w:rPr>
      <w:rFonts w:ascii="Cambria" w:hAnsi="Cambria"/>
      <w:b/>
      <w:bCs/>
      <w:sz w:val="24"/>
    </w:rPr>
  </w:style>
  <w:style w:type="character" w:default="1" w:styleId="36">
    <w:name w:val="Default Paragraph Font"/>
    <w:qFormat/>
    <w:uiPriority w:val="1"/>
  </w:style>
  <w:style w:type="table" w:default="1" w:styleId="34">
    <w:name w:val="Normal Table"/>
    <w:qFormat/>
    <w:uiPriority w:val="99"/>
    <w:tblPr>
      <w:tblCellMar>
        <w:top w:w="0" w:type="dxa"/>
        <w:left w:w="108" w:type="dxa"/>
        <w:bottom w:w="0" w:type="dxa"/>
        <w:right w:w="108" w:type="dxa"/>
      </w:tblCellMar>
    </w:tblPr>
  </w:style>
  <w:style w:type="paragraph" w:styleId="2">
    <w:name w:val="toc 2"/>
    <w:basedOn w:val="1"/>
    <w:next w:val="1"/>
    <w:qFormat/>
    <w:uiPriority w:val="39"/>
    <w:pPr>
      <w:jc w:val="left"/>
    </w:pPr>
    <w:rPr>
      <w:rFonts w:ascii="Calibri" w:hAnsi="Calibri"/>
      <w:b/>
      <w:bCs/>
      <w:smallCaps/>
      <w:sz w:val="22"/>
      <w:szCs w:val="22"/>
    </w:rPr>
  </w:style>
  <w:style w:type="paragraph" w:styleId="8">
    <w:name w:val="Normal Indent"/>
    <w:basedOn w:val="1"/>
    <w:qFormat/>
    <w:uiPriority w:val="0"/>
    <w:pPr>
      <w:ind w:firstLine="420"/>
    </w:pPr>
    <w:rPr>
      <w:szCs w:val="20"/>
    </w:rPr>
  </w:style>
  <w:style w:type="paragraph" w:styleId="10">
    <w:name w:val="toc 7"/>
    <w:basedOn w:val="1"/>
    <w:next w:val="1"/>
    <w:qFormat/>
    <w:uiPriority w:val="39"/>
    <w:pPr>
      <w:jc w:val="left"/>
    </w:pPr>
    <w:rPr>
      <w:rFonts w:ascii="Calibri" w:hAnsi="Calibri"/>
      <w:sz w:val="22"/>
      <w:szCs w:val="22"/>
    </w:rPr>
  </w:style>
  <w:style w:type="paragraph" w:styleId="11">
    <w:name w:val="index 8"/>
    <w:basedOn w:val="1"/>
    <w:next w:val="1"/>
    <w:qFormat/>
    <w:uiPriority w:val="0"/>
    <w:pPr>
      <w:ind w:left="294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55"/>
    <w:qFormat/>
    <w:uiPriority w:val="0"/>
    <w:rPr>
      <w:rFonts w:ascii="宋体"/>
      <w:sz w:val="18"/>
      <w:szCs w:val="18"/>
    </w:rPr>
  </w:style>
  <w:style w:type="paragraph" w:styleId="14">
    <w:name w:val="annotation text"/>
    <w:basedOn w:val="1"/>
    <w:link w:val="56"/>
    <w:qFormat/>
    <w:uiPriority w:val="0"/>
    <w:pPr>
      <w:jc w:val="left"/>
    </w:pPr>
  </w:style>
  <w:style w:type="paragraph" w:styleId="15">
    <w:name w:val="Body Text 3"/>
    <w:basedOn w:val="1"/>
    <w:link w:val="57"/>
    <w:qFormat/>
    <w:uiPriority w:val="99"/>
    <w:pPr>
      <w:spacing w:after="120"/>
    </w:pPr>
    <w:rPr>
      <w:sz w:val="16"/>
      <w:szCs w:val="16"/>
    </w:rPr>
  </w:style>
  <w:style w:type="paragraph" w:styleId="16">
    <w:name w:val="Body Text"/>
    <w:basedOn w:val="1"/>
    <w:next w:val="1"/>
    <w:link w:val="58"/>
    <w:qFormat/>
    <w:uiPriority w:val="99"/>
    <w:pPr>
      <w:spacing w:after="120"/>
    </w:pPr>
  </w:style>
  <w:style w:type="paragraph" w:styleId="17">
    <w:name w:val="Body Text Indent"/>
    <w:basedOn w:val="1"/>
    <w:link w:val="59"/>
    <w:qFormat/>
    <w:uiPriority w:val="0"/>
    <w:pPr>
      <w:spacing w:line="200" w:lineRule="exact"/>
      <w:ind w:firstLine="301"/>
    </w:pPr>
    <w:rPr>
      <w:rFonts w:ascii="宋体" w:hAnsi="Courier New"/>
      <w:spacing w:val="-4"/>
      <w:sz w:val="18"/>
      <w:szCs w:val="20"/>
    </w:rPr>
  </w:style>
  <w:style w:type="paragraph" w:styleId="18">
    <w:name w:val="toc 5"/>
    <w:basedOn w:val="1"/>
    <w:next w:val="1"/>
    <w:qFormat/>
    <w:uiPriority w:val="39"/>
    <w:pPr>
      <w:jc w:val="left"/>
    </w:pPr>
    <w:rPr>
      <w:rFonts w:ascii="Calibri" w:hAnsi="Calibri"/>
      <w:sz w:val="22"/>
      <w:szCs w:val="22"/>
    </w:rPr>
  </w:style>
  <w:style w:type="paragraph" w:styleId="19">
    <w:name w:val="toc 3"/>
    <w:basedOn w:val="1"/>
    <w:next w:val="1"/>
    <w:qFormat/>
    <w:uiPriority w:val="39"/>
    <w:pPr>
      <w:jc w:val="left"/>
    </w:pPr>
    <w:rPr>
      <w:rFonts w:ascii="Calibri" w:hAnsi="Calibri"/>
      <w:smallCaps/>
      <w:sz w:val="22"/>
      <w:szCs w:val="22"/>
    </w:rPr>
  </w:style>
  <w:style w:type="paragraph" w:styleId="20">
    <w:name w:val="Plain Text"/>
    <w:basedOn w:val="1"/>
    <w:next w:val="11"/>
    <w:link w:val="60"/>
    <w:qFormat/>
    <w:uiPriority w:val="0"/>
    <w:rPr>
      <w:rFonts w:ascii="宋体" w:hAnsi="Courier New"/>
      <w:szCs w:val="20"/>
    </w:rPr>
  </w:style>
  <w:style w:type="paragraph" w:styleId="21">
    <w:name w:val="toc 8"/>
    <w:basedOn w:val="1"/>
    <w:next w:val="1"/>
    <w:qFormat/>
    <w:uiPriority w:val="39"/>
    <w:pPr>
      <w:jc w:val="left"/>
    </w:pPr>
    <w:rPr>
      <w:rFonts w:ascii="Calibri" w:hAnsi="Calibri"/>
      <w:sz w:val="22"/>
      <w:szCs w:val="22"/>
    </w:rPr>
  </w:style>
  <w:style w:type="paragraph" w:styleId="22">
    <w:name w:val="Date"/>
    <w:basedOn w:val="1"/>
    <w:next w:val="1"/>
    <w:link w:val="61"/>
    <w:qFormat/>
    <w:uiPriority w:val="0"/>
    <w:pPr>
      <w:ind w:left="100" w:leftChars="2500"/>
    </w:pPr>
  </w:style>
  <w:style w:type="paragraph" w:styleId="23">
    <w:name w:val="Body Text Indent 2"/>
    <w:basedOn w:val="1"/>
    <w:link w:val="62"/>
    <w:qFormat/>
    <w:uiPriority w:val="0"/>
    <w:pPr>
      <w:spacing w:after="120" w:line="480" w:lineRule="auto"/>
      <w:ind w:left="420" w:leftChars="200"/>
    </w:pPr>
  </w:style>
  <w:style w:type="paragraph" w:styleId="24">
    <w:name w:val="Balloon Text"/>
    <w:basedOn w:val="1"/>
    <w:link w:val="63"/>
    <w:qFormat/>
    <w:uiPriority w:val="0"/>
    <w:rPr>
      <w:sz w:val="18"/>
      <w:szCs w:val="18"/>
    </w:rPr>
  </w:style>
  <w:style w:type="paragraph" w:styleId="25">
    <w:name w:val="footer"/>
    <w:basedOn w:val="1"/>
    <w:link w:val="64"/>
    <w:qFormat/>
    <w:uiPriority w:val="99"/>
    <w:pPr>
      <w:tabs>
        <w:tab w:val="center" w:pos="4153"/>
        <w:tab w:val="right" w:pos="8306"/>
      </w:tabs>
      <w:snapToGrid w:val="0"/>
      <w:jc w:val="left"/>
    </w:pPr>
    <w:rPr>
      <w:sz w:val="18"/>
      <w:szCs w:val="18"/>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b/>
      <w:bCs/>
      <w:caps/>
      <w:sz w:val="22"/>
      <w:szCs w:val="22"/>
      <w:u w:val="single"/>
    </w:rPr>
  </w:style>
  <w:style w:type="paragraph" w:styleId="28">
    <w:name w:val="toc 4"/>
    <w:basedOn w:val="1"/>
    <w:next w:val="1"/>
    <w:qFormat/>
    <w:uiPriority w:val="39"/>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39"/>
    <w:pPr>
      <w:jc w:val="left"/>
    </w:pPr>
    <w:rPr>
      <w:rFonts w:ascii="Calibri" w:hAnsi="Calibri"/>
      <w:sz w:val="22"/>
      <w:szCs w:val="22"/>
    </w:rPr>
  </w:style>
  <w:style w:type="paragraph" w:styleId="31">
    <w:name w:val="toc 9"/>
    <w:basedOn w:val="1"/>
    <w:next w:val="1"/>
    <w:qFormat/>
    <w:uiPriority w:val="39"/>
    <w:pPr>
      <w:jc w:val="left"/>
    </w:pPr>
    <w:rPr>
      <w:rFonts w:ascii="Calibri" w:hAnsi="Calibri"/>
      <w:sz w:val="22"/>
      <w:szCs w:val="22"/>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annotation subject"/>
    <w:basedOn w:val="14"/>
    <w:next w:val="14"/>
    <w:link w:val="66"/>
    <w:qFormat/>
    <w:uiPriority w:val="99"/>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qFormat/>
    <w:uiPriority w:val="0"/>
    <w:rPr>
      <w:color w:val="800080"/>
      <w:u w:val="none"/>
    </w:rPr>
  </w:style>
  <w:style w:type="character" w:styleId="39">
    <w:name w:val="Emphasis"/>
    <w:qFormat/>
    <w:uiPriority w:val="20"/>
  </w:style>
  <w:style w:type="character" w:styleId="40">
    <w:name w:val="HTML Definition"/>
    <w:qFormat/>
    <w:uiPriority w:val="99"/>
  </w:style>
  <w:style w:type="character" w:styleId="41">
    <w:name w:val="HTML Typewriter"/>
    <w:qFormat/>
    <w:uiPriority w:val="99"/>
    <w:rPr>
      <w:rFonts w:hint="default" w:ascii="monospace" w:hAnsi="monospace" w:eastAsia="monospace" w:cs="monospace"/>
      <w:sz w:val="20"/>
    </w:rPr>
  </w:style>
  <w:style w:type="character" w:styleId="42">
    <w:name w:val="HTML Acronym"/>
    <w:qFormat/>
    <w:uiPriority w:val="99"/>
  </w:style>
  <w:style w:type="character" w:styleId="43">
    <w:name w:val="HTML Variable"/>
    <w:qFormat/>
    <w:uiPriority w:val="99"/>
  </w:style>
  <w:style w:type="character" w:styleId="44">
    <w:name w:val="Hyperlink"/>
    <w:qFormat/>
    <w:uiPriority w:val="99"/>
    <w:rPr>
      <w:color w:val="0000FF"/>
      <w:u w:val="none"/>
    </w:rPr>
  </w:style>
  <w:style w:type="character" w:styleId="45">
    <w:name w:val="HTML Code"/>
    <w:qFormat/>
    <w:uiPriority w:val="99"/>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qFormat/>
    <w:uiPriority w:val="99"/>
  </w:style>
  <w:style w:type="character" w:styleId="48">
    <w:name w:val="HTML Keyboard"/>
    <w:qFormat/>
    <w:uiPriority w:val="99"/>
    <w:rPr>
      <w:rFonts w:ascii="monospace" w:hAnsi="monospace" w:eastAsia="monospace" w:cs="monospace"/>
      <w:sz w:val="20"/>
    </w:rPr>
  </w:style>
  <w:style w:type="character" w:styleId="49">
    <w:name w:val="HTML Sample"/>
    <w:qFormat/>
    <w:uiPriority w:val="99"/>
    <w:rPr>
      <w:rFonts w:hint="default" w:ascii="monospace" w:hAnsi="monospace" w:eastAsia="monospace" w:cs="monospace"/>
    </w:rPr>
  </w:style>
  <w:style w:type="character" w:customStyle="1" w:styleId="50">
    <w:name w:val="标题 1 字符"/>
    <w:link w:val="3"/>
    <w:qFormat/>
    <w:uiPriority w:val="0"/>
    <w:rPr>
      <w:b/>
      <w:bCs/>
      <w:kern w:val="44"/>
      <w:sz w:val="44"/>
      <w:szCs w:val="44"/>
    </w:rPr>
  </w:style>
  <w:style w:type="character" w:customStyle="1" w:styleId="51">
    <w:name w:val="标题 2 字符"/>
    <w:link w:val="4"/>
    <w:qFormat/>
    <w:uiPriority w:val="0"/>
    <w:rPr>
      <w:rFonts w:ascii="Arial" w:hAnsi="Arial" w:eastAsia="黑体"/>
      <w:b/>
      <w:bCs/>
      <w:kern w:val="2"/>
      <w:sz w:val="32"/>
      <w:szCs w:val="32"/>
    </w:rPr>
  </w:style>
  <w:style w:type="character" w:customStyle="1" w:styleId="52">
    <w:name w:val="标题 3 字符"/>
    <w:link w:val="5"/>
    <w:qFormat/>
    <w:uiPriority w:val="0"/>
    <w:rPr>
      <w:b/>
      <w:bCs/>
      <w:kern w:val="2"/>
      <w:sz w:val="32"/>
      <w:szCs w:val="32"/>
    </w:rPr>
  </w:style>
  <w:style w:type="character" w:customStyle="1" w:styleId="53">
    <w:name w:val="标题 4 字符"/>
    <w:link w:val="6"/>
    <w:qFormat/>
    <w:uiPriority w:val="0"/>
    <w:rPr>
      <w:rFonts w:ascii="Arial" w:eastAsia="黑体"/>
      <w:sz w:val="28"/>
    </w:rPr>
  </w:style>
  <w:style w:type="character" w:customStyle="1" w:styleId="54">
    <w:name w:val="标题 5 字符"/>
    <w:link w:val="7"/>
    <w:qFormat/>
    <w:uiPriority w:val="9"/>
    <w:rPr>
      <w:b/>
      <w:bCs/>
      <w:kern w:val="2"/>
      <w:sz w:val="28"/>
      <w:szCs w:val="28"/>
    </w:rPr>
  </w:style>
  <w:style w:type="character" w:customStyle="1" w:styleId="55">
    <w:name w:val="文档结构图 字符"/>
    <w:link w:val="13"/>
    <w:qFormat/>
    <w:uiPriority w:val="0"/>
    <w:rPr>
      <w:rFonts w:ascii="宋体"/>
      <w:kern w:val="2"/>
      <w:sz w:val="18"/>
      <w:szCs w:val="18"/>
    </w:rPr>
  </w:style>
  <w:style w:type="character" w:customStyle="1" w:styleId="56">
    <w:name w:val="批注文字 字符"/>
    <w:link w:val="14"/>
    <w:qFormat/>
    <w:uiPriority w:val="0"/>
    <w:rPr>
      <w:kern w:val="2"/>
      <w:sz w:val="21"/>
      <w:szCs w:val="24"/>
    </w:rPr>
  </w:style>
  <w:style w:type="character" w:customStyle="1" w:styleId="57">
    <w:name w:val="正文文本 3 字符"/>
    <w:link w:val="15"/>
    <w:qFormat/>
    <w:uiPriority w:val="99"/>
    <w:rPr>
      <w:kern w:val="2"/>
      <w:sz w:val="16"/>
      <w:szCs w:val="16"/>
    </w:rPr>
  </w:style>
  <w:style w:type="character" w:customStyle="1" w:styleId="58">
    <w:name w:val="正文文本 字符"/>
    <w:link w:val="16"/>
    <w:qFormat/>
    <w:uiPriority w:val="99"/>
    <w:rPr>
      <w:kern w:val="2"/>
      <w:sz w:val="21"/>
      <w:szCs w:val="24"/>
    </w:rPr>
  </w:style>
  <w:style w:type="character" w:customStyle="1" w:styleId="59">
    <w:name w:val="正文文本缩进 字符"/>
    <w:link w:val="17"/>
    <w:qFormat/>
    <w:uiPriority w:val="0"/>
    <w:rPr>
      <w:rFonts w:ascii="宋体" w:hAnsi="Courier New" w:eastAsia="宋体"/>
      <w:spacing w:val="-4"/>
      <w:kern w:val="2"/>
      <w:sz w:val="18"/>
      <w:lang w:val="en-US" w:eastAsia="zh-CN" w:bidi="ar-SA"/>
    </w:rPr>
  </w:style>
  <w:style w:type="character" w:customStyle="1" w:styleId="60">
    <w:name w:val="纯文本 字符"/>
    <w:link w:val="20"/>
    <w:qFormat/>
    <w:uiPriority w:val="0"/>
    <w:rPr>
      <w:rFonts w:ascii="宋体" w:hAnsi="Courier New" w:eastAsia="宋体"/>
      <w:kern w:val="2"/>
      <w:sz w:val="21"/>
      <w:lang w:val="en-US" w:eastAsia="zh-CN" w:bidi="ar-SA"/>
    </w:rPr>
  </w:style>
  <w:style w:type="character" w:customStyle="1" w:styleId="61">
    <w:name w:val="日期 字符"/>
    <w:link w:val="22"/>
    <w:qFormat/>
    <w:uiPriority w:val="0"/>
    <w:rPr>
      <w:kern w:val="2"/>
      <w:sz w:val="21"/>
      <w:szCs w:val="24"/>
    </w:rPr>
  </w:style>
  <w:style w:type="character" w:customStyle="1" w:styleId="62">
    <w:name w:val="正文文本缩进 2 字符"/>
    <w:link w:val="23"/>
    <w:qFormat/>
    <w:uiPriority w:val="0"/>
    <w:rPr>
      <w:kern w:val="2"/>
      <w:sz w:val="21"/>
      <w:szCs w:val="24"/>
    </w:rPr>
  </w:style>
  <w:style w:type="character" w:customStyle="1" w:styleId="63">
    <w:name w:val="批注框文本 字符"/>
    <w:link w:val="24"/>
    <w:qFormat/>
    <w:uiPriority w:val="0"/>
    <w:rPr>
      <w:kern w:val="2"/>
      <w:sz w:val="18"/>
      <w:szCs w:val="18"/>
    </w:rPr>
  </w:style>
  <w:style w:type="character" w:customStyle="1" w:styleId="64">
    <w:name w:val="页脚 字符1"/>
    <w:link w:val="25"/>
    <w:qFormat/>
    <w:uiPriority w:val="99"/>
    <w:rPr>
      <w:kern w:val="2"/>
      <w:sz w:val="18"/>
      <w:szCs w:val="18"/>
    </w:rPr>
  </w:style>
  <w:style w:type="character" w:customStyle="1" w:styleId="65">
    <w:name w:val="页眉 字符1"/>
    <w:link w:val="26"/>
    <w:qFormat/>
    <w:uiPriority w:val="99"/>
    <w:rPr>
      <w:kern w:val="2"/>
      <w:sz w:val="18"/>
      <w:szCs w:val="18"/>
    </w:rPr>
  </w:style>
  <w:style w:type="character" w:customStyle="1" w:styleId="66">
    <w:name w:val="批注主题 字符"/>
    <w:link w:val="33"/>
    <w:qFormat/>
    <w:uiPriority w:val="99"/>
    <w:rPr>
      <w:b/>
      <w:bCs/>
      <w:kern w:val="2"/>
      <w:sz w:val="21"/>
      <w:szCs w:val="24"/>
    </w:rPr>
  </w:style>
  <w:style w:type="character" w:customStyle="1" w:styleId="6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正文文本_"/>
    <w:link w:val="69"/>
    <w:qFormat/>
    <w:uiPriority w:val="0"/>
    <w:rPr>
      <w:rFonts w:ascii="MingLiU" w:hAnsi="MingLiU" w:eastAsia="MingLiU" w:cs="MingLiU"/>
      <w:spacing w:val="9"/>
      <w:sz w:val="19"/>
      <w:szCs w:val="19"/>
      <w:shd w:val="clear" w:color="auto" w:fill="FFFFFF"/>
    </w:rPr>
  </w:style>
  <w:style w:type="paragraph" w:customStyle="1" w:styleId="69">
    <w:name w:val="正文文本1"/>
    <w:basedOn w:val="1"/>
    <w:link w:val="68"/>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71">
    <w:name w:val="layui-layer-tabnow"/>
    <w:qFormat/>
    <w:uiPriority w:val="0"/>
    <w:rPr>
      <w:bdr w:val="single" w:color="CCCCCC" w:sz="6" w:space="0"/>
      <w:shd w:val="clear" w:color="auto" w:fill="FFFFFF"/>
    </w:rPr>
  </w:style>
  <w:style w:type="character" w:customStyle="1" w:styleId="72">
    <w:name w:val="纯文本 字符2"/>
    <w:qFormat/>
    <w:uiPriority w:val="0"/>
    <w:rPr>
      <w:rFonts w:ascii="宋体" w:hAnsi="Courier New" w:eastAsia="宋体" w:cs="Courier New"/>
      <w:szCs w:val="21"/>
    </w:rPr>
  </w:style>
  <w:style w:type="character" w:customStyle="1" w:styleId="73">
    <w:name w:val="批注文字 字符1"/>
    <w:qFormat/>
    <w:uiPriority w:val="0"/>
    <w:rPr>
      <w:rFonts w:ascii="Times New Roman" w:hAnsi="Times New Roman"/>
      <w:kern w:val="2"/>
      <w:sz w:val="21"/>
      <w:szCs w:val="24"/>
    </w:rPr>
  </w:style>
  <w:style w:type="character" w:customStyle="1" w:styleId="74">
    <w:name w:val="批注文字 Char1"/>
    <w:qFormat/>
    <w:uiPriority w:val="0"/>
    <w:rPr>
      <w:rFonts w:ascii="Times New Roman" w:hAnsi="Times New Roman"/>
      <w:kern w:val="2"/>
      <w:sz w:val="21"/>
      <w:szCs w:val="24"/>
    </w:rPr>
  </w:style>
  <w:style w:type="character" w:customStyle="1" w:styleId="75">
    <w:name w:val="font61"/>
    <w:qFormat/>
    <w:uiPriority w:val="0"/>
    <w:rPr>
      <w:rFonts w:hint="eastAsia" w:ascii="宋体" w:hAnsi="宋体" w:eastAsia="宋体" w:cs="宋体"/>
      <w:color w:val="000000"/>
      <w:sz w:val="24"/>
      <w:szCs w:val="24"/>
      <w:u w:val="none"/>
    </w:rPr>
  </w:style>
  <w:style w:type="character" w:customStyle="1" w:styleId="76">
    <w:name w:val="纯文本 Char1"/>
    <w:link w:val="77"/>
    <w:qFormat/>
    <w:uiPriority w:val="0"/>
    <w:rPr>
      <w:rFonts w:ascii="宋体" w:hAnsi="Courier New" w:eastAsia="宋体"/>
      <w:kern w:val="2"/>
      <w:sz w:val="21"/>
      <w:lang w:val="en-US" w:eastAsia="zh-CN" w:bidi="ar-SA"/>
    </w:rPr>
  </w:style>
  <w:style w:type="paragraph" w:customStyle="1" w:styleId="77">
    <w:name w:val="纯文本1"/>
    <w:basedOn w:val="1"/>
    <w:link w:val="76"/>
    <w:qFormat/>
    <w:uiPriority w:val="0"/>
    <w:rPr>
      <w:rFonts w:ascii="宋体" w:hAnsi="Courier New"/>
      <w:szCs w:val="20"/>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脚 字符"/>
    <w:qFormat/>
    <w:uiPriority w:val="99"/>
    <w:rPr>
      <w:sz w:val="18"/>
      <w:szCs w:val="18"/>
    </w:rPr>
  </w:style>
  <w:style w:type="character" w:customStyle="1" w:styleId="80">
    <w:name w:val="页眉 字符"/>
    <w:qFormat/>
    <w:uiPriority w:val="99"/>
    <w:rPr>
      <w:rFonts w:ascii="Times New Roman" w:hAnsi="Times New Roman"/>
      <w:kern w:val="2"/>
      <w:sz w:val="18"/>
      <w:szCs w:val="18"/>
    </w:rPr>
  </w:style>
  <w:style w:type="character" w:customStyle="1" w:styleId="81">
    <w:name w:val="正文2 Char Char"/>
    <w:link w:val="82"/>
    <w:qFormat/>
    <w:uiPriority w:val="0"/>
    <w:rPr>
      <w:kern w:val="2"/>
      <w:sz w:val="24"/>
    </w:rPr>
  </w:style>
  <w:style w:type="paragraph" w:customStyle="1" w:styleId="82">
    <w:name w:val="正文2"/>
    <w:basedOn w:val="1"/>
    <w:link w:val="81"/>
    <w:qFormat/>
    <w:uiPriority w:val="0"/>
    <w:pPr>
      <w:adjustRightInd w:val="0"/>
      <w:spacing w:before="156" w:line="360" w:lineRule="auto"/>
      <w:ind w:firstLine="510" w:firstLineChars="200"/>
    </w:pPr>
    <w:rPr>
      <w:sz w:val="24"/>
      <w:szCs w:val="20"/>
    </w:rPr>
  </w:style>
  <w:style w:type="character" w:customStyle="1" w:styleId="83">
    <w:name w:val="纯文本 Char_0"/>
    <w:link w:val="84"/>
    <w:qFormat/>
    <w:uiPriority w:val="0"/>
    <w:rPr>
      <w:rFonts w:ascii="宋体" w:hAnsi="Courier New"/>
      <w:kern w:val="2"/>
      <w:sz w:val="21"/>
      <w:szCs w:val="21"/>
    </w:rPr>
  </w:style>
  <w:style w:type="paragraph" w:customStyle="1" w:styleId="84">
    <w:name w:val="纯文本_0_0"/>
    <w:basedOn w:val="1"/>
    <w:link w:val="83"/>
    <w:qFormat/>
    <w:uiPriority w:val="0"/>
    <w:rPr>
      <w:rFonts w:ascii="宋体" w:hAnsi="Courier New"/>
      <w:szCs w:val="21"/>
    </w:rPr>
  </w:style>
  <w:style w:type="character" w:customStyle="1" w:styleId="85">
    <w:name w:val="first-child"/>
    <w:qFormat/>
    <w:uiPriority w:val="0"/>
  </w:style>
  <w:style w:type="character" w:customStyle="1" w:styleId="86">
    <w:name w:val="font91"/>
    <w:qFormat/>
    <w:uiPriority w:val="0"/>
    <w:rPr>
      <w:rFonts w:hint="eastAsia" w:ascii="宋体" w:hAnsi="宋体" w:eastAsia="宋体" w:cs="宋体"/>
      <w:color w:val="FF0000"/>
      <w:sz w:val="18"/>
      <w:szCs w:val="18"/>
      <w:u w:val="none"/>
    </w:rPr>
  </w:style>
  <w:style w:type="paragraph" w:customStyle="1" w:styleId="87">
    <w:name w:val="Char"/>
    <w:basedOn w:val="1"/>
    <w:qFormat/>
    <w:uiPriority w:val="0"/>
    <w:rPr>
      <w:szCs w:val="21"/>
    </w:rPr>
  </w:style>
  <w:style w:type="paragraph" w:customStyle="1" w:styleId="88">
    <w:name w:val="p0"/>
    <w:basedOn w:val="1"/>
    <w:qFormat/>
    <w:uiPriority w:val="0"/>
    <w:pPr>
      <w:widowControl/>
    </w:pPr>
    <w:rPr>
      <w:kern w:val="0"/>
      <w:szCs w:val="21"/>
    </w:rPr>
  </w:style>
  <w:style w:type="paragraph" w:customStyle="1" w:styleId="89">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Char Char Char Char Char Char Char"/>
    <w:basedOn w:val="1"/>
    <w:qFormat/>
    <w:uiPriority w:val="0"/>
  </w:style>
  <w:style w:type="paragraph" w:customStyle="1" w:styleId="93">
    <w:name w:val="正文段"/>
    <w:basedOn w:val="1"/>
    <w:qFormat/>
    <w:uiPriority w:val="0"/>
    <w:pPr>
      <w:widowControl/>
      <w:snapToGrid w:val="0"/>
      <w:spacing w:after="156" w:afterLines="50"/>
      <w:ind w:firstLine="200" w:firstLineChars="200"/>
    </w:pPr>
    <w:rPr>
      <w:kern w:val="0"/>
      <w:sz w:val="24"/>
      <w:szCs w:val="20"/>
    </w:rPr>
  </w:style>
  <w:style w:type="paragraph" w:customStyle="1" w:styleId="94">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5">
    <w:name w:val="Char1"/>
    <w:basedOn w:val="1"/>
    <w:qFormat/>
    <w:uiPriority w:val="0"/>
  </w:style>
  <w:style w:type="paragraph" w:customStyle="1" w:styleId="96">
    <w:name w:val="默认段落字体 Para Char Char Char Char Char Char Char Char Char1 Char Char Char Char"/>
    <w:basedOn w:val="1"/>
    <w:qFormat/>
    <w:uiPriority w:val="0"/>
    <w:rPr>
      <w:rFonts w:ascii="Tahoma" w:hAnsi="Tahoma"/>
      <w:sz w:val="24"/>
      <w:szCs w:val="20"/>
    </w:rPr>
  </w:style>
  <w:style w:type="paragraph" w:customStyle="1" w:styleId="97">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98">
    <w:name w:val="_Style 97"/>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9">
    <w:name w:val="Char Char Char Char Char Char Char Char Char Char Char Char"/>
    <w:basedOn w:val="1"/>
    <w:qFormat/>
    <w:uiPriority w:val="0"/>
    <w:pPr>
      <w:widowControl/>
      <w:spacing w:after="160" w:line="240" w:lineRule="exact"/>
      <w:jc w:val="left"/>
    </w:pPr>
  </w:style>
  <w:style w:type="paragraph" w:customStyle="1" w:styleId="100">
    <w:name w:val="Table Paragraph"/>
    <w:basedOn w:val="1"/>
    <w:qFormat/>
    <w:uiPriority w:val="1"/>
    <w:pPr>
      <w:jc w:val="left"/>
    </w:pPr>
    <w:rPr>
      <w:rFonts w:ascii="Calibri" w:hAnsi="Calibri"/>
      <w:kern w:val="0"/>
      <w:sz w:val="22"/>
      <w:szCs w:val="22"/>
      <w:lang w:eastAsia="en-US"/>
    </w:rPr>
  </w:style>
  <w:style w:type="paragraph" w:customStyle="1" w:styleId="101">
    <w:name w:val="列出段落1"/>
    <w:basedOn w:val="1"/>
    <w:qFormat/>
    <w:uiPriority w:val="34"/>
    <w:pPr>
      <w:spacing w:before="100" w:beforeAutospacing="1" w:after="100" w:afterAutospacing="1" w:line="360" w:lineRule="auto"/>
      <w:ind w:firstLine="420" w:firstLineChars="200"/>
    </w:pPr>
  </w:style>
  <w:style w:type="paragraph" w:customStyle="1" w:styleId="102">
    <w:name w:val="Char Char Char Char Char Char Char Char Char Char Char Char1"/>
    <w:basedOn w:val="1"/>
    <w:qFormat/>
    <w:uiPriority w:val="0"/>
    <w:pPr>
      <w:widowControl/>
      <w:spacing w:after="160" w:line="240" w:lineRule="exact"/>
      <w:jc w:val="left"/>
    </w:pPr>
  </w:style>
  <w:style w:type="paragraph" w:customStyle="1" w:styleId="103">
    <w:name w:val="_Style 102"/>
    <w:qFormat/>
    <w:uiPriority w:val="0"/>
    <w:rPr>
      <w:rFonts w:ascii="Times New Roman" w:hAnsi="Times New Roman" w:eastAsia="宋体" w:cs="Times New Roman"/>
      <w:kern w:val="2"/>
      <w:sz w:val="21"/>
      <w:szCs w:val="24"/>
      <w:lang w:val="en-US" w:eastAsia="zh-CN" w:bidi="ar-SA"/>
    </w:rPr>
  </w:style>
  <w:style w:type="paragraph" w:customStyle="1" w:styleId="104">
    <w:name w:val="Char Char Char Char Char Char Char1"/>
    <w:basedOn w:val="1"/>
    <w:qFormat/>
    <w:uiPriority w:val="0"/>
  </w:style>
  <w:style w:type="paragraph" w:styleId="105">
    <w:name w:val="List Paragraph"/>
    <w:basedOn w:val="1"/>
    <w:qFormat/>
    <w:uiPriority w:val="34"/>
    <w:pPr>
      <w:ind w:firstLine="420" w:firstLineChars="200"/>
    </w:pPr>
  </w:style>
  <w:style w:type="paragraph" w:customStyle="1" w:styleId="106">
    <w:name w:val="表格文字"/>
    <w:basedOn w:val="1"/>
    <w:next w:val="16"/>
    <w:qFormat/>
    <w:uiPriority w:val="0"/>
    <w:pPr>
      <w:adjustRightInd w:val="0"/>
      <w:spacing w:line="420" w:lineRule="atLeast"/>
      <w:jc w:val="left"/>
      <w:textAlignment w:val="baseline"/>
    </w:pPr>
    <w:rPr>
      <w:kern w:val="0"/>
    </w:rPr>
  </w:style>
  <w:style w:type="paragraph" w:customStyle="1" w:styleId="107">
    <w:name w:val="Char Char Char Char"/>
    <w:basedOn w:val="1"/>
    <w:qFormat/>
    <w:uiPriority w:val="0"/>
    <w:pPr>
      <w:widowControl/>
      <w:spacing w:after="160" w:line="240" w:lineRule="exact"/>
      <w:jc w:val="left"/>
    </w:pPr>
  </w:style>
  <w:style w:type="paragraph" w:customStyle="1" w:styleId="108">
    <w:name w:val="Char Char Char Char1"/>
    <w:basedOn w:val="1"/>
    <w:qFormat/>
    <w:uiPriority w:val="0"/>
    <w:pPr>
      <w:widowControl/>
      <w:spacing w:after="160" w:line="240" w:lineRule="exact"/>
      <w:jc w:val="left"/>
    </w:pPr>
  </w:style>
  <w:style w:type="paragraph" w:customStyle="1" w:styleId="10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1">
    <w:name w:val="font01"/>
    <w:qFormat/>
    <w:uiPriority w:val="0"/>
    <w:rPr>
      <w:rFonts w:hint="eastAsia" w:ascii="宋体" w:hAnsi="宋体" w:eastAsia="宋体" w:cs="宋体"/>
      <w:color w:val="000000"/>
      <w:sz w:val="20"/>
      <w:szCs w:val="20"/>
      <w:u w:val="none"/>
    </w:rPr>
  </w:style>
  <w:style w:type="character" w:customStyle="1" w:styleId="112">
    <w:name w:val="font101"/>
    <w:qFormat/>
    <w:uiPriority w:val="0"/>
    <w:rPr>
      <w:rFonts w:hint="eastAsia" w:ascii="宋体" w:hAnsi="宋体" w:eastAsia="宋体" w:cs="宋体"/>
      <w:color w:val="000000"/>
      <w:sz w:val="20"/>
      <w:szCs w:val="20"/>
      <w:u w:val="none"/>
    </w:rPr>
  </w:style>
  <w:style w:type="character" w:customStyle="1" w:styleId="113">
    <w:name w:val="font41"/>
    <w:qFormat/>
    <w:uiPriority w:val="0"/>
    <w:rPr>
      <w:rFonts w:hint="eastAsia" w:ascii="宋体" w:hAnsi="宋体" w:eastAsia="宋体" w:cs="宋体"/>
      <w:color w:val="000000"/>
      <w:sz w:val="20"/>
      <w:szCs w:val="20"/>
      <w:u w:val="none"/>
    </w:rPr>
  </w:style>
  <w:style w:type="paragraph" w:customStyle="1" w:styleId="114">
    <w:name w:val="标题样式"/>
    <w:basedOn w:val="1"/>
    <w:next w:val="1"/>
    <w:qFormat/>
    <w:uiPriority w:val="0"/>
    <w:pPr>
      <w:spacing w:before="240" w:after="60"/>
      <w:jc w:val="center"/>
    </w:pPr>
    <w:rPr>
      <w:rFonts w:ascii="Cambria" w:hAnsi="Cambria" w:cs="Cambria"/>
      <w:b/>
      <w:bCs/>
      <w:sz w:val="32"/>
      <w:szCs w:val="32"/>
    </w:rPr>
  </w:style>
  <w:style w:type="character" w:customStyle="1" w:styleId="115">
    <w:name w:val="font11"/>
    <w:basedOn w:val="36"/>
    <w:qFormat/>
    <w:uiPriority w:val="0"/>
    <w:rPr>
      <w:rFonts w:hint="eastAsia" w:ascii="微软雅黑" w:hAnsi="微软雅黑" w:eastAsia="微软雅黑" w:cs="微软雅黑"/>
      <w:color w:val="000000"/>
      <w:sz w:val="24"/>
      <w:szCs w:val="24"/>
      <w:u w:val="none"/>
    </w:rPr>
  </w:style>
  <w:style w:type="character" w:customStyle="1" w:styleId="116">
    <w:name w:val="font31"/>
    <w:basedOn w:val="36"/>
    <w:qFormat/>
    <w:uiPriority w:val="0"/>
    <w:rPr>
      <w:rFonts w:hint="eastAsia" w:ascii="宋体" w:hAnsi="宋体" w:eastAsia="宋体" w:cs="宋体"/>
      <w:color w:val="000000"/>
      <w:sz w:val="24"/>
      <w:szCs w:val="24"/>
      <w:u w:val="none"/>
    </w:rPr>
  </w:style>
  <w:style w:type="character" w:customStyle="1" w:styleId="117">
    <w:name w:val="font21"/>
    <w:basedOn w:val="36"/>
    <w:qFormat/>
    <w:uiPriority w:val="0"/>
    <w:rPr>
      <w:rFonts w:hint="eastAsia" w:ascii="微软雅黑" w:hAnsi="微软雅黑" w:eastAsia="微软雅黑" w:cs="微软雅黑"/>
      <w:color w:val="000000"/>
      <w:sz w:val="24"/>
      <w:szCs w:val="24"/>
      <w:u w:val="none"/>
    </w:rPr>
  </w:style>
  <w:style w:type="character" w:customStyle="1" w:styleId="118">
    <w:name w:val="font51"/>
    <w:basedOn w:val="36"/>
    <w:qFormat/>
    <w:uiPriority w:val="0"/>
    <w:rPr>
      <w:rFonts w:hint="eastAsia" w:ascii="宋体" w:hAnsi="宋体" w:eastAsia="宋体" w:cs="宋体"/>
      <w:color w:val="000000"/>
      <w:sz w:val="20"/>
      <w:szCs w:val="20"/>
      <w:u w:val="none"/>
    </w:rPr>
  </w:style>
  <w:style w:type="character" w:customStyle="1" w:styleId="1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3ace6-1645-4217-9117-2950024eb463}">
  <ds:schemaRefs/>
</ds:datastoreItem>
</file>

<file path=customXml/itemProps3.xml><?xml version="1.0" encoding="utf-8"?>
<ds:datastoreItem xmlns:ds="http://schemas.openxmlformats.org/officeDocument/2006/customXml" ds:itemID="{0035a84c-faac-40bb-b2c5-d864b7446789}">
  <ds:schemaRefs/>
</ds:datastoreItem>
</file>

<file path=docProps/app.xml><?xml version="1.0" encoding="utf-8"?>
<Properties xmlns="http://schemas.openxmlformats.org/officeDocument/2006/extended-properties" xmlns:vt="http://schemas.openxmlformats.org/officeDocument/2006/docPropsVTypes">
  <Template>Normal</Template>
  <Pages>131</Pages>
  <Words>76702</Words>
  <Characters>87409</Characters>
  <Paragraphs>4933</Paragraphs>
  <TotalTime>15</TotalTime>
  <ScaleCrop>false</ScaleCrop>
  <LinksUpToDate>false</LinksUpToDate>
  <CharactersWithSpaces>99532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2022-09-18T16:25:00Z</dcterms:created>
  <dc:creator>Administrator</dc:creator>
  <cp:lastModifiedBy>NTKO</cp:lastModifiedBy>
  <cp:lastPrinted>2022-01-10T02:17:00Z</cp:lastPrinted>
  <dcterms:modified xsi:type="dcterms:W3CDTF">2022-10-09T09:19:51Z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446A387328D14294A18608CAA3CA82EE</vt:lpwstr>
  </property>
</Properties>
</file>