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b/>
          <w:color w:val="auto"/>
          <w:sz w:val="32"/>
          <w:szCs w:val="32"/>
          <w:highlight w:val="none"/>
        </w:rPr>
      </w:pPr>
      <w:r>
        <w:rPr>
          <w:rFonts w:hint="eastAsia" w:ascii="宋体"/>
          <w:b/>
          <w:color w:val="auto"/>
          <w:sz w:val="32"/>
          <w:szCs w:val="32"/>
          <w:highlight w:val="none"/>
        </w:rPr>
        <w:t>采购项目技术规格、参数及要求</w:t>
      </w:r>
    </w:p>
    <w:p>
      <w:pPr>
        <w:tabs>
          <w:tab w:val="left" w:pos="180"/>
          <w:tab w:val="left" w:pos="1620"/>
        </w:tabs>
        <w:spacing w:line="500" w:lineRule="exact"/>
        <w:ind w:firstLine="420" w:firstLineChars="200"/>
        <w:rPr>
          <w:rFonts w:ascii="宋体"/>
          <w:color w:val="auto"/>
          <w:szCs w:val="21"/>
          <w:highlight w:val="none"/>
          <w:u w:val="single"/>
        </w:rPr>
      </w:pPr>
      <w:r>
        <w:rPr>
          <w:rFonts w:hint="eastAsia" w:ascii="宋体"/>
          <w:color w:val="auto"/>
          <w:szCs w:val="21"/>
          <w:highlight w:val="none"/>
        </w:rPr>
        <w:t>一、采购项目编号：BHZC2020-C3-00006-GXDH</w:t>
      </w:r>
    </w:p>
    <w:p>
      <w:pPr>
        <w:tabs>
          <w:tab w:val="left" w:pos="180"/>
          <w:tab w:val="left" w:pos="1620"/>
        </w:tabs>
        <w:spacing w:line="500" w:lineRule="exact"/>
        <w:ind w:firstLine="420" w:firstLineChars="200"/>
        <w:rPr>
          <w:rFonts w:asciiTheme="minorEastAsia" w:hAnsiTheme="minorEastAsia" w:eastAsiaTheme="minorEastAsia" w:cstheme="minorEastAsia"/>
          <w:color w:val="auto"/>
          <w:szCs w:val="21"/>
          <w:highlight w:val="none"/>
          <w:u w:val="single"/>
        </w:rPr>
      </w:pPr>
      <w:r>
        <w:rPr>
          <w:rFonts w:hint="eastAsia" w:ascii="宋体"/>
          <w:color w:val="auto"/>
          <w:szCs w:val="21"/>
          <w:highlight w:val="none"/>
        </w:rPr>
        <w:t>二、采购项目类别</w:t>
      </w:r>
      <w:r>
        <w:rPr>
          <w:rFonts w:hint="eastAsia" w:asciiTheme="minorEastAsia" w:hAnsiTheme="minorEastAsia" w:eastAsiaTheme="minorEastAsia" w:cstheme="minorEastAsia"/>
          <w:color w:val="auto"/>
          <w:szCs w:val="21"/>
          <w:highlight w:val="none"/>
        </w:rPr>
        <w:t>：服务类</w:t>
      </w:r>
    </w:p>
    <w:p>
      <w:pPr>
        <w:tabs>
          <w:tab w:val="left" w:pos="180"/>
          <w:tab w:val="left" w:pos="1620"/>
        </w:tabs>
        <w:spacing w:line="5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三、项目采购预算价：A分标：人民币贰拾伍万元整（￥250000.00）；B分标：人民币贰拾伍万元整（￥250000.00）。最终报价超过采购预算谈判无效。</w:t>
      </w:r>
    </w:p>
    <w:p>
      <w:pPr>
        <w:tabs>
          <w:tab w:val="left" w:pos="180"/>
          <w:tab w:val="left" w:pos="1620"/>
        </w:tabs>
        <w:spacing w:line="500" w:lineRule="exact"/>
        <w:ind w:firstLine="420" w:firstLineChars="200"/>
        <w:rPr>
          <w:rFonts w:ascii="宋体"/>
          <w:color w:val="auto"/>
          <w:szCs w:val="21"/>
          <w:highlight w:val="none"/>
        </w:rPr>
      </w:pPr>
      <w:r>
        <w:rPr>
          <w:rFonts w:hint="eastAsia"/>
          <w:color w:val="auto"/>
          <w:highlight w:val="none"/>
        </w:rPr>
        <w:t>四、采购项目需求一览表</w:t>
      </w:r>
    </w:p>
    <w:p>
      <w:pPr>
        <w:spacing w:line="400" w:lineRule="exact"/>
        <w:rPr>
          <w:rFonts w:ascii="宋体"/>
          <w:color w:val="auto"/>
          <w:szCs w:val="21"/>
          <w:highlight w:val="none"/>
        </w:rPr>
      </w:pPr>
    </w:p>
    <w:tbl>
      <w:tblPr>
        <w:tblStyle w:val="2"/>
        <w:tblW w:w="97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1"/>
        <w:gridCol w:w="1665"/>
        <w:gridCol w:w="825"/>
        <w:gridCol w:w="63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87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宋体"/>
                <w:b/>
                <w:bCs/>
                <w:color w:val="auto"/>
                <w:szCs w:val="21"/>
                <w:highlight w:val="none"/>
              </w:rPr>
            </w:pPr>
            <w:r>
              <w:rPr>
                <w:rFonts w:hint="eastAsia" w:ascii="宋体"/>
                <w:b/>
                <w:bCs/>
                <w:color w:val="auto"/>
                <w:highlight w:val="none"/>
              </w:rPr>
              <w:t>项号</w:t>
            </w:r>
          </w:p>
        </w:tc>
        <w:tc>
          <w:tcPr>
            <w:tcW w:w="1665" w:type="dxa"/>
            <w:tcBorders>
              <w:top w:val="single" w:color="auto" w:sz="4" w:space="0"/>
              <w:left w:val="nil"/>
              <w:bottom w:val="single" w:color="auto" w:sz="4" w:space="0"/>
              <w:right w:val="single" w:color="auto" w:sz="4" w:space="0"/>
            </w:tcBorders>
            <w:vAlign w:val="center"/>
          </w:tcPr>
          <w:p>
            <w:pPr>
              <w:spacing w:line="360" w:lineRule="exact"/>
              <w:jc w:val="center"/>
              <w:rPr>
                <w:rFonts w:ascii="宋体"/>
                <w:b/>
                <w:bCs/>
                <w:color w:val="auto"/>
                <w:szCs w:val="21"/>
                <w:highlight w:val="none"/>
              </w:rPr>
            </w:pPr>
            <w:r>
              <w:rPr>
                <w:rFonts w:hint="eastAsia" w:ascii="宋体"/>
                <w:b/>
                <w:bCs/>
                <w:color w:val="auto"/>
                <w:highlight w:val="none"/>
              </w:rPr>
              <w:t>服务名称</w:t>
            </w:r>
          </w:p>
        </w:tc>
        <w:tc>
          <w:tcPr>
            <w:tcW w:w="825" w:type="dxa"/>
            <w:tcBorders>
              <w:top w:val="single" w:color="auto" w:sz="4" w:space="0"/>
              <w:left w:val="nil"/>
              <w:bottom w:val="single" w:color="auto" w:sz="4" w:space="0"/>
              <w:right w:val="single" w:color="auto" w:sz="4" w:space="0"/>
            </w:tcBorders>
            <w:vAlign w:val="center"/>
          </w:tcPr>
          <w:p>
            <w:pPr>
              <w:spacing w:line="360" w:lineRule="exact"/>
              <w:jc w:val="center"/>
              <w:rPr>
                <w:rFonts w:ascii="宋体"/>
                <w:b/>
                <w:bCs/>
                <w:color w:val="auto"/>
                <w:szCs w:val="21"/>
                <w:highlight w:val="none"/>
              </w:rPr>
            </w:pPr>
            <w:r>
              <w:rPr>
                <w:rFonts w:hint="eastAsia" w:ascii="宋体"/>
                <w:b/>
                <w:bCs/>
                <w:color w:val="auto"/>
                <w:highlight w:val="none"/>
              </w:rPr>
              <w:t>数量/单位</w:t>
            </w:r>
          </w:p>
        </w:tc>
        <w:tc>
          <w:tcPr>
            <w:tcW w:w="639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b/>
                <w:bCs/>
                <w:color w:val="auto"/>
                <w:szCs w:val="21"/>
                <w:highlight w:val="none"/>
              </w:rPr>
            </w:pPr>
            <w:r>
              <w:rPr>
                <w:rFonts w:hint="eastAsia" w:ascii="宋体"/>
                <w:b/>
                <w:bCs/>
                <w:color w:val="auto"/>
                <w:highlight w:val="none"/>
              </w:rPr>
              <w:t>服务内容和要求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9"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color w:val="auto"/>
                <w:kern w:val="0"/>
                <w:szCs w:val="21"/>
                <w:highlight w:val="none"/>
              </w:rPr>
            </w:pPr>
            <w:r>
              <w:rPr>
                <w:rFonts w:hint="eastAsia" w:ascii="宋体" w:hAnsi="宋体"/>
                <w:color w:val="auto"/>
                <w:szCs w:val="21"/>
                <w:highlight w:val="none"/>
              </w:rPr>
              <w:t>A分标</w:t>
            </w:r>
          </w:p>
        </w:tc>
        <w:tc>
          <w:tcPr>
            <w:tcW w:w="1665" w:type="dxa"/>
            <w:tcBorders>
              <w:top w:val="single" w:color="auto" w:sz="4" w:space="0"/>
              <w:left w:val="nil"/>
              <w:bottom w:val="single" w:color="auto" w:sz="4" w:space="0"/>
              <w:right w:val="single" w:color="auto" w:sz="4" w:space="0"/>
            </w:tcBorders>
            <w:vAlign w:val="center"/>
          </w:tcPr>
          <w:p>
            <w:pPr>
              <w:tabs>
                <w:tab w:val="left" w:pos="180"/>
                <w:tab w:val="left" w:pos="1620"/>
              </w:tabs>
              <w:spacing w:line="240" w:lineRule="exact"/>
              <w:jc w:val="left"/>
              <w:rPr>
                <w:rFonts w:ascii="宋体"/>
                <w:color w:val="auto"/>
                <w:kern w:val="0"/>
                <w:szCs w:val="21"/>
                <w:highlight w:val="none"/>
              </w:rPr>
            </w:pPr>
            <w:r>
              <w:rPr>
                <w:rFonts w:hint="eastAsia"/>
                <w:color w:val="auto"/>
                <w:highlight w:val="none"/>
              </w:rPr>
              <w:t xml:space="preserve">  </w:t>
            </w:r>
            <w:r>
              <w:rPr>
                <w:rFonts w:hint="eastAsia" w:ascii="宋体" w:hAnsi="宋体"/>
                <w:color w:val="auto"/>
                <w:szCs w:val="21"/>
                <w:highlight w:val="none"/>
              </w:rPr>
              <w:t>东片、中片辖区照明设施巡查看护及小街巷</w:t>
            </w:r>
            <w:r>
              <w:rPr>
                <w:rFonts w:hint="eastAsia" w:ascii="宋体" w:hAnsi="宋体"/>
                <w:color w:val="auto"/>
                <w:szCs w:val="21"/>
                <w:highlight w:val="none"/>
                <w:lang w:eastAsia="zh-CN"/>
              </w:rPr>
              <w:t>路灯</w:t>
            </w:r>
            <w:r>
              <w:rPr>
                <w:rFonts w:hint="eastAsia" w:ascii="宋体" w:hAnsi="宋体"/>
                <w:color w:val="auto"/>
                <w:szCs w:val="21"/>
                <w:highlight w:val="none"/>
              </w:rPr>
              <w:t>维修</w:t>
            </w:r>
          </w:p>
        </w:tc>
        <w:tc>
          <w:tcPr>
            <w:tcW w:w="825" w:type="dxa"/>
            <w:tcBorders>
              <w:top w:val="single" w:color="auto" w:sz="4" w:space="0"/>
              <w:left w:val="nil"/>
              <w:bottom w:val="single" w:color="auto" w:sz="4" w:space="0"/>
              <w:right w:val="single" w:color="auto" w:sz="4" w:space="0"/>
            </w:tcBorders>
            <w:vAlign w:val="center"/>
          </w:tcPr>
          <w:p>
            <w:pPr>
              <w:spacing w:line="360" w:lineRule="exact"/>
              <w:ind w:firstLine="105" w:firstLineChars="50"/>
              <w:jc w:val="center"/>
              <w:rPr>
                <w:rFonts w:ascii="宋体"/>
                <w:color w:val="auto"/>
                <w:kern w:val="0"/>
                <w:szCs w:val="21"/>
                <w:highlight w:val="none"/>
              </w:rPr>
            </w:pPr>
            <w:r>
              <w:rPr>
                <w:rFonts w:hint="eastAsia" w:ascii="宋体"/>
                <w:color w:val="auto"/>
                <w:kern w:val="0"/>
                <w:szCs w:val="21"/>
                <w:highlight w:val="none"/>
              </w:rPr>
              <w:t>1项</w:t>
            </w:r>
          </w:p>
        </w:tc>
        <w:tc>
          <w:tcPr>
            <w:tcW w:w="6390" w:type="dxa"/>
            <w:tcBorders>
              <w:top w:val="single" w:color="auto" w:sz="4" w:space="0"/>
              <w:left w:val="nil"/>
              <w:bottom w:val="single" w:color="auto" w:sz="4" w:space="0"/>
              <w:right w:val="single" w:color="auto" w:sz="4" w:space="0"/>
            </w:tcBorders>
          </w:tcPr>
          <w:p>
            <w:pPr>
              <w:numPr>
                <w:ilvl w:val="0"/>
                <w:numId w:val="1"/>
              </w:numPr>
              <w:tabs>
                <w:tab w:val="left" w:pos="180"/>
                <w:tab w:val="left" w:pos="1620"/>
              </w:tabs>
              <w:spacing w:line="300" w:lineRule="exact"/>
              <w:ind w:left="315" w:hanging="315" w:hangingChars="150"/>
              <w:rPr>
                <w:rFonts w:ascii="宋体" w:hAnsi="宋体" w:cs="宋体"/>
                <w:color w:val="auto"/>
                <w:szCs w:val="21"/>
                <w:highlight w:val="none"/>
              </w:rPr>
            </w:pPr>
            <w:r>
              <w:rPr>
                <w:rFonts w:hint="eastAsia" w:ascii="宋体" w:hAnsi="宋体" w:cs="宋体"/>
                <w:color w:val="auto"/>
                <w:szCs w:val="21"/>
                <w:highlight w:val="none"/>
              </w:rPr>
              <w:t>看护规模：2个小组，4人/组，车辆由采购方提供。</w:t>
            </w:r>
          </w:p>
          <w:p>
            <w:pPr>
              <w:numPr>
                <w:ilvl w:val="0"/>
                <w:numId w:val="1"/>
              </w:numPr>
              <w:tabs>
                <w:tab w:val="left" w:pos="180"/>
                <w:tab w:val="left" w:pos="1620"/>
              </w:tabs>
              <w:spacing w:line="300" w:lineRule="exact"/>
              <w:ind w:left="315" w:hanging="315" w:hangingChars="150"/>
              <w:rPr>
                <w:rFonts w:ascii="宋体" w:hAnsi="宋体" w:cs="宋体"/>
                <w:color w:val="auto"/>
                <w:szCs w:val="21"/>
                <w:highlight w:val="none"/>
              </w:rPr>
            </w:pPr>
            <w:r>
              <w:rPr>
                <w:rFonts w:hint="eastAsia" w:ascii="宋体" w:hAnsi="宋体" w:cs="宋体"/>
                <w:color w:val="auto"/>
                <w:kern w:val="0"/>
                <w:szCs w:val="21"/>
                <w:highlight w:val="none"/>
              </w:rPr>
              <w:t>看护范围：</w:t>
            </w:r>
          </w:p>
          <w:p>
            <w:pPr>
              <w:tabs>
                <w:tab w:val="left" w:pos="180"/>
                <w:tab w:val="left" w:pos="1620"/>
              </w:tabs>
              <w:spacing w:line="300" w:lineRule="exact"/>
              <w:ind w:left="1155" w:leftChars="350" w:hanging="420" w:hangingChars="200"/>
              <w:rPr>
                <w:rFonts w:ascii="宋体" w:hAnsi="宋体" w:cs="宋体"/>
                <w:color w:val="auto"/>
                <w:szCs w:val="21"/>
                <w:highlight w:val="none"/>
              </w:rPr>
            </w:pPr>
            <w:r>
              <w:rPr>
                <w:rFonts w:hint="eastAsia" w:ascii="宋体" w:hAnsi="宋体" w:cs="宋体"/>
                <w:color w:val="auto"/>
                <w:kern w:val="0"/>
                <w:szCs w:val="21"/>
                <w:highlight w:val="none"/>
              </w:rPr>
              <w:t>（1）东片组负责</w:t>
            </w:r>
            <w:r>
              <w:rPr>
                <w:rFonts w:hint="eastAsia" w:ascii="宋体" w:hAnsi="宋体" w:cs="宋体"/>
                <w:color w:val="auto"/>
                <w:szCs w:val="21"/>
                <w:highlight w:val="none"/>
              </w:rPr>
              <w:t>北海市广东路以东的主干道照明设施的巡查看护。</w:t>
            </w:r>
          </w:p>
          <w:p>
            <w:pPr>
              <w:tabs>
                <w:tab w:val="left" w:pos="180"/>
                <w:tab w:val="left" w:pos="1620"/>
              </w:tabs>
              <w:spacing w:line="300" w:lineRule="exact"/>
              <w:ind w:left="1260" w:leftChars="300" w:hanging="630" w:hangingChars="300"/>
              <w:rPr>
                <w:rFonts w:ascii="宋体" w:hAnsi="宋体"/>
                <w:color w:val="auto"/>
                <w:szCs w:val="21"/>
                <w:highlight w:val="none"/>
              </w:rPr>
            </w:pPr>
            <w:r>
              <w:rPr>
                <w:rFonts w:hint="eastAsia" w:ascii="宋体" w:hAnsi="宋体" w:cs="宋体"/>
                <w:color w:val="auto"/>
                <w:szCs w:val="21"/>
                <w:highlight w:val="none"/>
              </w:rPr>
              <w:t>（2）中片组负责北海市广东路至四川路之间的主干道照明设施的巡查看护。</w:t>
            </w:r>
          </w:p>
          <w:p>
            <w:pPr>
              <w:tabs>
                <w:tab w:val="left" w:pos="180"/>
                <w:tab w:val="left" w:pos="1620"/>
              </w:tabs>
              <w:spacing w:line="300" w:lineRule="exact"/>
              <w:rPr>
                <w:rFonts w:ascii="宋体" w:hAnsi="宋体"/>
                <w:color w:val="auto"/>
                <w:szCs w:val="21"/>
                <w:highlight w:val="none"/>
              </w:rPr>
            </w:pPr>
            <w:r>
              <w:rPr>
                <w:rFonts w:hint="eastAsia" w:ascii="宋体" w:hAnsi="宋体"/>
                <w:color w:val="auto"/>
                <w:szCs w:val="21"/>
                <w:highlight w:val="none"/>
              </w:rPr>
              <w:t>3. 看护内容：</w:t>
            </w:r>
          </w:p>
          <w:p>
            <w:pPr>
              <w:widowControl/>
              <w:adjustRightInd w:val="0"/>
              <w:snapToGrid w:val="0"/>
              <w:spacing w:line="300" w:lineRule="exact"/>
              <w:ind w:left="525" w:hanging="525" w:hangingChars="250"/>
              <w:jc w:val="left"/>
              <w:rPr>
                <w:rFonts w:ascii="宋体" w:hAnsi="宋体" w:cs="宋体"/>
                <w:color w:val="auto"/>
                <w:szCs w:val="21"/>
                <w:highlight w:val="none"/>
              </w:rPr>
            </w:pPr>
            <w:r>
              <w:rPr>
                <w:rFonts w:hint="eastAsia" w:ascii="宋体" w:hAnsi="宋体" w:cs="宋体"/>
                <w:color w:val="auto"/>
                <w:szCs w:val="21"/>
                <w:highlight w:val="none"/>
              </w:rPr>
              <w:t>（1）日常巡查、安全检查、消除基本的安全隐患以及小街巷路灯的维修。</w:t>
            </w:r>
          </w:p>
          <w:p>
            <w:pPr>
              <w:spacing w:line="300" w:lineRule="exact"/>
              <w:ind w:left="525" w:hanging="525" w:hangingChars="250"/>
              <w:rPr>
                <w:rFonts w:ascii="宋体" w:hAnsi="宋体" w:cs="宋体"/>
                <w:color w:val="auto"/>
                <w:szCs w:val="21"/>
                <w:highlight w:val="none"/>
              </w:rPr>
            </w:pPr>
            <w:r>
              <w:rPr>
                <w:rFonts w:hint="eastAsia" w:ascii="宋体" w:hAnsi="宋体" w:cs="宋体"/>
                <w:color w:val="auto"/>
                <w:szCs w:val="21"/>
                <w:highlight w:val="none"/>
              </w:rPr>
              <w:t>（2）协助照明管理单位处理突发事件、抢险、应急等有关活动，服从采购单位工作安排。</w:t>
            </w:r>
          </w:p>
          <w:p>
            <w:pPr>
              <w:spacing w:line="360" w:lineRule="exact"/>
              <w:ind w:firstLine="420" w:firstLineChars="200"/>
              <w:rPr>
                <w:rFonts w:ascii="宋体"/>
                <w:b/>
                <w:color w:val="auto"/>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未尽事宜以</w:t>
            </w:r>
            <w:r>
              <w:rPr>
                <w:rFonts w:hint="eastAsia" w:ascii="宋体" w:hAnsi="宋体" w:cs="宋体"/>
                <w:color w:val="auto"/>
                <w:szCs w:val="21"/>
                <w:highlight w:val="none"/>
              </w:rPr>
              <w:t>合同形式进行约谈。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9"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B分标</w:t>
            </w:r>
          </w:p>
        </w:tc>
        <w:tc>
          <w:tcPr>
            <w:tcW w:w="1665" w:type="dxa"/>
            <w:tcBorders>
              <w:top w:val="single" w:color="auto" w:sz="4" w:space="0"/>
              <w:left w:val="nil"/>
              <w:bottom w:val="single" w:color="auto" w:sz="4" w:space="0"/>
              <w:right w:val="single" w:color="auto" w:sz="4" w:space="0"/>
            </w:tcBorders>
            <w:vAlign w:val="center"/>
          </w:tcPr>
          <w:p>
            <w:pPr>
              <w:tabs>
                <w:tab w:val="left" w:pos="180"/>
                <w:tab w:val="left" w:pos="1620"/>
              </w:tabs>
              <w:spacing w:line="240" w:lineRule="exact"/>
              <w:jc w:val="left"/>
              <w:rPr>
                <w:rFonts w:ascii="宋体" w:hAnsi="宋体"/>
                <w:color w:val="auto"/>
                <w:szCs w:val="21"/>
                <w:highlight w:val="none"/>
              </w:rPr>
            </w:pPr>
            <w:r>
              <w:rPr>
                <w:rFonts w:hint="eastAsia"/>
                <w:color w:val="auto"/>
                <w:highlight w:val="none"/>
              </w:rPr>
              <w:t xml:space="preserve">  </w:t>
            </w:r>
            <w:r>
              <w:rPr>
                <w:rFonts w:hint="eastAsia" w:ascii="宋体" w:hAnsi="宋体"/>
                <w:color w:val="auto"/>
                <w:szCs w:val="21"/>
                <w:highlight w:val="none"/>
              </w:rPr>
              <w:t>西片辖区照明设施巡查看护及小街巷</w:t>
            </w:r>
            <w:r>
              <w:rPr>
                <w:rFonts w:hint="eastAsia" w:ascii="宋体" w:hAnsi="宋体"/>
                <w:color w:val="auto"/>
                <w:szCs w:val="21"/>
                <w:highlight w:val="none"/>
                <w:lang w:eastAsia="zh-CN"/>
              </w:rPr>
              <w:t>路灯</w:t>
            </w:r>
            <w:r>
              <w:rPr>
                <w:rFonts w:hint="eastAsia" w:ascii="宋体" w:hAnsi="宋体"/>
                <w:color w:val="auto"/>
                <w:szCs w:val="21"/>
                <w:highlight w:val="none"/>
              </w:rPr>
              <w:t>维修、夜间照明设施、景观亮化巡查防盗看护</w:t>
            </w:r>
          </w:p>
        </w:tc>
        <w:tc>
          <w:tcPr>
            <w:tcW w:w="825" w:type="dxa"/>
            <w:tcBorders>
              <w:top w:val="single" w:color="auto" w:sz="4" w:space="0"/>
              <w:left w:val="nil"/>
              <w:bottom w:val="single" w:color="auto" w:sz="4" w:space="0"/>
              <w:right w:val="single" w:color="auto" w:sz="4" w:space="0"/>
            </w:tcBorders>
            <w:vAlign w:val="center"/>
          </w:tcPr>
          <w:p>
            <w:pPr>
              <w:tabs>
                <w:tab w:val="left" w:pos="180"/>
                <w:tab w:val="left" w:pos="1620"/>
              </w:tabs>
              <w:spacing w:line="240" w:lineRule="exact"/>
              <w:jc w:val="center"/>
              <w:rPr>
                <w:rFonts w:ascii="宋体" w:hAnsi="宋体"/>
                <w:color w:val="auto"/>
                <w:szCs w:val="21"/>
                <w:highlight w:val="none"/>
              </w:rPr>
            </w:pPr>
            <w:r>
              <w:rPr>
                <w:rFonts w:hint="eastAsia" w:ascii="宋体" w:hAnsi="宋体"/>
                <w:color w:val="auto"/>
                <w:szCs w:val="21"/>
                <w:highlight w:val="none"/>
              </w:rPr>
              <w:t>1</w:t>
            </w:r>
          </w:p>
        </w:tc>
        <w:tc>
          <w:tcPr>
            <w:tcW w:w="6390" w:type="dxa"/>
            <w:tcBorders>
              <w:top w:val="single" w:color="auto" w:sz="4" w:space="0"/>
              <w:left w:val="nil"/>
              <w:bottom w:val="single" w:color="auto" w:sz="4" w:space="0"/>
              <w:right w:val="single" w:color="auto" w:sz="4" w:space="0"/>
            </w:tcBorders>
          </w:tcPr>
          <w:p>
            <w:pPr>
              <w:tabs>
                <w:tab w:val="left" w:pos="180"/>
                <w:tab w:val="left" w:pos="1620"/>
              </w:tabs>
              <w:spacing w:line="300" w:lineRule="exact"/>
              <w:rPr>
                <w:rFonts w:ascii="宋体" w:hAnsi="宋体" w:cs="宋体"/>
                <w:color w:val="auto"/>
                <w:szCs w:val="21"/>
                <w:highlight w:val="none"/>
              </w:rPr>
            </w:pPr>
            <w:r>
              <w:rPr>
                <w:rFonts w:hint="eastAsia" w:ascii="宋体" w:hAnsi="宋体" w:cs="宋体"/>
                <w:color w:val="auto"/>
                <w:szCs w:val="21"/>
                <w:highlight w:val="none"/>
              </w:rPr>
              <w:t>1.看护规模：2个小组，4人/组，车辆由采购方提供。</w:t>
            </w:r>
          </w:p>
          <w:p>
            <w:pPr>
              <w:tabs>
                <w:tab w:val="left" w:pos="180"/>
                <w:tab w:val="left" w:pos="1620"/>
              </w:tabs>
              <w:spacing w:line="300" w:lineRule="exact"/>
              <w:rPr>
                <w:rFonts w:ascii="宋体" w:hAnsi="宋体" w:cs="宋体"/>
                <w:color w:val="auto"/>
                <w:kern w:val="0"/>
                <w:szCs w:val="21"/>
                <w:highlight w:val="none"/>
              </w:rPr>
            </w:pPr>
            <w:r>
              <w:rPr>
                <w:rFonts w:hint="eastAsia" w:ascii="宋体" w:hAnsi="宋体" w:cs="宋体"/>
                <w:color w:val="auto"/>
                <w:kern w:val="0"/>
                <w:szCs w:val="21"/>
                <w:highlight w:val="none"/>
              </w:rPr>
              <w:t>2.看护范围：</w:t>
            </w:r>
          </w:p>
          <w:p>
            <w:pPr>
              <w:tabs>
                <w:tab w:val="left" w:pos="180"/>
                <w:tab w:val="left" w:pos="1620"/>
              </w:tabs>
              <w:spacing w:line="300" w:lineRule="exact"/>
              <w:rPr>
                <w:rFonts w:ascii="宋体" w:hAnsi="宋体" w:cs="宋体"/>
                <w:color w:val="auto"/>
                <w:szCs w:val="21"/>
                <w:highlight w:val="none"/>
              </w:rPr>
            </w:pPr>
            <w:r>
              <w:rPr>
                <w:rFonts w:hint="eastAsia" w:ascii="宋体" w:hAnsi="宋体" w:cs="宋体"/>
                <w:color w:val="auto"/>
                <w:kern w:val="0"/>
                <w:szCs w:val="21"/>
                <w:highlight w:val="none"/>
              </w:rPr>
              <w:t>（1）西片组负责</w:t>
            </w:r>
            <w:r>
              <w:rPr>
                <w:rFonts w:hint="eastAsia" w:ascii="宋体" w:hAnsi="宋体" w:cs="宋体"/>
                <w:color w:val="auto"/>
                <w:szCs w:val="21"/>
                <w:highlight w:val="none"/>
              </w:rPr>
              <w:t>北海市四川路以西的主干道照明设施的巡查看护。</w:t>
            </w:r>
          </w:p>
          <w:p>
            <w:pPr>
              <w:tabs>
                <w:tab w:val="left" w:pos="180"/>
                <w:tab w:val="left" w:pos="1620"/>
              </w:tabs>
              <w:spacing w:line="300" w:lineRule="exact"/>
              <w:rPr>
                <w:rFonts w:ascii="宋体" w:hAnsi="宋体" w:cs="宋体"/>
                <w:color w:val="auto"/>
                <w:szCs w:val="21"/>
                <w:highlight w:val="none"/>
              </w:rPr>
            </w:pPr>
            <w:r>
              <w:rPr>
                <w:rFonts w:hint="eastAsia" w:ascii="宋体" w:hAnsi="宋体" w:cs="宋体"/>
                <w:color w:val="auto"/>
                <w:szCs w:val="21"/>
                <w:highlight w:val="none"/>
              </w:rPr>
              <w:t>（2）夜巡组负责全市主干道照明设施及景观亮化的巡查防盗看护（看护时间：每天23:00至次日8:00）。</w:t>
            </w:r>
          </w:p>
          <w:p>
            <w:pPr>
              <w:tabs>
                <w:tab w:val="left" w:pos="180"/>
                <w:tab w:val="left" w:pos="1620"/>
              </w:tabs>
              <w:spacing w:line="300" w:lineRule="exact"/>
              <w:rPr>
                <w:rFonts w:ascii="宋体" w:hAnsi="宋体"/>
                <w:color w:val="auto"/>
                <w:szCs w:val="21"/>
                <w:highlight w:val="none"/>
              </w:rPr>
            </w:pPr>
            <w:r>
              <w:rPr>
                <w:rFonts w:hint="eastAsia" w:ascii="宋体" w:hAnsi="宋体"/>
                <w:color w:val="auto"/>
                <w:szCs w:val="21"/>
                <w:highlight w:val="none"/>
              </w:rPr>
              <w:t>3. 看护内容：</w:t>
            </w:r>
          </w:p>
          <w:p>
            <w:pPr>
              <w:widowControl/>
              <w:adjustRightInd w:val="0"/>
              <w:snapToGrid w:val="0"/>
              <w:spacing w:line="300" w:lineRule="exact"/>
              <w:ind w:left="525" w:hanging="525" w:hangingChars="250"/>
              <w:jc w:val="left"/>
              <w:rPr>
                <w:rFonts w:ascii="宋体" w:hAnsi="宋体" w:cs="宋体"/>
                <w:color w:val="auto"/>
                <w:szCs w:val="21"/>
                <w:highlight w:val="none"/>
              </w:rPr>
            </w:pPr>
            <w:r>
              <w:rPr>
                <w:rFonts w:hint="eastAsia" w:ascii="宋体" w:hAnsi="宋体" w:cs="宋体"/>
                <w:color w:val="auto"/>
                <w:szCs w:val="21"/>
                <w:highlight w:val="none"/>
              </w:rPr>
              <w:t>（1）日常巡查、安全检查、消除基本的安全隐患以及小街巷路灯的维修。</w:t>
            </w:r>
          </w:p>
          <w:p>
            <w:pPr>
              <w:spacing w:line="300" w:lineRule="exact"/>
              <w:ind w:left="525" w:hanging="525" w:hangingChars="250"/>
              <w:rPr>
                <w:rFonts w:ascii="宋体" w:hAnsi="宋体" w:cs="宋体"/>
                <w:color w:val="auto"/>
                <w:szCs w:val="21"/>
                <w:highlight w:val="none"/>
              </w:rPr>
            </w:pPr>
            <w:r>
              <w:rPr>
                <w:rFonts w:hint="eastAsia" w:ascii="宋体" w:hAnsi="宋体" w:cs="宋体"/>
                <w:color w:val="auto"/>
                <w:szCs w:val="21"/>
                <w:highlight w:val="none"/>
              </w:rPr>
              <w:t>（2）协助照明管理单位处理突发事件、抢险、应急等有关活动，服从采购单位工作安排。</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未尽事宜以</w:t>
            </w:r>
            <w:r>
              <w:rPr>
                <w:rFonts w:hint="eastAsia" w:ascii="宋体" w:hAnsi="宋体" w:cs="宋体"/>
                <w:color w:val="auto"/>
                <w:szCs w:val="21"/>
                <w:highlight w:val="none"/>
              </w:rPr>
              <w:t>合同形式进行约谈。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b/>
                <w:bCs/>
                <w:color w:val="auto"/>
                <w:szCs w:val="21"/>
                <w:highlight w:val="none"/>
              </w:rPr>
            </w:pPr>
            <w:r>
              <w:rPr>
                <w:rFonts w:hint="eastAsia" w:ascii="宋体"/>
                <w:b/>
                <w:bCs/>
                <w:color w:val="auto"/>
                <w:highlight w:val="none"/>
              </w:rPr>
              <w:t>商务条款</w:t>
            </w:r>
          </w:p>
        </w:tc>
        <w:tc>
          <w:tcPr>
            <w:tcW w:w="8880" w:type="dxa"/>
            <w:gridSpan w:val="3"/>
            <w:tcBorders>
              <w:top w:val="single" w:color="auto" w:sz="4" w:space="0"/>
              <w:left w:val="nil"/>
              <w:bottom w:val="single" w:color="auto" w:sz="4" w:space="0"/>
              <w:right w:val="single" w:color="auto" w:sz="4" w:space="0"/>
            </w:tcBorders>
          </w:tcPr>
          <w:p>
            <w:pPr>
              <w:spacing w:line="320" w:lineRule="exact"/>
              <w:rPr>
                <w:rFonts w:ascii="宋体"/>
                <w:bCs/>
                <w:color w:val="auto"/>
                <w:highlight w:val="none"/>
              </w:rPr>
            </w:pPr>
            <w:r>
              <w:rPr>
                <w:rFonts w:hint="eastAsia" w:ascii="宋体"/>
                <w:b/>
                <w:bCs/>
                <w:color w:val="auto"/>
                <w:highlight w:val="none"/>
              </w:rPr>
              <w:t>一、合同签订期：</w:t>
            </w:r>
            <w:r>
              <w:rPr>
                <w:rFonts w:hint="eastAsia" w:ascii="宋体"/>
                <w:bCs/>
                <w:color w:val="auto"/>
                <w:highlight w:val="none"/>
              </w:rPr>
              <w:t>自成交通知书发出之日起7个工作日内。</w:t>
            </w:r>
          </w:p>
          <w:p>
            <w:pPr>
              <w:spacing w:line="320" w:lineRule="exact"/>
              <w:rPr>
                <w:rFonts w:ascii="宋体"/>
                <w:bCs/>
                <w:color w:val="auto"/>
                <w:highlight w:val="none"/>
              </w:rPr>
            </w:pPr>
            <w:r>
              <w:rPr>
                <w:rFonts w:hint="eastAsia" w:ascii="宋体"/>
                <w:b/>
                <w:bCs/>
                <w:color w:val="auto"/>
                <w:highlight w:val="none"/>
              </w:rPr>
              <w:t>二、服务期限：</w:t>
            </w:r>
            <w:r>
              <w:rPr>
                <w:rFonts w:hint="eastAsia" w:ascii="宋体"/>
                <w:bCs/>
                <w:color w:val="auto"/>
                <w:highlight w:val="none"/>
              </w:rPr>
              <w:t>自合同签订之日起1年。</w:t>
            </w:r>
          </w:p>
          <w:p>
            <w:pPr>
              <w:spacing w:line="320" w:lineRule="exact"/>
              <w:rPr>
                <w:rFonts w:ascii="宋体"/>
                <w:bCs/>
                <w:color w:val="auto"/>
                <w:highlight w:val="none"/>
              </w:rPr>
            </w:pPr>
            <w:r>
              <w:rPr>
                <w:rFonts w:hint="eastAsia" w:ascii="宋体"/>
                <w:b/>
                <w:bCs/>
                <w:color w:val="auto"/>
                <w:highlight w:val="none"/>
              </w:rPr>
              <w:t>三、服务地点：</w:t>
            </w:r>
            <w:r>
              <w:rPr>
                <w:rFonts w:hint="eastAsia" w:ascii="宋体" w:hAnsi="宋体" w:cs="宋体"/>
                <w:color w:val="auto"/>
                <w:kern w:val="0"/>
                <w:szCs w:val="21"/>
                <w:highlight w:val="none"/>
              </w:rPr>
              <w:t>北海市城市照明管理处指定地点</w:t>
            </w:r>
            <w:r>
              <w:rPr>
                <w:rFonts w:hint="eastAsia" w:ascii="宋体"/>
                <w:bCs/>
                <w:color w:val="auto"/>
                <w:highlight w:val="none"/>
              </w:rPr>
              <w:t>。</w:t>
            </w:r>
          </w:p>
          <w:p>
            <w:pPr>
              <w:spacing w:line="320" w:lineRule="exact"/>
              <w:rPr>
                <w:rFonts w:ascii="宋体"/>
                <w:b/>
                <w:bCs/>
                <w:color w:val="auto"/>
                <w:highlight w:val="none"/>
              </w:rPr>
            </w:pPr>
            <w:r>
              <w:rPr>
                <w:rFonts w:hint="eastAsia" w:ascii="宋体"/>
                <w:b/>
                <w:bCs/>
                <w:color w:val="auto"/>
                <w:highlight w:val="none"/>
              </w:rPr>
              <w:t>四、其他服务要求：</w:t>
            </w:r>
          </w:p>
          <w:p>
            <w:pPr>
              <w:spacing w:line="320" w:lineRule="exact"/>
              <w:ind w:firstLine="420" w:firstLineChars="200"/>
              <w:rPr>
                <w:rFonts w:ascii="宋体"/>
                <w:bCs/>
                <w:color w:val="auto"/>
                <w:highlight w:val="none"/>
              </w:rPr>
            </w:pPr>
            <w:r>
              <w:rPr>
                <w:rFonts w:hint="eastAsia" w:ascii="宋体"/>
                <w:bCs/>
                <w:color w:val="auto"/>
                <w:highlight w:val="none"/>
              </w:rPr>
              <w:t>付款时间和方式：按照采购文件的要求办理好相关业务后经甲方考核后按月支付，付款前需开具发票给采购方。</w:t>
            </w:r>
          </w:p>
          <w:p>
            <w:pPr>
              <w:widowControl/>
              <w:adjustRightInd w:val="0"/>
              <w:snapToGrid w:val="0"/>
              <w:spacing w:line="360" w:lineRule="exact"/>
              <w:jc w:val="left"/>
              <w:rPr>
                <w:rFonts w:ascii="宋体" w:cs="宋体"/>
                <w:color w:val="auto"/>
                <w:kern w:val="0"/>
                <w:szCs w:val="21"/>
                <w:highlight w:val="none"/>
              </w:rPr>
            </w:pPr>
            <w:r>
              <w:rPr>
                <w:rFonts w:hint="eastAsia" w:ascii="宋体"/>
                <w:b/>
                <w:bCs/>
                <w:color w:val="auto"/>
                <w:highlight w:val="none"/>
              </w:rPr>
              <w:t>五、保修和服务要求：</w:t>
            </w:r>
            <w:r>
              <w:rPr>
                <w:rFonts w:ascii="宋体" w:cs="宋体"/>
                <w:color w:val="auto"/>
                <w:kern w:val="0"/>
                <w:szCs w:val="21"/>
                <w:highlight w:val="none"/>
              </w:rPr>
              <w:t xml:space="preserve"> </w:t>
            </w:r>
          </w:p>
          <w:p>
            <w:pPr>
              <w:widowControl/>
              <w:adjustRightInd w:val="0"/>
              <w:snapToGrid w:val="0"/>
              <w:spacing w:line="360" w:lineRule="exact"/>
              <w:ind w:firstLine="424" w:firstLineChars="202"/>
              <w:jc w:val="left"/>
              <w:rPr>
                <w:rFonts w:ascii="宋体" w:cs="宋体"/>
                <w:color w:val="auto"/>
                <w:kern w:val="0"/>
                <w:szCs w:val="21"/>
                <w:highlight w:val="none"/>
              </w:rPr>
            </w:pPr>
            <w:r>
              <w:rPr>
                <w:rFonts w:hint="eastAsia" w:ascii="宋体" w:cs="宋体"/>
                <w:color w:val="auto"/>
                <w:kern w:val="0"/>
                <w:szCs w:val="21"/>
                <w:highlight w:val="none"/>
              </w:rPr>
              <w:t>（1）按照住建部《城市照明管理规定》有关标准24小时提供服务；</w:t>
            </w:r>
          </w:p>
          <w:p>
            <w:pPr>
              <w:tabs>
                <w:tab w:val="left" w:pos="180"/>
                <w:tab w:val="left" w:pos="1620"/>
              </w:tabs>
              <w:spacing w:line="360" w:lineRule="exact"/>
              <w:ind w:firstLine="420" w:firstLineChars="200"/>
              <w:rPr>
                <w:rFonts w:ascii="宋体"/>
                <w:color w:val="auto"/>
                <w:szCs w:val="21"/>
                <w:highlight w:val="none"/>
              </w:rPr>
            </w:pPr>
            <w:r>
              <w:rPr>
                <w:rFonts w:hint="eastAsia" w:ascii="宋体" w:cs="宋体"/>
                <w:color w:val="auto"/>
                <w:kern w:val="0"/>
                <w:szCs w:val="21"/>
                <w:highlight w:val="none"/>
              </w:rPr>
              <w:t>（2）服从采购单位工作安排，听从采购单位工作指挥。</w:t>
            </w:r>
          </w:p>
        </w:tc>
      </w:tr>
    </w:tbl>
    <w:p>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400B52"/>
    <w:multiLevelType w:val="singleLevel"/>
    <w:tmpl w:val="96400B5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D74D8"/>
    <w:rsid w:val="631D7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2020-08-04T01:08:00Z</dcterms:created>
  <dc:creator>Admin</dc:creator>
  <cp:lastModifiedBy>Admin</cp:lastModifiedBy>
  <dcterms:modified xsi:type="dcterms:W3CDTF">2020-08-04T01:10:35Z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