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30"/>
          <w:szCs w:val="30"/>
          <w:highlight w:val="none"/>
          <w:lang w:val="en-US" w:eastAsia="zh-CN"/>
        </w:rPr>
      </w:pPr>
      <w:bookmarkStart w:id="0" w:name="_Toc35393809"/>
      <w:bookmarkStart w:id="1" w:name="_Toc28359022"/>
      <w:r>
        <w:rPr>
          <w:rFonts w:hint="eastAsia" w:asciiTheme="minorEastAsia" w:hAnsiTheme="minorEastAsia" w:eastAsiaTheme="minorEastAsia" w:cstheme="minorEastAsia"/>
          <w:b/>
          <w:bCs/>
          <w:color w:val="auto"/>
          <w:sz w:val="30"/>
          <w:szCs w:val="30"/>
          <w:highlight w:val="none"/>
          <w:lang w:val="en-US" w:eastAsia="zh-CN"/>
        </w:rPr>
        <w:t>广西智博招标代理有限</w:t>
      </w:r>
      <w:bookmarkStart w:id="2" w:name="_GoBack"/>
      <w:bookmarkEnd w:id="2"/>
      <w:r>
        <w:rPr>
          <w:rFonts w:hint="eastAsia" w:asciiTheme="minorEastAsia" w:hAnsiTheme="minorEastAsia" w:eastAsiaTheme="minorEastAsia" w:cstheme="minorEastAsia"/>
          <w:b/>
          <w:bCs/>
          <w:color w:val="auto"/>
          <w:sz w:val="30"/>
          <w:szCs w:val="30"/>
          <w:highlight w:val="none"/>
          <w:lang w:val="en-US" w:eastAsia="zh-CN"/>
        </w:rPr>
        <w:t>公司关2022年天峨县高标准农田建设项目（“云岭梦乡”田园综合体项目区）（</w:t>
      </w:r>
      <w:r>
        <w:rPr>
          <w:rFonts w:hint="eastAsia" w:asciiTheme="minorEastAsia" w:hAnsiTheme="minorEastAsia" w:cstheme="minorEastAsia"/>
          <w:b/>
          <w:bCs/>
          <w:color w:val="auto"/>
          <w:sz w:val="30"/>
          <w:szCs w:val="30"/>
          <w:highlight w:val="none"/>
          <w:lang w:val="en-US" w:eastAsia="zh-CN"/>
        </w:rPr>
        <w:t>HCZC2022-G2-220045-GXZB</w:t>
      </w:r>
      <w:r>
        <w:rPr>
          <w:rFonts w:hint="eastAsia" w:asciiTheme="minorEastAsia" w:hAnsiTheme="minorEastAsia" w:eastAsiaTheme="minorEastAsia" w:cstheme="minorEastAsia"/>
          <w:b/>
          <w:bCs/>
          <w:color w:val="auto"/>
          <w:sz w:val="30"/>
          <w:szCs w:val="30"/>
          <w:highlight w:val="none"/>
          <w:lang w:val="en-US" w:eastAsia="zh-CN"/>
        </w:rPr>
        <w:t>）中标结果公告</w:t>
      </w:r>
      <w:bookmarkEnd w:id="0"/>
      <w:bookmarkEnd w:id="1"/>
    </w:p>
    <w:p>
      <w:pPr>
        <w:pStyle w:val="2"/>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sz w:val="28"/>
          <w:szCs w:val="36"/>
          <w:highlight w:val="none"/>
          <w:lang w:val="en-US" w:eastAsia="zh-CN"/>
        </w:rPr>
        <w:t>项目编号：</w:t>
      </w:r>
      <w:r>
        <w:rPr>
          <w:rFonts w:hint="eastAsia" w:asciiTheme="minorEastAsia" w:hAnsiTheme="minorEastAsia" w:eastAsiaTheme="minorEastAsia" w:cstheme="minorEastAsia"/>
          <w:b w:val="0"/>
          <w:bCs w:val="0"/>
          <w:color w:val="auto"/>
          <w:sz w:val="28"/>
          <w:szCs w:val="36"/>
          <w:highlight w:val="none"/>
          <w:lang w:val="en-US" w:eastAsia="zh-CN"/>
        </w:rPr>
        <w:t xml:space="preserve">HCZC2022-G2-220045-GXZB </w:t>
      </w:r>
      <w:r>
        <w:rPr>
          <w:rFonts w:hint="eastAsia" w:asciiTheme="minorEastAsia" w:hAnsiTheme="minorEastAsia" w:eastAsiaTheme="minorEastAsia" w:cstheme="minorEastAsia"/>
          <w:b/>
          <w:bCs/>
          <w:color w:val="auto"/>
          <w:sz w:val="28"/>
          <w:szCs w:val="36"/>
          <w:highlight w:val="none"/>
          <w:lang w:val="en-US" w:eastAsia="zh-CN"/>
        </w:rPr>
        <w:t>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lang w:val="en-US" w:eastAsia="zh-CN"/>
        </w:rPr>
        <w:t>项目名称：</w:t>
      </w:r>
      <w:r>
        <w:rPr>
          <w:rFonts w:hint="eastAsia" w:asciiTheme="minorEastAsia" w:hAnsiTheme="minorEastAsia" w:eastAsiaTheme="minorEastAsia" w:cstheme="minorEastAsia"/>
          <w:b w:val="0"/>
          <w:bCs w:val="0"/>
          <w:color w:val="auto"/>
          <w:sz w:val="28"/>
          <w:szCs w:val="28"/>
          <w:highlight w:val="none"/>
          <w:lang w:val="en-US" w:eastAsia="zh-CN"/>
        </w:rPr>
        <w:t>2022年天峨县高标准农田建设项目（“云岭梦乡”田园综合体项目区）</w:t>
      </w:r>
      <w:r>
        <w:rPr>
          <w:rFonts w:hint="eastAsia" w:asciiTheme="minorEastAsia" w:hAnsiTheme="minorEastAsia" w:eastAsiaTheme="minorEastAsia" w:cstheme="minorEastAsia"/>
          <w:b w:val="0"/>
          <w:bCs w:val="0"/>
          <w:color w:val="auto"/>
          <w:sz w:val="28"/>
          <w:szCs w:val="36"/>
          <w:highlight w:val="none"/>
          <w:lang w:val="en-US" w:eastAsia="zh-CN"/>
        </w:rPr>
        <w:t>     </w:t>
      </w:r>
      <w:r>
        <w:rPr>
          <w:rFonts w:hint="eastAsia" w:asciiTheme="minorEastAsia" w:hAnsiTheme="minorEastAsia" w:eastAsiaTheme="minorEastAsia" w:cstheme="minorEastAsia"/>
          <w:b/>
          <w:bCs/>
          <w:color w:val="auto"/>
          <w:sz w:val="28"/>
          <w:szCs w:val="36"/>
          <w:highlight w:val="none"/>
          <w:lang w:val="en-US" w:eastAsia="zh-CN"/>
        </w:rPr>
        <w:t xml:space="preserve"> </w:t>
      </w:r>
      <w:r>
        <w:rPr>
          <w:rFonts w:hint="eastAsia" w:asciiTheme="minorEastAsia" w:hAnsiTheme="minorEastAsia" w:eastAsiaTheme="minorEastAsia" w:cstheme="minorEastAsia"/>
          <w:b/>
          <w:bCs/>
          <w:color w:val="auto"/>
          <w:sz w:val="28"/>
          <w:szCs w:val="36"/>
          <w:highlight w:val="none"/>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color w:val="auto"/>
          <w:sz w:val="28"/>
          <w:szCs w:val="36"/>
          <w:highlight w:val="none"/>
        </w:rPr>
      </w:pPr>
      <w:r>
        <w:rPr>
          <w:rFonts w:hint="eastAsia" w:asciiTheme="minorEastAsia" w:hAnsiTheme="minorEastAsia" w:eastAsiaTheme="minorEastAsia" w:cstheme="minorEastAsia"/>
          <w:b/>
          <w:bCs/>
          <w:color w:val="auto"/>
          <w:sz w:val="28"/>
          <w:szCs w:val="36"/>
          <w:highlight w:val="none"/>
          <w:lang w:eastAsia="zh-CN"/>
        </w:rPr>
        <w:t>三、</w:t>
      </w:r>
      <w:r>
        <w:rPr>
          <w:rFonts w:hint="eastAsia" w:asciiTheme="minorEastAsia" w:hAnsiTheme="minorEastAsia" w:eastAsiaTheme="minorEastAsia" w:cstheme="minorEastAsia"/>
          <w:b/>
          <w:bCs/>
          <w:color w:val="auto"/>
          <w:sz w:val="28"/>
          <w:szCs w:val="36"/>
          <w:highlight w:val="none"/>
        </w:rPr>
        <w:t>中标（成交）信息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7"/>
          <w:szCs w:val="27"/>
          <w:highlight w:val="none"/>
        </w:rPr>
        <w:t xml:space="preserve">  </w:t>
      </w:r>
      <w:r>
        <w:rPr>
          <w:rFonts w:hint="eastAsia" w:asciiTheme="minorEastAsia" w:hAnsiTheme="minorEastAsia" w:eastAsiaTheme="minorEastAsia" w:cstheme="minorEastAsia"/>
          <w:i w:val="0"/>
          <w:iCs w:val="0"/>
          <w:caps w:val="0"/>
          <w:color w:val="auto"/>
          <w:spacing w:val="0"/>
          <w:sz w:val="27"/>
          <w:szCs w:val="27"/>
          <w:highlight w:val="none"/>
          <w:lang w:val="en-US" w:eastAsia="zh-CN"/>
        </w:rPr>
        <w:t>1.</w:t>
      </w:r>
      <w:r>
        <w:rPr>
          <w:rFonts w:hint="eastAsia" w:asciiTheme="minorEastAsia" w:hAnsiTheme="minorEastAsia" w:eastAsiaTheme="minorEastAsia" w:cstheme="minorEastAsia"/>
          <w:b w:val="0"/>
          <w:bCs w:val="0"/>
          <w:color w:val="auto"/>
          <w:kern w:val="2"/>
          <w:sz w:val="24"/>
          <w:szCs w:val="32"/>
          <w:highlight w:val="none"/>
          <w:lang w:val="en-US" w:eastAsia="zh-CN" w:bidi="ar-SA"/>
        </w:rPr>
        <w:t>中标结果：</w:t>
      </w:r>
    </w:p>
    <w:tbl>
      <w:tblPr>
        <w:tblStyle w:val="12"/>
        <w:tblW w:w="5204"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1"/>
        <w:gridCol w:w="2844"/>
        <w:gridCol w:w="2120"/>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8" w:hRule="atLeast"/>
          <w:tblHeader/>
        </w:trPr>
        <w:tc>
          <w:tcPr>
            <w:tcW w:w="407"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序号</w:t>
            </w:r>
          </w:p>
        </w:tc>
        <w:tc>
          <w:tcPr>
            <w:tcW w:w="1359"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highlight w:val="none"/>
                <w:lang w:val="en-US"/>
              </w:rPr>
            </w:pPr>
            <w:r>
              <w:rPr>
                <w:rFonts w:hint="eastAsia" w:asciiTheme="minorEastAsia" w:hAnsiTheme="minorEastAsia" w:eastAsiaTheme="minorEastAsia" w:cstheme="minorEastAsia"/>
                <w:b/>
                <w:bCs/>
                <w:i w:val="0"/>
                <w:iCs w:val="0"/>
                <w:caps w:val="0"/>
                <w:color w:val="auto"/>
                <w:spacing w:val="0"/>
                <w:sz w:val="27"/>
                <w:szCs w:val="27"/>
                <w:highlight w:val="none"/>
                <w:shd w:val="clear" w:fill="FFFFFF"/>
              </w:rPr>
              <w:t>中标（成交）金额(元)</w:t>
            </w:r>
          </w:p>
        </w:tc>
        <w:tc>
          <w:tcPr>
            <w:tcW w:w="1013"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中标供应商名称</w:t>
            </w:r>
          </w:p>
        </w:tc>
        <w:tc>
          <w:tcPr>
            <w:tcW w:w="221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8" w:hRule="atLeast"/>
        </w:trPr>
        <w:tc>
          <w:tcPr>
            <w:tcW w:w="407" w:type="pct"/>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1</w:t>
            </w:r>
          </w:p>
        </w:tc>
        <w:tc>
          <w:tcPr>
            <w:tcW w:w="1359" w:type="pct"/>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报价:7357866.7(元)</w:t>
            </w:r>
          </w:p>
        </w:tc>
        <w:tc>
          <w:tcPr>
            <w:tcW w:w="1013" w:type="pct"/>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广西鑫达强建设发展有限公司</w:t>
            </w:r>
          </w:p>
        </w:tc>
        <w:tc>
          <w:tcPr>
            <w:tcW w:w="2218" w:type="pct"/>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中国（广西）自由贸易试验区南宁片区五象大道 399号龙光国际2号楼2028号</w:t>
            </w:r>
          </w:p>
        </w:tc>
      </w:tr>
    </w:tbl>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7"/>
          <w:szCs w:val="27"/>
          <w:highlight w:val="none"/>
        </w:rPr>
        <w:t xml:space="preserve">  </w:t>
      </w:r>
      <w:r>
        <w:rPr>
          <w:rFonts w:hint="eastAsia" w:asciiTheme="minorEastAsia" w:hAnsiTheme="minorEastAsia" w:eastAsiaTheme="minorEastAsia" w:cstheme="minorEastAsia"/>
          <w:i w:val="0"/>
          <w:iCs w:val="0"/>
          <w:caps w:val="0"/>
          <w:color w:val="auto"/>
          <w:spacing w:val="0"/>
          <w:sz w:val="27"/>
          <w:szCs w:val="27"/>
          <w:highlight w:val="none"/>
          <w:lang w:val="en-US" w:eastAsia="zh-CN"/>
        </w:rPr>
        <w:t> 2.废标结果:  </w:t>
      </w:r>
    </w:p>
    <w:tbl>
      <w:tblPr>
        <w:tblStyle w:val="12"/>
        <w:tblW w:w="520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623"/>
        <w:gridCol w:w="2510"/>
        <w:gridCol w:w="2512"/>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125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120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标项名称</w:t>
            </w:r>
          </w:p>
        </w:tc>
        <w:tc>
          <w:tcPr>
            <w:tcW w:w="1201"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废标理由</w:t>
            </w:r>
          </w:p>
        </w:tc>
        <w:tc>
          <w:tcPr>
            <w:tcW w:w="134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125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w:t>
            </w:r>
          </w:p>
        </w:tc>
        <w:tc>
          <w:tcPr>
            <w:tcW w:w="1200"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w:t>
            </w:r>
          </w:p>
        </w:tc>
        <w:tc>
          <w:tcPr>
            <w:tcW w:w="1201"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w:t>
            </w:r>
          </w:p>
        </w:tc>
        <w:tc>
          <w:tcPr>
            <w:tcW w:w="1344"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textAlignment w:val="auto"/>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kern w:val="2"/>
          <w:sz w:val="28"/>
          <w:szCs w:val="36"/>
          <w:highlight w:val="none"/>
          <w:lang w:val="en-US" w:eastAsia="zh-CN" w:bidi="ar-SA"/>
        </w:rPr>
        <w:t>四、主要标的信息 </w:t>
      </w:r>
      <w:r>
        <w:rPr>
          <w:rFonts w:hint="eastAsia" w:asciiTheme="minorEastAsia" w:hAnsiTheme="minorEastAsia" w:eastAsiaTheme="minorEastAsia" w:cstheme="minorEastAsia"/>
          <w:b/>
          <w:bCs/>
          <w:color w:val="auto"/>
          <w:sz w:val="28"/>
          <w:szCs w:val="36"/>
          <w:highlight w:val="none"/>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jc w:val="left"/>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工程类主要标的信息：</w:t>
      </w:r>
    </w:p>
    <w:tbl>
      <w:tblPr>
        <w:tblStyle w:val="12"/>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2"/>
        <w:gridCol w:w="1884"/>
        <w:gridCol w:w="1802"/>
        <w:gridCol w:w="3226"/>
        <w:gridCol w:w="816"/>
        <w:gridCol w:w="103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8" w:hRule="atLeast"/>
        </w:trPr>
        <w:tc>
          <w:tcPr>
            <w:tcW w:w="25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val="en-US" w:eastAsia="zh-CN"/>
              </w:rPr>
              <w:t>序号</w:t>
            </w:r>
          </w:p>
        </w:tc>
        <w:tc>
          <w:tcPr>
            <w:tcW w:w="897"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val="en-US" w:eastAsia="zh-CN"/>
              </w:rPr>
              <w:t>标项名称</w:t>
            </w:r>
          </w:p>
        </w:tc>
        <w:tc>
          <w:tcPr>
            <w:tcW w:w="85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val="en-US" w:eastAsia="zh-CN"/>
              </w:rPr>
              <w:t>标的名称</w:t>
            </w:r>
          </w:p>
        </w:tc>
        <w:tc>
          <w:tcPr>
            <w:tcW w:w="1536"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eastAsia="zh-CN"/>
              </w:rPr>
              <w:t>施工</w:t>
            </w:r>
            <w:r>
              <w:rPr>
                <w:rFonts w:hint="eastAsia" w:asciiTheme="minorEastAsia" w:hAnsiTheme="minorEastAsia" w:eastAsiaTheme="minorEastAsia" w:cstheme="minorEastAsia"/>
                <w:color w:val="auto"/>
                <w:sz w:val="21"/>
                <w:szCs w:val="24"/>
                <w:highlight w:val="none"/>
              </w:rPr>
              <w:t>范围</w:t>
            </w:r>
          </w:p>
        </w:tc>
        <w:tc>
          <w:tcPr>
            <w:tcW w:w="388"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施工工期</w:t>
            </w:r>
          </w:p>
        </w:tc>
        <w:tc>
          <w:tcPr>
            <w:tcW w:w="491"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项目经理</w:t>
            </w:r>
          </w:p>
        </w:tc>
        <w:tc>
          <w:tcPr>
            <w:tcW w:w="569" w:type="pc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59" w:hRule="atLeast"/>
        </w:trPr>
        <w:tc>
          <w:tcPr>
            <w:tcW w:w="258" w:type="pct"/>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1</w:t>
            </w:r>
          </w:p>
        </w:tc>
        <w:tc>
          <w:tcPr>
            <w:tcW w:w="897"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2022年天峨县高标准农田建设项目（“云岭梦乡”田园综合体项目区）</w:t>
            </w:r>
          </w:p>
        </w:tc>
        <w:tc>
          <w:tcPr>
            <w:tcW w:w="858"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2022年天峨县高标准农田建设项目（“云岭梦乡”田园综合体项目区）</w:t>
            </w:r>
          </w:p>
        </w:tc>
        <w:tc>
          <w:tcPr>
            <w:tcW w:w="1536"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color w:val="auto"/>
                <w:szCs w:val="21"/>
                <w:highlight w:val="none"/>
              </w:rPr>
              <w:t>水利渠道21条，共4553米，人行盖板11座，机械盖板11座；田间道路14条，共5893米，回车台3座，错车台5座，涵管10座，具体详见工程量清单及图纸。</w:t>
            </w:r>
          </w:p>
        </w:tc>
        <w:tc>
          <w:tcPr>
            <w:tcW w:w="388"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color w:val="auto"/>
                <w:szCs w:val="22"/>
                <w:highlight w:val="none"/>
              </w:rPr>
              <w:t>365天</w:t>
            </w:r>
          </w:p>
        </w:tc>
        <w:tc>
          <w:tcPr>
            <w:tcW w:w="491"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覃秋湖</w:t>
            </w:r>
          </w:p>
        </w:tc>
        <w:tc>
          <w:tcPr>
            <w:tcW w:w="569" w:type="pct"/>
            <w:shd w:val="clear" w:color="auto" w:fill="auto"/>
            <w:tcMar>
              <w:top w:w="75" w:type="dxa"/>
              <w:left w:w="150" w:type="dxa"/>
              <w:bottom w:w="75" w:type="dxa"/>
              <w:right w:w="150" w:type="dxa"/>
            </w:tcMar>
            <w:vAlign w:val="top"/>
          </w:tcPr>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bCs w:val="0"/>
                <w:color w:val="auto"/>
                <w:kern w:val="2"/>
                <w:sz w:val="24"/>
                <w:szCs w:val="32"/>
                <w:highlight w:val="none"/>
                <w:lang w:val="en-US" w:eastAsia="zh-CN" w:bidi="ar-SA"/>
              </w:rPr>
              <w:t>桂245182100011</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center"/>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p>
        </w:tc>
      </w:tr>
    </w:tbl>
    <w:p>
      <w:pPr>
        <w:keepNext w:val="0"/>
        <w:keepLines w:val="0"/>
        <w:pageBreakBefore w:val="0"/>
        <w:widowControl/>
        <w:suppressLineNumbers w:val="0"/>
        <w:kinsoku/>
        <w:overflowPunct/>
        <w:topLinePunct w:val="0"/>
        <w:autoSpaceDE/>
        <w:autoSpaceDN/>
        <w:bidi w:val="0"/>
        <w:adjustRightInd/>
        <w:snapToGrid/>
        <w:spacing w:line="240" w:lineRule="auto"/>
        <w:ind w:left="0" w:firstLine="0"/>
        <w:jc w:val="left"/>
        <w:textAlignment w:val="auto"/>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i w:val="0"/>
          <w:iCs w:val="0"/>
          <w:caps w:val="0"/>
          <w:color w:val="auto"/>
          <w:spacing w:val="0"/>
          <w:kern w:val="0"/>
          <w:sz w:val="27"/>
          <w:szCs w:val="27"/>
          <w:highlight w:val="none"/>
          <w:lang w:val="en-US" w:eastAsia="zh-CN" w:bidi="ar"/>
        </w:rPr>
        <w:t> </w:t>
      </w:r>
      <w:r>
        <w:rPr>
          <w:rFonts w:hint="eastAsia" w:asciiTheme="minorEastAsia" w:hAnsiTheme="minorEastAsia" w:eastAsiaTheme="minorEastAsia" w:cstheme="minorEastAsia"/>
          <w:b/>
          <w:bCs/>
          <w:color w:val="auto"/>
          <w:kern w:val="2"/>
          <w:sz w:val="28"/>
          <w:szCs w:val="36"/>
          <w:highlight w:val="none"/>
          <w:lang w:val="en-US" w:eastAsia="zh-CN" w:bidi="ar-SA"/>
        </w:rPr>
        <w:t xml:space="preserve">五、评审专家（单一来源采购人员）名单：   </w:t>
      </w:r>
      <w:r>
        <w:rPr>
          <w:rFonts w:hint="eastAsia" w:asciiTheme="minorEastAsia" w:hAnsiTheme="minorEastAsia" w:eastAsiaTheme="minorEastAsia" w:cstheme="minorEastAsia"/>
          <w:b/>
          <w:bCs/>
          <w:color w:val="auto"/>
          <w:sz w:val="28"/>
          <w:szCs w:val="36"/>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val="0"/>
          <w:color w:val="auto"/>
          <w:kern w:val="2"/>
          <w:sz w:val="24"/>
          <w:szCs w:val="32"/>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  </w:t>
      </w:r>
      <w:r>
        <w:rPr>
          <w:rFonts w:hint="eastAsia" w:asciiTheme="minorEastAsia" w:hAnsiTheme="minorEastAsia" w:eastAsiaTheme="minorEastAsia" w:cstheme="minorEastAsia"/>
          <w:color w:val="auto"/>
          <w:sz w:val="24"/>
          <w:szCs w:val="24"/>
          <w:highlight w:val="none"/>
        </w:rPr>
        <w:t>梁晓明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兰高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范如贞</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韦辉康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罗恩才</w:t>
      </w:r>
      <w:r>
        <w:rPr>
          <w:rFonts w:hint="eastAsia" w:asciiTheme="minorEastAsia" w:hAnsiTheme="minorEastAsia" w:eastAsiaTheme="minorEastAsia" w:cstheme="minorEastAsia"/>
          <w:b w:val="0"/>
          <w:bCs w:val="0"/>
          <w:color w:val="auto"/>
          <w:kern w:val="2"/>
          <w:sz w:val="24"/>
          <w:szCs w:val="24"/>
          <w:highlight w:val="none"/>
          <w:lang w:val="en-US" w:eastAsia="zh-CN" w:bidi="ar-SA"/>
        </w:rPr>
        <w:t>(采购人代表) </w:t>
      </w:r>
      <w:r>
        <w:rPr>
          <w:rFonts w:hint="eastAsia" w:asciiTheme="minorEastAsia" w:hAnsiTheme="minorEastAsia" w:eastAsiaTheme="minorEastAsia" w:cstheme="minorEastAsia"/>
          <w:b w:val="0"/>
          <w:bCs w:val="0"/>
          <w:color w:val="auto"/>
          <w:kern w:val="2"/>
          <w:sz w:val="28"/>
          <w:szCs w:val="28"/>
          <w:highlight w:val="none"/>
          <w:lang w:val="en-US" w:eastAsia="zh-CN" w:bidi="ar-SA"/>
        </w:rPr>
        <w:t>    </w:t>
      </w:r>
      <w:r>
        <w:rPr>
          <w:rFonts w:hint="eastAsia" w:asciiTheme="minorEastAsia" w:hAnsiTheme="minorEastAsia" w:eastAsiaTheme="minorEastAsia" w:cstheme="minorEastAsia"/>
          <w:b w:val="0"/>
          <w:bCs w:val="0"/>
          <w:color w:val="auto"/>
          <w:kern w:val="2"/>
          <w:sz w:val="24"/>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kern w:val="2"/>
          <w:sz w:val="28"/>
          <w:szCs w:val="36"/>
          <w:highlight w:val="none"/>
          <w:lang w:val="en-US" w:eastAsia="zh-CN" w:bidi="ar-SA"/>
        </w:rPr>
        <w:t xml:space="preserve">六、代理服务收费标准及金额：  </w:t>
      </w:r>
      <w:r>
        <w:rPr>
          <w:rFonts w:hint="eastAsia" w:asciiTheme="minorEastAsia" w:hAnsiTheme="minorEastAsia" w:eastAsiaTheme="minorEastAsia" w:cstheme="minorEastAsia"/>
          <w:b/>
          <w:bCs/>
          <w:color w:val="auto"/>
          <w:sz w:val="28"/>
          <w:szCs w:val="36"/>
          <w:highlight w:val="none"/>
          <w:lang w:val="en-US" w:eastAsia="zh-CN"/>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7"/>
          <w:szCs w:val="27"/>
          <w:highlight w:val="none"/>
        </w:rPr>
        <w:t> </w:t>
      </w:r>
      <w:r>
        <w:rPr>
          <w:rFonts w:hint="eastAsia" w:asciiTheme="minorEastAsia" w:hAnsiTheme="minorEastAsia" w:eastAsiaTheme="minorEastAsia" w:cstheme="minorEastAsia"/>
          <w:i w:val="0"/>
          <w:iCs w:val="0"/>
          <w:caps w:val="0"/>
          <w:color w:val="auto"/>
          <w:spacing w:val="0"/>
          <w:sz w:val="27"/>
          <w:szCs w:val="27"/>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1.代理服务收费标准：招标代理服务费的计算与收取：本项目采购代理服务费按国家计委《招标代理服务收费管理暂行办法（计价格［2002］1980 号）》以及国家发展和改革委员会办公厅《关于招标代理服务收费有关问题的通知》(发改办价格[2003]857 号)的规定，收费标准以中标价为计算基数，由中标人领取《中标通知书》时一次性向招标代理机构支付。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   2.代理服务收费金额（元）：50970.00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b/>
          <w:bCs/>
          <w:color w:val="auto"/>
          <w:kern w:val="2"/>
          <w:sz w:val="28"/>
          <w:szCs w:val="36"/>
          <w:highlight w:val="none"/>
          <w:lang w:val="en-US" w:eastAsia="zh-CN" w:bidi="ar-SA"/>
        </w:rPr>
        <w:t xml:space="preserve">七、公告期限   </w:t>
      </w:r>
      <w:r>
        <w:rPr>
          <w:rFonts w:hint="eastAsia" w:asciiTheme="minorEastAsia" w:hAnsiTheme="minorEastAsia" w:eastAsiaTheme="minorEastAsia" w:cstheme="minorEastAsia"/>
          <w:i w:val="0"/>
          <w:iCs w:val="0"/>
          <w:caps w:val="0"/>
          <w:color w:val="auto"/>
          <w:spacing w:val="0"/>
          <w:sz w:val="27"/>
          <w:szCs w:val="27"/>
          <w:highlight w:val="none"/>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7"/>
          <w:szCs w:val="27"/>
          <w:highlight w:val="none"/>
        </w:rPr>
        <w:t> </w:t>
      </w:r>
      <w:r>
        <w:rPr>
          <w:rFonts w:hint="eastAsia" w:asciiTheme="minorEastAsia" w:hAnsiTheme="minorEastAsia" w:eastAsiaTheme="minorEastAsia" w:cstheme="minorEastAsia"/>
          <w:color w:val="auto"/>
          <w:kern w:val="0"/>
          <w:sz w:val="24"/>
          <w:szCs w:val="24"/>
          <w:highlight w:val="none"/>
          <w:lang w:val="en-US" w:eastAsia="zh-CN" w:bidi="ar"/>
        </w:rPr>
        <w:t xml:space="preserve">  自本公告发布之日起1个工作日。       </w:t>
      </w:r>
      <w:r>
        <w:rPr>
          <w:rFonts w:hint="eastAsia" w:asciiTheme="minorEastAsia" w:hAnsiTheme="minorEastAsia" w:eastAsiaTheme="minorEastAsia" w:cstheme="minorEastAsia"/>
          <w:i w:val="0"/>
          <w:iCs w:val="0"/>
          <w:caps w:val="0"/>
          <w:color w:val="auto"/>
          <w:spacing w:val="0"/>
          <w:sz w:val="24"/>
          <w:szCs w:val="24"/>
          <w:highlight w:val="none"/>
        </w:rPr>
        <w:t>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b/>
          <w:bCs/>
          <w:color w:val="auto"/>
          <w:kern w:val="2"/>
          <w:sz w:val="28"/>
          <w:szCs w:val="36"/>
          <w:highlight w:val="none"/>
          <w:lang w:val="en-US" w:eastAsia="zh-CN" w:bidi="ar-SA"/>
        </w:rPr>
        <w:t>八、其他补充事宜   </w:t>
      </w:r>
      <w:r>
        <w:rPr>
          <w:rFonts w:hint="eastAsia" w:asciiTheme="minorEastAsia" w:hAnsiTheme="minorEastAsia" w:eastAsiaTheme="minorEastAsia" w:cstheme="minorEastAsia"/>
          <w:i w:val="0"/>
          <w:iCs w:val="0"/>
          <w:caps w:val="0"/>
          <w:color w:val="auto"/>
          <w:spacing w:val="0"/>
          <w:sz w:val="24"/>
          <w:szCs w:val="24"/>
          <w:highlight w:val="none"/>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1．发布公告的媒介：中国政府采购网（www.ccgp.gov.cn）、广西壮族自治区政府采购网（zfcg.gxzf.gov.cn）、全国公共资源交易平台（广西·河池）网（ggzy.jgswj.gxzf.gov.cn/hcggzy/）</w:t>
      </w:r>
      <w:r>
        <w:rPr>
          <w:rFonts w:hint="eastAsia" w:asciiTheme="minorEastAsia" w:hAnsiTheme="minorEastAsia" w:eastAsiaTheme="minorEastAsia" w:cstheme="minorEastAsia"/>
          <w:color w:val="auto"/>
          <w:kern w:val="0"/>
          <w:sz w:val="24"/>
          <w:szCs w:val="24"/>
          <w:highlight w:val="none"/>
          <w:lang w:val="en-US" w:eastAsia="zh-CN" w:bidi="ar"/>
        </w:rPr>
        <w:br w:type="textWrapping"/>
      </w:r>
      <w:r>
        <w:rPr>
          <w:rFonts w:hint="eastAsia" w:asciiTheme="minorEastAsia" w:hAnsiTheme="minorEastAsia" w:eastAsiaTheme="minorEastAsia" w:cstheme="minorEastAsia"/>
          <w:color w:val="auto"/>
          <w:kern w:val="0"/>
          <w:sz w:val="24"/>
          <w:szCs w:val="24"/>
          <w:highlight w:val="none"/>
          <w:lang w:val="en-US" w:eastAsia="zh-CN" w:bidi="ar"/>
        </w:rPr>
        <w:t>   2.监督部门信息：天峨县政府采购办   联系电话：0778-7823991</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3．供应商认为</w:t>
      </w:r>
      <w:r>
        <w:rPr>
          <w:rFonts w:hint="eastAsia" w:asciiTheme="minorEastAsia" w:hAnsiTheme="minorEastAsia" w:cstheme="minorEastAsia"/>
          <w:color w:val="auto"/>
          <w:kern w:val="0"/>
          <w:sz w:val="24"/>
          <w:szCs w:val="24"/>
          <w:highlight w:val="none"/>
          <w:lang w:val="en-US" w:eastAsia="zh-CN" w:bidi="ar"/>
        </w:rPr>
        <w:t>中标</w:t>
      </w:r>
      <w:r>
        <w:rPr>
          <w:rFonts w:hint="eastAsia" w:asciiTheme="minorEastAsia" w:hAnsiTheme="minorEastAsia" w:eastAsiaTheme="minorEastAsia" w:cstheme="minorEastAsia"/>
          <w:color w:val="auto"/>
          <w:kern w:val="0"/>
          <w:sz w:val="24"/>
          <w:szCs w:val="24"/>
          <w:highlight w:val="none"/>
          <w:lang w:val="en-US" w:eastAsia="zh-CN" w:bidi="ar"/>
        </w:rPr>
        <w:t>结果使自己的权益受到损害的，可以在</w:t>
      </w:r>
      <w:r>
        <w:rPr>
          <w:rFonts w:hint="eastAsia" w:asciiTheme="minorEastAsia" w:hAnsiTheme="minorEastAsia" w:cstheme="minorEastAsia"/>
          <w:color w:val="auto"/>
          <w:kern w:val="0"/>
          <w:sz w:val="24"/>
          <w:szCs w:val="24"/>
          <w:highlight w:val="none"/>
          <w:lang w:val="en-US" w:eastAsia="zh-CN" w:bidi="ar"/>
        </w:rPr>
        <w:t>中标</w:t>
      </w:r>
      <w:r>
        <w:rPr>
          <w:rFonts w:hint="eastAsia" w:asciiTheme="minorEastAsia" w:hAnsiTheme="minorEastAsia" w:eastAsiaTheme="minorEastAsia" w:cstheme="minorEastAsia"/>
          <w:color w:val="auto"/>
          <w:kern w:val="0"/>
          <w:sz w:val="24"/>
          <w:szCs w:val="24"/>
          <w:highlight w:val="none"/>
          <w:lang w:val="en-US" w:eastAsia="zh-CN" w:bidi="ar"/>
        </w:rPr>
        <w:t>结果公告期限届满之日起七个工作日内以书面形式向广西智博招标代理有限公司提出质疑，逾期将不再受理。</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b/>
          <w:bCs/>
          <w:color w:val="auto"/>
          <w:kern w:val="2"/>
          <w:sz w:val="28"/>
          <w:szCs w:val="36"/>
          <w:highlight w:val="none"/>
          <w:lang w:val="en-US" w:eastAsia="zh-CN" w:bidi="ar-SA"/>
        </w:rPr>
        <w:t>九、对本次公告内容提出询问，请按以下方式联系　　　</w:t>
      </w:r>
      <w:r>
        <w:rPr>
          <w:rFonts w:hint="eastAsia" w:asciiTheme="minorEastAsia" w:hAnsiTheme="minorEastAsia" w:eastAsiaTheme="minorEastAsia" w:cstheme="minorEastAsia"/>
          <w:i w:val="0"/>
          <w:iCs w:val="0"/>
          <w:caps w:val="0"/>
          <w:color w:val="auto"/>
          <w:spacing w:val="0"/>
          <w:sz w:val="21"/>
          <w:szCs w:val="21"/>
          <w:highlight w:val="none"/>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1.采购人信息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名 称：天峨县农业农村局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地址：河池市天峨县六排镇城东路076号</w:t>
      </w:r>
    </w:p>
    <w:p>
      <w:pPr>
        <w:pStyle w:val="7"/>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840" w:firstLineChars="35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项目联系人：马尚松</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联系电话：0778-</w:t>
      </w:r>
      <w:r>
        <w:rPr>
          <w:rFonts w:hint="eastAsia" w:asciiTheme="minorEastAsia" w:hAnsiTheme="minorEastAsia" w:eastAsiaTheme="minorEastAsia" w:cstheme="minorEastAsia"/>
          <w:color w:val="auto"/>
          <w:sz w:val="24"/>
          <w:szCs w:val="24"/>
          <w:highlight w:val="none"/>
          <w:u w:val="none"/>
          <w:lang w:val="en-US" w:eastAsia="zh-CN"/>
        </w:rPr>
        <w:t>7824910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840" w:firstLineChars="35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名 称：广西智博招标代理有限公司</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840" w:firstLineChars="35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地　址：南宁市青秀区云景路7号人寿凤岭小区D栋1单元11A2</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840" w:firstLineChars="35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联系电话：0771- 4824240 / 17376042904</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right="0" w:firstLine="720" w:firstLineChars="300"/>
        <w:jc w:val="righ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right="0" w:firstLine="720" w:firstLineChars="300"/>
        <w:jc w:val="right"/>
        <w:textAlignment w:val="auto"/>
        <w:rPr>
          <w:rFonts w:hint="eastAsia" w:asciiTheme="minorEastAsia" w:hAnsiTheme="minorEastAsia" w:eastAsiaTheme="minorEastAsia" w:cstheme="minorEastAsia"/>
          <w:i w:val="0"/>
          <w:iCs w:val="0"/>
          <w:caps w:val="0"/>
          <w:color w:val="auto"/>
          <w:spacing w:val="0"/>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采购代理机构</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bidi="ar"/>
        </w:rPr>
        <w:t>广西智博招标代理有限公司</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right="0" w:firstLine="720" w:firstLineChars="3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202</w:t>
      </w:r>
      <w:r>
        <w:rPr>
          <w:rFonts w:hint="eastAsia" w:asciiTheme="minorEastAsia" w:hAnsiTheme="minorEastAsia" w:eastAsiaTheme="minorEastAsia" w:cstheme="minorEastAsia"/>
          <w:i w:val="0"/>
          <w:iCs w:val="0"/>
          <w:caps w:val="0"/>
          <w:color w:val="auto"/>
          <w:spacing w:val="0"/>
          <w:sz w:val="24"/>
          <w:szCs w:val="24"/>
          <w:highlight w:val="none"/>
          <w:lang w:val="en-US" w:eastAsia="zh-CN"/>
        </w:rPr>
        <w:t>2</w:t>
      </w:r>
      <w:r>
        <w:rPr>
          <w:rFonts w:hint="eastAsia" w:asciiTheme="minorEastAsia" w:hAnsiTheme="minorEastAsia" w:eastAsiaTheme="minorEastAsia" w:cstheme="minorEastAsia"/>
          <w:i w:val="0"/>
          <w:iCs w:val="0"/>
          <w:caps w:val="0"/>
          <w:color w:val="auto"/>
          <w:spacing w:val="0"/>
          <w:sz w:val="24"/>
          <w:szCs w:val="24"/>
          <w:highlight w:val="none"/>
        </w:rPr>
        <w:t>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5月2</w:t>
      </w:r>
      <w:r>
        <w:rPr>
          <w:rFonts w:hint="eastAsia" w:asciiTheme="minorEastAsia" w:hAnsiTheme="minorEastAsia" w:cstheme="minorEastAsia"/>
          <w:i w:val="0"/>
          <w:iCs w:val="0"/>
          <w:caps w:val="0"/>
          <w:color w:val="auto"/>
          <w:spacing w:val="0"/>
          <w:sz w:val="24"/>
          <w:szCs w:val="24"/>
          <w:highlight w:val="none"/>
          <w:lang w:val="en-US" w:eastAsia="zh-CN"/>
        </w:rPr>
        <w:t>3</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3050"/>
    <w:multiLevelType w:val="singleLevel"/>
    <w:tmpl w:val="246930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67D82589"/>
    <w:rsid w:val="09897F00"/>
    <w:rsid w:val="0AEE4A65"/>
    <w:rsid w:val="0F1D4B5D"/>
    <w:rsid w:val="2B2714C7"/>
    <w:rsid w:val="2E02038B"/>
    <w:rsid w:val="35AF05AF"/>
    <w:rsid w:val="39682FAB"/>
    <w:rsid w:val="4CE711A4"/>
    <w:rsid w:val="54242EC6"/>
    <w:rsid w:val="574346E4"/>
    <w:rsid w:val="67D82589"/>
    <w:rsid w:val="6851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pPr>
    <w:rPr>
      <w:color w:val="000000"/>
      <w:szCs w:val="21"/>
    </w:rPr>
  </w:style>
  <w:style w:type="paragraph" w:styleId="3">
    <w:name w:val="Body Text Indent"/>
    <w:basedOn w:val="1"/>
    <w:next w:val="1"/>
    <w:uiPriority w:val="0"/>
    <w:pPr>
      <w:spacing w:line="200" w:lineRule="exact"/>
      <w:ind w:firstLine="301"/>
    </w:pPr>
    <w:rPr>
      <w:rFonts w:ascii="宋体" w:hAnsi="Courier New"/>
      <w:spacing w:val="-4"/>
      <w:sz w:val="18"/>
      <w:szCs w:val="20"/>
    </w:rPr>
  </w:style>
  <w:style w:type="paragraph" w:styleId="5">
    <w:name w:val="annotation text"/>
    <w:basedOn w:val="1"/>
    <w:qFormat/>
    <w:uiPriority w:val="0"/>
    <w:pPr>
      <w:jc w:val="left"/>
    </w:pPr>
  </w:style>
  <w:style w:type="paragraph" w:styleId="6">
    <w:name w:val="Body Text"/>
    <w:basedOn w:val="1"/>
    <w:next w:val="1"/>
    <w:qFormat/>
    <w:uiPriority w:val="0"/>
    <w:rPr>
      <w:rFonts w:ascii="金山简黑体" w:hAnsi="Courier New" w:eastAsia="金山简黑体"/>
      <w:b/>
      <w:spacing w:val="-8"/>
      <w:sz w:val="44"/>
      <w:szCs w:val="20"/>
    </w:rPr>
  </w:style>
  <w:style w:type="paragraph" w:styleId="7">
    <w:name w:val="Plain Text"/>
    <w:basedOn w:val="1"/>
    <w:qFormat/>
    <w:uiPriority w:val="0"/>
    <w:rPr>
      <w:rFonts w:ascii="宋体" w:hAnsi="Courier New"/>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rPr>
      <w:sz w:val="2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标题 1 Char"/>
    <w:link w:val="4"/>
    <w:qFormat/>
    <w:uiPriority w:val="0"/>
    <w:rPr>
      <w:b/>
      <w:kern w:val="44"/>
      <w:sz w:val="44"/>
    </w:rPr>
  </w:style>
  <w:style w:type="paragraph" w:customStyle="1" w:styleId="16">
    <w:name w:val="表格文字"/>
    <w:basedOn w:val="1"/>
    <w:qFormat/>
    <w:uiPriority w:val="0"/>
    <w:pPr>
      <w:spacing w:before="25" w:beforeLines="0" w:after="25" w:afterLines="0"/>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1145</Words>
  <Characters>1367</Characters>
  <Lines>0</Lines>
  <Paragraphs>0</Paragraphs>
  <TotalTime>15</TotalTime>
  <ScaleCrop>false</ScaleCrop>
  <LinksUpToDate>false</LinksUpToDate>
  <CharactersWithSpaces>1816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2022-04-15T02:15:00Z</dcterms:created>
  <dc:creator>Mrs.</dc:creator>
  <cp:lastModifiedBy>MI</cp:lastModifiedBy>
  <cp:lastPrinted>2022-04-24T09:26:00Z</cp:lastPrinted>
  <dcterms:modified xsi:type="dcterms:W3CDTF">2022-05-23T00:41:47Z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951A7A8693784D4793EAC2592FED7BE5</vt:lpwstr>
  </property>
</Properties>
</file>