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80" w:hangingChars="100"/>
        <w:jc w:val="center"/>
        <w:textAlignment w:val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广西来资招标咨询有限公司关于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临桂区第一次全国自然灾害综合普查第三方技术支撑项目</w:t>
      </w:r>
      <w:r>
        <w:rPr>
          <w:rFonts w:hint="eastAsia" w:ascii="宋体" w:hAnsi="宋体" w:cs="宋体"/>
          <w:sz w:val="28"/>
          <w:szCs w:val="28"/>
          <w:lang w:eastAsia="zh-CN"/>
        </w:rPr>
        <w:t>（项目编号：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GLZC2021-C3-120087-GXLZ</w:t>
      </w:r>
      <w:r>
        <w:rPr>
          <w:rFonts w:hint="eastAsia" w:ascii="宋体" w:hAnsi="宋体" w:cs="宋体"/>
          <w:sz w:val="28"/>
          <w:szCs w:val="28"/>
          <w:lang w:eastAsia="zh-CN"/>
        </w:rPr>
        <w:t>）成交公告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GLZC2021-C3-120087-GXLZ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临桂区第一次全国自然灾害综合普查第三方技术支撑项目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0" w:righ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供应商名称：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>中国电信股份有限公司桂林分公司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供应商地址：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  <w:t>桂林市中山中路５３号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20" w:leftChars="200"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成交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金额：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  <w:t>壹佰肆拾玖万元整（¥1490000.00元）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tbl>
      <w:tblPr>
        <w:tblStyle w:val="8"/>
        <w:tblpPr w:leftFromText="180" w:rightFromText="180" w:vertAnchor="text" w:horzAnchor="page" w:tblpX="1881" w:tblpY="226"/>
        <w:tblOverlap w:val="never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7"/>
        <w:gridCol w:w="843"/>
        <w:gridCol w:w="895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服务内容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62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72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textAlignment w:val="auto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临桂区第一次全国自然灾害综合普查第三方技术支撑项目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</w:t>
            </w:r>
          </w:p>
        </w:tc>
        <w:tc>
          <w:tcPr>
            <w:tcW w:w="462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依据国务院普查办印发的《公共服务设施调查技术规范》、《非煤矿山自然灾害承灾体调查技术规范》、《煤矿自然灾害承灾体调查技术规范》、《危险化学品自然灾害灾情调查技术规范》、《历史年度自然灾害灾情调查技术规范》、《重大历史自然灾害调查技术规范》、《政府减灾能力调查技术规范》、《企业及社会组织减灾能力调查技术规范》、《乡镇与社区减灾能力调查技术规范》、《家庭减灾能力调查技术规范》完成调查工作。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秦电文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董振峰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王文燕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480" w:leftChars="0" w:hanging="480" w:hanging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代理服务收费标准及金额：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壹万捌仟玖佰贰拾元整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18920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.00元）。采购代理服务收费标准参照计价格[2002]1980号《招标代理服务收费管理暂行办法》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类收费标准向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供应商收取。注：若本项目的采购代理服务费不足6000元按6000元向成交人收取。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未通过资格和符合性审查的供应商情况：</w:t>
      </w:r>
    </w:p>
    <w:tbl>
      <w:tblPr>
        <w:tblStyle w:val="8"/>
        <w:tblW w:w="81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未通过资格和符合性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供应商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未通过的原因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2、未成交供应商情况</w:t>
      </w:r>
    </w:p>
    <w:tbl>
      <w:tblPr>
        <w:tblStyle w:val="8"/>
        <w:tblW w:w="806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20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未成交供应商名称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评标得分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桂林万通网络科技有限公司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广西铭银信息科技有限公司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39.67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40" w:hanging="240" w:hanging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3.发布媒体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桂林市公共资源交易中心网（http://glggzy.org.cn/gxglzbw/）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桂林市政府采购网（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http://zfcg.czj.guilin.gov.cn/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广西壮族自治区政府采购网（http://zfcg.gxzf.gov.cn/）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中国政府采购网（http://www.ccgp.gov.cn/）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  <w:bookmarkStart w:id="0" w:name="_Toc28359023"/>
      <w:bookmarkStart w:id="1" w:name="_Toc35393810"/>
      <w:bookmarkStart w:id="2" w:name="_Toc35393641"/>
      <w:bookmarkStart w:id="3" w:name="_Toc28359100"/>
    </w:p>
    <w:bookmarkEnd w:id="0"/>
    <w:bookmarkEnd w:id="1"/>
    <w:bookmarkEnd w:id="2"/>
    <w:bookmarkEnd w:id="3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 xml:space="preserve">名 称：桂林市临桂区应急管理局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址：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桂林市临政路48号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  <w:t>联系方式：</w:t>
      </w:r>
      <w:bookmarkStart w:id="4" w:name="_Toc28359086"/>
      <w:bookmarkStart w:id="5" w:name="_Toc28359009"/>
      <w:r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  <w:t>吴俊    0773-5592329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2.采购代理机构信息</w:t>
      </w:r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名 称：广西来资招标咨询有限公司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地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址：桂林市临桂新区彰泰公园1号2栋1单元12楼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联系方式：</w:t>
      </w:r>
      <w:bookmarkStart w:id="6" w:name="_Toc28359087"/>
      <w:bookmarkStart w:id="7" w:name="_Toc28359010"/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0773－3616688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3.项目联系方式</w:t>
      </w:r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项目联系人：颜工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电话：0773－3616688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监督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管理部门：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  <w:t>桂林市临桂区政府采购监督管理股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textAlignment w:val="auto"/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</w:pPr>
      <w:bookmarkStart w:id="8" w:name="_GoBack"/>
      <w:bookmarkEnd w:id="8"/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/>
        </w:rPr>
        <w:t>电话：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eastAsia="zh-CN"/>
        </w:rPr>
        <w:t>0773-5593932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spacing w:line="360" w:lineRule="atLeast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420" w:firstLineChars="2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广西来资招标咨询有限公司</w:t>
      </w: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480" w:firstLineChars="200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2021年10月13日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中隶简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A6EE3"/>
    <w:multiLevelType w:val="singleLevel"/>
    <w:tmpl w:val="97AA6E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CA3071"/>
    <w:multiLevelType w:val="singleLevel"/>
    <w:tmpl w:val="C4CA30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7706F2"/>
    <w:multiLevelType w:val="singleLevel"/>
    <w:tmpl w:val="F97706F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479"/>
    <w:rsid w:val="00F12A7A"/>
    <w:rsid w:val="014035A8"/>
    <w:rsid w:val="0304067E"/>
    <w:rsid w:val="0314694C"/>
    <w:rsid w:val="035F11FD"/>
    <w:rsid w:val="03F54281"/>
    <w:rsid w:val="04344AC2"/>
    <w:rsid w:val="04961E43"/>
    <w:rsid w:val="05F67817"/>
    <w:rsid w:val="060155F0"/>
    <w:rsid w:val="063C3349"/>
    <w:rsid w:val="06940C31"/>
    <w:rsid w:val="079045BB"/>
    <w:rsid w:val="0A1028F8"/>
    <w:rsid w:val="0A2E0844"/>
    <w:rsid w:val="0A3A67AA"/>
    <w:rsid w:val="0CA93D70"/>
    <w:rsid w:val="0E782F1D"/>
    <w:rsid w:val="0EAF23DC"/>
    <w:rsid w:val="10865E6B"/>
    <w:rsid w:val="10C410A7"/>
    <w:rsid w:val="11C91AAA"/>
    <w:rsid w:val="1374792A"/>
    <w:rsid w:val="14596CA7"/>
    <w:rsid w:val="14C2526F"/>
    <w:rsid w:val="15362964"/>
    <w:rsid w:val="15371F15"/>
    <w:rsid w:val="15E73708"/>
    <w:rsid w:val="172A1121"/>
    <w:rsid w:val="179654C6"/>
    <w:rsid w:val="18AA6019"/>
    <w:rsid w:val="19175570"/>
    <w:rsid w:val="19CB4C48"/>
    <w:rsid w:val="1A3B6502"/>
    <w:rsid w:val="1A3C1985"/>
    <w:rsid w:val="1B6428D4"/>
    <w:rsid w:val="1D402686"/>
    <w:rsid w:val="1DE067B9"/>
    <w:rsid w:val="1E1A1891"/>
    <w:rsid w:val="1EF32FF2"/>
    <w:rsid w:val="1F8D41A5"/>
    <w:rsid w:val="20591EB3"/>
    <w:rsid w:val="20C26837"/>
    <w:rsid w:val="219E126A"/>
    <w:rsid w:val="21A23E39"/>
    <w:rsid w:val="24510189"/>
    <w:rsid w:val="2609510B"/>
    <w:rsid w:val="26916248"/>
    <w:rsid w:val="285F5465"/>
    <w:rsid w:val="29082043"/>
    <w:rsid w:val="2A014106"/>
    <w:rsid w:val="2A886C95"/>
    <w:rsid w:val="2AF70CCB"/>
    <w:rsid w:val="2B123EBE"/>
    <w:rsid w:val="2C472A5E"/>
    <w:rsid w:val="2CA55A36"/>
    <w:rsid w:val="2E180322"/>
    <w:rsid w:val="2FD6617D"/>
    <w:rsid w:val="301E5BFF"/>
    <w:rsid w:val="311B13E1"/>
    <w:rsid w:val="322E798F"/>
    <w:rsid w:val="32BE6D53"/>
    <w:rsid w:val="32E05DC7"/>
    <w:rsid w:val="34A050D5"/>
    <w:rsid w:val="35133131"/>
    <w:rsid w:val="353F64A5"/>
    <w:rsid w:val="3740679D"/>
    <w:rsid w:val="376F7123"/>
    <w:rsid w:val="379B3A3F"/>
    <w:rsid w:val="38EC44D2"/>
    <w:rsid w:val="39423BD8"/>
    <w:rsid w:val="39AE6532"/>
    <w:rsid w:val="3B38067C"/>
    <w:rsid w:val="3B3D3B5B"/>
    <w:rsid w:val="3C164950"/>
    <w:rsid w:val="3C1C66A4"/>
    <w:rsid w:val="3C760F55"/>
    <w:rsid w:val="3CF31051"/>
    <w:rsid w:val="3DCF74F9"/>
    <w:rsid w:val="3DF50804"/>
    <w:rsid w:val="3E8A5A00"/>
    <w:rsid w:val="3ED11029"/>
    <w:rsid w:val="3ED44897"/>
    <w:rsid w:val="3F9D5473"/>
    <w:rsid w:val="40964209"/>
    <w:rsid w:val="40FD7CF7"/>
    <w:rsid w:val="414D2888"/>
    <w:rsid w:val="425C091B"/>
    <w:rsid w:val="42816086"/>
    <w:rsid w:val="43576DF7"/>
    <w:rsid w:val="436F6670"/>
    <w:rsid w:val="43B71B8C"/>
    <w:rsid w:val="44454769"/>
    <w:rsid w:val="44455150"/>
    <w:rsid w:val="44E23941"/>
    <w:rsid w:val="45D52A85"/>
    <w:rsid w:val="474710E3"/>
    <w:rsid w:val="47820CFF"/>
    <w:rsid w:val="47B31651"/>
    <w:rsid w:val="488A7677"/>
    <w:rsid w:val="48AB3C11"/>
    <w:rsid w:val="4A2561BE"/>
    <w:rsid w:val="4B014AFE"/>
    <w:rsid w:val="4B2B5D9D"/>
    <w:rsid w:val="4D283B7F"/>
    <w:rsid w:val="4E8E274D"/>
    <w:rsid w:val="4F144CA4"/>
    <w:rsid w:val="4F4204EE"/>
    <w:rsid w:val="4F5D64E0"/>
    <w:rsid w:val="502D75E8"/>
    <w:rsid w:val="5101480D"/>
    <w:rsid w:val="5154196A"/>
    <w:rsid w:val="519355A6"/>
    <w:rsid w:val="51B65BB6"/>
    <w:rsid w:val="52AD533B"/>
    <w:rsid w:val="52D5189D"/>
    <w:rsid w:val="53597667"/>
    <w:rsid w:val="54A81A58"/>
    <w:rsid w:val="54F9171F"/>
    <w:rsid w:val="57062FF9"/>
    <w:rsid w:val="573D42DA"/>
    <w:rsid w:val="581451A6"/>
    <w:rsid w:val="594B21EA"/>
    <w:rsid w:val="59E3554F"/>
    <w:rsid w:val="5A8A6481"/>
    <w:rsid w:val="5ADC0FF1"/>
    <w:rsid w:val="5B321B76"/>
    <w:rsid w:val="5C0D53E4"/>
    <w:rsid w:val="5C2142AE"/>
    <w:rsid w:val="5C702332"/>
    <w:rsid w:val="5D1A7016"/>
    <w:rsid w:val="5DD53F30"/>
    <w:rsid w:val="5DED3A76"/>
    <w:rsid w:val="5F8F12BE"/>
    <w:rsid w:val="600B04A1"/>
    <w:rsid w:val="617742D3"/>
    <w:rsid w:val="618169B9"/>
    <w:rsid w:val="61910853"/>
    <w:rsid w:val="62697091"/>
    <w:rsid w:val="62FB7C8A"/>
    <w:rsid w:val="63392C2F"/>
    <w:rsid w:val="63F61AD0"/>
    <w:rsid w:val="642D0E36"/>
    <w:rsid w:val="643E3C0B"/>
    <w:rsid w:val="64B212D0"/>
    <w:rsid w:val="64E74B5D"/>
    <w:rsid w:val="65A01F7C"/>
    <w:rsid w:val="667B206E"/>
    <w:rsid w:val="668852FD"/>
    <w:rsid w:val="66944699"/>
    <w:rsid w:val="66E11A66"/>
    <w:rsid w:val="67320EBA"/>
    <w:rsid w:val="67562BBC"/>
    <w:rsid w:val="677D0893"/>
    <w:rsid w:val="68A06EA5"/>
    <w:rsid w:val="69750F7C"/>
    <w:rsid w:val="697C5900"/>
    <w:rsid w:val="6A0C46EA"/>
    <w:rsid w:val="6AEF1CC0"/>
    <w:rsid w:val="6B7E7651"/>
    <w:rsid w:val="6BFA15D8"/>
    <w:rsid w:val="6CFA3CAE"/>
    <w:rsid w:val="6D1C2A5A"/>
    <w:rsid w:val="6D7B1257"/>
    <w:rsid w:val="6DA158AE"/>
    <w:rsid w:val="6DA938EC"/>
    <w:rsid w:val="6DD036CC"/>
    <w:rsid w:val="6E52760E"/>
    <w:rsid w:val="6EED5ADC"/>
    <w:rsid w:val="6F52635F"/>
    <w:rsid w:val="70395277"/>
    <w:rsid w:val="70F92411"/>
    <w:rsid w:val="70FD0415"/>
    <w:rsid w:val="71827517"/>
    <w:rsid w:val="71A87408"/>
    <w:rsid w:val="721B240F"/>
    <w:rsid w:val="722A10DC"/>
    <w:rsid w:val="737678F1"/>
    <w:rsid w:val="73996C75"/>
    <w:rsid w:val="74D61236"/>
    <w:rsid w:val="75B643BF"/>
    <w:rsid w:val="76AD4D5D"/>
    <w:rsid w:val="77227430"/>
    <w:rsid w:val="77481134"/>
    <w:rsid w:val="77D35A7E"/>
    <w:rsid w:val="78E40F52"/>
    <w:rsid w:val="790644C9"/>
    <w:rsid w:val="79770B98"/>
    <w:rsid w:val="79977194"/>
    <w:rsid w:val="79BA6E1A"/>
    <w:rsid w:val="7C947A4D"/>
    <w:rsid w:val="7EA04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6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文鼎中隶简" w:cs="Times New Roman"/>
    </w:rPr>
  </w:style>
  <w:style w:type="paragraph" w:styleId="7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文鼎中隶简" w:cs="Times New Roman"/>
    </w:rPr>
  </w:style>
  <w:style w:type="paragraph" w:customStyle="1" w:styleId="13">
    <w:name w:val="表格文字"/>
    <w:basedOn w:val="1"/>
    <w:next w:val="6"/>
    <w:qFormat/>
    <w:uiPriority w:val="0"/>
    <w:rPr>
      <w:spacing w:val="10"/>
      <w:sz w:val="24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1340</Characters>
  <Lines>0</Lines>
  <Paragraphs>0</Paragraphs>
  <TotalTime>34</TotalTime>
  <ScaleCrop>false</ScaleCrop>
  <LinksUpToDate>false</LinksUpToDate>
  <CharactersWithSpaces>1442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2021-10-13T01:22:09Z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D29C0FDE02EC46FE899BA3A197B1DD0B</vt:lpwstr>
  </property>
</Properties>
</file>