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color w:val="auto"/>
          <w:highlight w:val="none"/>
        </w:rPr>
      </w:pPr>
      <w:r>
        <w:rPr>
          <w:rFonts w:hint="eastAsia"/>
          <w:color w:val="auto"/>
          <w:highlight w:val="none"/>
        </w:rPr>
        <w:t>服务采购需求</w:t>
      </w:r>
    </w:p>
    <w:p>
      <w:pPr>
        <w:keepNext w:val="0"/>
        <w:keepLines w:val="0"/>
        <w:pageBreakBefore w:val="0"/>
        <w:widowControl/>
        <w:kinsoku/>
        <w:wordWrap/>
        <w:overflowPunct/>
        <w:topLinePunct w:val="0"/>
        <w:autoSpaceDE/>
        <w:autoSpaceDN/>
        <w:bidi w:val="0"/>
        <w:adjustRightInd/>
        <w:snapToGrid/>
        <w:spacing w:line="480" w:lineRule="exact"/>
        <w:textAlignment w:val="baseline"/>
        <w:rPr>
          <w:rFonts w:hint="eastAsia" w:ascii="黑体" w:hAnsi="黑体" w:eastAsia="黑体" w:cs="黑体"/>
          <w:sz w:val="32"/>
          <w:szCs w:val="32"/>
          <w:highlight w:val="none"/>
        </w:rPr>
      </w:pPr>
      <w:r>
        <w:rPr>
          <w:rFonts w:hint="eastAsia" w:ascii="黑体" w:hAnsi="黑体" w:eastAsia="黑体" w:cs="黑体"/>
          <w:sz w:val="32"/>
          <w:szCs w:val="32"/>
          <w:highlight w:val="none"/>
        </w:rPr>
        <w:t>说明：</w:t>
      </w:r>
    </w:p>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一、为落实政府采购政策需满足的要求</w:t>
      </w:r>
    </w:p>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（一）本招标文件所称中小企业必须符合《政府采购促进中小企业发展管理办法》（财库〔2020〕46号）的规定。</w:t>
      </w:r>
    </w:p>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（二）根据《财政部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否则投标文件作无效处理。如本项目包含的货物属于品目清单内非标注“★”的产品时，应优先采购，具体详见“第四章 评标方法及评标标准”。</w:t>
      </w:r>
    </w:p>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（三）“实质性要求”是指招标文件中已经指明不满足则投标无效的条款，或者不能负偏离的条款，或者采购需求中带“▲”的条款。（带“▲”的条款为实质性要求，必须满足否则投标无效）</w:t>
      </w:r>
    </w:p>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（五）投标人必须自行为其投标产品侵犯他人的知识产权或者专利成果的行为承担相应法律责任。</w:t>
      </w:r>
    </w:p>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所属行业：其他未列明行业（水利、环境和公共设施管理业）</w:t>
      </w:r>
    </w:p>
    <w:p>
      <w:pPr>
        <w:spacing w:line="288" w:lineRule="auto"/>
        <w:ind w:firstLine="480" w:firstLineChars="200"/>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lang w:val="en-US" w:eastAsia="zh-CN"/>
        </w:rPr>
        <w:t>▲</w:t>
      </w:r>
      <w:r>
        <w:rPr>
          <w:rFonts w:hint="eastAsia" w:ascii="宋体" w:hAnsi="宋体" w:eastAsia="宋体" w:cs="宋体"/>
          <w:b/>
          <w:bCs/>
          <w:color w:val="auto"/>
          <w:sz w:val="24"/>
          <w:highlight w:val="none"/>
          <w:lang w:val="en-US" w:eastAsia="zh-CN"/>
        </w:rPr>
        <w:t>一、项目规模及内容</w:t>
      </w:r>
    </w:p>
    <w:p>
      <w:pPr>
        <w:spacing w:line="288"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（一）</w:t>
      </w:r>
      <w:r>
        <w:rPr>
          <w:rFonts w:hint="eastAsia" w:ascii="宋体" w:hAnsi="宋体" w:cs="宋体"/>
          <w:color w:val="auto"/>
          <w:sz w:val="24"/>
          <w:highlight w:val="none"/>
          <w:lang w:val="en-US" w:eastAsia="zh-CN"/>
        </w:rPr>
        <w:t>采购人只提供垃圾渗滤液及现有场地（详见附件1“场地现状图”）、电源（容量每小时不超过200KW的变压器，超过该容量的，变压器等设施由中标人负责），投标人须新购置生活垃圾渗滤液处理出水达到120t/d合格达标水体的设备（含施工、安装、调试、运行维护、水电等所有内容），购买服务期间调节池</w:t>
      </w:r>
      <w:r>
        <w:rPr>
          <w:rFonts w:hint="eastAsia" w:ascii="宋体" w:hAnsi="宋体" w:cs="宋体"/>
          <w:color w:val="auto"/>
          <w:sz w:val="24"/>
          <w:highlight w:val="none"/>
          <w:lang w:val="en-US" w:eastAsia="zh-CN"/>
        </w:rPr>
        <w:t>（总容量约7500吨）</w:t>
      </w:r>
      <w:r>
        <w:rPr>
          <w:rFonts w:hint="eastAsia" w:ascii="宋体" w:hAnsi="宋体" w:cs="宋体"/>
          <w:color w:val="auto"/>
          <w:sz w:val="24"/>
          <w:highlight w:val="none"/>
          <w:lang w:val="en-US" w:eastAsia="zh-CN"/>
        </w:rPr>
        <w:t>存量最多不超过1/3</w:t>
      </w:r>
      <w:r>
        <w:rPr>
          <w:rFonts w:hint="eastAsia" w:ascii="宋体" w:hAnsi="宋体" w:cs="宋体"/>
          <w:color w:val="auto"/>
          <w:sz w:val="24"/>
          <w:highlight w:val="none"/>
          <w:lang w:val="en-US" w:eastAsia="zh-CN"/>
        </w:rPr>
        <w:t>（如因国家或自治区政策有调整，按新要求执行）</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服务运营期限五年</w:t>
      </w:r>
      <w:r>
        <w:rPr>
          <w:rFonts w:hint="eastAsia" w:ascii="宋体" w:hAnsi="宋体" w:cs="宋体"/>
          <w:color w:val="auto"/>
          <w:sz w:val="24"/>
          <w:highlight w:val="none"/>
          <w:lang w:val="en-US" w:eastAsia="zh-CN"/>
        </w:rPr>
        <w:t>，年运营服务费为460万元/年。合同期满后，全部设备归采购人且项目设备运营正常；渗滤液存量不得超过调节池的1/3；应急池保持常态化零存量。</w:t>
      </w:r>
    </w:p>
    <w:p>
      <w:pPr>
        <w:spacing w:line="288"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（二）采用工艺：</w:t>
      </w:r>
      <w:r>
        <w:rPr>
          <w:rFonts w:hint="eastAsia" w:ascii="宋体" w:hAnsi="宋体" w:cs="宋体"/>
          <w:color w:val="auto"/>
          <w:sz w:val="24"/>
          <w:highlight w:val="none"/>
          <w:lang w:val="en-US" w:eastAsia="zh-CN"/>
        </w:rPr>
        <w:t>须能满足渗滤液处理出水达到120t/d合格达标水体，且符合国家环保要求的工艺。</w:t>
      </w:r>
    </w:p>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（三）排放标准：进水经处理后达到《生活垃圾填埋场污染物控制标准》（GB16889--2008）表2标准排放。</w:t>
      </w:r>
    </w:p>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（四）建设地址：荔浦市。</w:t>
      </w:r>
    </w:p>
    <w:p>
      <w:pPr>
        <w:spacing w:line="288" w:lineRule="auto"/>
        <w:ind w:firstLine="482" w:firstLineChars="200"/>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auto"/>
          <w:sz w:val="24"/>
          <w:highlight w:val="none"/>
          <w:lang w:val="en-US" w:eastAsia="zh-CN"/>
        </w:rPr>
        <w:t>二、设备及运营要求说明</w:t>
      </w:r>
    </w:p>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b/>
          <w:bCs/>
          <w:color w:val="auto"/>
          <w:sz w:val="24"/>
          <w:highlight w:val="none"/>
          <w:lang w:val="en-US" w:eastAsia="zh-CN"/>
        </w:rPr>
        <w:t xml:space="preserve"> （一）购置设备要求</w:t>
      </w:r>
    </w:p>
    <w:p>
      <w:pPr>
        <w:spacing w:line="288" w:lineRule="auto"/>
        <w:ind w:firstLine="480" w:firstLineChars="200"/>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lang w:val="en-US" w:eastAsia="zh-CN"/>
        </w:rPr>
        <w:t>▲</w:t>
      </w:r>
      <w:r>
        <w:rPr>
          <w:rFonts w:hint="eastAsia" w:ascii="宋体" w:hAnsi="宋体" w:eastAsia="宋体" w:cs="宋体"/>
          <w:b/>
          <w:bCs/>
          <w:color w:val="auto"/>
          <w:sz w:val="24"/>
          <w:highlight w:val="none"/>
          <w:lang w:val="en-US" w:eastAsia="zh-CN"/>
        </w:rPr>
        <w:t>1.设备清单：</w:t>
      </w:r>
    </w:p>
    <w:tbl>
      <w:tblPr>
        <w:tblStyle w:val="5"/>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4926"/>
        <w:gridCol w:w="1468"/>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66" w:type="dxa"/>
            <w:vAlign w:val="center"/>
          </w:tcPr>
          <w:p>
            <w:pPr>
              <w:spacing w:line="288"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序号</w:t>
            </w:r>
          </w:p>
        </w:tc>
        <w:tc>
          <w:tcPr>
            <w:tcW w:w="4926" w:type="dxa"/>
            <w:vAlign w:val="center"/>
          </w:tcPr>
          <w:p>
            <w:pPr>
              <w:spacing w:line="288"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设备名称</w:t>
            </w:r>
          </w:p>
        </w:tc>
        <w:tc>
          <w:tcPr>
            <w:tcW w:w="1468" w:type="dxa"/>
            <w:vAlign w:val="center"/>
          </w:tcPr>
          <w:p>
            <w:pPr>
              <w:spacing w:line="288"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规模</w:t>
            </w:r>
          </w:p>
        </w:tc>
        <w:tc>
          <w:tcPr>
            <w:tcW w:w="1558" w:type="dxa"/>
            <w:vAlign w:val="center"/>
          </w:tcPr>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66" w:type="dxa"/>
            <w:vAlign w:val="center"/>
          </w:tcPr>
          <w:p>
            <w:pPr>
              <w:spacing w:line="288"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4926" w:type="dxa"/>
            <w:vAlign w:val="center"/>
          </w:tcPr>
          <w:p>
            <w:pPr>
              <w:spacing w:line="288"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须能满足渗滤液处理出水达到120t/d合格达标水体，且符合国家环保要求的工艺。</w:t>
            </w:r>
          </w:p>
        </w:tc>
        <w:tc>
          <w:tcPr>
            <w:tcW w:w="1468" w:type="dxa"/>
            <w:vAlign w:val="center"/>
          </w:tcPr>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120t/d</w:t>
            </w:r>
          </w:p>
        </w:tc>
        <w:tc>
          <w:tcPr>
            <w:tcW w:w="1558" w:type="dxa"/>
            <w:vAlign w:val="center"/>
          </w:tcPr>
          <w:p>
            <w:pPr>
              <w:spacing w:line="288"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套</w:t>
            </w:r>
          </w:p>
        </w:tc>
      </w:tr>
    </w:tbl>
    <w:p>
      <w:pPr>
        <w:spacing w:line="288" w:lineRule="auto"/>
        <w:rPr>
          <w:rFonts w:hint="eastAsia" w:ascii="宋体" w:hAnsi="宋体" w:eastAsia="宋体" w:cs="宋体"/>
          <w:color w:val="auto"/>
          <w:sz w:val="24"/>
          <w:highlight w:val="none"/>
          <w:lang w:val="en-US" w:eastAsia="zh-CN"/>
        </w:rPr>
      </w:pPr>
    </w:p>
    <w:p>
      <w:pPr>
        <w:spacing w:line="288" w:lineRule="auto"/>
        <w:ind w:firstLine="480" w:firstLineChars="200"/>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en-US" w:eastAsia="zh-CN"/>
        </w:rPr>
        <w:t>▲</w:t>
      </w:r>
      <w:r>
        <w:rPr>
          <w:rFonts w:hint="eastAsia" w:ascii="宋体" w:hAnsi="宋体" w:cs="宋体"/>
          <w:color w:val="auto"/>
          <w:sz w:val="24"/>
          <w:highlight w:val="none"/>
          <w:lang w:val="en-US" w:eastAsia="zh-CN"/>
        </w:rPr>
        <w:t>2</w:t>
      </w:r>
      <w:r>
        <w:rPr>
          <w:rFonts w:hint="eastAsia" w:ascii="宋体" w:hAnsi="宋体" w:cs="宋体"/>
          <w:b/>
          <w:bCs/>
          <w:color w:val="auto"/>
          <w:sz w:val="24"/>
          <w:highlight w:val="none"/>
          <w:lang w:val="en-US" w:eastAsia="zh-CN"/>
        </w:rPr>
        <w:t>.</w:t>
      </w:r>
      <w:r>
        <w:rPr>
          <w:rFonts w:hint="eastAsia" w:ascii="宋体" w:hAnsi="宋体" w:eastAsia="宋体" w:cs="宋体"/>
          <w:b/>
          <w:bCs/>
          <w:color w:val="auto"/>
          <w:sz w:val="24"/>
          <w:highlight w:val="none"/>
          <w:lang w:val="en-US" w:eastAsia="zh-CN"/>
        </w:rPr>
        <w:t>质量要求：</w:t>
      </w:r>
      <w:r>
        <w:rPr>
          <w:rFonts w:hint="eastAsia" w:ascii="宋体" w:hAnsi="宋体" w:eastAsia="宋体" w:cs="宋体"/>
          <w:color w:val="auto"/>
          <w:sz w:val="24"/>
          <w:highlight w:val="none"/>
          <w:lang w:val="en-US" w:eastAsia="zh-CN"/>
        </w:rPr>
        <w:t>要求投标人所投的设备必须是原厂原装全新合格正品</w:t>
      </w:r>
      <w:r>
        <w:rPr>
          <w:rFonts w:hint="eastAsia" w:ascii="宋体" w:hAnsi="宋体" w:cs="宋体"/>
          <w:color w:val="auto"/>
          <w:sz w:val="24"/>
          <w:highlight w:val="none"/>
          <w:lang w:val="en-US" w:eastAsia="zh-CN"/>
        </w:rPr>
        <w:t>，须能满足渗滤液处理出水达到120t/d合格达标水体，且符合国家环保要求。</w:t>
      </w:r>
    </w:p>
    <w:p>
      <w:pPr>
        <w:spacing w:line="288" w:lineRule="auto"/>
        <w:ind w:firstLine="480" w:firstLineChars="200"/>
        <w:rPr>
          <w:rFonts w:hint="eastAsia" w:ascii="仿宋_GB2312" w:hAnsi="仿宋_GB2312" w:eastAsia="仿宋_GB2312" w:cs="仿宋_GB2312"/>
          <w:sz w:val="28"/>
          <w:szCs w:val="28"/>
          <w:highlight w:val="none"/>
          <w:lang w:val="zh-CN" w:eastAsia="zh-CN"/>
        </w:rPr>
      </w:pP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lang w:val="en-US" w:eastAsia="zh-CN"/>
        </w:rPr>
        <w:t>进</w:t>
      </w:r>
      <w:r>
        <w:rPr>
          <w:rFonts w:hint="eastAsia" w:ascii="宋体" w:hAnsi="宋体" w:eastAsia="宋体" w:cs="宋体"/>
          <w:color w:val="auto"/>
          <w:sz w:val="24"/>
          <w:highlight w:val="none"/>
          <w:lang w:val="zh-CN" w:eastAsia="zh-CN"/>
        </w:rPr>
        <w:t>水水质</w:t>
      </w:r>
      <w:r>
        <w:rPr>
          <w:rFonts w:hint="eastAsia" w:ascii="宋体" w:hAnsi="宋体" w:cs="宋体"/>
          <w:color w:val="auto"/>
          <w:sz w:val="24"/>
          <w:highlight w:val="none"/>
          <w:lang w:val="en-US" w:eastAsia="zh-CN"/>
        </w:rPr>
        <w:t>以实际水质为准</w:t>
      </w:r>
      <w:r>
        <w:rPr>
          <w:rFonts w:hint="eastAsia" w:ascii="宋体" w:hAnsi="宋体" w:cs="宋体"/>
          <w:color w:val="auto"/>
          <w:sz w:val="24"/>
          <w:highlight w:val="none"/>
          <w:lang w:val="zh-CN" w:eastAsia="zh-CN"/>
        </w:rPr>
        <w:t>，</w:t>
      </w:r>
      <w:r>
        <w:rPr>
          <w:rFonts w:hint="eastAsia" w:ascii="宋体" w:hAnsi="宋体" w:eastAsia="宋体" w:cs="宋体"/>
          <w:color w:val="auto"/>
          <w:sz w:val="24"/>
          <w:highlight w:val="none"/>
          <w:lang w:val="zh-CN" w:eastAsia="zh-CN"/>
        </w:rPr>
        <w:t>投标人可自行踏勘现场</w:t>
      </w:r>
      <w:r>
        <w:rPr>
          <w:rFonts w:hint="eastAsia" w:ascii="宋体" w:hAnsi="宋体" w:cs="宋体"/>
          <w:color w:val="auto"/>
          <w:sz w:val="24"/>
          <w:highlight w:val="none"/>
          <w:lang w:val="zh-CN" w:eastAsia="zh-CN"/>
        </w:rPr>
        <w:t>。</w:t>
      </w:r>
    </w:p>
    <w:p>
      <w:pPr>
        <w:spacing w:line="288" w:lineRule="auto"/>
        <w:ind w:firstLine="480" w:firstLineChars="200"/>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en-US"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出水水质</w:t>
      </w:r>
      <w:r>
        <w:rPr>
          <w:rFonts w:hint="eastAsia" w:ascii="宋体" w:hAnsi="宋体" w:eastAsia="宋体" w:cs="宋体"/>
          <w:color w:val="auto"/>
          <w:sz w:val="24"/>
          <w:highlight w:val="none"/>
          <w:lang w:val="zh-CN" w:eastAsia="zh-CN"/>
        </w:rPr>
        <w:t>执行标准：《生活垃圾填埋场污染控制标准》（GB16889-2008）中表2排放标准。主要水质指标如下：</w:t>
      </w:r>
    </w:p>
    <w:p>
      <w:pPr>
        <w:spacing w:line="288" w:lineRule="auto"/>
        <w:ind w:firstLine="480" w:firstLineChars="200"/>
        <w:jc w:val="center"/>
        <w:rPr>
          <w:rFonts w:hint="eastAsia" w:ascii="宋体" w:hAnsi="宋体" w:eastAsia="宋体" w:cs="宋体"/>
          <w:color w:val="auto"/>
          <w:sz w:val="24"/>
          <w:szCs w:val="24"/>
          <w:highlight w:val="none"/>
          <w:lang w:val="zh-CN" w:eastAsia="zh-CN"/>
        </w:rPr>
      </w:pPr>
    </w:p>
    <w:p>
      <w:pPr>
        <w:spacing w:line="288" w:lineRule="auto"/>
        <w:ind w:firstLine="480" w:firstLineChars="200"/>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表2  现有和新建生活垃圾填埋场水污染物排放质量浓度限值</w:t>
      </w:r>
    </w:p>
    <w:tbl>
      <w:tblPr>
        <w:tblStyle w:val="8"/>
        <w:tblW w:w="9225"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0"/>
        <w:gridCol w:w="2703"/>
        <w:gridCol w:w="2344"/>
        <w:gridCol w:w="32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10" w:type="dxa"/>
            <w:tcBorders>
              <w:top w:val="single" w:color="000000" w:sz="6" w:space="0"/>
              <w:left w:val="single" w:color="000000" w:sz="6" w:space="0"/>
            </w:tcBorders>
            <w:vAlign w:val="top"/>
          </w:tcPr>
          <w:p>
            <w:pPr>
              <w:pStyle w:val="7"/>
              <w:spacing w:before="61" w:line="185"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序号</w:t>
            </w:r>
          </w:p>
        </w:tc>
        <w:tc>
          <w:tcPr>
            <w:tcW w:w="2703" w:type="dxa"/>
            <w:tcBorders>
              <w:top w:val="single" w:color="000000" w:sz="6" w:space="0"/>
            </w:tcBorders>
            <w:vAlign w:val="top"/>
          </w:tcPr>
          <w:p>
            <w:pPr>
              <w:pStyle w:val="7"/>
              <w:spacing w:before="63" w:line="18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控制污染物</w:t>
            </w:r>
          </w:p>
        </w:tc>
        <w:tc>
          <w:tcPr>
            <w:tcW w:w="2344" w:type="dxa"/>
            <w:tcBorders>
              <w:top w:val="single" w:color="000000" w:sz="6" w:space="0"/>
            </w:tcBorders>
            <w:vAlign w:val="top"/>
          </w:tcPr>
          <w:p>
            <w:pPr>
              <w:pStyle w:val="7"/>
              <w:spacing w:before="50" w:line="194"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排放质量浓度限值</w:t>
            </w:r>
          </w:p>
        </w:tc>
        <w:tc>
          <w:tcPr>
            <w:tcW w:w="3268" w:type="dxa"/>
            <w:tcBorders>
              <w:top w:val="single" w:color="000000" w:sz="6" w:space="0"/>
              <w:right w:val="single" w:color="000000" w:sz="4" w:space="0"/>
            </w:tcBorders>
            <w:vAlign w:val="top"/>
          </w:tcPr>
          <w:p>
            <w:pPr>
              <w:pStyle w:val="7"/>
              <w:spacing w:before="50" w:line="193"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污染物排放监控位置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10" w:type="dxa"/>
            <w:tcBorders>
              <w:left w:val="single" w:color="000000" w:sz="6" w:space="0"/>
            </w:tcBorders>
            <w:vAlign w:val="top"/>
          </w:tcPr>
          <w:p>
            <w:pPr>
              <w:pStyle w:val="7"/>
              <w:spacing w:before="91" w:line="164" w:lineRule="auto"/>
              <w:ind w:left="381"/>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w:t>
            </w:r>
          </w:p>
        </w:tc>
        <w:tc>
          <w:tcPr>
            <w:tcW w:w="2703" w:type="dxa"/>
            <w:vAlign w:val="top"/>
          </w:tcPr>
          <w:p>
            <w:pPr>
              <w:pStyle w:val="7"/>
              <w:spacing w:before="64" w:line="191"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色度（稀释倍数）</w:t>
            </w:r>
          </w:p>
        </w:tc>
        <w:tc>
          <w:tcPr>
            <w:tcW w:w="2344" w:type="dxa"/>
            <w:vAlign w:val="top"/>
          </w:tcPr>
          <w:p>
            <w:pPr>
              <w:pStyle w:val="7"/>
              <w:spacing w:before="91" w:line="164" w:lineRule="auto"/>
              <w:ind w:left="1047"/>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≤40</w:t>
            </w:r>
          </w:p>
        </w:tc>
        <w:tc>
          <w:tcPr>
            <w:tcW w:w="3268" w:type="dxa"/>
            <w:tcBorders>
              <w:right w:val="single" w:color="000000" w:sz="4" w:space="0"/>
            </w:tcBorders>
            <w:vAlign w:val="top"/>
          </w:tcPr>
          <w:p>
            <w:pPr>
              <w:pStyle w:val="7"/>
              <w:spacing w:before="53"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910" w:type="dxa"/>
            <w:tcBorders>
              <w:left w:val="single" w:color="000000" w:sz="6" w:space="0"/>
            </w:tcBorders>
            <w:vAlign w:val="center"/>
          </w:tcPr>
          <w:p>
            <w:pPr>
              <w:pStyle w:val="7"/>
              <w:spacing w:before="92" w:line="164" w:lineRule="auto"/>
              <w:ind w:left="367"/>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2</w:t>
            </w:r>
          </w:p>
        </w:tc>
        <w:tc>
          <w:tcPr>
            <w:tcW w:w="2703" w:type="dxa"/>
            <w:vAlign w:val="center"/>
          </w:tcPr>
          <w:p>
            <w:pPr>
              <w:pStyle w:val="7"/>
              <w:spacing w:before="53" w:line="183" w:lineRule="auto"/>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化学需氧量（CODCr）/（mg/L）</w:t>
            </w:r>
          </w:p>
        </w:tc>
        <w:tc>
          <w:tcPr>
            <w:tcW w:w="2344" w:type="dxa"/>
            <w:vAlign w:val="center"/>
          </w:tcPr>
          <w:p>
            <w:pPr>
              <w:pStyle w:val="7"/>
              <w:spacing w:before="92" w:line="164" w:lineRule="auto"/>
              <w:ind w:left="1023"/>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≤100</w:t>
            </w:r>
          </w:p>
        </w:tc>
        <w:tc>
          <w:tcPr>
            <w:tcW w:w="3268" w:type="dxa"/>
            <w:tcBorders>
              <w:right w:val="single" w:color="000000" w:sz="4" w:space="0"/>
            </w:tcBorders>
            <w:vAlign w:val="center"/>
          </w:tcPr>
          <w:p>
            <w:pPr>
              <w:pStyle w:val="7"/>
              <w:spacing w:before="53"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910" w:type="dxa"/>
            <w:tcBorders>
              <w:left w:val="single" w:color="000000" w:sz="6" w:space="0"/>
            </w:tcBorders>
            <w:vAlign w:val="center"/>
          </w:tcPr>
          <w:p>
            <w:pPr>
              <w:pStyle w:val="7"/>
              <w:spacing w:before="92" w:line="165" w:lineRule="auto"/>
              <w:ind w:left="369"/>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3</w:t>
            </w:r>
          </w:p>
        </w:tc>
        <w:tc>
          <w:tcPr>
            <w:tcW w:w="2703" w:type="dxa"/>
            <w:vAlign w:val="center"/>
          </w:tcPr>
          <w:p>
            <w:pPr>
              <w:pStyle w:val="7"/>
              <w:spacing w:before="55" w:line="183" w:lineRule="auto"/>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生化需氧量（BOD5）/（mg/L）</w:t>
            </w:r>
          </w:p>
        </w:tc>
        <w:tc>
          <w:tcPr>
            <w:tcW w:w="2344" w:type="dxa"/>
            <w:vAlign w:val="center"/>
          </w:tcPr>
          <w:p>
            <w:pPr>
              <w:pStyle w:val="7"/>
              <w:spacing w:before="92" w:line="165" w:lineRule="auto"/>
              <w:ind w:left="1052"/>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≤30</w:t>
            </w:r>
          </w:p>
        </w:tc>
        <w:tc>
          <w:tcPr>
            <w:tcW w:w="3268" w:type="dxa"/>
            <w:tcBorders>
              <w:right w:val="single" w:color="000000" w:sz="4" w:space="0"/>
            </w:tcBorders>
            <w:vAlign w:val="center"/>
          </w:tcPr>
          <w:p>
            <w:pPr>
              <w:pStyle w:val="7"/>
              <w:spacing w:before="55"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10" w:type="dxa"/>
            <w:tcBorders>
              <w:left w:val="single" w:color="000000" w:sz="6" w:space="0"/>
            </w:tcBorders>
            <w:vAlign w:val="top"/>
          </w:tcPr>
          <w:p>
            <w:pPr>
              <w:pStyle w:val="7"/>
              <w:spacing w:before="95" w:line="164" w:lineRule="auto"/>
              <w:ind w:left="363"/>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4</w:t>
            </w:r>
          </w:p>
        </w:tc>
        <w:tc>
          <w:tcPr>
            <w:tcW w:w="2703" w:type="dxa"/>
            <w:vAlign w:val="top"/>
          </w:tcPr>
          <w:p>
            <w:pPr>
              <w:pStyle w:val="7"/>
              <w:spacing w:before="69" w:line="18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悬浮物/（mg/L）</w:t>
            </w:r>
          </w:p>
        </w:tc>
        <w:tc>
          <w:tcPr>
            <w:tcW w:w="2344" w:type="dxa"/>
            <w:vAlign w:val="top"/>
          </w:tcPr>
          <w:p>
            <w:pPr>
              <w:pStyle w:val="7"/>
              <w:spacing w:before="94" w:line="165" w:lineRule="auto"/>
              <w:ind w:left="1051"/>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≤30</w:t>
            </w:r>
          </w:p>
        </w:tc>
        <w:tc>
          <w:tcPr>
            <w:tcW w:w="3268" w:type="dxa"/>
            <w:tcBorders>
              <w:right w:val="single" w:color="000000" w:sz="4" w:space="0"/>
            </w:tcBorders>
            <w:vAlign w:val="top"/>
          </w:tcPr>
          <w:p>
            <w:pPr>
              <w:pStyle w:val="7"/>
              <w:spacing w:before="56"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10" w:type="dxa"/>
            <w:tcBorders>
              <w:left w:val="single" w:color="000000" w:sz="6" w:space="0"/>
            </w:tcBorders>
            <w:vAlign w:val="top"/>
          </w:tcPr>
          <w:p>
            <w:pPr>
              <w:pStyle w:val="7"/>
              <w:spacing w:before="93" w:line="166" w:lineRule="auto"/>
              <w:ind w:left="367"/>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5</w:t>
            </w:r>
          </w:p>
        </w:tc>
        <w:tc>
          <w:tcPr>
            <w:tcW w:w="2703" w:type="dxa"/>
            <w:vAlign w:val="top"/>
          </w:tcPr>
          <w:p>
            <w:pPr>
              <w:pStyle w:val="7"/>
              <w:spacing w:before="70" w:line="183"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总氮/（mg/L）</w:t>
            </w:r>
          </w:p>
        </w:tc>
        <w:tc>
          <w:tcPr>
            <w:tcW w:w="2344" w:type="dxa"/>
            <w:vAlign w:val="top"/>
          </w:tcPr>
          <w:p>
            <w:pPr>
              <w:pStyle w:val="7"/>
              <w:spacing w:before="96" w:line="164" w:lineRule="auto"/>
              <w:ind w:left="1046"/>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≤40</w:t>
            </w:r>
          </w:p>
        </w:tc>
        <w:tc>
          <w:tcPr>
            <w:tcW w:w="3268" w:type="dxa"/>
            <w:tcBorders>
              <w:right w:val="single" w:color="000000" w:sz="4" w:space="0"/>
            </w:tcBorders>
            <w:vAlign w:val="top"/>
          </w:tcPr>
          <w:p>
            <w:pPr>
              <w:pStyle w:val="7"/>
              <w:spacing w:before="58"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10" w:type="dxa"/>
            <w:tcBorders>
              <w:left w:val="single" w:color="000000" w:sz="6" w:space="0"/>
            </w:tcBorders>
            <w:vAlign w:val="top"/>
          </w:tcPr>
          <w:p>
            <w:pPr>
              <w:pStyle w:val="7"/>
              <w:spacing w:before="95" w:line="165" w:lineRule="auto"/>
              <w:ind w:left="367"/>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6</w:t>
            </w:r>
          </w:p>
        </w:tc>
        <w:tc>
          <w:tcPr>
            <w:tcW w:w="2703" w:type="dxa"/>
            <w:vAlign w:val="top"/>
          </w:tcPr>
          <w:p>
            <w:pPr>
              <w:pStyle w:val="7"/>
              <w:spacing w:before="70" w:line="183"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氨氮/（mg/L）</w:t>
            </w:r>
          </w:p>
        </w:tc>
        <w:tc>
          <w:tcPr>
            <w:tcW w:w="2344" w:type="dxa"/>
            <w:vAlign w:val="top"/>
          </w:tcPr>
          <w:p>
            <w:pPr>
              <w:pStyle w:val="7"/>
              <w:spacing w:before="94" w:line="166" w:lineRule="auto"/>
              <w:ind w:left="1049"/>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≤25</w:t>
            </w:r>
          </w:p>
        </w:tc>
        <w:tc>
          <w:tcPr>
            <w:tcW w:w="3268" w:type="dxa"/>
            <w:tcBorders>
              <w:right w:val="single" w:color="000000" w:sz="4" w:space="0"/>
            </w:tcBorders>
            <w:vAlign w:val="top"/>
          </w:tcPr>
          <w:p>
            <w:pPr>
              <w:pStyle w:val="7"/>
              <w:spacing w:before="58"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10" w:type="dxa"/>
            <w:tcBorders>
              <w:left w:val="single" w:color="000000" w:sz="6" w:space="0"/>
            </w:tcBorders>
            <w:vAlign w:val="top"/>
          </w:tcPr>
          <w:p>
            <w:pPr>
              <w:pStyle w:val="7"/>
              <w:spacing w:before="99" w:line="163" w:lineRule="auto"/>
              <w:ind w:left="365"/>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7</w:t>
            </w:r>
          </w:p>
        </w:tc>
        <w:tc>
          <w:tcPr>
            <w:tcW w:w="2703" w:type="dxa"/>
            <w:vAlign w:val="top"/>
          </w:tcPr>
          <w:p>
            <w:pPr>
              <w:pStyle w:val="7"/>
              <w:spacing w:before="69" w:line="184"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总磷/（mg/L）</w:t>
            </w:r>
          </w:p>
        </w:tc>
        <w:tc>
          <w:tcPr>
            <w:tcW w:w="2344" w:type="dxa"/>
            <w:vAlign w:val="top"/>
          </w:tcPr>
          <w:p>
            <w:pPr>
              <w:pStyle w:val="7"/>
              <w:spacing w:before="96" w:line="165" w:lineRule="auto"/>
              <w:ind w:left="1092"/>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≤3</w:t>
            </w:r>
          </w:p>
        </w:tc>
        <w:tc>
          <w:tcPr>
            <w:tcW w:w="3268" w:type="dxa"/>
            <w:tcBorders>
              <w:right w:val="single" w:color="000000" w:sz="4" w:space="0"/>
            </w:tcBorders>
            <w:vAlign w:val="top"/>
          </w:tcPr>
          <w:p>
            <w:pPr>
              <w:pStyle w:val="7"/>
              <w:spacing w:before="58"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10" w:type="dxa"/>
            <w:tcBorders>
              <w:left w:val="single" w:color="000000" w:sz="6" w:space="0"/>
            </w:tcBorders>
            <w:vAlign w:val="top"/>
          </w:tcPr>
          <w:p>
            <w:pPr>
              <w:pStyle w:val="7"/>
              <w:spacing w:before="97" w:line="164" w:lineRule="auto"/>
              <w:ind w:left="371"/>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8</w:t>
            </w:r>
          </w:p>
        </w:tc>
        <w:tc>
          <w:tcPr>
            <w:tcW w:w="2703" w:type="dxa"/>
            <w:vAlign w:val="top"/>
          </w:tcPr>
          <w:p>
            <w:pPr>
              <w:pStyle w:val="7"/>
              <w:spacing w:before="71" w:line="187"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粪大肠菌群数/（个/L）</w:t>
            </w:r>
          </w:p>
        </w:tc>
        <w:tc>
          <w:tcPr>
            <w:tcW w:w="2344" w:type="dxa"/>
            <w:vAlign w:val="top"/>
          </w:tcPr>
          <w:p>
            <w:pPr>
              <w:pStyle w:val="7"/>
              <w:spacing w:before="97" w:line="164" w:lineRule="auto"/>
              <w:ind w:left="913"/>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≤10000</w:t>
            </w:r>
          </w:p>
        </w:tc>
        <w:tc>
          <w:tcPr>
            <w:tcW w:w="3268" w:type="dxa"/>
            <w:tcBorders>
              <w:right w:val="single" w:color="000000" w:sz="4" w:space="0"/>
            </w:tcBorders>
            <w:vAlign w:val="top"/>
          </w:tcPr>
          <w:p>
            <w:pPr>
              <w:pStyle w:val="7"/>
              <w:spacing w:before="59"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10" w:type="dxa"/>
            <w:tcBorders>
              <w:left w:val="single" w:color="000000" w:sz="6" w:space="0"/>
            </w:tcBorders>
            <w:vAlign w:val="top"/>
          </w:tcPr>
          <w:p>
            <w:pPr>
              <w:pStyle w:val="7"/>
              <w:spacing w:before="98" w:line="165" w:lineRule="auto"/>
              <w:ind w:left="366"/>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9</w:t>
            </w:r>
          </w:p>
        </w:tc>
        <w:tc>
          <w:tcPr>
            <w:tcW w:w="2703" w:type="dxa"/>
            <w:vAlign w:val="top"/>
          </w:tcPr>
          <w:p>
            <w:pPr>
              <w:pStyle w:val="7"/>
              <w:spacing w:before="72" w:line="18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总汞/（mg/L）</w:t>
            </w:r>
          </w:p>
        </w:tc>
        <w:tc>
          <w:tcPr>
            <w:tcW w:w="2344" w:type="dxa"/>
            <w:vAlign w:val="top"/>
          </w:tcPr>
          <w:p>
            <w:pPr>
              <w:pStyle w:val="7"/>
              <w:spacing w:before="97" w:line="164" w:lineRule="auto"/>
              <w:ind w:left="925"/>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≤0.001</w:t>
            </w:r>
          </w:p>
        </w:tc>
        <w:tc>
          <w:tcPr>
            <w:tcW w:w="3268" w:type="dxa"/>
            <w:tcBorders>
              <w:right w:val="single" w:color="000000" w:sz="4" w:space="0"/>
            </w:tcBorders>
            <w:vAlign w:val="top"/>
          </w:tcPr>
          <w:p>
            <w:pPr>
              <w:pStyle w:val="7"/>
              <w:spacing w:before="59"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10" w:type="dxa"/>
            <w:tcBorders>
              <w:left w:val="single" w:color="000000" w:sz="6" w:space="0"/>
            </w:tcBorders>
            <w:vAlign w:val="top"/>
          </w:tcPr>
          <w:p>
            <w:pPr>
              <w:pStyle w:val="7"/>
              <w:spacing w:before="98" w:line="164" w:lineRule="auto"/>
              <w:ind w:left="34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10</w:t>
            </w:r>
          </w:p>
        </w:tc>
        <w:tc>
          <w:tcPr>
            <w:tcW w:w="2703" w:type="dxa"/>
            <w:vAlign w:val="top"/>
          </w:tcPr>
          <w:p>
            <w:pPr>
              <w:pStyle w:val="7"/>
              <w:spacing w:before="73" w:line="18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总镉/（mg/L）</w:t>
            </w:r>
          </w:p>
        </w:tc>
        <w:tc>
          <w:tcPr>
            <w:tcW w:w="2344" w:type="dxa"/>
            <w:vAlign w:val="top"/>
          </w:tcPr>
          <w:p>
            <w:pPr>
              <w:pStyle w:val="7"/>
              <w:spacing w:before="98" w:line="164" w:lineRule="auto"/>
              <w:ind w:left="966"/>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≤0.01</w:t>
            </w:r>
          </w:p>
        </w:tc>
        <w:tc>
          <w:tcPr>
            <w:tcW w:w="3268" w:type="dxa"/>
            <w:tcBorders>
              <w:right w:val="single" w:color="000000" w:sz="4" w:space="0"/>
            </w:tcBorders>
            <w:vAlign w:val="top"/>
          </w:tcPr>
          <w:p>
            <w:pPr>
              <w:pStyle w:val="7"/>
              <w:spacing w:before="60"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10" w:type="dxa"/>
            <w:tcBorders>
              <w:left w:val="single" w:color="000000" w:sz="6" w:space="0"/>
            </w:tcBorders>
            <w:vAlign w:val="top"/>
          </w:tcPr>
          <w:p>
            <w:pPr>
              <w:pStyle w:val="7"/>
              <w:spacing w:before="98" w:line="164" w:lineRule="auto"/>
              <w:ind w:left="34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11</w:t>
            </w:r>
          </w:p>
        </w:tc>
        <w:tc>
          <w:tcPr>
            <w:tcW w:w="2703" w:type="dxa"/>
            <w:vAlign w:val="top"/>
          </w:tcPr>
          <w:p>
            <w:pPr>
              <w:pStyle w:val="7"/>
              <w:spacing w:before="73" w:line="18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总铬/（mg/L）</w:t>
            </w:r>
          </w:p>
        </w:tc>
        <w:tc>
          <w:tcPr>
            <w:tcW w:w="2344" w:type="dxa"/>
            <w:vAlign w:val="top"/>
          </w:tcPr>
          <w:p>
            <w:pPr>
              <w:pStyle w:val="7"/>
              <w:spacing w:before="98" w:line="164" w:lineRule="auto"/>
              <w:ind w:left="1007"/>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≤0.1</w:t>
            </w:r>
          </w:p>
        </w:tc>
        <w:tc>
          <w:tcPr>
            <w:tcW w:w="3268" w:type="dxa"/>
            <w:tcBorders>
              <w:right w:val="single" w:color="000000" w:sz="4" w:space="0"/>
            </w:tcBorders>
            <w:vAlign w:val="top"/>
          </w:tcPr>
          <w:p>
            <w:pPr>
              <w:pStyle w:val="7"/>
              <w:spacing w:before="60"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10" w:type="dxa"/>
            <w:tcBorders>
              <w:left w:val="single" w:color="000000" w:sz="6" w:space="0"/>
            </w:tcBorders>
            <w:vAlign w:val="top"/>
          </w:tcPr>
          <w:p>
            <w:pPr>
              <w:pStyle w:val="7"/>
              <w:spacing w:before="99" w:line="164" w:lineRule="auto"/>
              <w:ind w:left="34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12</w:t>
            </w:r>
          </w:p>
        </w:tc>
        <w:tc>
          <w:tcPr>
            <w:tcW w:w="2703" w:type="dxa"/>
            <w:vAlign w:val="top"/>
          </w:tcPr>
          <w:p>
            <w:pPr>
              <w:pStyle w:val="7"/>
              <w:spacing w:before="74" w:line="18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六价铬/（mg/L）</w:t>
            </w:r>
          </w:p>
        </w:tc>
        <w:tc>
          <w:tcPr>
            <w:tcW w:w="2344" w:type="dxa"/>
            <w:vAlign w:val="top"/>
          </w:tcPr>
          <w:p>
            <w:pPr>
              <w:pStyle w:val="7"/>
              <w:spacing w:before="96" w:line="166" w:lineRule="auto"/>
              <w:ind w:left="966"/>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≤0.05</w:t>
            </w:r>
          </w:p>
        </w:tc>
        <w:tc>
          <w:tcPr>
            <w:tcW w:w="3268" w:type="dxa"/>
            <w:tcBorders>
              <w:right w:val="single" w:color="000000" w:sz="4" w:space="0"/>
            </w:tcBorders>
            <w:vAlign w:val="top"/>
          </w:tcPr>
          <w:p>
            <w:pPr>
              <w:pStyle w:val="7"/>
              <w:spacing w:before="60"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910" w:type="dxa"/>
            <w:tcBorders>
              <w:left w:val="single" w:color="000000" w:sz="6" w:space="0"/>
            </w:tcBorders>
            <w:vAlign w:val="top"/>
          </w:tcPr>
          <w:p>
            <w:pPr>
              <w:pStyle w:val="7"/>
              <w:spacing w:before="98" w:line="164" w:lineRule="auto"/>
              <w:ind w:left="34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13</w:t>
            </w:r>
          </w:p>
        </w:tc>
        <w:tc>
          <w:tcPr>
            <w:tcW w:w="2703" w:type="dxa"/>
            <w:vAlign w:val="top"/>
          </w:tcPr>
          <w:p>
            <w:pPr>
              <w:pStyle w:val="7"/>
              <w:spacing w:before="73" w:line="183"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总砷/（ mg/L）</w:t>
            </w:r>
          </w:p>
        </w:tc>
        <w:tc>
          <w:tcPr>
            <w:tcW w:w="2344" w:type="dxa"/>
            <w:vAlign w:val="top"/>
          </w:tcPr>
          <w:p>
            <w:pPr>
              <w:pStyle w:val="7"/>
              <w:spacing w:before="99" w:line="163" w:lineRule="auto"/>
              <w:ind w:left="1007"/>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≤0.1</w:t>
            </w:r>
          </w:p>
        </w:tc>
        <w:tc>
          <w:tcPr>
            <w:tcW w:w="3268" w:type="dxa"/>
            <w:tcBorders>
              <w:right w:val="single" w:color="000000" w:sz="4" w:space="0"/>
            </w:tcBorders>
            <w:vAlign w:val="top"/>
          </w:tcPr>
          <w:p>
            <w:pPr>
              <w:pStyle w:val="7"/>
              <w:spacing w:before="61"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10" w:type="dxa"/>
            <w:tcBorders>
              <w:left w:val="single" w:color="000000" w:sz="6" w:space="0"/>
            </w:tcBorders>
            <w:vAlign w:val="top"/>
          </w:tcPr>
          <w:p>
            <w:pPr>
              <w:pStyle w:val="7"/>
              <w:spacing w:before="101" w:line="164" w:lineRule="auto"/>
              <w:ind w:left="34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14</w:t>
            </w:r>
          </w:p>
        </w:tc>
        <w:tc>
          <w:tcPr>
            <w:tcW w:w="2703" w:type="dxa"/>
            <w:vAlign w:val="top"/>
          </w:tcPr>
          <w:p>
            <w:pPr>
              <w:pStyle w:val="7"/>
              <w:spacing w:before="75" w:line="18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总铅/（ mg/L）</w:t>
            </w:r>
          </w:p>
        </w:tc>
        <w:tc>
          <w:tcPr>
            <w:tcW w:w="2344" w:type="dxa"/>
            <w:vAlign w:val="top"/>
          </w:tcPr>
          <w:p>
            <w:pPr>
              <w:pStyle w:val="7"/>
              <w:spacing w:before="100" w:line="164" w:lineRule="auto"/>
              <w:ind w:left="1007"/>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≤0.1</w:t>
            </w:r>
          </w:p>
        </w:tc>
        <w:tc>
          <w:tcPr>
            <w:tcW w:w="3268" w:type="dxa"/>
            <w:tcBorders>
              <w:right w:val="single" w:color="000000" w:sz="4" w:space="0"/>
            </w:tcBorders>
            <w:vAlign w:val="top"/>
          </w:tcPr>
          <w:p>
            <w:pPr>
              <w:pStyle w:val="7"/>
              <w:spacing w:before="62"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10" w:type="dxa"/>
            <w:tcBorders>
              <w:left w:val="single" w:color="000000" w:sz="6" w:space="0"/>
              <w:bottom w:val="single" w:color="000000" w:sz="4" w:space="0"/>
            </w:tcBorders>
            <w:vAlign w:val="top"/>
          </w:tcPr>
          <w:p>
            <w:pPr>
              <w:pStyle w:val="7"/>
              <w:spacing w:before="101" w:line="164" w:lineRule="auto"/>
              <w:ind w:left="340"/>
              <w:jc w:val="both"/>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15</w:t>
            </w:r>
          </w:p>
        </w:tc>
        <w:tc>
          <w:tcPr>
            <w:tcW w:w="2703" w:type="dxa"/>
            <w:tcBorders>
              <w:bottom w:val="single" w:color="000000" w:sz="4" w:space="0"/>
            </w:tcBorders>
            <w:vAlign w:val="top"/>
          </w:tcPr>
          <w:p>
            <w:pPr>
              <w:pStyle w:val="7"/>
              <w:spacing w:before="75" w:line="182"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PH值</w:t>
            </w:r>
          </w:p>
        </w:tc>
        <w:tc>
          <w:tcPr>
            <w:tcW w:w="2344" w:type="dxa"/>
            <w:tcBorders>
              <w:bottom w:val="single" w:color="000000" w:sz="4" w:space="0"/>
            </w:tcBorders>
            <w:vAlign w:val="top"/>
          </w:tcPr>
          <w:p>
            <w:pPr>
              <w:pStyle w:val="7"/>
              <w:spacing w:before="100" w:line="164" w:lineRule="auto"/>
              <w:ind w:left="1007"/>
              <w:jc w:val="both"/>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6-9</w:t>
            </w:r>
          </w:p>
        </w:tc>
        <w:tc>
          <w:tcPr>
            <w:tcW w:w="3268" w:type="dxa"/>
            <w:tcBorders>
              <w:bottom w:val="single" w:color="000000" w:sz="4" w:space="0"/>
              <w:right w:val="single" w:color="000000" w:sz="4" w:space="0"/>
            </w:tcBorders>
            <w:vAlign w:val="top"/>
          </w:tcPr>
          <w:p>
            <w:pPr>
              <w:pStyle w:val="7"/>
              <w:spacing w:before="62" w:line="192"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常规污水处理设施排放口</w:t>
            </w:r>
          </w:p>
        </w:tc>
      </w:tr>
    </w:tbl>
    <w:p>
      <w:pPr>
        <w:keepNext w:val="0"/>
        <w:keepLines w:val="0"/>
        <w:pageBreakBefore w:val="0"/>
        <w:widowControl/>
        <w:kinsoku/>
        <w:wordWrap/>
        <w:overflowPunct/>
        <w:topLinePunct w:val="0"/>
        <w:autoSpaceDE/>
        <w:autoSpaceDN/>
        <w:bidi w:val="0"/>
        <w:adjustRightInd/>
        <w:snapToGrid/>
        <w:spacing w:line="240" w:lineRule="auto"/>
        <w:textAlignment w:val="baseline"/>
        <w:rPr>
          <w:rFonts w:hint="eastAsia" w:ascii="仿宋_GB2312" w:hAnsi="仿宋_GB2312" w:eastAsia="仿宋_GB2312" w:cs="仿宋_GB2312"/>
          <w:sz w:val="32"/>
          <w:szCs w:val="32"/>
          <w:highlight w:val="none"/>
          <w:lang w:eastAsia="zh-CN"/>
        </w:rPr>
      </w:pPr>
    </w:p>
    <w:p>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baseline"/>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b/>
          <w:bCs/>
          <w:sz w:val="24"/>
          <w:szCs w:val="24"/>
          <w:highlight w:val="none"/>
        </w:rPr>
        <w:t>▲</w:t>
      </w:r>
      <w:r>
        <w:rPr>
          <w:rFonts w:hint="eastAsia" w:ascii="仿宋_GB2312" w:hAnsi="仿宋_GB2312" w:eastAsia="仿宋_GB2312" w:cs="仿宋_GB2312"/>
          <w:b/>
          <w:bCs/>
          <w:sz w:val="24"/>
          <w:szCs w:val="24"/>
          <w:highlight w:val="none"/>
          <w:lang w:eastAsia="zh-CN"/>
        </w:rPr>
        <w:t>（二）</w:t>
      </w:r>
      <w:r>
        <w:rPr>
          <w:rFonts w:hint="eastAsia" w:ascii="仿宋_GB2312" w:hAnsi="仿宋_GB2312" w:eastAsia="仿宋_GB2312" w:cs="仿宋_GB2312"/>
          <w:b/>
          <w:bCs/>
          <w:sz w:val="24"/>
          <w:szCs w:val="24"/>
          <w:highlight w:val="none"/>
        </w:rPr>
        <w:t>设备验收</w:t>
      </w:r>
      <w:r>
        <w:rPr>
          <w:rFonts w:hint="eastAsia" w:ascii="仿宋_GB2312" w:hAnsi="仿宋_GB2312" w:eastAsia="仿宋_GB2312" w:cs="仿宋_GB2312"/>
          <w:b/>
          <w:bCs/>
          <w:sz w:val="24"/>
          <w:szCs w:val="24"/>
          <w:highlight w:val="none"/>
          <w:lang w:eastAsia="zh-CN"/>
        </w:rPr>
        <w:t>。</w:t>
      </w:r>
    </w:p>
    <w:p>
      <w:pPr>
        <w:pStyle w:val="4"/>
        <w:ind w:firstLine="480"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①设备必须是原厂原装全新合格正品，且有合格证等相关证明材料；</w:t>
      </w:r>
    </w:p>
    <w:p>
      <w:pPr>
        <w:pStyle w:val="4"/>
        <w:ind w:firstLine="480"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rPr>
        <w:t>②</w:t>
      </w:r>
      <w:r>
        <w:rPr>
          <w:rFonts w:hint="eastAsia" w:ascii="仿宋_GB2312" w:hAnsi="仿宋_GB2312" w:eastAsia="仿宋_GB2312" w:cs="仿宋_GB2312"/>
          <w:sz w:val="24"/>
          <w:szCs w:val="24"/>
          <w:highlight w:val="none"/>
          <w:lang w:val="en-US" w:eastAsia="zh-CN"/>
        </w:rPr>
        <w:t>采购人对设备的运行是否合格、达标及出水量吨位计量等进行验收</w:t>
      </w:r>
      <w:r>
        <w:rPr>
          <w:rFonts w:hint="eastAsia" w:ascii="仿宋_GB2312" w:hAnsi="仿宋_GB2312" w:eastAsia="仿宋_GB2312" w:cs="仿宋_GB2312"/>
          <w:kern w:val="2"/>
          <w:sz w:val="24"/>
          <w:szCs w:val="24"/>
          <w:highlight w:val="none"/>
          <w:lang w:val="en-US" w:eastAsia="zh-CN" w:bidi="ar-SA"/>
        </w:rPr>
        <w:t>。</w:t>
      </w:r>
    </w:p>
    <w:p>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baseline"/>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w:t>
      </w:r>
      <w:r>
        <w:rPr>
          <w:rFonts w:hint="eastAsia" w:ascii="仿宋_GB2312" w:hAnsi="仿宋_GB2312" w:eastAsia="仿宋_GB2312" w:cs="仿宋_GB2312"/>
          <w:b/>
          <w:bCs/>
          <w:sz w:val="24"/>
          <w:szCs w:val="24"/>
          <w:highlight w:val="none"/>
          <w:lang w:eastAsia="zh-CN"/>
        </w:rPr>
        <w:t>（三）</w:t>
      </w:r>
      <w:r>
        <w:rPr>
          <w:rFonts w:hint="eastAsia" w:ascii="仿宋_GB2312" w:hAnsi="仿宋_GB2312" w:eastAsia="仿宋_GB2312" w:cs="仿宋_GB2312"/>
          <w:b/>
          <w:bCs/>
          <w:sz w:val="24"/>
          <w:szCs w:val="24"/>
          <w:highlight w:val="none"/>
        </w:rPr>
        <w:t>培训、运行</w:t>
      </w:r>
      <w:r>
        <w:rPr>
          <w:rFonts w:hint="eastAsia" w:ascii="仿宋_GB2312" w:hAnsi="仿宋_GB2312" w:eastAsia="仿宋_GB2312" w:cs="仿宋_GB2312"/>
          <w:b/>
          <w:bCs/>
          <w:sz w:val="24"/>
          <w:szCs w:val="24"/>
          <w:highlight w:val="none"/>
          <w:lang w:eastAsia="zh-CN"/>
        </w:rPr>
        <w:t>。</w:t>
      </w:r>
      <w:r>
        <w:rPr>
          <w:rFonts w:hint="eastAsia" w:ascii="仿宋_GB2312" w:hAnsi="仿宋_GB2312" w:eastAsia="仿宋_GB2312" w:cs="仿宋_GB2312"/>
          <w:b/>
          <w:bCs/>
          <w:sz w:val="24"/>
          <w:szCs w:val="24"/>
          <w:highlight w:val="none"/>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中标人在设备安装、调试完成后须负责整套设备稳定</w:t>
      </w:r>
      <w:r>
        <w:rPr>
          <w:rFonts w:hint="eastAsia" w:ascii="仿宋_GB2312" w:hAnsi="仿宋_GB2312" w:eastAsia="仿宋_GB2312" w:cs="仿宋_GB2312"/>
          <w:sz w:val="24"/>
          <w:szCs w:val="24"/>
          <w:highlight w:val="none"/>
          <w:lang w:eastAsia="zh-CN"/>
        </w:rPr>
        <w:t>运营</w:t>
      </w:r>
      <w:r>
        <w:rPr>
          <w:rFonts w:hint="eastAsia" w:ascii="仿宋_GB2312" w:hAnsi="仿宋_GB2312" w:eastAsia="仿宋_GB2312" w:cs="仿宋_GB2312"/>
          <w:sz w:val="24"/>
          <w:szCs w:val="24"/>
          <w:highlight w:val="none"/>
        </w:rPr>
        <w:t>，运行期内的设备运行费用（包含水电、人工、药剂耗材等全部费用）由中标人负责。中标人提供设备运行期间投入的洗涤剂、阻垢剂等所有药剂及其它原料的技术参数，以便于运行相关设备。中标人留驻现场技术人员的安全责任（含生产、交通安全及人身健康等全部责任）和管理费用（含工资保险、食宿交通）全部由中标人负责。</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2.合同期满之前，</w:t>
      </w:r>
      <w:r>
        <w:rPr>
          <w:rFonts w:hint="eastAsia" w:ascii="仿宋_GB2312" w:hAnsi="仿宋_GB2312" w:eastAsia="仿宋_GB2312" w:cs="仿宋_GB2312"/>
          <w:sz w:val="24"/>
          <w:szCs w:val="24"/>
          <w:highlight w:val="none"/>
        </w:rPr>
        <w:t>中标人应对采购方管理人员和操作工人进行培训</w:t>
      </w:r>
      <w:r>
        <w:rPr>
          <w:rFonts w:hint="eastAsia" w:ascii="仿宋_GB2312" w:hAnsi="仿宋_GB2312" w:eastAsia="仿宋_GB2312" w:cs="仿宋_GB2312"/>
          <w:sz w:val="24"/>
          <w:szCs w:val="24"/>
          <w:highlight w:val="none"/>
          <w:lang w:eastAsia="zh-CN"/>
        </w:rPr>
        <w:t>，能熟练操作设备</w:t>
      </w:r>
      <w:r>
        <w:rPr>
          <w:rFonts w:hint="eastAsia" w:ascii="仿宋_GB2312" w:hAnsi="仿宋_GB2312" w:eastAsia="仿宋_GB2312" w:cs="仿宋_GB2312"/>
          <w:sz w:val="24"/>
          <w:szCs w:val="24"/>
          <w:highlight w:val="none"/>
          <w:lang w:eastAsia="zh-CN"/>
        </w:rPr>
        <w:t>并</w:t>
      </w:r>
      <w:r>
        <w:rPr>
          <w:rFonts w:hint="eastAsia" w:ascii="仿宋_GB2312" w:hAnsi="仿宋_GB2312" w:eastAsia="仿宋_GB2312" w:cs="仿宋_GB2312"/>
          <w:sz w:val="24"/>
          <w:szCs w:val="24"/>
          <w:highlight w:val="none"/>
          <w:lang w:eastAsia="zh-CN"/>
        </w:rPr>
        <w:t>正常运行</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rPr>
        <w:t>采购人不再另行支付</w:t>
      </w:r>
      <w:r>
        <w:rPr>
          <w:rFonts w:hint="eastAsia" w:ascii="仿宋_GB2312" w:hAnsi="仿宋_GB2312" w:eastAsia="仿宋_GB2312" w:cs="仿宋_GB2312"/>
          <w:sz w:val="24"/>
          <w:szCs w:val="24"/>
          <w:highlight w:val="none"/>
          <w:lang w:eastAsia="zh-CN"/>
        </w:rPr>
        <w:t>培训费用</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baseline"/>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w:t>
      </w:r>
      <w:r>
        <w:rPr>
          <w:rFonts w:hint="eastAsia" w:ascii="仿宋_GB2312" w:hAnsi="仿宋_GB2312" w:eastAsia="仿宋_GB2312" w:cs="仿宋_GB2312"/>
          <w:b/>
          <w:bCs/>
          <w:sz w:val="24"/>
          <w:szCs w:val="24"/>
          <w:highlight w:val="none"/>
          <w:lang w:eastAsia="zh-CN"/>
        </w:rPr>
        <w:t>四</w:t>
      </w:r>
      <w:r>
        <w:rPr>
          <w:rFonts w:hint="eastAsia" w:ascii="仿宋_GB2312" w:hAnsi="仿宋_GB2312" w:eastAsia="仿宋_GB2312" w:cs="仿宋_GB2312"/>
          <w:b/>
          <w:bCs/>
          <w:sz w:val="24"/>
          <w:szCs w:val="24"/>
          <w:highlight w:val="none"/>
        </w:rPr>
        <w:t>）运营要求：</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运营费最高限价：</w:t>
      </w:r>
      <w:r>
        <w:rPr>
          <w:rFonts w:hint="eastAsia" w:ascii="仿宋_GB2312" w:hAnsi="仿宋_GB2312" w:eastAsia="仿宋_GB2312" w:cs="仿宋_GB2312"/>
          <w:b/>
          <w:bCs/>
          <w:sz w:val="24"/>
          <w:szCs w:val="24"/>
          <w:highlight w:val="none"/>
          <w:lang w:val="en-US" w:eastAsia="zh-CN"/>
        </w:rPr>
        <w:t>460万元/年，按12个月分配，按月支付。</w:t>
      </w:r>
      <w:r>
        <w:rPr>
          <w:rFonts w:hint="eastAsia" w:ascii="仿宋_GB2312" w:hAnsi="仿宋_GB2312" w:eastAsia="仿宋_GB2312" w:cs="仿宋_GB2312"/>
          <w:sz w:val="24"/>
          <w:szCs w:val="24"/>
          <w:highlight w:val="none"/>
        </w:rPr>
        <w:t>报价应包括税费、管理费、检测费（含第三方检测及自检）、水电费、人员费、设备维修费、药剂费等所有费用。</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b/>
          <w:bCs/>
          <w:sz w:val="24"/>
          <w:szCs w:val="24"/>
          <w:highlight w:val="none"/>
        </w:rPr>
        <w:t>合同签订</w:t>
      </w:r>
      <w:r>
        <w:rPr>
          <w:rFonts w:hint="eastAsia" w:ascii="仿宋_GB2312" w:hAnsi="仿宋_GB2312" w:eastAsia="仿宋_GB2312" w:cs="仿宋_GB2312"/>
          <w:b/>
          <w:bCs/>
          <w:sz w:val="24"/>
          <w:szCs w:val="24"/>
          <w:highlight w:val="none"/>
          <w:lang w:val="en-US" w:eastAsia="zh-CN"/>
        </w:rPr>
        <w:t>之日起20日内所有设备进场安装、调试完成并正常运行</w:t>
      </w:r>
      <w:r>
        <w:rPr>
          <w:rFonts w:hint="eastAsia" w:ascii="仿宋_GB2312" w:hAnsi="仿宋_GB2312" w:eastAsia="仿宋_GB2312" w:cs="仿宋_GB2312"/>
          <w:b/>
          <w:bCs/>
          <w:sz w:val="24"/>
          <w:szCs w:val="24"/>
          <w:highlight w:val="none"/>
          <w:lang w:eastAsia="zh-CN"/>
        </w:rPr>
        <w:t>，</w:t>
      </w:r>
      <w:r>
        <w:rPr>
          <w:rFonts w:hint="eastAsia" w:ascii="仿宋_GB2312" w:hAnsi="仿宋_GB2312" w:eastAsia="仿宋_GB2312" w:cs="仿宋_GB2312"/>
          <w:b/>
          <w:bCs/>
          <w:sz w:val="24"/>
          <w:szCs w:val="24"/>
          <w:highlight w:val="none"/>
        </w:rPr>
        <w:t>现存调节池渗滤液</w:t>
      </w:r>
      <w:r>
        <w:rPr>
          <w:rFonts w:hint="eastAsia" w:ascii="仿宋_GB2312" w:hAnsi="仿宋_GB2312" w:eastAsia="仿宋_GB2312" w:cs="仿宋_GB2312"/>
          <w:b/>
          <w:bCs/>
          <w:sz w:val="24"/>
          <w:szCs w:val="24"/>
          <w:highlight w:val="none"/>
          <w:lang w:eastAsia="zh-CN"/>
        </w:rPr>
        <w:t>须在</w:t>
      </w:r>
      <w:r>
        <w:rPr>
          <w:rFonts w:hint="eastAsia" w:ascii="仿宋_GB2312" w:hAnsi="仿宋_GB2312" w:eastAsia="仿宋_GB2312" w:cs="仿宋_GB2312"/>
          <w:b/>
          <w:bCs/>
          <w:sz w:val="24"/>
          <w:szCs w:val="24"/>
          <w:highlight w:val="none"/>
          <w:lang w:val="en-US" w:eastAsia="zh-CN"/>
        </w:rPr>
        <w:t>2个月内</w:t>
      </w:r>
      <w:r>
        <w:rPr>
          <w:rFonts w:hint="eastAsia" w:ascii="仿宋_GB2312" w:hAnsi="仿宋_GB2312" w:eastAsia="仿宋_GB2312" w:cs="仿宋_GB2312"/>
          <w:b/>
          <w:bCs/>
          <w:sz w:val="24"/>
          <w:szCs w:val="24"/>
          <w:highlight w:val="none"/>
        </w:rPr>
        <w:t>处理到采购人设定警戒线</w:t>
      </w:r>
      <w:r>
        <w:rPr>
          <w:rFonts w:hint="eastAsia" w:ascii="仿宋_GB2312" w:hAnsi="仿宋_GB2312" w:eastAsia="仿宋_GB2312" w:cs="仿宋_GB2312"/>
          <w:b/>
          <w:bCs/>
          <w:sz w:val="24"/>
          <w:szCs w:val="24"/>
          <w:highlight w:val="none"/>
          <w:lang w:val="en-US" w:eastAsia="zh-CN"/>
        </w:rPr>
        <w:t>1/3</w:t>
      </w:r>
      <w:r>
        <w:rPr>
          <w:rFonts w:hint="eastAsia" w:ascii="仿宋_GB2312" w:hAnsi="仿宋_GB2312" w:eastAsia="仿宋_GB2312" w:cs="仿宋_GB2312"/>
          <w:b/>
          <w:bCs/>
          <w:sz w:val="24"/>
          <w:szCs w:val="24"/>
          <w:highlight w:val="none"/>
        </w:rPr>
        <w:t>以下</w:t>
      </w:r>
      <w:r>
        <w:rPr>
          <w:rFonts w:hint="eastAsia" w:ascii="仿宋_GB2312" w:hAnsi="仿宋_GB2312" w:eastAsia="仿宋_GB2312" w:cs="仿宋_GB2312"/>
          <w:b/>
          <w:bCs/>
          <w:sz w:val="24"/>
          <w:szCs w:val="24"/>
          <w:highlight w:val="none"/>
          <w:lang w:eastAsia="zh-CN"/>
        </w:rPr>
        <w:t>。</w:t>
      </w:r>
      <w:r>
        <w:rPr>
          <w:rFonts w:hint="eastAsia" w:ascii="仿宋_GB2312" w:hAnsi="仿宋_GB2312" w:eastAsia="仿宋_GB2312" w:cs="仿宋_GB2312"/>
          <w:sz w:val="24"/>
          <w:szCs w:val="24"/>
          <w:highlight w:val="none"/>
        </w:rPr>
        <w:t>填埋库区新产生的渗滤液量如出现</w:t>
      </w:r>
      <w:r>
        <w:rPr>
          <w:rFonts w:hint="eastAsia" w:ascii="仿宋_GB2312" w:hAnsi="仿宋_GB2312" w:eastAsia="仿宋_GB2312" w:cs="仿宋_GB2312"/>
          <w:sz w:val="24"/>
          <w:szCs w:val="24"/>
          <w:highlight w:val="none"/>
          <w:lang w:eastAsia="zh-CN"/>
        </w:rPr>
        <w:t>应急情况</w:t>
      </w:r>
      <w:r>
        <w:rPr>
          <w:rFonts w:hint="eastAsia" w:ascii="仿宋_GB2312" w:hAnsi="仿宋_GB2312" w:eastAsia="仿宋_GB2312" w:cs="仿宋_GB2312"/>
          <w:sz w:val="24"/>
          <w:szCs w:val="24"/>
          <w:highlight w:val="none"/>
        </w:rPr>
        <w:t>，由中标方</w:t>
      </w:r>
      <w:r>
        <w:rPr>
          <w:rFonts w:hint="eastAsia" w:ascii="仿宋_GB2312" w:hAnsi="仿宋_GB2312" w:eastAsia="仿宋_GB2312" w:cs="仿宋_GB2312"/>
          <w:sz w:val="24"/>
          <w:szCs w:val="24"/>
          <w:highlight w:val="none"/>
          <w:lang w:eastAsia="zh-CN"/>
        </w:rPr>
        <w:t>负责</w:t>
      </w:r>
      <w:r>
        <w:rPr>
          <w:rFonts w:hint="eastAsia" w:ascii="仿宋_GB2312" w:hAnsi="仿宋_GB2312" w:eastAsia="仿宋_GB2312" w:cs="仿宋_GB2312"/>
          <w:sz w:val="24"/>
          <w:szCs w:val="24"/>
          <w:highlight w:val="none"/>
        </w:rPr>
        <w:t>渗滤液应急处理，费用由</w:t>
      </w:r>
      <w:r>
        <w:rPr>
          <w:rFonts w:hint="eastAsia" w:ascii="仿宋_GB2312" w:hAnsi="仿宋_GB2312" w:eastAsia="仿宋_GB2312" w:cs="仿宋_GB2312"/>
          <w:sz w:val="24"/>
          <w:szCs w:val="24"/>
          <w:highlight w:val="none"/>
          <w:lang w:eastAsia="zh-CN"/>
        </w:rPr>
        <w:t>中标方负责</w:t>
      </w:r>
      <w:r>
        <w:rPr>
          <w:rFonts w:hint="eastAsia" w:ascii="仿宋_GB2312" w:hAnsi="仿宋_GB2312" w:eastAsia="仿宋_GB2312" w:cs="仿宋_GB2312"/>
          <w:sz w:val="24"/>
          <w:szCs w:val="24"/>
          <w:highlight w:val="none"/>
          <w:lang w:eastAsia="zh-CN"/>
        </w:rPr>
        <w:t>（自然灾害等不可抗力因素除外）</w:t>
      </w:r>
      <w:r>
        <w:rPr>
          <w:rFonts w:hint="eastAsia" w:ascii="仿宋_GB2312" w:hAnsi="仿宋_GB2312" w:eastAsia="仿宋_GB2312" w:cs="仿宋_GB2312"/>
          <w:sz w:val="24"/>
          <w:szCs w:val="24"/>
          <w:highlight w:val="none"/>
        </w:rPr>
        <w:t>。</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按环保部门及相关水质标准要求，每季度提供有资质第三方检测报告。因</w:t>
      </w:r>
      <w:r>
        <w:rPr>
          <w:rFonts w:hint="eastAsia" w:ascii="仿宋_GB2312" w:hAnsi="仿宋_GB2312" w:eastAsia="仿宋_GB2312" w:cs="仿宋_GB2312"/>
          <w:sz w:val="24"/>
          <w:szCs w:val="24"/>
          <w:highlight w:val="none"/>
          <w:lang w:eastAsia="zh-CN"/>
        </w:rPr>
        <w:t>中标方</w:t>
      </w:r>
      <w:r>
        <w:rPr>
          <w:rFonts w:hint="eastAsia" w:ascii="仿宋_GB2312" w:hAnsi="仿宋_GB2312" w:eastAsia="仿宋_GB2312" w:cs="仿宋_GB2312"/>
          <w:sz w:val="24"/>
          <w:szCs w:val="24"/>
          <w:highlight w:val="none"/>
        </w:rPr>
        <w:t>处理过程中水质问题导致出水在线监控显示数据超标的，采购人有权要求停产整改</w:t>
      </w:r>
      <w:r>
        <w:rPr>
          <w:rFonts w:hint="eastAsia" w:ascii="仿宋_GB2312" w:hAnsi="仿宋_GB2312" w:eastAsia="仿宋_GB2312" w:cs="仿宋_GB2312"/>
          <w:sz w:val="24"/>
          <w:szCs w:val="24"/>
          <w:highlight w:val="none"/>
          <w:lang w:eastAsia="zh-CN"/>
        </w:rPr>
        <w:t>。在</w:t>
      </w:r>
      <w:r>
        <w:rPr>
          <w:rFonts w:hint="eastAsia" w:ascii="仿宋_GB2312" w:hAnsi="仿宋_GB2312" w:eastAsia="仿宋_GB2312" w:cs="仿宋_GB2312"/>
          <w:sz w:val="24"/>
          <w:szCs w:val="24"/>
          <w:highlight w:val="none"/>
          <w:lang w:eastAsia="zh-CN"/>
        </w:rPr>
        <w:t>渗滤液处于</w:t>
      </w:r>
      <w:r>
        <w:rPr>
          <w:rFonts w:hint="eastAsia" w:ascii="仿宋_GB2312" w:hAnsi="仿宋_GB2312" w:eastAsia="仿宋_GB2312" w:cs="仿宋_GB2312"/>
          <w:sz w:val="24"/>
          <w:szCs w:val="24"/>
          <w:highlight w:val="none"/>
          <w:lang w:val="en-US" w:eastAsia="zh-CN"/>
        </w:rPr>
        <w:t>1/3以下</w:t>
      </w:r>
      <w:r>
        <w:rPr>
          <w:rFonts w:hint="eastAsia" w:ascii="仿宋_GB2312" w:hAnsi="仿宋_GB2312" w:eastAsia="仿宋_GB2312" w:cs="仿宋_GB2312"/>
          <w:sz w:val="24"/>
          <w:szCs w:val="24"/>
          <w:highlight w:val="none"/>
          <w:lang w:val="en-US" w:eastAsia="zh-CN"/>
        </w:rPr>
        <w:t>时</w:t>
      </w:r>
      <w:r>
        <w:rPr>
          <w:rFonts w:hint="eastAsia" w:ascii="仿宋_GB2312" w:hAnsi="仿宋_GB2312" w:eastAsia="仿宋_GB2312" w:cs="仿宋_GB2312"/>
          <w:sz w:val="24"/>
          <w:szCs w:val="24"/>
          <w:highlight w:val="none"/>
          <w:lang w:val="en-US" w:eastAsia="zh-CN"/>
        </w:rPr>
        <w:t>，5日内不能整改完毕并投入正常运行的，每次予以</w:t>
      </w:r>
      <w:r>
        <w:rPr>
          <w:rFonts w:hint="eastAsia" w:ascii="仿宋_GB2312" w:hAnsi="仿宋_GB2312" w:eastAsia="仿宋_GB2312" w:cs="仿宋_GB2312"/>
          <w:sz w:val="24"/>
          <w:szCs w:val="24"/>
          <w:highlight w:val="none"/>
        </w:rPr>
        <w:t>处罚</w:t>
      </w:r>
      <w:r>
        <w:rPr>
          <w:rFonts w:hint="eastAsia" w:ascii="仿宋_GB2312" w:hAnsi="仿宋_GB2312" w:eastAsia="仿宋_GB2312" w:cs="仿宋_GB2312"/>
          <w:sz w:val="24"/>
          <w:szCs w:val="24"/>
          <w:highlight w:val="none"/>
          <w:lang w:val="en-US" w:eastAsia="zh-CN"/>
        </w:rPr>
        <w:t>10000元</w:t>
      </w:r>
      <w:r>
        <w:rPr>
          <w:rFonts w:hint="eastAsia" w:ascii="仿宋_GB2312" w:hAnsi="仿宋_GB2312" w:eastAsia="仿宋_GB2312" w:cs="仿宋_GB2312"/>
          <w:sz w:val="24"/>
          <w:szCs w:val="24"/>
          <w:highlight w:val="none"/>
        </w:rPr>
        <w:t>，罚金从当月处理水费中扣除。</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规范运营管理，中标人在运营中须做好管理台</w:t>
      </w:r>
      <w:r>
        <w:rPr>
          <w:rFonts w:hint="eastAsia" w:ascii="仿宋_GB2312" w:hAnsi="仿宋_GB2312" w:eastAsia="仿宋_GB2312" w:cs="仿宋_GB2312"/>
          <w:sz w:val="24"/>
          <w:szCs w:val="24"/>
          <w:highlight w:val="none"/>
          <w:lang w:eastAsia="zh-CN"/>
        </w:rPr>
        <w:t>帐</w:t>
      </w:r>
      <w:r>
        <w:rPr>
          <w:rFonts w:hint="eastAsia" w:ascii="仿宋_GB2312" w:hAnsi="仿宋_GB2312" w:eastAsia="仿宋_GB2312" w:cs="仿宋_GB2312"/>
          <w:sz w:val="24"/>
          <w:szCs w:val="24"/>
          <w:highlight w:val="none"/>
        </w:rPr>
        <w:t>：环保部门要求的检测报告和日常监测数据、污水处理台</w:t>
      </w:r>
      <w:r>
        <w:rPr>
          <w:rFonts w:hint="eastAsia" w:ascii="仿宋_GB2312" w:hAnsi="仿宋_GB2312" w:eastAsia="仿宋_GB2312" w:cs="仿宋_GB2312"/>
          <w:sz w:val="24"/>
          <w:szCs w:val="24"/>
          <w:highlight w:val="none"/>
          <w:lang w:eastAsia="zh-CN"/>
        </w:rPr>
        <w:t>帐</w:t>
      </w:r>
      <w:r>
        <w:rPr>
          <w:rFonts w:hint="eastAsia" w:ascii="仿宋_GB2312" w:hAnsi="仿宋_GB2312" w:eastAsia="仿宋_GB2312" w:cs="仿宋_GB2312"/>
          <w:sz w:val="24"/>
          <w:szCs w:val="24"/>
          <w:highlight w:val="none"/>
        </w:rPr>
        <w:t>、日常管理维修维护登记台</w:t>
      </w:r>
      <w:r>
        <w:rPr>
          <w:rFonts w:hint="eastAsia" w:ascii="仿宋_GB2312" w:hAnsi="仿宋_GB2312" w:eastAsia="仿宋_GB2312" w:cs="仿宋_GB2312"/>
          <w:sz w:val="24"/>
          <w:szCs w:val="24"/>
          <w:highlight w:val="none"/>
          <w:lang w:eastAsia="zh-CN"/>
        </w:rPr>
        <w:t>帐</w:t>
      </w:r>
      <w:r>
        <w:rPr>
          <w:rFonts w:hint="eastAsia" w:ascii="仿宋_GB2312" w:hAnsi="仿宋_GB2312" w:eastAsia="仿宋_GB2312" w:cs="仿宋_GB2312"/>
          <w:sz w:val="24"/>
          <w:szCs w:val="24"/>
          <w:highlight w:val="none"/>
        </w:rPr>
        <w:t>、药剂台</w:t>
      </w:r>
      <w:r>
        <w:rPr>
          <w:rFonts w:hint="eastAsia" w:ascii="仿宋_GB2312" w:hAnsi="仿宋_GB2312" w:eastAsia="仿宋_GB2312" w:cs="仿宋_GB2312"/>
          <w:sz w:val="24"/>
          <w:szCs w:val="24"/>
          <w:highlight w:val="none"/>
          <w:lang w:eastAsia="zh-CN"/>
        </w:rPr>
        <w:t>帐</w:t>
      </w:r>
      <w:r>
        <w:rPr>
          <w:rFonts w:hint="eastAsia" w:ascii="仿宋_GB2312" w:hAnsi="仿宋_GB2312" w:eastAsia="仿宋_GB2312" w:cs="仿宋_GB2312"/>
          <w:sz w:val="24"/>
          <w:szCs w:val="24"/>
          <w:highlight w:val="none"/>
        </w:rPr>
        <w:t>（药剂由中标人正规自行采购）、污泥排放台</w:t>
      </w:r>
      <w:r>
        <w:rPr>
          <w:rFonts w:hint="eastAsia" w:ascii="仿宋_GB2312" w:hAnsi="仿宋_GB2312" w:eastAsia="仿宋_GB2312" w:cs="仿宋_GB2312"/>
          <w:sz w:val="24"/>
          <w:szCs w:val="24"/>
          <w:highlight w:val="none"/>
          <w:lang w:eastAsia="zh-CN"/>
        </w:rPr>
        <w:t>帐</w:t>
      </w:r>
      <w:r>
        <w:rPr>
          <w:rFonts w:hint="eastAsia" w:ascii="仿宋_GB2312" w:hAnsi="仿宋_GB2312" w:eastAsia="仿宋_GB2312" w:cs="仿宋_GB2312"/>
          <w:sz w:val="24"/>
          <w:szCs w:val="24"/>
          <w:highlight w:val="none"/>
        </w:rPr>
        <w:t>等。</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在运营期间，由于中标人的过失而使渗滤液处理系统瘫痪、由此造成的环境污染、设备毁坏等一切损失，由中标人承担一切经济和法律责任及安全责任。</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中标人</w:t>
      </w:r>
      <w:r>
        <w:rPr>
          <w:rFonts w:hint="eastAsia" w:ascii="仿宋_GB2312" w:hAnsi="仿宋_GB2312" w:eastAsia="仿宋_GB2312" w:cs="仿宋_GB2312"/>
          <w:sz w:val="24"/>
          <w:szCs w:val="24"/>
          <w:highlight w:val="none"/>
          <w:lang w:eastAsia="zh-CN"/>
        </w:rPr>
        <w:t>须</w:t>
      </w:r>
      <w:r>
        <w:rPr>
          <w:rFonts w:hint="eastAsia" w:ascii="仿宋_GB2312" w:hAnsi="仿宋_GB2312" w:eastAsia="仿宋_GB2312" w:cs="仿宋_GB2312"/>
          <w:sz w:val="24"/>
          <w:szCs w:val="24"/>
          <w:highlight w:val="none"/>
          <w:lang w:val="en-US" w:eastAsia="zh-CN"/>
        </w:rPr>
        <w:t>保持</w:t>
      </w:r>
      <w:r>
        <w:rPr>
          <w:rFonts w:hint="eastAsia" w:ascii="仿宋_GB2312" w:hAnsi="仿宋_GB2312" w:eastAsia="仿宋_GB2312" w:cs="仿宋_GB2312"/>
          <w:sz w:val="24"/>
          <w:szCs w:val="24"/>
          <w:highlight w:val="none"/>
        </w:rPr>
        <w:t>调节池</w:t>
      </w:r>
      <w:r>
        <w:rPr>
          <w:rFonts w:hint="eastAsia" w:ascii="仿宋_GB2312" w:hAnsi="仿宋_GB2312" w:eastAsia="仿宋_GB2312" w:cs="仿宋_GB2312"/>
          <w:sz w:val="24"/>
          <w:szCs w:val="24"/>
          <w:highlight w:val="none"/>
          <w:lang w:val="en-US" w:eastAsia="zh-CN"/>
        </w:rPr>
        <w:t>容量不超过1/3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在调节池渗滤液完全处理完的情况下，渗滤液产量须做到</w:t>
      </w:r>
      <w:r>
        <w:rPr>
          <w:rFonts w:hint="eastAsia" w:ascii="仿宋_GB2312" w:hAnsi="仿宋_GB2312" w:eastAsia="仿宋_GB2312" w:cs="仿宋_GB2312"/>
          <w:b/>
          <w:bCs/>
          <w:sz w:val="24"/>
          <w:szCs w:val="24"/>
          <w:highlight w:val="none"/>
          <w:lang w:val="en-US" w:eastAsia="zh-CN"/>
        </w:rPr>
        <w:t>日产日清</w:t>
      </w:r>
      <w:r>
        <w:rPr>
          <w:rFonts w:hint="eastAsia" w:ascii="仿宋_GB2312" w:hAnsi="仿宋_GB2312" w:eastAsia="仿宋_GB2312" w:cs="仿宋_GB2312"/>
          <w:sz w:val="24"/>
          <w:szCs w:val="24"/>
          <w:highlight w:val="none"/>
          <w:lang w:val="en-US" w:eastAsia="zh-CN"/>
        </w:rPr>
        <w:t>，停机24小时以上须报业主及相关部门审批</w:t>
      </w:r>
      <w:r>
        <w:rPr>
          <w:rFonts w:hint="eastAsia" w:ascii="仿宋_GB2312" w:hAnsi="仿宋_GB2312" w:eastAsia="仿宋_GB2312" w:cs="仿宋_GB2312"/>
          <w:sz w:val="24"/>
          <w:szCs w:val="24"/>
          <w:highlight w:val="none"/>
        </w:rPr>
        <w:t>。如因中标人无故停止设备的生产运行，而造成环境污染事故的，采购人有权解</w:t>
      </w:r>
      <w:r>
        <w:rPr>
          <w:rFonts w:hint="eastAsia" w:ascii="仿宋_GB2312" w:hAnsi="仿宋_GB2312" w:eastAsia="仿宋_GB2312" w:cs="仿宋_GB2312"/>
          <w:sz w:val="24"/>
          <w:szCs w:val="24"/>
          <w:highlight w:val="none"/>
          <w:lang w:eastAsia="zh-CN"/>
        </w:rPr>
        <w:t>除</w:t>
      </w:r>
      <w:r>
        <w:rPr>
          <w:rFonts w:hint="eastAsia" w:ascii="仿宋_GB2312" w:hAnsi="仿宋_GB2312" w:eastAsia="仿宋_GB2312" w:cs="仿宋_GB2312"/>
          <w:sz w:val="24"/>
          <w:szCs w:val="24"/>
          <w:highlight w:val="none"/>
        </w:rPr>
        <w:t>合同，事故责任和经济损失由中标人承担。</w:t>
      </w:r>
    </w:p>
    <w:p>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baseline"/>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w:t>
      </w:r>
      <w:r>
        <w:rPr>
          <w:rFonts w:hint="eastAsia" w:ascii="仿宋_GB2312" w:hAnsi="仿宋_GB2312" w:eastAsia="仿宋_GB2312" w:cs="仿宋_GB2312"/>
          <w:b/>
          <w:bCs/>
          <w:sz w:val="24"/>
          <w:szCs w:val="24"/>
          <w:highlight w:val="none"/>
          <w:lang w:eastAsia="zh-CN"/>
        </w:rPr>
        <w:t>（五）</w:t>
      </w:r>
      <w:r>
        <w:rPr>
          <w:rFonts w:hint="eastAsia" w:ascii="仿宋_GB2312" w:hAnsi="仿宋_GB2312" w:eastAsia="仿宋_GB2312" w:cs="仿宋_GB2312"/>
          <w:b/>
          <w:bCs/>
          <w:sz w:val="24"/>
          <w:szCs w:val="24"/>
          <w:highlight w:val="none"/>
        </w:rPr>
        <w:t>其他约定</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采购人发现中标人有违规偷排、将污水或将出水稀释后再排放的弄虚作假行为的，扣除当月的全部运营费用，所造成的污染环境后果由中标人全部承担。</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中标人必须按照采购人或采购人上级单位</w:t>
      </w:r>
      <w:r>
        <w:rPr>
          <w:rFonts w:hint="eastAsia" w:ascii="仿宋_GB2312" w:hAnsi="仿宋_GB2312" w:eastAsia="仿宋_GB2312" w:cs="仿宋_GB2312"/>
          <w:b w:val="0"/>
          <w:bCs w:val="0"/>
          <w:sz w:val="24"/>
          <w:szCs w:val="24"/>
          <w:highlight w:val="none"/>
          <w:lang w:eastAsia="zh-CN"/>
        </w:rPr>
        <w:t>相关规定</w:t>
      </w:r>
      <w:r>
        <w:rPr>
          <w:rFonts w:hint="eastAsia" w:ascii="仿宋_GB2312" w:hAnsi="仿宋_GB2312" w:eastAsia="仿宋_GB2312" w:cs="仿宋_GB2312"/>
          <w:b w:val="0"/>
          <w:bCs w:val="0"/>
          <w:sz w:val="24"/>
          <w:szCs w:val="24"/>
          <w:highlight w:val="none"/>
        </w:rPr>
        <w:t>要</w:t>
      </w:r>
      <w:r>
        <w:rPr>
          <w:rFonts w:hint="eastAsia" w:ascii="仿宋_GB2312" w:hAnsi="仿宋_GB2312" w:eastAsia="仿宋_GB2312" w:cs="仿宋_GB2312"/>
          <w:sz w:val="24"/>
          <w:szCs w:val="24"/>
          <w:highlight w:val="none"/>
        </w:rPr>
        <w:t>求操作，如因出现不合格项，所有损失均由中标人承担。</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中标人在运营期间，必须严格按设备操作规程、安全操作规程进行操作，确保达标处理排放，并保证人身安全。如果在合同期内发生安全事故，所有责任全部由中标人承担。</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运营期间的运行日志、监测记录、维修记录、固体废弃物处理台帐等必须由中标人详实记录</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妥善保存</w:t>
      </w:r>
      <w:r>
        <w:rPr>
          <w:rFonts w:hint="eastAsia" w:ascii="仿宋_GB2312" w:hAnsi="仿宋_GB2312" w:eastAsia="仿宋_GB2312" w:cs="仿宋_GB2312"/>
          <w:sz w:val="24"/>
          <w:szCs w:val="24"/>
          <w:highlight w:val="none"/>
          <w:lang w:eastAsia="zh-CN"/>
        </w:rPr>
        <w:t>并接受采购人的监督</w:t>
      </w:r>
      <w:r>
        <w:rPr>
          <w:rFonts w:hint="eastAsia" w:ascii="仿宋_GB2312" w:hAnsi="仿宋_GB2312" w:eastAsia="仿宋_GB2312" w:cs="仿宋_GB2312"/>
          <w:sz w:val="24"/>
          <w:szCs w:val="24"/>
          <w:highlight w:val="none"/>
        </w:rPr>
        <w:t>。在运营期内，中标人</w:t>
      </w:r>
      <w:r>
        <w:rPr>
          <w:rFonts w:hint="eastAsia" w:ascii="仿宋_GB2312" w:hAnsi="仿宋_GB2312" w:eastAsia="仿宋_GB2312" w:cs="仿宋_GB2312"/>
          <w:sz w:val="24"/>
          <w:szCs w:val="24"/>
          <w:highlight w:val="none"/>
          <w:lang w:eastAsia="zh-CN"/>
        </w:rPr>
        <w:t>须</w:t>
      </w:r>
      <w:r>
        <w:rPr>
          <w:rFonts w:hint="eastAsia" w:ascii="仿宋_GB2312" w:hAnsi="仿宋_GB2312" w:eastAsia="仿宋_GB2312" w:cs="仿宋_GB2312"/>
          <w:sz w:val="24"/>
          <w:szCs w:val="24"/>
          <w:highlight w:val="none"/>
        </w:rPr>
        <w:t>配合采购人做好上级部门的监督检查工作，并提供相关</w:t>
      </w:r>
      <w:r>
        <w:rPr>
          <w:rFonts w:hint="eastAsia" w:ascii="仿宋_GB2312" w:hAnsi="仿宋_GB2312" w:eastAsia="仿宋_GB2312" w:cs="仿宋_GB2312"/>
          <w:sz w:val="24"/>
          <w:szCs w:val="24"/>
          <w:highlight w:val="none"/>
          <w:lang w:eastAsia="zh-CN"/>
        </w:rPr>
        <w:t>台账</w:t>
      </w:r>
      <w:r>
        <w:rPr>
          <w:rFonts w:hint="eastAsia" w:ascii="仿宋_GB2312" w:hAnsi="仿宋_GB2312" w:eastAsia="仿宋_GB2312" w:cs="仿宋_GB2312"/>
          <w:sz w:val="24"/>
          <w:szCs w:val="24"/>
          <w:highlight w:val="none"/>
        </w:rPr>
        <w:t>。</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运行过程中，中标人要保证设备设施的完好无损。如造成损坏，必须在</w:t>
      </w:r>
      <w:r>
        <w:rPr>
          <w:rFonts w:hint="eastAsia" w:ascii="仿宋_GB2312" w:hAnsi="仿宋_GB2312" w:eastAsia="仿宋_GB2312" w:cs="仿宋_GB2312"/>
          <w:sz w:val="24"/>
          <w:szCs w:val="24"/>
          <w:highlight w:val="none"/>
          <w:lang w:eastAsia="zh-CN"/>
        </w:rPr>
        <w:t>规定的时间</w:t>
      </w:r>
      <w:r>
        <w:rPr>
          <w:rFonts w:hint="eastAsia" w:ascii="仿宋_GB2312" w:hAnsi="仿宋_GB2312" w:eastAsia="仿宋_GB2312" w:cs="仿宋_GB2312"/>
          <w:sz w:val="24"/>
          <w:szCs w:val="24"/>
          <w:highlight w:val="none"/>
        </w:rPr>
        <w:t>内完成</w:t>
      </w:r>
      <w:r>
        <w:rPr>
          <w:rFonts w:hint="eastAsia" w:ascii="仿宋_GB2312" w:hAnsi="仿宋_GB2312" w:eastAsia="仿宋_GB2312" w:cs="仿宋_GB2312"/>
          <w:sz w:val="24"/>
          <w:szCs w:val="24"/>
          <w:highlight w:val="none"/>
          <w:lang w:eastAsia="zh-CN"/>
        </w:rPr>
        <w:t>更换或维修</w:t>
      </w:r>
      <w:r>
        <w:rPr>
          <w:rFonts w:hint="eastAsia" w:ascii="仿宋_GB2312" w:hAnsi="仿宋_GB2312" w:eastAsia="仿宋_GB2312" w:cs="仿宋_GB2312"/>
          <w:sz w:val="24"/>
          <w:szCs w:val="24"/>
          <w:highlight w:val="none"/>
        </w:rPr>
        <w:t>，费用由中标人承担。损坏设备需按原有品牌及品质进行更换，采用替代产品应</w:t>
      </w:r>
      <w:r>
        <w:rPr>
          <w:rFonts w:hint="eastAsia" w:ascii="仿宋_GB2312" w:hAnsi="仿宋_GB2312" w:eastAsia="仿宋_GB2312" w:cs="仿宋_GB2312"/>
          <w:sz w:val="24"/>
          <w:szCs w:val="24"/>
          <w:highlight w:val="none"/>
          <w:lang w:eastAsia="zh-CN"/>
        </w:rPr>
        <w:t>等于</w:t>
      </w:r>
      <w:r>
        <w:rPr>
          <w:rFonts w:hint="eastAsia" w:ascii="仿宋_GB2312" w:hAnsi="仿宋_GB2312" w:eastAsia="仿宋_GB2312" w:cs="仿宋_GB2312"/>
          <w:sz w:val="24"/>
          <w:szCs w:val="24"/>
          <w:highlight w:val="none"/>
          <w:lang w:eastAsia="zh-CN"/>
        </w:rPr>
        <w:t>或优于</w:t>
      </w:r>
      <w:r>
        <w:rPr>
          <w:rFonts w:hint="eastAsia" w:ascii="仿宋_GB2312" w:hAnsi="仿宋_GB2312" w:eastAsia="仿宋_GB2312" w:cs="仿宋_GB2312"/>
          <w:sz w:val="24"/>
          <w:szCs w:val="24"/>
          <w:highlight w:val="none"/>
        </w:rPr>
        <w:t>原有设备。</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b w:val="0"/>
          <w:bCs w:val="0"/>
          <w:sz w:val="24"/>
          <w:szCs w:val="24"/>
          <w:highlight w:val="none"/>
          <w:lang w:eastAsia="zh-CN"/>
        </w:rPr>
      </w:pP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中标人工作人员必须遵守</w:t>
      </w:r>
      <w:r>
        <w:rPr>
          <w:rFonts w:hint="eastAsia" w:ascii="仿宋_GB2312" w:hAnsi="仿宋_GB2312" w:eastAsia="仿宋_GB2312" w:cs="仿宋_GB2312"/>
          <w:sz w:val="24"/>
          <w:szCs w:val="24"/>
          <w:highlight w:val="none"/>
          <w:lang w:eastAsia="zh-CN"/>
        </w:rPr>
        <w:t>填埋场</w:t>
      </w:r>
      <w:r>
        <w:rPr>
          <w:rFonts w:hint="eastAsia" w:ascii="仿宋_GB2312" w:hAnsi="仿宋_GB2312" w:eastAsia="仿宋_GB2312" w:cs="仿宋_GB2312"/>
          <w:sz w:val="24"/>
          <w:szCs w:val="24"/>
          <w:highlight w:val="none"/>
        </w:rPr>
        <w:t>的各项规章制度，服从采购</w:t>
      </w:r>
      <w:r>
        <w:rPr>
          <w:rFonts w:hint="eastAsia" w:ascii="仿宋_GB2312" w:hAnsi="仿宋_GB2312" w:eastAsia="仿宋_GB2312" w:cs="仿宋_GB2312"/>
          <w:sz w:val="24"/>
          <w:szCs w:val="24"/>
          <w:highlight w:val="none"/>
          <w:lang w:eastAsia="zh-CN"/>
        </w:rPr>
        <w:t>方</w:t>
      </w:r>
      <w:r>
        <w:rPr>
          <w:rFonts w:hint="eastAsia" w:ascii="仿宋_GB2312" w:hAnsi="仿宋_GB2312" w:eastAsia="仿宋_GB2312" w:cs="仿宋_GB2312"/>
          <w:sz w:val="24"/>
          <w:szCs w:val="24"/>
          <w:highlight w:val="none"/>
        </w:rPr>
        <w:t>管理人员检查和监督，并且要保护好场内的一切公共设施及保持周边环境卫生，</w:t>
      </w:r>
      <w:r>
        <w:rPr>
          <w:rFonts w:hint="eastAsia" w:ascii="仿宋_GB2312" w:hAnsi="仿宋_GB2312" w:eastAsia="仿宋_GB2312" w:cs="仿宋_GB2312"/>
          <w:b w:val="0"/>
          <w:bCs w:val="0"/>
          <w:sz w:val="24"/>
          <w:szCs w:val="24"/>
          <w:highlight w:val="none"/>
        </w:rPr>
        <w:t>违者</w:t>
      </w:r>
      <w:r>
        <w:rPr>
          <w:rFonts w:hint="eastAsia" w:ascii="仿宋_GB2312" w:hAnsi="仿宋_GB2312" w:eastAsia="仿宋_GB2312" w:cs="仿宋_GB2312"/>
          <w:b w:val="0"/>
          <w:bCs w:val="0"/>
          <w:sz w:val="24"/>
          <w:szCs w:val="24"/>
          <w:highlight w:val="none"/>
          <w:lang w:eastAsia="zh-CN"/>
        </w:rPr>
        <w:t>按采购方相关管理规定进行处罚</w:t>
      </w:r>
      <w:r>
        <w:rPr>
          <w:rFonts w:hint="eastAsia" w:ascii="仿宋_GB2312" w:hAnsi="仿宋_GB2312" w:eastAsia="仿宋_GB2312" w:cs="仿宋_GB2312"/>
          <w:b w:val="0"/>
          <w:bCs w:val="0"/>
          <w:sz w:val="24"/>
          <w:szCs w:val="24"/>
          <w:highlight w:val="none"/>
        </w:rPr>
        <w:t>。</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8.</w:t>
      </w:r>
      <w:r>
        <w:rPr>
          <w:rFonts w:hint="eastAsia" w:ascii="仿宋_GB2312" w:hAnsi="仿宋_GB2312" w:eastAsia="仿宋_GB2312" w:cs="仿宋_GB2312"/>
          <w:sz w:val="24"/>
          <w:szCs w:val="24"/>
          <w:highlight w:val="none"/>
        </w:rPr>
        <w:t>中标人必须按要求完善各种操作和安全生产</w:t>
      </w:r>
      <w:r>
        <w:rPr>
          <w:rFonts w:hint="eastAsia" w:ascii="仿宋_GB2312" w:hAnsi="仿宋_GB2312" w:eastAsia="仿宋_GB2312" w:cs="仿宋_GB2312"/>
          <w:sz w:val="24"/>
          <w:szCs w:val="24"/>
          <w:highlight w:val="none"/>
          <w:lang w:eastAsia="zh-CN"/>
        </w:rPr>
        <w:t>管理制度</w:t>
      </w:r>
      <w:r>
        <w:rPr>
          <w:rFonts w:hint="eastAsia" w:ascii="仿宋_GB2312" w:hAnsi="仿宋_GB2312" w:eastAsia="仿宋_GB2312" w:cs="仿宋_GB2312"/>
          <w:sz w:val="24"/>
          <w:szCs w:val="24"/>
          <w:highlight w:val="none"/>
        </w:rPr>
        <w:t>，按规定配备安全</w:t>
      </w:r>
      <w:r>
        <w:rPr>
          <w:rFonts w:hint="eastAsia" w:ascii="仿宋_GB2312" w:hAnsi="仿宋_GB2312" w:eastAsia="仿宋_GB2312" w:cs="仿宋_GB2312"/>
          <w:sz w:val="24"/>
          <w:szCs w:val="24"/>
          <w:highlight w:val="none"/>
          <w:lang w:eastAsia="zh-CN"/>
        </w:rPr>
        <w:t>生产</w:t>
      </w:r>
      <w:r>
        <w:rPr>
          <w:rFonts w:hint="eastAsia" w:ascii="仿宋_GB2312" w:hAnsi="仿宋_GB2312" w:eastAsia="仿宋_GB2312" w:cs="仿宋_GB2312"/>
          <w:sz w:val="24"/>
          <w:szCs w:val="24"/>
          <w:highlight w:val="none"/>
        </w:rPr>
        <w:t>设施设备。</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9.</w:t>
      </w:r>
      <w:r>
        <w:rPr>
          <w:rFonts w:hint="eastAsia" w:ascii="仿宋_GB2312" w:hAnsi="仿宋_GB2312" w:eastAsia="仿宋_GB2312" w:cs="仿宋_GB2312"/>
          <w:sz w:val="24"/>
          <w:szCs w:val="24"/>
          <w:highlight w:val="none"/>
        </w:rPr>
        <w:t>采购人不组织踏勘现场，投标人可自行踏勘现场。在踏勘现场中所发生踏勘费用及其他一切事宜由投</w:t>
      </w:r>
      <w:bookmarkStart w:id="0" w:name="_GoBack"/>
      <w:bookmarkEnd w:id="0"/>
      <w:r>
        <w:rPr>
          <w:rFonts w:hint="eastAsia" w:ascii="仿宋_GB2312" w:hAnsi="仿宋_GB2312" w:eastAsia="仿宋_GB2312" w:cs="仿宋_GB2312"/>
          <w:sz w:val="24"/>
          <w:szCs w:val="24"/>
          <w:highlight w:val="none"/>
        </w:rPr>
        <w:t>标人自己负责。</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val="en-US" w:eastAsia="zh-CN"/>
        </w:rPr>
        <w:t>0.</w:t>
      </w:r>
      <w:r>
        <w:rPr>
          <w:rFonts w:hint="eastAsia" w:ascii="仿宋_GB2312" w:hAnsi="仿宋_GB2312" w:eastAsia="仿宋_GB2312" w:cs="仿宋_GB2312"/>
          <w:sz w:val="24"/>
          <w:szCs w:val="24"/>
          <w:highlight w:val="none"/>
          <w:lang w:eastAsia="zh-CN"/>
        </w:rPr>
        <w:t>其他未尽事宜在合同签订时另行约定</w:t>
      </w:r>
      <w:r>
        <w:rPr>
          <w:rFonts w:hint="eastAsia" w:ascii="仿宋_GB2312" w:hAnsi="仿宋_GB2312" w:eastAsia="仿宋_GB2312" w:cs="仿宋_GB2312"/>
          <w:sz w:val="24"/>
          <w:szCs w:val="24"/>
          <w:highlight w:val="none"/>
        </w:rPr>
        <w:t>。</w:t>
      </w:r>
    </w:p>
    <w:p>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baseline"/>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w:t>
      </w:r>
      <w:r>
        <w:rPr>
          <w:rFonts w:hint="eastAsia" w:ascii="仿宋_GB2312" w:hAnsi="仿宋_GB2312" w:eastAsia="仿宋_GB2312" w:cs="仿宋_GB2312"/>
          <w:b/>
          <w:bCs/>
          <w:sz w:val="24"/>
          <w:szCs w:val="24"/>
          <w:highlight w:val="none"/>
          <w:lang w:eastAsia="zh-CN"/>
        </w:rPr>
        <w:t>三、</w:t>
      </w:r>
      <w:r>
        <w:rPr>
          <w:rFonts w:hint="eastAsia" w:ascii="仿宋_GB2312" w:hAnsi="仿宋_GB2312" w:eastAsia="仿宋_GB2312" w:cs="仿宋_GB2312"/>
          <w:b/>
          <w:bCs/>
          <w:sz w:val="24"/>
          <w:szCs w:val="24"/>
          <w:highlight w:val="none"/>
        </w:rPr>
        <w:t xml:space="preserve">商务条款及其他要求：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val="en-US" w:eastAsia="zh-CN"/>
        </w:rPr>
        <w:t>设备投入设计方案</w:t>
      </w:r>
      <w:r>
        <w:rPr>
          <w:rFonts w:hint="eastAsia" w:ascii="仿宋_GB2312" w:hAnsi="仿宋_GB2312" w:eastAsia="仿宋_GB2312" w:cs="仿宋_GB2312"/>
          <w:sz w:val="24"/>
          <w:szCs w:val="24"/>
          <w:highlight w:val="none"/>
        </w:rPr>
        <w:t xml:space="preserve">： </w:t>
      </w:r>
      <w:r>
        <w:rPr>
          <w:rFonts w:hint="eastAsia" w:ascii="仿宋_GB2312" w:hAnsi="仿宋_GB2312" w:eastAsia="仿宋_GB2312" w:cs="仿宋_GB2312"/>
          <w:sz w:val="24"/>
          <w:szCs w:val="24"/>
          <w:highlight w:val="none"/>
          <w:lang w:val="en-US" w:eastAsia="zh-CN"/>
        </w:rPr>
        <w:t>投标人须根据</w:t>
      </w:r>
      <w:r>
        <w:rPr>
          <w:rFonts w:hint="eastAsia" w:ascii="仿宋_GB2312" w:hAnsi="仿宋_GB2312" w:eastAsia="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人提供的实地平面图制作出相应的设备投入设计方案</w:t>
      </w:r>
      <w:r>
        <w:rPr>
          <w:rFonts w:hint="eastAsia" w:ascii="仿宋_GB2312" w:hAnsi="仿宋_GB2312" w:eastAsia="仿宋_GB2312" w:cs="仿宋_GB2312"/>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2.运营期限：</w:t>
      </w:r>
      <w:r>
        <w:rPr>
          <w:rFonts w:hint="eastAsia" w:ascii="仿宋_GB2312" w:hAnsi="仿宋_GB2312" w:eastAsia="仿宋_GB2312" w:cs="仿宋_GB2312"/>
          <w:b/>
          <w:bCs/>
          <w:sz w:val="24"/>
          <w:szCs w:val="24"/>
          <w:highlight w:val="none"/>
          <w:lang w:eastAsia="zh-CN"/>
        </w:rPr>
        <w:t>五</w:t>
      </w:r>
      <w:r>
        <w:rPr>
          <w:rFonts w:hint="eastAsia" w:ascii="仿宋_GB2312" w:hAnsi="仿宋_GB2312" w:eastAsia="仿宋_GB2312" w:cs="仿宋_GB2312"/>
          <w:b/>
          <w:bCs/>
          <w:sz w:val="24"/>
          <w:szCs w:val="24"/>
          <w:highlight w:val="none"/>
        </w:rPr>
        <w:t>年</w:t>
      </w:r>
      <w:r>
        <w:rPr>
          <w:rFonts w:hint="eastAsia" w:ascii="仿宋_GB2312" w:hAnsi="仿宋_GB2312" w:eastAsia="仿宋_GB2312" w:cs="仿宋_GB2312"/>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3.服务地点：</w:t>
      </w:r>
      <w:r>
        <w:rPr>
          <w:rFonts w:hint="eastAsia" w:ascii="仿宋_GB2312" w:hAnsi="仿宋_GB2312" w:eastAsia="仿宋_GB2312" w:cs="仿宋_GB2312"/>
          <w:sz w:val="24"/>
          <w:szCs w:val="24"/>
          <w:highlight w:val="none"/>
          <w:lang w:val="en-US" w:eastAsia="zh-CN"/>
        </w:rPr>
        <w:t>荔浦市采购人指定地点</w:t>
      </w:r>
      <w:r>
        <w:rPr>
          <w:rFonts w:hint="eastAsia" w:ascii="仿宋_GB2312" w:hAnsi="仿宋_GB2312" w:eastAsia="仿宋_GB2312" w:cs="仿宋_GB2312"/>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4.投标报价含购置</w:t>
      </w:r>
      <w:r>
        <w:rPr>
          <w:rFonts w:hint="eastAsia" w:ascii="仿宋_GB2312" w:hAnsi="仿宋_GB2312" w:eastAsia="仿宋_GB2312" w:cs="仿宋_GB2312"/>
          <w:sz w:val="24"/>
          <w:szCs w:val="24"/>
          <w:highlight w:val="none"/>
          <w:lang w:eastAsia="zh-CN"/>
        </w:rPr>
        <w:t>全新</w:t>
      </w:r>
      <w:r>
        <w:rPr>
          <w:rFonts w:hint="eastAsia" w:ascii="仿宋_GB2312" w:hAnsi="仿宋_GB2312" w:eastAsia="仿宋_GB2312" w:cs="仿宋_GB2312"/>
          <w:sz w:val="24"/>
          <w:szCs w:val="24"/>
          <w:highlight w:val="none"/>
        </w:rPr>
        <w:t>设备、随配附件、备品备件、安装费和售后服务、税金、产品抽样检测费、人工费、运营费及其他所有成本费用的总和及采购文件所要求的相关服务以及合同所示全部责任、义务和一般风险等全过程产生的所有成本和费用以及一切税费，对采购的全部服务进行完整唯一报价。</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eastAsia="zh-CN"/>
        </w:rPr>
        <w:t>四、考核方案根据采购人的考核制度执行。</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五、中标方必须在荔浦市设立子公司并设置固定办公场所，项目负责人代表</w:t>
      </w:r>
      <w:r>
        <w:rPr>
          <w:rFonts w:hint="eastAsia" w:ascii="仿宋_GB2312" w:hAnsi="仿宋_GB2312" w:eastAsia="仿宋_GB2312" w:cs="仿宋_GB2312"/>
          <w:sz w:val="24"/>
          <w:szCs w:val="24"/>
          <w:highlight w:val="none"/>
          <w:lang w:val="en-US" w:eastAsia="zh-CN"/>
        </w:rPr>
        <w:t>中标人</w:t>
      </w:r>
      <w:r>
        <w:rPr>
          <w:rFonts w:hint="eastAsia" w:ascii="仿宋_GB2312" w:hAnsi="仿宋_GB2312" w:eastAsia="仿宋_GB2312" w:cs="仿宋_GB2312"/>
          <w:sz w:val="24"/>
          <w:szCs w:val="24"/>
          <w:highlight w:val="none"/>
          <w:lang w:val="en-US" w:eastAsia="zh-CN"/>
        </w:rPr>
        <w:t>每月向</w:t>
      </w:r>
      <w:r>
        <w:rPr>
          <w:rFonts w:hint="eastAsia" w:ascii="仿宋_GB2312" w:hAnsi="仿宋_GB2312" w:eastAsia="仿宋_GB2312" w:cs="仿宋_GB2312"/>
          <w:sz w:val="24"/>
          <w:szCs w:val="24"/>
          <w:highlight w:val="none"/>
          <w:lang w:val="en-US" w:eastAsia="zh-CN"/>
        </w:rPr>
        <w:t>采购人</w:t>
      </w:r>
      <w:r>
        <w:rPr>
          <w:rFonts w:hint="eastAsia" w:ascii="仿宋_GB2312" w:hAnsi="仿宋_GB2312" w:eastAsia="仿宋_GB2312" w:cs="仿宋_GB2312"/>
          <w:sz w:val="24"/>
          <w:szCs w:val="24"/>
          <w:highlight w:val="none"/>
          <w:lang w:val="en-US" w:eastAsia="zh-CN"/>
        </w:rPr>
        <w:t>报告作业服务实施情况，接受</w:t>
      </w:r>
      <w:r>
        <w:rPr>
          <w:rFonts w:hint="eastAsia" w:ascii="仿宋_GB2312" w:hAnsi="仿宋_GB2312" w:eastAsia="仿宋_GB2312" w:cs="仿宋_GB2312"/>
          <w:sz w:val="24"/>
          <w:szCs w:val="24"/>
          <w:highlight w:val="none"/>
          <w:lang w:val="en-US" w:eastAsia="zh-CN"/>
        </w:rPr>
        <w:t>采购人</w:t>
      </w:r>
      <w:r>
        <w:rPr>
          <w:rFonts w:hint="eastAsia" w:ascii="仿宋_GB2312" w:hAnsi="仿宋_GB2312" w:eastAsia="仿宋_GB2312" w:cs="仿宋_GB2312"/>
          <w:sz w:val="24"/>
          <w:szCs w:val="24"/>
          <w:highlight w:val="none"/>
          <w:lang w:val="en-US" w:eastAsia="zh-CN"/>
        </w:rPr>
        <w:t>监督、检查和指导。如上级检查，</w:t>
      </w:r>
      <w:r>
        <w:rPr>
          <w:rFonts w:hint="eastAsia" w:ascii="仿宋_GB2312" w:hAnsi="仿宋_GB2312" w:eastAsia="仿宋_GB2312" w:cs="仿宋_GB2312"/>
          <w:sz w:val="24"/>
          <w:szCs w:val="24"/>
          <w:highlight w:val="none"/>
          <w:lang w:val="en-US" w:eastAsia="zh-CN"/>
        </w:rPr>
        <w:t>中标人</w:t>
      </w:r>
      <w:r>
        <w:rPr>
          <w:rFonts w:hint="eastAsia" w:ascii="仿宋_GB2312" w:hAnsi="仿宋_GB2312" w:eastAsia="仿宋_GB2312" w:cs="仿宋_GB2312"/>
          <w:sz w:val="24"/>
          <w:szCs w:val="24"/>
          <w:highlight w:val="none"/>
          <w:lang w:val="en-US" w:eastAsia="zh-CN"/>
        </w:rPr>
        <w:t>要无条件服从荔浦市人民政府及甲方的统一安排和管理。</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baseline"/>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eastAsia="zh-CN"/>
        </w:rPr>
        <w:t>六、合同期满后，全部设备归采购人</w:t>
      </w:r>
      <w:r>
        <w:rPr>
          <w:rFonts w:hint="eastAsia" w:ascii="仿宋_GB2312" w:hAnsi="仿宋_GB2312" w:eastAsia="仿宋_GB2312" w:cs="仿宋_GB2312"/>
          <w:sz w:val="24"/>
          <w:szCs w:val="24"/>
          <w:highlight w:val="none"/>
          <w:lang w:val="en-US" w:eastAsia="zh-CN"/>
        </w:rPr>
        <w:t>且设备运营正常</w:t>
      </w:r>
      <w:r>
        <w:rPr>
          <w:rFonts w:hint="eastAsia" w:ascii="仿宋_GB2312" w:hAnsi="仿宋_GB2312" w:eastAsia="仿宋_GB2312" w:cs="仿宋_GB2312"/>
          <w:sz w:val="24"/>
          <w:szCs w:val="24"/>
          <w:highlight w:val="none"/>
          <w:lang w:eastAsia="zh-CN"/>
        </w:rPr>
        <w:t>；渗滤液</w:t>
      </w:r>
      <w:r>
        <w:rPr>
          <w:rFonts w:hint="eastAsia" w:ascii="仿宋_GB2312" w:hAnsi="仿宋_GB2312" w:eastAsia="仿宋_GB2312" w:cs="仿宋_GB2312"/>
          <w:sz w:val="24"/>
          <w:szCs w:val="24"/>
          <w:highlight w:val="none"/>
          <w:lang w:val="en-US" w:eastAsia="zh-CN"/>
        </w:rPr>
        <w:t>存</w:t>
      </w:r>
      <w:r>
        <w:rPr>
          <w:rFonts w:hint="eastAsia" w:ascii="仿宋_GB2312" w:hAnsi="仿宋_GB2312" w:eastAsia="仿宋_GB2312" w:cs="仿宋_GB2312"/>
          <w:sz w:val="24"/>
          <w:szCs w:val="24"/>
          <w:highlight w:val="none"/>
          <w:lang w:eastAsia="zh-CN"/>
        </w:rPr>
        <w:t>量不得超过调节池的</w:t>
      </w:r>
      <w:r>
        <w:rPr>
          <w:rFonts w:hint="eastAsia" w:ascii="仿宋_GB2312" w:hAnsi="仿宋_GB2312" w:eastAsia="仿宋_GB2312" w:cs="仿宋_GB2312"/>
          <w:sz w:val="24"/>
          <w:szCs w:val="24"/>
          <w:highlight w:val="none"/>
          <w:lang w:val="en-US" w:eastAsia="zh-CN"/>
        </w:rPr>
        <w:t>1/3；应急池保持常态化零存量。</w:t>
      </w:r>
    </w:p>
    <w:p>
      <w:pPr>
        <w:pStyle w:val="4"/>
        <w:ind w:firstLine="360" w:firstLineChars="200"/>
        <w:rPr>
          <w:rFonts w:hint="eastAsia" w:eastAsia="仿宋_GB2312"/>
          <w:highlight w:val="none"/>
          <w:lang w:eastAsia="zh-CN"/>
        </w:rPr>
      </w:pPr>
    </w:p>
    <w:p>
      <w:pPr>
        <w:spacing w:line="288" w:lineRule="auto"/>
        <w:ind w:firstLine="482" w:firstLineChars="200"/>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rPr>
          <w:rFonts w:hint="eastAsia" w:ascii="宋体" w:hAnsi="宋体" w:cs="宋体"/>
          <w:b/>
          <w:color w:val="auto"/>
          <w:sz w:val="24"/>
          <w:highlight w:val="none"/>
        </w:rPr>
      </w:pPr>
    </w:p>
    <w:p>
      <w:pPr>
        <w:pStyle w:val="4"/>
        <w:jc w:val="left"/>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附件1:阴影部分为可用场地现状图</w:t>
      </w:r>
    </w:p>
    <w:p>
      <w:pPr>
        <w:pStyle w:val="4"/>
        <w:ind w:right="313" w:rightChars="149"/>
        <w:jc w:val="both"/>
        <w:rPr>
          <w:highlight w:val="none"/>
        </w:rPr>
      </w:pPr>
      <w:r>
        <w:rPr>
          <w:rFonts w:hint="eastAsia" w:ascii="宋体" w:hAnsi="宋体" w:eastAsia="宋体" w:cs="宋体"/>
          <w:b/>
          <w:color w:val="auto"/>
          <w:sz w:val="24"/>
          <w:highlight w:val="none"/>
          <w:lang w:eastAsia="zh-CN"/>
        </w:rPr>
        <w:drawing>
          <wp:inline distT="0" distB="0" distL="114300" distR="114300">
            <wp:extent cx="8439150" cy="5904230"/>
            <wp:effectExtent l="0" t="0" r="1270" b="0"/>
            <wp:docPr id="8" name="图片 8" descr="微信图片_2023081120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811203202"/>
                    <pic:cNvPicPr>
                      <a:picLocks noChangeAspect="1"/>
                    </pic:cNvPicPr>
                  </pic:nvPicPr>
                  <pic:blipFill>
                    <a:blip r:embed="rId4"/>
                    <a:srcRect r="17651" b="3349"/>
                    <a:stretch>
                      <a:fillRect/>
                    </a:stretch>
                  </pic:blipFill>
                  <pic:spPr>
                    <a:xfrm rot="5400000">
                      <a:off x="0" y="0"/>
                      <a:ext cx="8439150" cy="59042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4YTk0NDgwNGIxNWM1NGEzMjM3ZTk0YWRjZGZkMTAifQ=="/>
  </w:docVars>
  <w:rsids>
    <w:rsidRoot w:val="061B30B8"/>
    <w:rsid w:val="061B3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outlineLvl w:val="0"/>
    </w:pPr>
    <w:rPr>
      <w:rFonts w:ascii="Tahoma" w:hAnsi="Tahoma"/>
      <w:b/>
      <w:bCs/>
      <w:kern w:val="44"/>
      <w:sz w:val="28"/>
      <w:szCs w:val="44"/>
    </w:rPr>
  </w:style>
  <w:style w:type="paragraph" w:styleId="2">
    <w:name w:val="heading 4"/>
    <w:basedOn w:val="1"/>
    <w:next w:val="1"/>
    <w:qFormat/>
    <w:uiPriority w:val="0"/>
    <w:pPr>
      <w:keepNext/>
      <w:keepLines/>
      <w:widowControl/>
      <w:tabs>
        <w:tab w:val="left" w:pos="864"/>
      </w:tabs>
      <w:spacing w:before="280" w:after="290" w:line="376" w:lineRule="auto"/>
      <w:jc w:val="left"/>
      <w:outlineLvl w:val="3"/>
    </w:pPr>
    <w:rPr>
      <w:rFonts w:ascii="Arial" w:hAnsi="Arial" w:eastAsia="黑体"/>
      <w:b/>
      <w:bCs/>
      <w:kern w:val="0"/>
      <w:sz w:val="28"/>
      <w:szCs w:val="28"/>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rFonts w:ascii="Tahoma" w:hAnsi="Tahoma"/>
      <w:sz w:val="18"/>
      <w:szCs w:val="18"/>
    </w:rPr>
  </w:style>
  <w:style w:type="paragraph" w:customStyle="1" w:styleId="7">
    <w:name w:val="Table Text"/>
    <w:basedOn w:val="1"/>
    <w:semiHidden/>
    <w:qFormat/>
    <w:uiPriority w:val="0"/>
    <w:rPr>
      <w:rFonts w:ascii="微软雅黑" w:hAnsi="微软雅黑" w:eastAsia="微软雅黑" w:cs="微软雅黑"/>
      <w:sz w:val="17"/>
      <w:szCs w:val="17"/>
      <w:lang w:val="en-US" w:eastAsia="en-US" w:bidi="ar-SA"/>
    </w:r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2023-08-16T00:39:00Z</dcterms:created>
  <dc:creator>Zero</dc:creator>
  <cp:lastModifiedBy>Zero</cp:lastModifiedBy>
  <dcterms:modified xsi:type="dcterms:W3CDTF">2023-08-16T00:40:37Z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F6FBF43CF64245B3A10CF5D517C9DC61_11</vt:lpwstr>
  </property>
</Properties>
</file>