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jc w:val="center"/>
        <w:rPr>
          <w:rFonts w:cs="黑体" w:asciiTheme="minorEastAsia" w:hAnsiTheme="minorEastAsia" w:eastAsiaTheme="minorEastAsia"/>
          <w:b/>
          <w:bCs/>
          <w:color w:val="000000"/>
          <w:sz w:val="32"/>
          <w:szCs w:val="32"/>
        </w:rPr>
      </w:pPr>
      <w:bookmarkStart w:id="0" w:name="OLE_LINK1"/>
      <w:r>
        <w:rPr>
          <w:rFonts w:hint="eastAsia" w:cs="黑体" w:asciiTheme="minorEastAsia" w:hAnsiTheme="minorEastAsia" w:eastAsiaTheme="minorEastAsia"/>
          <w:b/>
          <w:bCs/>
          <w:color w:val="000000"/>
          <w:sz w:val="32"/>
          <w:szCs w:val="32"/>
        </w:rPr>
        <w:t>广西广申工程项目管理有限公司关于桂林市文化旅游中心项目（桂林市新生街城中村（棚户区）改造项目）安置房二次加压供水设备采购及安装工程成交结果公告</w:t>
      </w:r>
    </w:p>
    <w:p>
      <w:pPr>
        <w:pStyle w:val="2"/>
      </w:pPr>
    </w:p>
    <w:p>
      <w:pPr>
        <w:spacing w:line="480" w:lineRule="exact"/>
        <w:rPr>
          <w:rFonts w:ascii="仿宋" w:hAnsi="仿宋" w:eastAsia="仿宋" w:cs="仿宋"/>
          <w:b w:val="0"/>
          <w:bCs/>
          <w:kern w:val="0"/>
          <w:sz w:val="28"/>
          <w:szCs w:val="28"/>
          <w:shd w:val="clear" w:color="auto" w:fill="FFFFFF"/>
        </w:rPr>
      </w:pPr>
      <w:r>
        <w:rPr>
          <w:rFonts w:hint="eastAsia" w:ascii="黑体" w:hAnsi="黑体" w:eastAsia="黑体" w:cs="黑体"/>
          <w:sz w:val="28"/>
          <w:szCs w:val="28"/>
        </w:rPr>
        <w:t>一、项目编号：</w:t>
      </w:r>
      <w:r>
        <w:rPr>
          <w:rFonts w:hint="eastAsia" w:ascii="仿宋" w:hAnsi="仿宋" w:eastAsia="仿宋" w:cs="仿宋"/>
          <w:b w:val="0"/>
          <w:bCs/>
          <w:kern w:val="0"/>
          <w:sz w:val="28"/>
          <w:szCs w:val="28"/>
          <w:shd w:val="clear" w:color="auto" w:fill="FFFFFF"/>
        </w:rPr>
        <w:t>GLZC2021-C1-990165-GXGS</w:t>
      </w:r>
    </w:p>
    <w:p>
      <w:pPr>
        <w:spacing w:line="480" w:lineRule="exact"/>
        <w:rPr>
          <w:rFonts w:ascii="仿宋" w:hAnsi="仿宋" w:eastAsia="仿宋" w:cs="仿宋"/>
          <w:b w:val="0"/>
          <w:bCs/>
          <w:kern w:val="0"/>
          <w:sz w:val="28"/>
          <w:szCs w:val="28"/>
          <w:shd w:val="clear" w:color="auto" w:fill="FFFFFF"/>
        </w:rPr>
      </w:pPr>
      <w:r>
        <w:rPr>
          <w:rFonts w:hint="eastAsia" w:ascii="黑体" w:hAnsi="黑体" w:eastAsia="黑体" w:cs="黑体"/>
          <w:sz w:val="28"/>
          <w:szCs w:val="28"/>
        </w:rPr>
        <w:t>二、项目名称：</w:t>
      </w:r>
      <w:r>
        <w:rPr>
          <w:rFonts w:hint="eastAsia" w:ascii="仿宋" w:hAnsi="仿宋" w:eastAsia="仿宋" w:cs="仿宋"/>
          <w:b w:val="0"/>
          <w:bCs/>
          <w:kern w:val="0"/>
          <w:sz w:val="28"/>
          <w:szCs w:val="28"/>
          <w:shd w:val="clear" w:color="auto" w:fill="FFFFFF"/>
        </w:rPr>
        <w:t>桂林市文化旅游中心项目（桂林市新生街城中村（棚户区）改造项目）安置房二次加压供水设备采购及安装工程</w:t>
      </w:r>
    </w:p>
    <w:p>
      <w:pPr>
        <w:spacing w:line="480" w:lineRule="exact"/>
        <w:rPr>
          <w:rFonts w:ascii="黑体" w:hAnsi="黑体" w:eastAsia="黑体"/>
          <w:sz w:val="28"/>
          <w:szCs w:val="28"/>
        </w:rPr>
      </w:pPr>
      <w:r>
        <w:rPr>
          <w:rFonts w:hint="eastAsia" w:ascii="黑体" w:hAnsi="黑体" w:eastAsia="黑体" w:cs="黑体"/>
          <w:sz w:val="28"/>
          <w:szCs w:val="28"/>
        </w:rPr>
        <w:t>三、成交信息</w:t>
      </w:r>
    </w:p>
    <w:p>
      <w:pPr>
        <w:spacing w:line="480" w:lineRule="exact"/>
        <w:ind w:firstLine="560" w:firstLineChars="200"/>
        <w:rPr>
          <w:rFonts w:ascii="仿宋" w:hAnsi="仿宋" w:eastAsia="仿宋" w:cs="仿宋"/>
          <w:kern w:val="0"/>
          <w:sz w:val="28"/>
          <w:szCs w:val="28"/>
          <w:shd w:val="clear" w:color="auto" w:fill="FFFFFF"/>
        </w:rPr>
      </w:pPr>
      <w:r>
        <w:rPr>
          <w:rFonts w:hint="eastAsia" w:ascii="仿宋" w:hAnsi="仿宋" w:eastAsia="仿宋" w:cs="仿宋"/>
          <w:kern w:val="0"/>
          <w:sz w:val="28"/>
          <w:szCs w:val="28"/>
          <w:shd w:val="clear" w:color="auto" w:fill="FFFFFF"/>
        </w:rPr>
        <w:t>供应商名称：海昌泵业股份有限公司</w:t>
      </w:r>
    </w:p>
    <w:p>
      <w:pPr>
        <w:spacing w:line="480" w:lineRule="exact"/>
        <w:ind w:firstLine="560" w:firstLineChars="200"/>
        <w:rPr>
          <w:rFonts w:ascii="仿宋" w:hAnsi="仿宋" w:eastAsia="仿宋" w:cs="仿宋"/>
          <w:kern w:val="0"/>
          <w:sz w:val="28"/>
          <w:szCs w:val="28"/>
          <w:shd w:val="clear" w:color="auto" w:fill="FFFFFF"/>
        </w:rPr>
      </w:pPr>
      <w:r>
        <w:rPr>
          <w:rFonts w:hint="eastAsia" w:ascii="仿宋" w:hAnsi="仿宋" w:eastAsia="仿宋" w:cs="仿宋"/>
          <w:kern w:val="0"/>
          <w:sz w:val="28"/>
          <w:szCs w:val="28"/>
          <w:shd w:val="clear" w:color="auto" w:fill="FFFFFF"/>
        </w:rPr>
        <w:t>供应商地址：南宁市经济技术开发区迎凯路11号</w:t>
      </w:r>
    </w:p>
    <w:p>
      <w:pPr>
        <w:spacing w:line="480" w:lineRule="exact"/>
        <w:ind w:firstLine="560" w:firstLineChars="200"/>
        <w:rPr>
          <w:rFonts w:hint="eastAsia" w:ascii="仿宋" w:hAnsi="仿宋" w:eastAsia="仿宋" w:cs="仿宋"/>
          <w:kern w:val="0"/>
          <w:sz w:val="28"/>
          <w:szCs w:val="28"/>
          <w:shd w:val="clear" w:color="auto" w:fill="FFFFFF"/>
        </w:rPr>
      </w:pPr>
      <w:r>
        <w:rPr>
          <w:rFonts w:hint="eastAsia" w:ascii="仿宋" w:hAnsi="仿宋" w:eastAsia="仿宋" w:cs="仿宋"/>
          <w:kern w:val="0"/>
          <w:sz w:val="28"/>
          <w:szCs w:val="28"/>
          <w:shd w:val="clear" w:color="auto" w:fill="FFFFFF"/>
        </w:rPr>
        <w:t>成交金额：（大写）人民币</w:t>
      </w:r>
      <w:r>
        <w:rPr>
          <w:rFonts w:hint="eastAsia" w:ascii="仿宋" w:hAnsi="仿宋" w:eastAsia="仿宋" w:cs="仿宋"/>
          <w:kern w:val="0"/>
          <w:sz w:val="28"/>
          <w:szCs w:val="28"/>
          <w:shd w:val="clear" w:color="auto" w:fill="FFFFFF"/>
          <w:lang w:eastAsia="zh-CN"/>
        </w:rPr>
        <w:t>贰拾柒万</w:t>
      </w:r>
      <w:r>
        <w:rPr>
          <w:rFonts w:hint="eastAsia" w:ascii="仿宋" w:hAnsi="仿宋" w:eastAsia="仿宋" w:cs="仿宋"/>
          <w:kern w:val="0"/>
          <w:sz w:val="28"/>
          <w:szCs w:val="28"/>
          <w:shd w:val="clear" w:color="auto" w:fill="FFFFFF"/>
        </w:rPr>
        <w:t>元整（￥270000.00）</w:t>
      </w:r>
    </w:p>
    <w:p>
      <w:pPr>
        <w:spacing w:line="480" w:lineRule="exact"/>
        <w:rPr>
          <w:rFonts w:ascii="黑体" w:hAnsi="黑体" w:eastAsia="黑体" w:cs="黑体"/>
          <w:sz w:val="28"/>
          <w:szCs w:val="28"/>
        </w:rPr>
      </w:pPr>
      <w:r>
        <w:rPr>
          <w:rFonts w:hint="eastAsia" w:ascii="仿宋" w:hAnsi="仿宋" w:eastAsia="仿宋" w:cs="仿宋"/>
          <w:kern w:val="0"/>
          <w:sz w:val="28"/>
          <w:szCs w:val="28"/>
          <w:shd w:val="clear" w:color="auto" w:fill="FFFFFF"/>
        </w:rPr>
        <w:t xml:space="preserve"> </w:t>
      </w:r>
      <w:r>
        <w:rPr>
          <w:rFonts w:hint="eastAsia" w:ascii="黑体" w:hAnsi="黑体" w:eastAsia="黑体" w:cs="黑体"/>
          <w:sz w:val="28"/>
          <w:szCs w:val="28"/>
        </w:rPr>
        <w:t>四、主要标的信息</w:t>
      </w:r>
    </w:p>
    <w:tbl>
      <w:tblPr>
        <w:tblStyle w:val="18"/>
        <w:tblW w:w="8059"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17"/>
        <w:gridCol w:w="5298"/>
        <w:gridCol w:w="1032"/>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6" w:hRule="atLeast"/>
        </w:trPr>
        <w:tc>
          <w:tcPr>
            <w:tcW w:w="817" w:type="dxa"/>
            <w:tcMar>
              <w:left w:w="108" w:type="dxa"/>
              <w:right w:w="108" w:type="dxa"/>
            </w:tcMar>
            <w:vAlign w:val="center"/>
          </w:tcPr>
          <w:p>
            <w:pPr>
              <w:pStyle w:val="16"/>
              <w:spacing w:before="0" w:beforeAutospacing="0" w:after="0" w:afterAutospacing="0" w:line="340" w:lineRule="atLeast"/>
              <w:jc w:val="center"/>
              <w:rPr>
                <w:rFonts w:ascii="仿宋" w:hAnsi="仿宋" w:eastAsia="仿宋"/>
                <w:b/>
                <w:sz w:val="28"/>
                <w:szCs w:val="28"/>
              </w:rPr>
            </w:pPr>
            <w:r>
              <w:rPr>
                <w:rFonts w:hint="eastAsia" w:ascii="仿宋" w:hAnsi="仿宋" w:eastAsia="仿宋"/>
                <w:b/>
                <w:sz w:val="28"/>
                <w:szCs w:val="28"/>
              </w:rPr>
              <w:t>项号</w:t>
            </w:r>
          </w:p>
        </w:tc>
        <w:tc>
          <w:tcPr>
            <w:tcW w:w="5298" w:type="dxa"/>
            <w:tcMar>
              <w:left w:w="108" w:type="dxa"/>
              <w:right w:w="108" w:type="dxa"/>
            </w:tcMar>
            <w:vAlign w:val="center"/>
          </w:tcPr>
          <w:p>
            <w:pPr>
              <w:pStyle w:val="16"/>
              <w:spacing w:before="0" w:beforeAutospacing="0" w:after="0" w:afterAutospacing="0" w:line="340" w:lineRule="atLeast"/>
              <w:jc w:val="center"/>
              <w:rPr>
                <w:rFonts w:ascii="仿宋" w:hAnsi="仿宋" w:eastAsia="仿宋"/>
                <w:b/>
                <w:sz w:val="28"/>
                <w:szCs w:val="28"/>
              </w:rPr>
            </w:pPr>
            <w:r>
              <w:rPr>
                <w:rFonts w:hint="eastAsia" w:ascii="仿宋" w:hAnsi="仿宋" w:eastAsia="仿宋"/>
                <w:b/>
                <w:sz w:val="28"/>
                <w:szCs w:val="28"/>
              </w:rPr>
              <w:t>服务名称</w:t>
            </w:r>
          </w:p>
        </w:tc>
        <w:tc>
          <w:tcPr>
            <w:tcW w:w="1032" w:type="dxa"/>
            <w:tcMar>
              <w:left w:w="108" w:type="dxa"/>
              <w:right w:w="108" w:type="dxa"/>
            </w:tcMar>
            <w:vAlign w:val="center"/>
          </w:tcPr>
          <w:p>
            <w:pPr>
              <w:pStyle w:val="16"/>
              <w:spacing w:before="0" w:beforeAutospacing="0" w:after="0" w:afterAutospacing="0" w:line="340" w:lineRule="atLeast"/>
              <w:jc w:val="center"/>
              <w:rPr>
                <w:rFonts w:ascii="仿宋" w:hAnsi="仿宋" w:eastAsia="仿宋"/>
                <w:b/>
                <w:sz w:val="28"/>
                <w:szCs w:val="28"/>
              </w:rPr>
            </w:pPr>
            <w:r>
              <w:rPr>
                <w:rFonts w:hint="eastAsia" w:ascii="仿宋" w:hAnsi="仿宋" w:eastAsia="仿宋"/>
                <w:b/>
                <w:sz w:val="28"/>
                <w:szCs w:val="28"/>
              </w:rPr>
              <w:t>数量</w:t>
            </w:r>
          </w:p>
        </w:tc>
        <w:tc>
          <w:tcPr>
            <w:tcW w:w="912" w:type="dxa"/>
            <w:tcMar>
              <w:left w:w="108" w:type="dxa"/>
              <w:right w:w="108" w:type="dxa"/>
            </w:tcMar>
            <w:vAlign w:val="center"/>
          </w:tcPr>
          <w:p>
            <w:pPr>
              <w:pStyle w:val="16"/>
              <w:spacing w:before="0" w:beforeAutospacing="0" w:after="0" w:afterAutospacing="0" w:line="340" w:lineRule="atLeast"/>
              <w:jc w:val="center"/>
              <w:rPr>
                <w:rFonts w:ascii="仿宋" w:hAnsi="仿宋" w:eastAsia="仿宋"/>
                <w:b/>
                <w:sz w:val="28"/>
                <w:szCs w:val="28"/>
              </w:rPr>
            </w:pPr>
            <w:r>
              <w:rPr>
                <w:rFonts w:hint="eastAsia" w:ascii="仿宋" w:hAnsi="仿宋" w:eastAsia="仿宋"/>
                <w:b/>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2" w:hRule="atLeast"/>
        </w:trPr>
        <w:tc>
          <w:tcPr>
            <w:tcW w:w="817" w:type="dxa"/>
            <w:tcMar>
              <w:left w:w="108" w:type="dxa"/>
              <w:right w:w="108" w:type="dxa"/>
            </w:tcMar>
            <w:vAlign w:val="center"/>
          </w:tcPr>
          <w:p>
            <w:pPr>
              <w:pStyle w:val="16"/>
              <w:spacing w:before="0" w:beforeAutospacing="0" w:after="0" w:afterAutospacing="0" w:line="340" w:lineRule="atLeast"/>
              <w:jc w:val="center"/>
              <w:rPr>
                <w:rFonts w:ascii="仿宋" w:hAnsi="仿宋" w:eastAsia="仿宋" w:cs="Calibri"/>
                <w:sz w:val="28"/>
                <w:szCs w:val="28"/>
              </w:rPr>
            </w:pPr>
            <w:r>
              <w:rPr>
                <w:rFonts w:hint="eastAsia" w:ascii="仿宋" w:hAnsi="仿宋" w:eastAsia="仿宋"/>
                <w:bCs/>
                <w:sz w:val="28"/>
                <w:szCs w:val="28"/>
              </w:rPr>
              <w:t>1</w:t>
            </w:r>
          </w:p>
        </w:tc>
        <w:tc>
          <w:tcPr>
            <w:tcW w:w="5298" w:type="dxa"/>
            <w:tcMar>
              <w:left w:w="108" w:type="dxa"/>
              <w:right w:w="108" w:type="dxa"/>
            </w:tcMar>
            <w:vAlign w:val="center"/>
          </w:tcPr>
          <w:p>
            <w:pPr>
              <w:pStyle w:val="43"/>
              <w:spacing w:line="360" w:lineRule="exact"/>
              <w:ind w:right="188"/>
              <w:jc w:val="center"/>
              <w:rPr>
                <w:rFonts w:ascii="仿宋" w:hAnsi="仿宋" w:eastAsia="仿宋" w:cs="Calibri"/>
                <w:b/>
                <w:bCs/>
                <w:sz w:val="28"/>
                <w:szCs w:val="28"/>
              </w:rPr>
            </w:pPr>
            <w:r>
              <w:rPr>
                <w:rFonts w:hint="eastAsia" w:ascii="仿宋" w:hAnsi="仿宋" w:eastAsia="仿宋"/>
                <w:b w:val="0"/>
                <w:bCs w:val="0"/>
                <w:sz w:val="28"/>
                <w:szCs w:val="28"/>
                <w:lang w:val="en-US"/>
              </w:rPr>
              <w:t>桂林市文化旅游中心项目（桂林市新生街城中村（棚户区）改造项目）安置房二次加压供水设备采购及安装工程</w:t>
            </w:r>
          </w:p>
        </w:tc>
        <w:tc>
          <w:tcPr>
            <w:tcW w:w="1032" w:type="dxa"/>
            <w:tcMar>
              <w:left w:w="108" w:type="dxa"/>
              <w:right w:w="108" w:type="dxa"/>
            </w:tcMar>
            <w:vAlign w:val="center"/>
          </w:tcPr>
          <w:p>
            <w:pPr>
              <w:autoSpaceDE w:val="0"/>
              <w:autoSpaceDN w:val="0"/>
              <w:spacing w:line="360" w:lineRule="exact"/>
              <w:jc w:val="center"/>
              <w:rPr>
                <w:rFonts w:ascii="仿宋" w:hAnsi="仿宋" w:eastAsia="仿宋" w:cs="Calibri"/>
                <w:sz w:val="28"/>
                <w:szCs w:val="28"/>
              </w:rPr>
            </w:pPr>
            <w:r>
              <w:rPr>
                <w:rFonts w:hint="eastAsia" w:ascii="仿宋" w:hAnsi="仿宋" w:eastAsia="仿宋"/>
                <w:sz w:val="28"/>
                <w:szCs w:val="28"/>
              </w:rPr>
              <w:t>1</w:t>
            </w:r>
          </w:p>
        </w:tc>
        <w:tc>
          <w:tcPr>
            <w:tcW w:w="912" w:type="dxa"/>
            <w:tcMar>
              <w:left w:w="108" w:type="dxa"/>
              <w:right w:w="108" w:type="dxa"/>
            </w:tcMar>
            <w:vAlign w:val="center"/>
          </w:tcPr>
          <w:p>
            <w:pPr>
              <w:tabs>
                <w:tab w:val="left" w:pos="990"/>
              </w:tabs>
              <w:autoSpaceDE w:val="0"/>
              <w:autoSpaceDN w:val="0"/>
              <w:spacing w:line="360" w:lineRule="exact"/>
              <w:jc w:val="center"/>
              <w:rPr>
                <w:rFonts w:ascii="仿宋" w:hAnsi="仿宋" w:eastAsia="仿宋" w:cs="Calibri"/>
                <w:sz w:val="28"/>
                <w:szCs w:val="28"/>
              </w:rPr>
            </w:pPr>
            <w:r>
              <w:rPr>
                <w:rFonts w:hint="eastAsia" w:ascii="仿宋" w:hAnsi="仿宋" w:eastAsia="仿宋"/>
                <w:sz w:val="28"/>
                <w:szCs w:val="28"/>
              </w:rPr>
              <w:t>项</w:t>
            </w:r>
          </w:p>
        </w:tc>
      </w:tr>
    </w:tbl>
    <w:p>
      <w:pPr>
        <w:spacing w:line="480" w:lineRule="exact"/>
        <w:rPr>
          <w:rFonts w:ascii="黑体" w:hAnsi="黑体" w:eastAsia="黑体" w:cs="黑体"/>
          <w:sz w:val="28"/>
          <w:szCs w:val="28"/>
        </w:rPr>
      </w:pPr>
      <w:r>
        <w:rPr>
          <w:rFonts w:hint="eastAsia" w:ascii="黑体" w:hAnsi="黑体" w:eastAsia="黑体" w:cs="黑体"/>
          <w:sz w:val="28"/>
          <w:szCs w:val="28"/>
        </w:rPr>
        <w:t xml:space="preserve">五、评审专家名单： </w:t>
      </w:r>
    </w:p>
    <w:p>
      <w:pPr>
        <w:spacing w:line="480" w:lineRule="exact"/>
        <w:ind w:firstLine="560" w:firstLineChars="200"/>
        <w:jc w:val="left"/>
        <w:rPr>
          <w:rFonts w:ascii="仿宋" w:hAnsi="仿宋" w:eastAsia="仿宋" w:cs="仿宋"/>
          <w:bCs/>
          <w:color w:val="333333"/>
          <w:kern w:val="0"/>
          <w:sz w:val="28"/>
          <w:szCs w:val="28"/>
          <w:shd w:val="clear" w:color="auto" w:fill="FFFFFF"/>
        </w:rPr>
      </w:pPr>
      <w:r>
        <w:rPr>
          <w:rFonts w:hint="eastAsia" w:ascii="仿宋" w:hAnsi="仿宋" w:eastAsia="仿宋" w:cs="仿宋"/>
          <w:bCs/>
          <w:color w:val="333333"/>
          <w:kern w:val="0"/>
          <w:sz w:val="28"/>
          <w:szCs w:val="28"/>
          <w:shd w:val="clear" w:color="auto" w:fill="FFFFFF"/>
        </w:rPr>
        <w:t>黄闽宏</w:t>
      </w:r>
      <w:r>
        <w:rPr>
          <w:rFonts w:hint="eastAsia" w:ascii="仿宋" w:hAnsi="仿宋" w:eastAsia="仿宋" w:cs="仿宋"/>
          <w:bCs/>
          <w:color w:val="333333"/>
          <w:kern w:val="0"/>
          <w:sz w:val="28"/>
          <w:szCs w:val="28"/>
          <w:shd w:val="clear" w:color="auto" w:fill="FFFFFF"/>
          <w:lang w:eastAsia="zh-CN"/>
        </w:rPr>
        <w:t>（组长）</w:t>
      </w:r>
      <w:r>
        <w:rPr>
          <w:rFonts w:hint="eastAsia" w:ascii="仿宋" w:hAnsi="仿宋" w:eastAsia="仿宋" w:cs="仿宋"/>
          <w:bCs/>
          <w:color w:val="333333"/>
          <w:kern w:val="0"/>
          <w:sz w:val="28"/>
          <w:szCs w:val="28"/>
          <w:shd w:val="clear" w:color="auto" w:fill="FFFFFF"/>
        </w:rPr>
        <w:t xml:space="preserve">、狄灿军 </w:t>
      </w:r>
      <w:r>
        <w:rPr>
          <w:rFonts w:hint="eastAsia" w:ascii="仿宋" w:hAnsi="仿宋" w:eastAsia="仿宋" w:cs="仿宋"/>
          <w:bCs/>
          <w:color w:val="333333"/>
          <w:kern w:val="0"/>
          <w:sz w:val="28"/>
          <w:szCs w:val="28"/>
          <w:shd w:val="clear" w:color="auto" w:fill="FFFFFF"/>
          <w:lang w:eastAsia="zh-CN"/>
        </w:rPr>
        <w:t>、</w:t>
      </w:r>
      <w:r>
        <w:rPr>
          <w:rFonts w:hint="eastAsia" w:ascii="仿宋" w:hAnsi="仿宋" w:eastAsia="仿宋" w:cs="仿宋"/>
          <w:bCs/>
          <w:color w:val="333333"/>
          <w:kern w:val="0"/>
          <w:sz w:val="28"/>
          <w:szCs w:val="28"/>
          <w:shd w:val="clear" w:color="auto" w:fill="FFFFFF"/>
        </w:rPr>
        <w:t>李辽斌</w:t>
      </w:r>
      <w:r>
        <w:rPr>
          <w:rFonts w:hint="eastAsia" w:ascii="仿宋" w:hAnsi="仿宋" w:eastAsia="仿宋" w:cs="仿宋"/>
          <w:color w:val="333333"/>
          <w:kern w:val="0"/>
          <w:sz w:val="28"/>
          <w:szCs w:val="28"/>
          <w:shd w:val="clear" w:color="auto" w:fill="FFFFFF"/>
        </w:rPr>
        <w:t>（采购人代表）。</w:t>
      </w:r>
      <w:r>
        <w:rPr>
          <w:rFonts w:hint="eastAsia" w:hAnsi="宋体"/>
        </w:rPr>
        <w:t xml:space="preserve"> </w:t>
      </w:r>
    </w:p>
    <w:p>
      <w:pPr>
        <w:spacing w:line="480" w:lineRule="exact"/>
        <w:rPr>
          <w:rFonts w:ascii="仿宋" w:hAnsi="仿宋" w:eastAsia="仿宋" w:cs="仿宋"/>
          <w:sz w:val="28"/>
          <w:szCs w:val="28"/>
        </w:rPr>
      </w:pPr>
      <w:r>
        <w:rPr>
          <w:rFonts w:hint="eastAsia" w:ascii="黑体" w:hAnsi="黑体" w:eastAsia="黑体" w:cs="黑体"/>
          <w:sz w:val="28"/>
          <w:szCs w:val="28"/>
        </w:rPr>
        <w:t>六、代理服务收费标准及金额：</w:t>
      </w:r>
      <w:r>
        <w:rPr>
          <w:rFonts w:hint="eastAsia" w:ascii="仿宋" w:hAnsi="仿宋" w:eastAsia="仿宋" w:cs="仿宋"/>
          <w:sz w:val="28"/>
          <w:szCs w:val="28"/>
        </w:rPr>
        <w:t>本项目招标代理服务收费标准参照计价格[2002]1980号《招标代理服务收费管理暂行办法》收费标准向中标单位收取。（不足人民币5000元的，按5000元收取）。由成交供应商在领取成交通知书前，向采购代理机构一次性支付 ，金额为：</w:t>
      </w:r>
      <w:r>
        <w:rPr>
          <w:rFonts w:hint="eastAsia" w:ascii="仿宋" w:hAnsi="仿宋" w:eastAsia="仿宋" w:cs="仿宋"/>
          <w:sz w:val="28"/>
          <w:szCs w:val="28"/>
          <w:lang w:eastAsia="zh-CN"/>
        </w:rPr>
        <w:t>伍仟</w:t>
      </w:r>
      <w:r>
        <w:rPr>
          <w:rFonts w:hint="eastAsia" w:ascii="仿宋" w:hAnsi="仿宋" w:eastAsia="仿宋" w:cs="仿宋"/>
          <w:sz w:val="28"/>
          <w:szCs w:val="28"/>
        </w:rPr>
        <w:t>元整（￥</w:t>
      </w:r>
      <w:r>
        <w:rPr>
          <w:rFonts w:hint="eastAsia" w:ascii="仿宋" w:hAnsi="仿宋" w:eastAsia="仿宋" w:cs="仿宋"/>
          <w:sz w:val="28"/>
          <w:szCs w:val="28"/>
          <w:lang w:val="en-US" w:eastAsia="zh-CN"/>
        </w:rPr>
        <w:t>5000</w:t>
      </w:r>
      <w:r>
        <w:rPr>
          <w:rFonts w:hint="eastAsia" w:ascii="仿宋" w:hAnsi="仿宋" w:eastAsia="仿宋" w:cs="仿宋"/>
          <w:sz w:val="28"/>
          <w:szCs w:val="28"/>
        </w:rPr>
        <w:t>.00）。</w:t>
      </w:r>
    </w:p>
    <w:p>
      <w:pPr>
        <w:spacing w:line="480" w:lineRule="exact"/>
        <w:rPr>
          <w:rFonts w:ascii="黑体" w:hAnsi="黑体" w:eastAsia="黑体"/>
          <w:sz w:val="28"/>
          <w:szCs w:val="28"/>
        </w:rPr>
      </w:pPr>
      <w:r>
        <w:rPr>
          <w:rFonts w:hint="eastAsia" w:ascii="黑体" w:hAnsi="黑体" w:eastAsia="黑体" w:cs="黑体"/>
          <w:sz w:val="28"/>
          <w:szCs w:val="28"/>
        </w:rPr>
        <w:t>七、公告期限</w:t>
      </w:r>
    </w:p>
    <w:p>
      <w:pPr>
        <w:spacing w:line="480" w:lineRule="exact"/>
        <w:ind w:firstLine="560" w:firstLineChars="200"/>
        <w:rPr>
          <w:rFonts w:ascii="仿宋" w:hAnsi="仿宋" w:eastAsia="仿宋"/>
          <w:kern w:val="0"/>
          <w:sz w:val="28"/>
          <w:szCs w:val="28"/>
        </w:rPr>
      </w:pPr>
      <w:r>
        <w:rPr>
          <w:rFonts w:hint="eastAsia" w:ascii="仿宋" w:hAnsi="仿宋" w:eastAsia="仿宋" w:cs="仿宋"/>
          <w:kern w:val="0"/>
          <w:sz w:val="28"/>
          <w:szCs w:val="28"/>
        </w:rPr>
        <w:t>自本公告发布之日起</w:t>
      </w:r>
      <w:r>
        <w:rPr>
          <w:rFonts w:ascii="仿宋" w:hAnsi="仿宋" w:eastAsia="仿宋" w:cs="仿宋"/>
          <w:kern w:val="0"/>
          <w:sz w:val="28"/>
          <w:szCs w:val="28"/>
        </w:rPr>
        <w:t>1</w:t>
      </w:r>
      <w:r>
        <w:rPr>
          <w:rFonts w:hint="eastAsia" w:ascii="仿宋" w:hAnsi="仿宋" w:eastAsia="仿宋" w:cs="仿宋"/>
          <w:kern w:val="0"/>
          <w:sz w:val="28"/>
          <w:szCs w:val="28"/>
        </w:rPr>
        <w:t>个工作日。</w:t>
      </w:r>
    </w:p>
    <w:p>
      <w:pPr>
        <w:spacing w:line="480" w:lineRule="exact"/>
        <w:rPr>
          <w:rFonts w:ascii="黑体" w:hAnsi="黑体" w:eastAsia="黑体"/>
          <w:sz w:val="28"/>
          <w:szCs w:val="28"/>
        </w:rPr>
      </w:pPr>
      <w:r>
        <w:rPr>
          <w:rFonts w:hint="eastAsia" w:ascii="黑体" w:hAnsi="黑体" w:eastAsia="黑体" w:cs="黑体"/>
          <w:sz w:val="28"/>
          <w:szCs w:val="28"/>
        </w:rPr>
        <w:t>八、其他补充事宜</w:t>
      </w:r>
    </w:p>
    <w:p>
      <w:pPr>
        <w:widowControl/>
        <w:shd w:val="clear" w:color="auto" w:fill="FFFFFF"/>
        <w:spacing w:line="480" w:lineRule="exact"/>
        <w:ind w:right="-29" w:firstLine="371"/>
        <w:jc w:val="left"/>
        <w:rPr>
          <w:rFonts w:ascii="仿宋" w:hAnsi="仿宋" w:eastAsia="仿宋"/>
          <w:color w:val="333333"/>
          <w:sz w:val="28"/>
          <w:szCs w:val="28"/>
        </w:rPr>
      </w:pPr>
      <w:r>
        <w:rPr>
          <w:rFonts w:ascii="仿宋" w:hAnsi="仿宋" w:eastAsia="仿宋" w:cs="仿宋"/>
          <w:color w:val="333333"/>
          <w:kern w:val="0"/>
          <w:sz w:val="28"/>
          <w:szCs w:val="28"/>
          <w:shd w:val="clear" w:color="auto" w:fill="FFFFFF"/>
        </w:rPr>
        <w:t>1</w:t>
      </w:r>
      <w:r>
        <w:rPr>
          <w:rFonts w:hint="eastAsia" w:ascii="仿宋" w:hAnsi="仿宋" w:eastAsia="仿宋" w:cs="仿宋"/>
          <w:color w:val="333333"/>
          <w:kern w:val="0"/>
          <w:sz w:val="28"/>
          <w:szCs w:val="28"/>
          <w:shd w:val="clear" w:color="auto" w:fill="FFFFFF"/>
        </w:rPr>
        <w:t>、未成交情况：</w:t>
      </w:r>
    </w:p>
    <w:tbl>
      <w:tblPr>
        <w:tblStyle w:val="18"/>
        <w:tblW w:w="8364"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15" w:type="dxa"/>
          <w:left w:w="15" w:type="dxa"/>
          <w:bottom w:w="15" w:type="dxa"/>
          <w:right w:w="15" w:type="dxa"/>
        </w:tblCellMar>
      </w:tblPr>
      <w:tblGrid>
        <w:gridCol w:w="4961"/>
        <w:gridCol w:w="2127"/>
        <w:gridCol w:w="1276"/>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419" w:hRule="atLeast"/>
          <w:jc w:val="center"/>
        </w:trPr>
        <w:tc>
          <w:tcPr>
            <w:tcW w:w="4961" w:type="dxa"/>
            <w:tcBorders>
              <w:top w:val="single" w:color="auto" w:sz="8" w:space="0"/>
              <w:left w:val="single" w:color="auto" w:sz="8" w:space="0"/>
              <w:bottom w:val="single" w:color="auto" w:sz="4" w:space="0"/>
              <w:right w:val="single" w:color="auto" w:sz="8" w:space="0"/>
            </w:tcBorders>
            <w:shd w:val="clear" w:color="auto" w:fill="FFFFFF"/>
            <w:tcMar>
              <w:top w:w="0" w:type="dxa"/>
              <w:left w:w="108" w:type="dxa"/>
              <w:bottom w:w="0" w:type="dxa"/>
              <w:right w:w="108" w:type="dxa"/>
            </w:tcMar>
            <w:vAlign w:val="center"/>
          </w:tcPr>
          <w:p>
            <w:pPr>
              <w:widowControl/>
              <w:spacing w:line="480" w:lineRule="exact"/>
              <w:jc w:val="center"/>
              <w:rPr>
                <w:rFonts w:ascii="仿宋" w:hAnsi="仿宋" w:eastAsia="仿宋"/>
                <w:sz w:val="28"/>
                <w:szCs w:val="28"/>
              </w:rPr>
            </w:pPr>
            <w:r>
              <w:rPr>
                <w:rFonts w:hint="eastAsia" w:ascii="仿宋" w:hAnsi="仿宋" w:eastAsia="仿宋" w:cs="仿宋"/>
                <w:color w:val="333333"/>
                <w:kern w:val="0"/>
                <w:sz w:val="28"/>
                <w:szCs w:val="28"/>
              </w:rPr>
              <w:t>未成交人名称</w:t>
            </w:r>
          </w:p>
        </w:tc>
        <w:tc>
          <w:tcPr>
            <w:tcW w:w="2127" w:type="dxa"/>
            <w:tcBorders>
              <w:top w:val="single" w:color="auto" w:sz="8" w:space="0"/>
              <w:left w:val="nil"/>
              <w:bottom w:val="single" w:color="auto" w:sz="4" w:space="0"/>
              <w:right w:val="single" w:color="auto" w:sz="8" w:space="0"/>
            </w:tcBorders>
            <w:shd w:val="clear" w:color="auto" w:fill="FFFFFF"/>
            <w:tcMar>
              <w:top w:w="0" w:type="dxa"/>
              <w:left w:w="108" w:type="dxa"/>
              <w:bottom w:w="0" w:type="dxa"/>
              <w:right w:w="108" w:type="dxa"/>
            </w:tcMar>
            <w:vAlign w:val="center"/>
          </w:tcPr>
          <w:p>
            <w:pPr>
              <w:widowControl/>
              <w:spacing w:line="480" w:lineRule="exact"/>
              <w:jc w:val="center"/>
              <w:rPr>
                <w:rFonts w:hint="eastAsia" w:ascii="仿宋" w:hAnsi="仿宋" w:eastAsia="仿宋"/>
                <w:sz w:val="28"/>
                <w:szCs w:val="28"/>
                <w:lang w:eastAsia="zh-CN"/>
              </w:rPr>
            </w:pPr>
            <w:r>
              <w:rPr>
                <w:rFonts w:hint="eastAsia" w:ascii="仿宋" w:hAnsi="仿宋" w:eastAsia="仿宋" w:cs="仿宋"/>
                <w:color w:val="333333"/>
                <w:kern w:val="0"/>
                <w:sz w:val="28"/>
                <w:szCs w:val="28"/>
                <w:lang w:eastAsia="zh-CN"/>
              </w:rPr>
              <w:t>得分</w:t>
            </w:r>
          </w:p>
        </w:tc>
        <w:tc>
          <w:tcPr>
            <w:tcW w:w="1276" w:type="dxa"/>
            <w:tcBorders>
              <w:top w:val="single" w:color="auto" w:sz="8" w:space="0"/>
              <w:left w:val="nil"/>
              <w:bottom w:val="single" w:color="auto" w:sz="4" w:space="0"/>
              <w:right w:val="single" w:color="auto" w:sz="8" w:space="0"/>
            </w:tcBorders>
            <w:shd w:val="clear" w:color="auto" w:fill="FFFFFF"/>
            <w:tcMar>
              <w:top w:w="0" w:type="dxa"/>
              <w:left w:w="108" w:type="dxa"/>
              <w:bottom w:w="0" w:type="dxa"/>
              <w:right w:w="108" w:type="dxa"/>
            </w:tcMar>
            <w:vAlign w:val="center"/>
          </w:tcPr>
          <w:p>
            <w:pPr>
              <w:widowControl/>
              <w:spacing w:line="480" w:lineRule="exact"/>
              <w:jc w:val="center"/>
              <w:rPr>
                <w:rFonts w:ascii="仿宋" w:hAnsi="仿宋" w:eastAsia="仿宋"/>
                <w:sz w:val="28"/>
                <w:szCs w:val="28"/>
              </w:rPr>
            </w:pPr>
            <w:r>
              <w:rPr>
                <w:rFonts w:hint="eastAsia" w:ascii="仿宋" w:hAnsi="仿宋" w:eastAsia="仿宋" w:cs="仿宋"/>
                <w:color w:val="333333"/>
                <w:kern w:val="0"/>
                <w:sz w:val="28"/>
                <w:szCs w:val="28"/>
              </w:rPr>
              <w:t>排序</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419" w:hRule="atLeast"/>
          <w:jc w:val="center"/>
        </w:trPr>
        <w:tc>
          <w:tcPr>
            <w:tcW w:w="4961" w:type="dxa"/>
            <w:tcBorders>
              <w:top w:val="single" w:color="auto" w:sz="8" w:space="0"/>
              <w:left w:val="single" w:color="auto" w:sz="8" w:space="0"/>
              <w:bottom w:val="single" w:color="auto" w:sz="4" w:space="0"/>
              <w:right w:val="single" w:color="auto" w:sz="8" w:space="0"/>
            </w:tcBorders>
            <w:shd w:val="clear" w:color="auto" w:fill="FFFFFF"/>
            <w:tcMar>
              <w:top w:w="0" w:type="dxa"/>
              <w:left w:w="108" w:type="dxa"/>
              <w:bottom w:w="0" w:type="dxa"/>
              <w:right w:w="108" w:type="dxa"/>
            </w:tcMar>
            <w:vAlign w:val="center"/>
          </w:tcPr>
          <w:p>
            <w:pPr>
              <w:spacing w:line="480" w:lineRule="exact"/>
              <w:jc w:val="center"/>
              <w:rPr>
                <w:rFonts w:ascii="仿宋" w:hAnsi="仿宋" w:eastAsia="仿宋" w:cs="宋体"/>
                <w:sz w:val="28"/>
                <w:szCs w:val="24"/>
              </w:rPr>
            </w:pPr>
            <w:r>
              <w:rPr>
                <w:rFonts w:hint="eastAsia" w:ascii="仿宋" w:hAnsi="仿宋" w:eastAsia="仿宋" w:cs="宋体"/>
                <w:sz w:val="28"/>
                <w:szCs w:val="24"/>
                <w:lang w:val="en-US" w:eastAsia="zh-CN"/>
              </w:rPr>
              <w:t>广西中兴建筑工程有限责任公司</w:t>
            </w:r>
          </w:p>
        </w:tc>
        <w:tc>
          <w:tcPr>
            <w:tcW w:w="2127" w:type="dxa"/>
            <w:tcBorders>
              <w:top w:val="single" w:color="auto" w:sz="8" w:space="0"/>
              <w:left w:val="nil"/>
              <w:bottom w:val="single" w:color="auto" w:sz="4" w:space="0"/>
              <w:right w:val="single" w:color="auto" w:sz="8" w:space="0"/>
            </w:tcBorders>
            <w:shd w:val="clear" w:color="auto" w:fill="FFFFFF"/>
            <w:tcMar>
              <w:top w:w="0" w:type="dxa"/>
              <w:left w:w="108" w:type="dxa"/>
              <w:bottom w:w="0" w:type="dxa"/>
              <w:right w:w="108" w:type="dxa"/>
            </w:tcMar>
            <w:vAlign w:val="center"/>
          </w:tcPr>
          <w:p>
            <w:pPr>
              <w:spacing w:line="480" w:lineRule="exact"/>
              <w:jc w:val="center"/>
              <w:rPr>
                <w:rFonts w:hint="eastAsia" w:ascii="仿宋" w:hAnsi="仿宋" w:eastAsia="仿宋" w:cs="宋体"/>
                <w:sz w:val="28"/>
                <w:szCs w:val="24"/>
                <w:lang w:val="en-US" w:eastAsia="zh-CN"/>
              </w:rPr>
            </w:pPr>
            <w:r>
              <w:rPr>
                <w:rFonts w:hint="eastAsia" w:ascii="仿宋" w:hAnsi="仿宋" w:eastAsia="仿宋" w:cs="宋体"/>
                <w:sz w:val="28"/>
                <w:szCs w:val="24"/>
                <w:lang w:val="en-US" w:eastAsia="zh-CN"/>
              </w:rPr>
              <w:t xml:space="preserve">57.24  </w:t>
            </w:r>
          </w:p>
        </w:tc>
        <w:tc>
          <w:tcPr>
            <w:tcW w:w="1276" w:type="dxa"/>
            <w:tcBorders>
              <w:top w:val="single" w:color="auto" w:sz="8" w:space="0"/>
              <w:left w:val="nil"/>
              <w:bottom w:val="single" w:color="auto" w:sz="4" w:space="0"/>
              <w:right w:val="single" w:color="auto" w:sz="8" w:space="0"/>
            </w:tcBorders>
            <w:shd w:val="clear" w:color="auto" w:fill="FFFFFF"/>
            <w:tcMar>
              <w:top w:w="0" w:type="dxa"/>
              <w:left w:w="108" w:type="dxa"/>
              <w:bottom w:w="0" w:type="dxa"/>
              <w:right w:w="108" w:type="dxa"/>
            </w:tcMar>
            <w:vAlign w:val="center"/>
          </w:tcPr>
          <w:p>
            <w:pPr>
              <w:widowControl/>
              <w:spacing w:line="480" w:lineRule="exact"/>
              <w:jc w:val="center"/>
              <w:rPr>
                <w:rFonts w:ascii="仿宋" w:hAnsi="仿宋" w:eastAsia="仿宋" w:cs="仿宋"/>
                <w:color w:val="333333"/>
                <w:kern w:val="0"/>
                <w:sz w:val="28"/>
                <w:szCs w:val="28"/>
              </w:rPr>
            </w:pPr>
            <w:r>
              <w:rPr>
                <w:rFonts w:hint="eastAsia" w:ascii="仿宋" w:hAnsi="仿宋" w:eastAsia="仿宋" w:cs="仿宋"/>
                <w:color w:val="333333"/>
                <w:kern w:val="0"/>
                <w:sz w:val="28"/>
                <w:szCs w:val="28"/>
              </w:rPr>
              <w:t>2</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419" w:hRule="atLeast"/>
          <w:jc w:val="center"/>
        </w:trPr>
        <w:tc>
          <w:tcPr>
            <w:tcW w:w="4961"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spacing w:line="480" w:lineRule="exact"/>
              <w:jc w:val="center"/>
              <w:rPr>
                <w:rFonts w:ascii="仿宋" w:hAnsi="仿宋" w:eastAsia="仿宋" w:cs="宋体"/>
                <w:sz w:val="28"/>
                <w:szCs w:val="24"/>
              </w:rPr>
            </w:pPr>
            <w:r>
              <w:rPr>
                <w:rFonts w:hint="eastAsia" w:ascii="仿宋" w:hAnsi="仿宋" w:eastAsia="仿宋" w:cs="宋体"/>
                <w:kern w:val="0"/>
                <w:sz w:val="28"/>
                <w:szCs w:val="24"/>
              </w:rPr>
              <w:t>广西太卫建设工程有限公司</w:t>
            </w:r>
          </w:p>
        </w:tc>
        <w:tc>
          <w:tcPr>
            <w:tcW w:w="2127"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spacing w:line="480" w:lineRule="exact"/>
              <w:jc w:val="center"/>
              <w:rPr>
                <w:rFonts w:hint="eastAsia" w:ascii="仿宋" w:hAnsi="仿宋" w:eastAsia="仿宋" w:cs="宋体"/>
                <w:sz w:val="28"/>
                <w:szCs w:val="24"/>
                <w:lang w:val="en-US" w:eastAsia="zh-CN"/>
              </w:rPr>
            </w:pPr>
            <w:r>
              <w:rPr>
                <w:rFonts w:hint="eastAsia" w:ascii="仿宋" w:hAnsi="仿宋" w:eastAsia="仿宋" w:cs="宋体"/>
                <w:sz w:val="28"/>
                <w:szCs w:val="24"/>
                <w:lang w:val="en-US" w:eastAsia="zh-CN"/>
              </w:rPr>
              <w:t xml:space="preserve">52.98 </w:t>
            </w:r>
          </w:p>
        </w:tc>
        <w:tc>
          <w:tcPr>
            <w:tcW w:w="1276"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widowControl/>
              <w:spacing w:line="480" w:lineRule="exact"/>
              <w:jc w:val="center"/>
              <w:rPr>
                <w:rFonts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3</w:t>
            </w:r>
          </w:p>
        </w:tc>
      </w:tr>
    </w:tbl>
    <w:p>
      <w:pPr>
        <w:widowControl/>
        <w:shd w:val="clear" w:color="auto" w:fill="FFFFFF"/>
        <w:spacing w:line="480" w:lineRule="exact"/>
        <w:ind w:right="-29" w:firstLine="560" w:firstLineChars="200"/>
        <w:jc w:val="left"/>
        <w:rPr>
          <w:rFonts w:ascii="仿宋" w:hAnsi="仿宋" w:eastAsia="仿宋"/>
          <w:color w:val="333333"/>
          <w:kern w:val="0"/>
          <w:sz w:val="28"/>
          <w:szCs w:val="28"/>
          <w:shd w:val="clear" w:color="auto" w:fill="FFFFFF"/>
        </w:rPr>
      </w:pPr>
      <w:r>
        <w:rPr>
          <w:rFonts w:ascii="仿宋" w:hAnsi="仿宋" w:eastAsia="仿宋" w:cs="仿宋"/>
          <w:color w:val="333333"/>
          <w:kern w:val="0"/>
          <w:sz w:val="28"/>
          <w:szCs w:val="28"/>
          <w:shd w:val="clear" w:color="auto" w:fill="FFFFFF"/>
        </w:rPr>
        <w:t>2</w:t>
      </w:r>
      <w:r>
        <w:rPr>
          <w:rFonts w:hint="eastAsia" w:ascii="仿宋" w:hAnsi="仿宋" w:eastAsia="仿宋" w:cs="仿宋"/>
          <w:color w:val="333333"/>
          <w:kern w:val="0"/>
          <w:sz w:val="28"/>
          <w:szCs w:val="28"/>
          <w:shd w:val="clear" w:color="auto" w:fill="FFFFFF"/>
        </w:rPr>
        <w:t>、未通过资格审查的竞标人情况：无。</w:t>
      </w:r>
    </w:p>
    <w:p>
      <w:pPr>
        <w:widowControl/>
        <w:shd w:val="clear" w:color="auto" w:fill="FFFFFF"/>
        <w:spacing w:line="480" w:lineRule="exact"/>
        <w:ind w:right="-29" w:firstLine="560" w:firstLineChars="200"/>
        <w:jc w:val="left"/>
        <w:rPr>
          <w:rFonts w:ascii="仿宋" w:hAnsi="仿宋" w:eastAsia="仿宋"/>
          <w:color w:val="333333"/>
          <w:kern w:val="0"/>
          <w:sz w:val="28"/>
          <w:szCs w:val="28"/>
          <w:shd w:val="clear" w:color="auto" w:fill="FFFFFF"/>
        </w:rPr>
      </w:pPr>
      <w:r>
        <w:rPr>
          <w:rFonts w:ascii="仿宋" w:hAnsi="仿宋" w:eastAsia="仿宋" w:cs="仿宋"/>
          <w:color w:val="333333"/>
          <w:kern w:val="0"/>
          <w:sz w:val="28"/>
          <w:szCs w:val="28"/>
          <w:shd w:val="clear" w:color="auto" w:fill="FFFFFF"/>
        </w:rPr>
        <w:t>3</w:t>
      </w:r>
      <w:r>
        <w:rPr>
          <w:rFonts w:hint="eastAsia" w:ascii="仿宋" w:hAnsi="仿宋" w:eastAsia="仿宋" w:cs="仿宋"/>
          <w:color w:val="333333"/>
          <w:kern w:val="0"/>
          <w:sz w:val="28"/>
          <w:szCs w:val="28"/>
          <w:shd w:val="clear" w:color="auto" w:fill="FFFFFF"/>
        </w:rPr>
        <w:t>、竞标人认为成交结果使自己的权益受到损害的，可以在成交结果公告期限届满之日起七个工作日内以书面形式向采购人或采购代理机构提出质疑，逾期将不再受理。</w:t>
      </w:r>
    </w:p>
    <w:p>
      <w:pPr>
        <w:pStyle w:val="37"/>
        <w:spacing w:line="480" w:lineRule="exact"/>
        <w:ind w:firstLine="560"/>
        <w:rPr>
          <w:rFonts w:ascii="仿宋" w:hAnsi="仿宋" w:eastAsia="仿宋"/>
          <w:color w:val="333333"/>
          <w:kern w:val="0"/>
          <w:sz w:val="28"/>
          <w:szCs w:val="28"/>
          <w:shd w:val="clear" w:color="auto" w:fill="FFFFFF"/>
        </w:rPr>
      </w:pPr>
      <w:r>
        <w:rPr>
          <w:rFonts w:ascii="仿宋" w:hAnsi="仿宋" w:eastAsia="仿宋" w:cs="仿宋"/>
          <w:color w:val="333333"/>
          <w:kern w:val="0"/>
          <w:sz w:val="28"/>
          <w:szCs w:val="28"/>
          <w:shd w:val="clear" w:color="auto" w:fill="FFFFFF"/>
        </w:rPr>
        <w:t>4</w:t>
      </w:r>
      <w:r>
        <w:rPr>
          <w:rFonts w:hint="eastAsia" w:ascii="仿宋" w:hAnsi="仿宋" w:eastAsia="仿宋" w:cs="仿宋"/>
          <w:color w:val="333333"/>
          <w:kern w:val="0"/>
          <w:sz w:val="28"/>
          <w:szCs w:val="28"/>
          <w:shd w:val="clear" w:color="auto" w:fill="FFFFFF"/>
        </w:rPr>
        <w:t>、信息公告发布媒体：</w:t>
      </w:r>
      <w:r>
        <w:fldChar w:fldCharType="begin"/>
      </w:r>
      <w:r>
        <w:instrText xml:space="preserve">HYPERLINK "http://www.ccgp.gov.cn/" \h</w:instrText>
      </w:r>
      <w:r>
        <w:fldChar w:fldCharType="separate"/>
      </w:r>
      <w:r>
        <w:rPr>
          <w:rFonts w:hint="eastAsia" w:ascii="仿宋" w:hAnsi="仿宋" w:eastAsia="仿宋" w:cs="仿宋"/>
          <w:color w:val="333333"/>
          <w:kern w:val="0"/>
          <w:sz w:val="28"/>
          <w:szCs w:val="28"/>
          <w:shd w:val="clear" w:color="auto" w:fill="FFFFFF"/>
        </w:rPr>
        <w:t>www.ccgp.gov.cn</w:t>
      </w:r>
      <w:r>
        <w:fldChar w:fldCharType="end"/>
      </w:r>
      <w:r>
        <w:rPr>
          <w:rFonts w:hint="eastAsia" w:ascii="仿宋" w:hAnsi="仿宋" w:eastAsia="仿宋" w:cs="仿宋"/>
          <w:color w:val="333333"/>
          <w:kern w:val="0"/>
          <w:sz w:val="28"/>
          <w:szCs w:val="28"/>
          <w:shd w:val="clear" w:color="auto" w:fill="FFFFFF"/>
        </w:rPr>
        <w:t>（中国政府采购网）、zfcg.gxzf.gov.cn（广西壮族自治区政府采购网）、http://gl.zfcg.zcygov.cn（桂林市政府采购网）、</w:t>
      </w:r>
      <w:r>
        <w:fldChar w:fldCharType="begin"/>
      </w:r>
      <w:r>
        <w:instrText xml:space="preserve"> HYPERLINK "http://www.glggzy.org.cn/" \h </w:instrText>
      </w:r>
      <w:r>
        <w:fldChar w:fldCharType="separate"/>
      </w:r>
      <w:r>
        <w:rPr>
          <w:rFonts w:hint="eastAsia" w:ascii="仿宋" w:hAnsi="仿宋" w:eastAsia="仿宋" w:cs="仿宋"/>
          <w:color w:val="333333"/>
          <w:kern w:val="0"/>
          <w:sz w:val="28"/>
          <w:szCs w:val="28"/>
          <w:shd w:val="clear" w:color="auto" w:fill="FFFFFF"/>
        </w:rPr>
        <w:t>www.glggzy.org.cn</w:t>
      </w:r>
      <w:r>
        <w:rPr>
          <w:rFonts w:hint="eastAsia" w:ascii="仿宋" w:hAnsi="仿宋" w:eastAsia="仿宋" w:cs="仿宋"/>
          <w:color w:val="333333"/>
          <w:kern w:val="0"/>
          <w:sz w:val="28"/>
          <w:szCs w:val="28"/>
          <w:shd w:val="clear" w:color="auto" w:fill="FFFFFF"/>
        </w:rPr>
        <w:fldChar w:fldCharType="end"/>
      </w:r>
      <w:r>
        <w:rPr>
          <w:rFonts w:hint="eastAsia" w:ascii="仿宋" w:hAnsi="仿宋" w:eastAsia="仿宋" w:cs="仿宋"/>
          <w:color w:val="333333"/>
          <w:kern w:val="0"/>
          <w:sz w:val="28"/>
          <w:szCs w:val="28"/>
          <w:shd w:val="clear" w:color="auto" w:fill="FFFFFF"/>
        </w:rPr>
        <w:t>（桂林市公共资源交易中心网）。</w:t>
      </w:r>
    </w:p>
    <w:p>
      <w:pPr>
        <w:pStyle w:val="16"/>
        <w:shd w:val="clear" w:color="auto" w:fill="FFFFFF"/>
        <w:spacing w:beforeAutospacing="0" w:afterAutospacing="0" w:line="480" w:lineRule="exact"/>
        <w:rPr>
          <w:rFonts w:ascii="黑体" w:hAnsi="黑体" w:eastAsia="黑体" w:cs="Times New Roman"/>
          <w:kern w:val="2"/>
          <w:sz w:val="28"/>
          <w:szCs w:val="28"/>
        </w:rPr>
      </w:pPr>
      <w:r>
        <w:rPr>
          <w:rFonts w:hint="eastAsia" w:ascii="黑体" w:hAnsi="黑体" w:eastAsia="黑体" w:cs="黑体"/>
          <w:kern w:val="2"/>
          <w:sz w:val="28"/>
          <w:szCs w:val="28"/>
        </w:rPr>
        <w:t>九、凡对本次公告内容提出询问，请按以下方式联系。</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1.采购人信息</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 xml:space="preserve">名 称：桂林高新技术产业建设开发总公司  </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 xml:space="preserve">地址：桂林市七星区骖鸾路26号  </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 xml:space="preserve">联系方式：0773-7796255  </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2.采购代理机构信息</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名 称：广西广申工程项目管理有限公司</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地　址：桂林市七星区信息产业园华业大厦一楼</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联系方式：0773-7599573</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3.项目联系方式</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项目联系人：李岚</w:t>
      </w:r>
    </w:p>
    <w:p>
      <w:pPr>
        <w:widowControl/>
        <w:shd w:val="clear" w:color="auto" w:fill="FFFFFF"/>
        <w:spacing w:line="480" w:lineRule="exact"/>
        <w:ind w:right="-29" w:firstLine="560" w:firstLineChars="200"/>
        <w:jc w:val="left"/>
        <w:rPr>
          <w:rFonts w:hint="eastAsia" w:ascii="仿宋" w:hAnsi="仿宋" w:eastAsia="仿宋" w:cs="仿宋"/>
          <w:color w:val="333333"/>
          <w:kern w:val="0"/>
          <w:sz w:val="28"/>
          <w:szCs w:val="28"/>
          <w:shd w:val="clear" w:color="auto" w:fill="FFFFFF"/>
        </w:rPr>
      </w:pPr>
      <w:r>
        <w:rPr>
          <w:rFonts w:hint="eastAsia" w:ascii="仿宋" w:hAnsi="仿宋" w:eastAsia="仿宋" w:cs="仿宋"/>
          <w:color w:val="333333"/>
          <w:kern w:val="0"/>
          <w:sz w:val="28"/>
          <w:szCs w:val="28"/>
          <w:shd w:val="clear" w:color="auto" w:fill="FFFFFF"/>
        </w:rPr>
        <w:t>电　话：0773-7599573</w:t>
      </w:r>
    </w:p>
    <w:p>
      <w:pPr>
        <w:pStyle w:val="23"/>
        <w:spacing w:line="480" w:lineRule="exact"/>
        <w:rPr>
          <w:rFonts w:ascii="仿宋" w:hAnsi="仿宋" w:eastAsia="仿宋"/>
          <w:color w:val="333333"/>
          <w:kern w:val="0"/>
          <w:sz w:val="28"/>
          <w:szCs w:val="28"/>
          <w:shd w:val="clear" w:color="auto" w:fill="FFFFFF"/>
        </w:rPr>
      </w:pPr>
    </w:p>
    <w:p>
      <w:pPr>
        <w:spacing w:line="480" w:lineRule="exact"/>
        <w:rPr>
          <w:rFonts w:ascii="仿宋" w:hAnsi="仿宋" w:eastAsia="仿宋" w:cs="仿宋"/>
          <w:color w:val="333333"/>
          <w:kern w:val="0"/>
          <w:sz w:val="28"/>
          <w:szCs w:val="28"/>
          <w:shd w:val="clear" w:color="auto" w:fill="FFFFFF"/>
        </w:rPr>
      </w:pPr>
      <w:r>
        <w:rPr>
          <w:rFonts w:ascii="仿宋" w:hAnsi="仿宋" w:eastAsia="仿宋" w:cs="仿宋"/>
          <w:color w:val="333333"/>
          <w:kern w:val="0"/>
          <w:sz w:val="28"/>
          <w:szCs w:val="28"/>
          <w:shd w:val="clear" w:color="auto" w:fill="FFFFFF"/>
        </w:rPr>
        <w:t xml:space="preserve">                        </w:t>
      </w:r>
    </w:p>
    <w:p>
      <w:pPr>
        <w:spacing w:line="480" w:lineRule="exact"/>
        <w:ind w:firstLine="3220" w:firstLineChars="1150"/>
        <w:rPr>
          <w:rFonts w:ascii="仿宋" w:hAnsi="仿宋" w:eastAsia="仿宋"/>
          <w:color w:val="333333"/>
          <w:kern w:val="0"/>
          <w:sz w:val="28"/>
          <w:szCs w:val="28"/>
          <w:shd w:val="clear" w:color="auto" w:fill="FFFFFF"/>
        </w:rPr>
      </w:pP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 xml:space="preserve">      </w:t>
      </w: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广西广申工程项目管理有限公司</w:t>
      </w:r>
    </w:p>
    <w:p>
      <w:pPr>
        <w:spacing w:line="480" w:lineRule="exact"/>
        <w:rPr>
          <w:rFonts w:ascii="仿宋" w:hAnsi="仿宋" w:eastAsia="仿宋"/>
          <w:color w:val="333333"/>
          <w:kern w:val="0"/>
          <w:sz w:val="28"/>
          <w:szCs w:val="28"/>
          <w:shd w:val="clear" w:color="auto" w:fill="FFFFFF"/>
        </w:rPr>
      </w:pP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 xml:space="preserve">        </w:t>
      </w:r>
      <w:r>
        <w:rPr>
          <w:rFonts w:ascii="仿宋" w:hAnsi="仿宋" w:eastAsia="仿宋" w:cs="仿宋"/>
          <w:color w:val="333333"/>
          <w:kern w:val="0"/>
          <w:sz w:val="28"/>
          <w:szCs w:val="28"/>
          <w:shd w:val="clear" w:color="auto" w:fill="FFFFFF"/>
        </w:rPr>
        <w:t xml:space="preserve"> </w:t>
      </w:r>
      <w:r>
        <w:rPr>
          <w:rFonts w:hint="eastAsia" w:ascii="仿宋" w:hAnsi="仿宋" w:eastAsia="仿宋" w:cs="仿宋"/>
          <w:color w:val="333333"/>
          <w:kern w:val="0"/>
          <w:sz w:val="28"/>
          <w:szCs w:val="28"/>
          <w:shd w:val="clear" w:color="auto" w:fill="FFFFFF"/>
        </w:rPr>
        <w:t xml:space="preserve">   </w:t>
      </w:r>
      <w:r>
        <w:rPr>
          <w:rFonts w:ascii="仿宋" w:hAnsi="仿宋" w:eastAsia="仿宋" w:cs="仿宋"/>
          <w:color w:val="333333"/>
          <w:kern w:val="0"/>
          <w:sz w:val="28"/>
          <w:szCs w:val="28"/>
          <w:shd w:val="clear" w:color="auto" w:fill="FFFFFF"/>
        </w:rPr>
        <w:t xml:space="preserve">      202</w:t>
      </w:r>
      <w:r>
        <w:rPr>
          <w:rFonts w:hint="eastAsia" w:ascii="仿宋" w:hAnsi="仿宋" w:eastAsia="仿宋" w:cs="仿宋"/>
          <w:color w:val="333333"/>
          <w:kern w:val="0"/>
          <w:sz w:val="28"/>
          <w:szCs w:val="28"/>
          <w:shd w:val="clear" w:color="auto" w:fill="FFFFFF"/>
        </w:rPr>
        <w:t>1年4月</w:t>
      </w:r>
      <w:r>
        <w:rPr>
          <w:rFonts w:hint="eastAsia" w:ascii="仿宋" w:hAnsi="仿宋" w:eastAsia="仿宋" w:cs="仿宋"/>
          <w:color w:val="333333"/>
          <w:kern w:val="0"/>
          <w:sz w:val="28"/>
          <w:szCs w:val="28"/>
          <w:shd w:val="clear" w:color="auto" w:fill="FFFFFF"/>
          <w:lang w:val="en-US" w:eastAsia="zh-CN"/>
        </w:rPr>
        <w:t>18</w:t>
      </w:r>
      <w:r>
        <w:rPr>
          <w:rFonts w:hint="eastAsia" w:ascii="仿宋" w:hAnsi="仿宋" w:eastAsia="仿宋" w:cs="仿宋"/>
          <w:color w:val="333333"/>
          <w:kern w:val="0"/>
          <w:sz w:val="28"/>
          <w:szCs w:val="28"/>
          <w:shd w:val="clear" w:color="auto" w:fill="FFFFFF"/>
        </w:rPr>
        <w:t>日</w:t>
      </w:r>
      <w:bookmarkEnd w:id="0"/>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fldChar w:fldCharType="begin"/>
    </w:r>
    <w:r>
      <w:instrText xml:space="preserve">PAGE   \* MERGEFORMAT</w:instrText>
    </w:r>
    <w:r>
      <w:fldChar w:fldCharType="separate"/>
    </w:r>
    <w:r>
      <w:rPr>
        <w:lang w:val="zh-CN"/>
      </w:rPr>
      <w:t>2</w:t>
    </w:r>
    <w:r>
      <w:rPr>
        <w:lang w:val="zh-CN"/>
      </w:rPr>
      <w:fldChar w:fldCharType="end"/>
    </w:r>
  </w:p>
  <w:p>
    <w:pPr>
      <w:pStyle w:val="11"/>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4094"/>
    <w:rsid w:val="000312DE"/>
    <w:rsid w:val="0005737B"/>
    <w:rsid w:val="000726D8"/>
    <w:rsid w:val="000A6769"/>
    <w:rsid w:val="000B31F3"/>
    <w:rsid w:val="000D3B95"/>
    <w:rsid w:val="000D5040"/>
    <w:rsid w:val="000D6508"/>
    <w:rsid w:val="000D6BB6"/>
    <w:rsid w:val="000F3A1F"/>
    <w:rsid w:val="00105A8F"/>
    <w:rsid w:val="00110BD8"/>
    <w:rsid w:val="00151C8B"/>
    <w:rsid w:val="00172663"/>
    <w:rsid w:val="002030C7"/>
    <w:rsid w:val="00207EE4"/>
    <w:rsid w:val="002334B7"/>
    <w:rsid w:val="00244094"/>
    <w:rsid w:val="00246690"/>
    <w:rsid w:val="0027297C"/>
    <w:rsid w:val="002C5871"/>
    <w:rsid w:val="002F3070"/>
    <w:rsid w:val="002F4172"/>
    <w:rsid w:val="00322E12"/>
    <w:rsid w:val="003C4995"/>
    <w:rsid w:val="003D04C7"/>
    <w:rsid w:val="00430D5D"/>
    <w:rsid w:val="004363DA"/>
    <w:rsid w:val="00445621"/>
    <w:rsid w:val="00451D59"/>
    <w:rsid w:val="004A3BF4"/>
    <w:rsid w:val="004B0417"/>
    <w:rsid w:val="004F0CA3"/>
    <w:rsid w:val="004F449A"/>
    <w:rsid w:val="00536D38"/>
    <w:rsid w:val="005902A4"/>
    <w:rsid w:val="005B4EBF"/>
    <w:rsid w:val="005E3066"/>
    <w:rsid w:val="00612BEA"/>
    <w:rsid w:val="006373AC"/>
    <w:rsid w:val="006417DE"/>
    <w:rsid w:val="00650BC6"/>
    <w:rsid w:val="00676C22"/>
    <w:rsid w:val="00677DB1"/>
    <w:rsid w:val="006939FC"/>
    <w:rsid w:val="00694DFE"/>
    <w:rsid w:val="006A309B"/>
    <w:rsid w:val="006C66D5"/>
    <w:rsid w:val="006C734D"/>
    <w:rsid w:val="006E11AC"/>
    <w:rsid w:val="006E51C8"/>
    <w:rsid w:val="00766C4C"/>
    <w:rsid w:val="00786D53"/>
    <w:rsid w:val="00787581"/>
    <w:rsid w:val="0079663A"/>
    <w:rsid w:val="007A00F8"/>
    <w:rsid w:val="007E2D83"/>
    <w:rsid w:val="007E7A57"/>
    <w:rsid w:val="007F69EF"/>
    <w:rsid w:val="0080774A"/>
    <w:rsid w:val="008269FB"/>
    <w:rsid w:val="00877C6E"/>
    <w:rsid w:val="008974EE"/>
    <w:rsid w:val="008A1192"/>
    <w:rsid w:val="008A2FE7"/>
    <w:rsid w:val="0090581E"/>
    <w:rsid w:val="0095091C"/>
    <w:rsid w:val="00966F02"/>
    <w:rsid w:val="009747F2"/>
    <w:rsid w:val="009A15C7"/>
    <w:rsid w:val="00A042F4"/>
    <w:rsid w:val="00A30F31"/>
    <w:rsid w:val="00A3374C"/>
    <w:rsid w:val="00A46AE0"/>
    <w:rsid w:val="00A60A78"/>
    <w:rsid w:val="00A61D99"/>
    <w:rsid w:val="00A75E57"/>
    <w:rsid w:val="00B12205"/>
    <w:rsid w:val="00B23E38"/>
    <w:rsid w:val="00B743A7"/>
    <w:rsid w:val="00BB63FD"/>
    <w:rsid w:val="00BC7C5C"/>
    <w:rsid w:val="00BF4637"/>
    <w:rsid w:val="00BF5B24"/>
    <w:rsid w:val="00C3394F"/>
    <w:rsid w:val="00C37A88"/>
    <w:rsid w:val="00C52F06"/>
    <w:rsid w:val="00C61BBE"/>
    <w:rsid w:val="00C620D4"/>
    <w:rsid w:val="00C64CD0"/>
    <w:rsid w:val="00C95981"/>
    <w:rsid w:val="00CA0C67"/>
    <w:rsid w:val="00CD1E74"/>
    <w:rsid w:val="00CE6DC4"/>
    <w:rsid w:val="00D00A1D"/>
    <w:rsid w:val="00D26832"/>
    <w:rsid w:val="00D65BF9"/>
    <w:rsid w:val="00D66E13"/>
    <w:rsid w:val="00DA7067"/>
    <w:rsid w:val="00DA7BA1"/>
    <w:rsid w:val="00DC09FA"/>
    <w:rsid w:val="00DD7D96"/>
    <w:rsid w:val="00E34930"/>
    <w:rsid w:val="00E457B7"/>
    <w:rsid w:val="00E5785F"/>
    <w:rsid w:val="00E702D6"/>
    <w:rsid w:val="00E75E92"/>
    <w:rsid w:val="00E96890"/>
    <w:rsid w:val="00ED7C2A"/>
    <w:rsid w:val="00EE3266"/>
    <w:rsid w:val="00F53A4B"/>
    <w:rsid w:val="00F723F0"/>
    <w:rsid w:val="03172558"/>
    <w:rsid w:val="06670882"/>
    <w:rsid w:val="085C5005"/>
    <w:rsid w:val="0A4763F1"/>
    <w:rsid w:val="0AAE3946"/>
    <w:rsid w:val="132A7EDA"/>
    <w:rsid w:val="13B714FC"/>
    <w:rsid w:val="16FE4E08"/>
    <w:rsid w:val="18A93F1E"/>
    <w:rsid w:val="19FD65A5"/>
    <w:rsid w:val="20490EE4"/>
    <w:rsid w:val="20A00827"/>
    <w:rsid w:val="217C6D52"/>
    <w:rsid w:val="230B1EC1"/>
    <w:rsid w:val="234A7260"/>
    <w:rsid w:val="240D44A1"/>
    <w:rsid w:val="2596561B"/>
    <w:rsid w:val="2AE530CC"/>
    <w:rsid w:val="2BC06741"/>
    <w:rsid w:val="2C4718C9"/>
    <w:rsid w:val="31D51E9D"/>
    <w:rsid w:val="32C863F3"/>
    <w:rsid w:val="33BC6D86"/>
    <w:rsid w:val="3581386F"/>
    <w:rsid w:val="36DB2378"/>
    <w:rsid w:val="36F47371"/>
    <w:rsid w:val="37C301DE"/>
    <w:rsid w:val="38BD7AAD"/>
    <w:rsid w:val="3C0F7DA3"/>
    <w:rsid w:val="437701EB"/>
    <w:rsid w:val="43B5491E"/>
    <w:rsid w:val="43B66560"/>
    <w:rsid w:val="487037BF"/>
    <w:rsid w:val="4C166143"/>
    <w:rsid w:val="4CEF7840"/>
    <w:rsid w:val="4D656887"/>
    <w:rsid w:val="53B62141"/>
    <w:rsid w:val="56154919"/>
    <w:rsid w:val="57B86B8D"/>
    <w:rsid w:val="58091D6C"/>
    <w:rsid w:val="59E102DF"/>
    <w:rsid w:val="5A2379BE"/>
    <w:rsid w:val="62831F09"/>
    <w:rsid w:val="637D1596"/>
    <w:rsid w:val="697B1E9D"/>
    <w:rsid w:val="6A682C9F"/>
    <w:rsid w:val="6C417675"/>
    <w:rsid w:val="70037AAE"/>
    <w:rsid w:val="74217B9B"/>
    <w:rsid w:val="74754736"/>
    <w:rsid w:val="7D9329A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qFormat="1" w:unhideWhenUsed="0" w:uiPriority="99" w:semiHidden="0" w:name="Body Text"/>
    <w:lsdException w:qFormat="1" w:unhideWhenUsed="0" w:uiPriority="99"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qFormat="1" w:unhideWhenUsed="0" w:uiPriority="99" w:semiHidden="0" w:name="Body Text 2"/>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24"/>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25"/>
    <w:qFormat/>
    <w:uiPriority w:val="99"/>
    <w:pPr>
      <w:keepNext/>
      <w:keepLines/>
      <w:spacing w:before="260" w:after="260" w:line="415" w:lineRule="auto"/>
      <w:outlineLvl w:val="1"/>
    </w:pPr>
    <w:rPr>
      <w:rFonts w:ascii="Arial" w:hAnsi="Arial" w:eastAsia="黑体" w:cs="Arial"/>
      <w:b/>
      <w:bCs/>
      <w:sz w:val="32"/>
      <w:szCs w:val="32"/>
    </w:rPr>
  </w:style>
  <w:style w:type="character" w:default="1" w:styleId="20">
    <w:name w:val="Default Paragraph Font"/>
    <w:semiHidden/>
    <w:unhideWhenUsed/>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6"/>
    <w:qFormat/>
    <w:uiPriority w:val="99"/>
    <w:pPr>
      <w:spacing w:line="380" w:lineRule="exact"/>
    </w:pPr>
    <w:rPr>
      <w:sz w:val="24"/>
      <w:szCs w:val="24"/>
    </w:rPr>
  </w:style>
  <w:style w:type="paragraph" w:styleId="5">
    <w:name w:val="annotation text"/>
    <w:basedOn w:val="1"/>
    <w:link w:val="27"/>
    <w:semiHidden/>
    <w:qFormat/>
    <w:uiPriority w:val="99"/>
    <w:pPr>
      <w:jc w:val="left"/>
    </w:pPr>
  </w:style>
  <w:style w:type="paragraph" w:styleId="6">
    <w:name w:val="Body Text Indent"/>
    <w:basedOn w:val="1"/>
    <w:link w:val="28"/>
    <w:semiHidden/>
    <w:qFormat/>
    <w:uiPriority w:val="99"/>
    <w:pPr>
      <w:spacing w:line="540" w:lineRule="exact"/>
      <w:ind w:left="-17" w:firstLine="517"/>
    </w:pPr>
    <w:rPr>
      <w:rFonts w:ascii="宋体" w:hAnsi="宋体" w:cs="宋体"/>
      <w:color w:val="FF0000"/>
      <w:kern w:val="0"/>
      <w:sz w:val="24"/>
      <w:szCs w:val="24"/>
    </w:rPr>
  </w:style>
  <w:style w:type="paragraph" w:styleId="7">
    <w:name w:val="toc 3"/>
    <w:basedOn w:val="1"/>
    <w:next w:val="1"/>
    <w:semiHidden/>
    <w:qFormat/>
    <w:uiPriority w:val="99"/>
    <w:pPr>
      <w:widowControl/>
      <w:spacing w:after="100" w:line="259" w:lineRule="auto"/>
      <w:ind w:left="440"/>
      <w:jc w:val="left"/>
    </w:pPr>
    <w:rPr>
      <w:rFonts w:ascii="Calibri" w:hAnsi="Calibri" w:cs="Calibri"/>
      <w:kern w:val="0"/>
      <w:sz w:val="22"/>
      <w:szCs w:val="22"/>
    </w:rPr>
  </w:style>
  <w:style w:type="paragraph" w:styleId="8">
    <w:name w:val="Plain Text"/>
    <w:basedOn w:val="1"/>
    <w:link w:val="29"/>
    <w:qFormat/>
    <w:uiPriority w:val="99"/>
    <w:rPr>
      <w:rFonts w:ascii="宋体" w:hAnsi="Courier New" w:cs="宋体"/>
    </w:rPr>
  </w:style>
  <w:style w:type="paragraph" w:styleId="9">
    <w:name w:val="Date"/>
    <w:basedOn w:val="1"/>
    <w:next w:val="1"/>
    <w:link w:val="30"/>
    <w:qFormat/>
    <w:uiPriority w:val="99"/>
    <w:pPr>
      <w:adjustRightInd w:val="0"/>
      <w:spacing w:line="360" w:lineRule="atLeast"/>
      <w:textAlignment w:val="baseline"/>
    </w:pPr>
    <w:rPr>
      <w:rFonts w:ascii="宋体" w:cs="宋体"/>
      <w:kern w:val="0"/>
      <w:sz w:val="24"/>
      <w:szCs w:val="24"/>
    </w:rPr>
  </w:style>
  <w:style w:type="paragraph" w:styleId="10">
    <w:name w:val="Balloon Text"/>
    <w:basedOn w:val="1"/>
    <w:link w:val="31"/>
    <w:semiHidden/>
    <w:qFormat/>
    <w:uiPriority w:val="99"/>
    <w:rPr>
      <w:sz w:val="18"/>
      <w:szCs w:val="18"/>
    </w:rPr>
  </w:style>
  <w:style w:type="paragraph" w:styleId="11">
    <w:name w:val="footer"/>
    <w:basedOn w:val="1"/>
    <w:link w:val="32"/>
    <w:qFormat/>
    <w:uiPriority w:val="99"/>
    <w:pPr>
      <w:tabs>
        <w:tab w:val="center" w:pos="4153"/>
        <w:tab w:val="right" w:pos="8306"/>
      </w:tabs>
      <w:snapToGrid w:val="0"/>
      <w:jc w:val="left"/>
    </w:pPr>
    <w:rPr>
      <w:sz w:val="18"/>
      <w:szCs w:val="18"/>
    </w:rPr>
  </w:style>
  <w:style w:type="paragraph" w:styleId="12">
    <w:name w:val="header"/>
    <w:basedOn w:val="1"/>
    <w:link w:val="33"/>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semiHidden/>
    <w:qFormat/>
    <w:uiPriority w:val="99"/>
    <w:pPr>
      <w:widowControl/>
      <w:spacing w:after="100" w:line="259" w:lineRule="auto"/>
      <w:jc w:val="left"/>
    </w:pPr>
    <w:rPr>
      <w:rFonts w:ascii="Calibri" w:hAnsi="Calibri" w:cs="Calibri"/>
      <w:kern w:val="0"/>
      <w:sz w:val="22"/>
      <w:szCs w:val="22"/>
    </w:rPr>
  </w:style>
  <w:style w:type="paragraph" w:styleId="14">
    <w:name w:val="toc 2"/>
    <w:basedOn w:val="1"/>
    <w:next w:val="1"/>
    <w:semiHidden/>
    <w:qFormat/>
    <w:uiPriority w:val="99"/>
    <w:pPr>
      <w:widowControl/>
      <w:spacing w:after="100" w:line="259" w:lineRule="auto"/>
      <w:ind w:left="220"/>
      <w:jc w:val="left"/>
    </w:pPr>
    <w:rPr>
      <w:rFonts w:ascii="Calibri" w:hAnsi="Calibri" w:cs="Calibri"/>
      <w:kern w:val="0"/>
      <w:sz w:val="22"/>
      <w:szCs w:val="22"/>
    </w:rPr>
  </w:style>
  <w:style w:type="paragraph" w:styleId="15">
    <w:name w:val="Body Text 2"/>
    <w:basedOn w:val="1"/>
    <w:link w:val="34"/>
    <w:qFormat/>
    <w:uiPriority w:val="99"/>
    <w:pPr>
      <w:spacing w:after="120" w:line="480" w:lineRule="auto"/>
    </w:pPr>
  </w:style>
  <w:style w:type="paragraph" w:styleId="16">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7">
    <w:name w:val="annotation subject"/>
    <w:basedOn w:val="5"/>
    <w:next w:val="5"/>
    <w:link w:val="35"/>
    <w:semiHidden/>
    <w:qFormat/>
    <w:uiPriority w:val="99"/>
    <w:rPr>
      <w:b/>
      <w:bCs/>
    </w:rPr>
  </w:style>
  <w:style w:type="table" w:styleId="19">
    <w:name w:val="Table Grid"/>
    <w:basedOn w:val="18"/>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Hyperlink"/>
    <w:basedOn w:val="20"/>
    <w:qFormat/>
    <w:uiPriority w:val="99"/>
    <w:rPr>
      <w:color w:val="0000FF"/>
      <w:u w:val="single"/>
    </w:rPr>
  </w:style>
  <w:style w:type="character" w:styleId="22">
    <w:name w:val="annotation reference"/>
    <w:basedOn w:val="20"/>
    <w:semiHidden/>
    <w:qFormat/>
    <w:uiPriority w:val="99"/>
    <w:rPr>
      <w:sz w:val="21"/>
      <w:szCs w:val="21"/>
    </w:rPr>
  </w:style>
  <w:style w:type="paragraph" w:customStyle="1" w:styleId="23">
    <w:name w:val="表格文字"/>
    <w:basedOn w:val="1"/>
    <w:next w:val="2"/>
    <w:qFormat/>
    <w:uiPriority w:val="99"/>
    <w:pPr>
      <w:adjustRightInd w:val="0"/>
      <w:spacing w:line="420" w:lineRule="atLeast"/>
      <w:jc w:val="left"/>
      <w:textAlignment w:val="baseline"/>
    </w:pPr>
  </w:style>
  <w:style w:type="character" w:customStyle="1" w:styleId="24">
    <w:name w:val="标题 1 Char"/>
    <w:basedOn w:val="20"/>
    <w:link w:val="3"/>
    <w:qFormat/>
    <w:locked/>
    <w:uiPriority w:val="99"/>
    <w:rPr>
      <w:rFonts w:ascii="Times New Roman" w:hAnsi="Times New Roman" w:eastAsia="宋体" w:cs="Times New Roman"/>
      <w:b/>
      <w:bCs/>
      <w:kern w:val="44"/>
      <w:sz w:val="44"/>
      <w:szCs w:val="44"/>
    </w:rPr>
  </w:style>
  <w:style w:type="character" w:customStyle="1" w:styleId="25">
    <w:name w:val="标题 2 Char"/>
    <w:basedOn w:val="20"/>
    <w:link w:val="4"/>
    <w:qFormat/>
    <w:locked/>
    <w:uiPriority w:val="99"/>
    <w:rPr>
      <w:rFonts w:ascii="Arial" w:hAnsi="Arial" w:eastAsia="黑体" w:cs="Arial"/>
      <w:b/>
      <w:bCs/>
      <w:sz w:val="32"/>
      <w:szCs w:val="32"/>
    </w:rPr>
  </w:style>
  <w:style w:type="character" w:customStyle="1" w:styleId="26">
    <w:name w:val="正文文本 Char"/>
    <w:basedOn w:val="20"/>
    <w:link w:val="2"/>
    <w:semiHidden/>
    <w:qFormat/>
    <w:locked/>
    <w:uiPriority w:val="99"/>
    <w:rPr>
      <w:sz w:val="21"/>
      <w:szCs w:val="21"/>
    </w:rPr>
  </w:style>
  <w:style w:type="character" w:customStyle="1" w:styleId="27">
    <w:name w:val="批注文字 Char"/>
    <w:basedOn w:val="20"/>
    <w:link w:val="5"/>
    <w:semiHidden/>
    <w:qFormat/>
    <w:locked/>
    <w:uiPriority w:val="99"/>
    <w:rPr>
      <w:rFonts w:ascii="Times New Roman" w:hAnsi="Times New Roman" w:eastAsia="宋体" w:cs="Times New Roman"/>
      <w:sz w:val="21"/>
      <w:szCs w:val="21"/>
    </w:rPr>
  </w:style>
  <w:style w:type="character" w:customStyle="1" w:styleId="28">
    <w:name w:val="正文文本缩进 Char"/>
    <w:basedOn w:val="20"/>
    <w:link w:val="6"/>
    <w:qFormat/>
    <w:locked/>
    <w:uiPriority w:val="99"/>
    <w:rPr>
      <w:rFonts w:ascii="宋体" w:hAnsi="宋体" w:eastAsia="宋体" w:cs="宋体"/>
      <w:color w:val="FF0000"/>
      <w:sz w:val="24"/>
      <w:szCs w:val="24"/>
    </w:rPr>
  </w:style>
  <w:style w:type="character" w:customStyle="1" w:styleId="29">
    <w:name w:val="纯文本 Char"/>
    <w:basedOn w:val="20"/>
    <w:link w:val="8"/>
    <w:qFormat/>
    <w:locked/>
    <w:uiPriority w:val="99"/>
    <w:rPr>
      <w:rFonts w:ascii="宋体" w:hAnsi="Courier New" w:cs="宋体"/>
    </w:rPr>
  </w:style>
  <w:style w:type="character" w:customStyle="1" w:styleId="30">
    <w:name w:val="日期 Char"/>
    <w:basedOn w:val="20"/>
    <w:link w:val="9"/>
    <w:qFormat/>
    <w:locked/>
    <w:uiPriority w:val="99"/>
    <w:rPr>
      <w:rFonts w:ascii="宋体" w:hAnsi="Times New Roman" w:eastAsia="宋体" w:cs="宋体"/>
      <w:kern w:val="0"/>
      <w:sz w:val="24"/>
      <w:szCs w:val="24"/>
    </w:rPr>
  </w:style>
  <w:style w:type="character" w:customStyle="1" w:styleId="31">
    <w:name w:val="批注框文本 Char"/>
    <w:basedOn w:val="20"/>
    <w:link w:val="10"/>
    <w:semiHidden/>
    <w:qFormat/>
    <w:locked/>
    <w:uiPriority w:val="99"/>
    <w:rPr>
      <w:rFonts w:ascii="Times New Roman" w:hAnsi="Times New Roman" w:eastAsia="宋体" w:cs="Times New Roman"/>
      <w:sz w:val="18"/>
      <w:szCs w:val="18"/>
    </w:rPr>
  </w:style>
  <w:style w:type="character" w:customStyle="1" w:styleId="32">
    <w:name w:val="页脚 Char"/>
    <w:basedOn w:val="20"/>
    <w:link w:val="11"/>
    <w:qFormat/>
    <w:locked/>
    <w:uiPriority w:val="99"/>
    <w:rPr>
      <w:sz w:val="18"/>
      <w:szCs w:val="18"/>
    </w:rPr>
  </w:style>
  <w:style w:type="character" w:customStyle="1" w:styleId="33">
    <w:name w:val="页眉 Char"/>
    <w:basedOn w:val="20"/>
    <w:link w:val="12"/>
    <w:qFormat/>
    <w:locked/>
    <w:uiPriority w:val="99"/>
    <w:rPr>
      <w:sz w:val="18"/>
      <w:szCs w:val="18"/>
    </w:rPr>
  </w:style>
  <w:style w:type="character" w:customStyle="1" w:styleId="34">
    <w:name w:val="正文文本 2 Char"/>
    <w:basedOn w:val="20"/>
    <w:link w:val="15"/>
    <w:qFormat/>
    <w:locked/>
    <w:uiPriority w:val="99"/>
    <w:rPr>
      <w:rFonts w:ascii="Times New Roman" w:hAnsi="Times New Roman" w:eastAsia="宋体" w:cs="Times New Roman"/>
      <w:sz w:val="21"/>
      <w:szCs w:val="21"/>
    </w:rPr>
  </w:style>
  <w:style w:type="character" w:customStyle="1" w:styleId="35">
    <w:name w:val="批注主题 Char"/>
    <w:basedOn w:val="27"/>
    <w:link w:val="17"/>
    <w:semiHidden/>
    <w:qFormat/>
    <w:locked/>
    <w:uiPriority w:val="99"/>
    <w:rPr>
      <w:b/>
      <w:bCs/>
    </w:rPr>
  </w:style>
  <w:style w:type="character" w:customStyle="1" w:styleId="36">
    <w:name w:val="纯文本 字符"/>
    <w:basedOn w:val="20"/>
    <w:semiHidden/>
    <w:qFormat/>
    <w:uiPriority w:val="99"/>
    <w:rPr>
      <w:rFonts w:ascii="宋体" w:hAnsi="Courier New" w:cs="宋体"/>
      <w:sz w:val="21"/>
      <w:szCs w:val="21"/>
    </w:rPr>
  </w:style>
  <w:style w:type="paragraph" w:styleId="37">
    <w:name w:val="List Paragraph"/>
    <w:basedOn w:val="1"/>
    <w:qFormat/>
    <w:uiPriority w:val="99"/>
    <w:pPr>
      <w:ind w:firstLine="420" w:firstLineChars="200"/>
    </w:pPr>
  </w:style>
  <w:style w:type="paragraph" w:customStyle="1" w:styleId="38">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39">
    <w:name w:val="TOC 标题1"/>
    <w:basedOn w:val="3"/>
    <w:next w:val="1"/>
    <w:qFormat/>
    <w:uiPriority w:val="99"/>
    <w:pPr>
      <w:widowControl/>
      <w:spacing w:before="240" w:after="0" w:line="259" w:lineRule="auto"/>
      <w:jc w:val="left"/>
      <w:outlineLvl w:val="9"/>
    </w:pPr>
    <w:rPr>
      <w:rFonts w:ascii="Cambria" w:hAnsi="Cambria" w:cs="Cambria"/>
      <w:b w:val="0"/>
      <w:bCs w:val="0"/>
      <w:color w:val="365F91"/>
      <w:kern w:val="0"/>
      <w:sz w:val="32"/>
      <w:szCs w:val="32"/>
    </w:rPr>
  </w:style>
  <w:style w:type="paragraph" w:customStyle="1" w:styleId="40">
    <w:name w:val="TOC Heading1"/>
    <w:basedOn w:val="3"/>
    <w:next w:val="1"/>
    <w:semiHidden/>
    <w:qFormat/>
    <w:uiPriority w:val="99"/>
    <w:pPr>
      <w:widowControl/>
      <w:spacing w:before="480" w:after="0" w:line="276" w:lineRule="auto"/>
      <w:jc w:val="left"/>
      <w:outlineLvl w:val="9"/>
    </w:pPr>
    <w:rPr>
      <w:rFonts w:ascii="Cambria" w:hAnsi="Cambria" w:cs="Cambria"/>
      <w:color w:val="365F91"/>
      <w:kern w:val="0"/>
      <w:sz w:val="28"/>
      <w:szCs w:val="28"/>
    </w:rPr>
  </w:style>
  <w:style w:type="character" w:customStyle="1" w:styleId="41">
    <w:name w:val="qowt-font10-gbk"/>
    <w:basedOn w:val="20"/>
    <w:qFormat/>
    <w:uiPriority w:val="99"/>
  </w:style>
  <w:style w:type="character" w:customStyle="1" w:styleId="42">
    <w:name w:val="正文文本缩进 Char1"/>
    <w:basedOn w:val="20"/>
    <w:qFormat/>
    <w:uiPriority w:val="99"/>
    <w:rPr>
      <w:kern w:val="2"/>
      <w:sz w:val="21"/>
      <w:szCs w:val="21"/>
    </w:rPr>
  </w:style>
  <w:style w:type="paragraph" w:customStyle="1" w:styleId="43">
    <w:name w:val="Table Paragraph"/>
    <w:basedOn w:val="1"/>
    <w:qFormat/>
    <w:uiPriority w:val="1"/>
    <w:pPr>
      <w:autoSpaceDE w:val="0"/>
      <w:autoSpaceDN w:val="0"/>
      <w:jc w:val="left"/>
    </w:pPr>
    <w:rPr>
      <w:rFonts w:ascii="宋体" w:hAnsi="宋体" w:cs="宋体"/>
      <w:kern w:val="0"/>
      <w:sz w:val="22"/>
      <w:szCs w:val="22"/>
      <w:lang w:val="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2</Pages>
  <Words>766</Words>
  <Characters>491</Characters>
  <Lines>4</Lines>
  <Paragraphs>2</Paragraphs>
  <TotalTime>2</TotalTime>
  <ScaleCrop>false</ScaleCrop>
  <LinksUpToDate>false</LinksUpToDate>
  <CharactersWithSpaces>1255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lilan</cp:lastModifiedBy>
  <cp:lastPrinted>2020-03-23T07:37:00Z</cp:lastPrinted>
  <dcterms:modified xsi:type="dcterms:W3CDTF">2021-04-18T01:30:12Z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E7E39D4D78E443D9AC22B602E6B82EA7</vt:lpwstr>
  </property>
</Properties>
</file>