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jc w:val="center"/>
        <w:rPr>
          <w:rFonts w:hint="eastAsia" w:ascii="宋体" w:eastAsia="宋体" w:cs="宋体"/>
          <w:color w:val="auto"/>
          <w:sz w:val="48"/>
          <w:szCs w:val="48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48"/>
          <w:szCs w:val="48"/>
          <w:highlight w:val="none"/>
          <w:lang w:bidi="ar-SA"/>
        </w:rPr>
        <w:t>成都市郫都区政府采购</w:t>
      </w:r>
    </w:p>
    <w:p>
      <w:pPr>
        <w:jc w:val="center"/>
        <w:rPr>
          <w:rFonts w:hint="eastAsia" w:ascii="宋体" w:eastAsia="宋体" w:cs="宋体"/>
          <w:color w:val="auto"/>
          <w:sz w:val="48"/>
          <w:szCs w:val="48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48"/>
          <w:szCs w:val="48"/>
          <w:highlight w:val="none"/>
          <w:lang w:bidi="ar-SA"/>
        </w:rPr>
        <w:t>项目采购需求</w:t>
      </w: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ind w:left="2797" w:leftChars="435" w:hanging="1405" w:hangingChars="500"/>
        <w:rPr>
          <w:rFonts w:hint="eastAsia" w:ascii="宋体" w:eastAsia="宋体" w:cs="宋体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highlight w:val="none"/>
          <w:lang w:bidi="ar-SA"/>
        </w:rPr>
        <w:t>项目名称</w:t>
      </w: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>：</w:t>
      </w:r>
      <w:r>
        <w:rPr>
          <w:rFonts w:hint="eastAsia" w:ascii="宋体" w:eastAsia="宋体" w:cs="宋体"/>
          <w:color w:val="auto"/>
          <w:sz w:val="28"/>
          <w:szCs w:val="28"/>
          <w:highlight w:val="none"/>
          <w:u w:val="single"/>
          <w:lang w:eastAsia="zh-CN" w:bidi="ar-SA"/>
        </w:rPr>
        <w:t>成都市郫都区犀浦街道社区卫生服务中心（成都市郫都区中西医结合医院）202</w:t>
      </w:r>
      <w:r>
        <w:rPr>
          <w:rFonts w:hint="eastAsia" w:ascii="宋体" w:eastAsia="宋体" w:cs="宋体"/>
          <w:color w:val="auto"/>
          <w:sz w:val="28"/>
          <w:szCs w:val="28"/>
          <w:highlight w:val="none"/>
          <w:u w:val="single"/>
          <w:lang w:val="en-US" w:eastAsia="zh-CN" w:bidi="ar-SA"/>
        </w:rPr>
        <w:t>2</w:t>
      </w:r>
      <w:r>
        <w:rPr>
          <w:rFonts w:hint="eastAsia" w:ascii="宋体" w:eastAsia="宋体" w:cs="宋体"/>
          <w:color w:val="auto"/>
          <w:sz w:val="28"/>
          <w:szCs w:val="28"/>
          <w:highlight w:val="none"/>
          <w:u w:val="single"/>
          <w:lang w:eastAsia="zh-CN" w:bidi="ar-SA"/>
        </w:rPr>
        <w:t>年医用试剂</w:t>
      </w:r>
    </w:p>
    <w:p>
      <w:pPr>
        <w:ind w:left="3079" w:leftChars="435" w:hanging="1687" w:hangingChars="600"/>
        <w:rPr>
          <w:rFonts w:hint="eastAsia" w:ascii="宋体" w:eastAsia="宋体" w:cs="宋体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highlight w:val="none"/>
          <w:lang w:bidi="ar-SA"/>
        </w:rPr>
        <w:t>采购单位</w:t>
      </w: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>：</w:t>
      </w:r>
      <w:r>
        <w:rPr>
          <w:rFonts w:hint="eastAsia" w:ascii="宋体" w:eastAsia="宋体" w:cs="宋体"/>
          <w:color w:val="auto"/>
          <w:sz w:val="28"/>
          <w:szCs w:val="28"/>
          <w:highlight w:val="none"/>
          <w:u w:val="single"/>
          <w:lang w:eastAsia="zh-CN" w:bidi="ar-SA"/>
        </w:rPr>
        <w:t>成都市郫都区犀浦街道社区卫生服务中心（成都市郫都区中西医结合医院）</w:t>
      </w:r>
    </w:p>
    <w:p>
      <w:pPr>
        <w:ind w:left="2797" w:leftChars="435" w:hanging="1405" w:hangingChars="500"/>
        <w:rPr>
          <w:rFonts w:hint="eastAsia" w:ascii="宋体" w:eastAsia="宋体" w:cs="宋体"/>
          <w:color w:val="auto"/>
          <w:sz w:val="28"/>
          <w:szCs w:val="28"/>
          <w:highlight w:val="none"/>
          <w:lang w:eastAsia="zh-CN" w:bidi="ar-SA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highlight w:val="none"/>
          <w:lang w:bidi="ar-SA"/>
        </w:rPr>
        <w:t>编制单位</w:t>
      </w: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>：</w:t>
      </w:r>
      <w:r>
        <w:rPr>
          <w:rFonts w:hint="eastAsia" w:ascii="宋体" w:eastAsia="宋体" w:cs="宋体"/>
          <w:color w:val="auto"/>
          <w:sz w:val="28"/>
          <w:szCs w:val="28"/>
          <w:highlight w:val="none"/>
          <w:u w:val="single"/>
          <w:lang w:eastAsia="zh-CN" w:bidi="ar-SA"/>
        </w:rPr>
        <w:t>成都市郫都区犀浦街道社区卫生服务中心（成都市郫都区中西医结合医院）</w:t>
      </w:r>
    </w:p>
    <w:p>
      <w:pPr>
        <w:ind w:firstLine="1405" w:firstLineChars="500"/>
        <w:rPr>
          <w:rFonts w:hint="eastAsia" w:ascii="宋体" w:eastAsia="宋体" w:cs="宋体"/>
          <w:color w:val="auto"/>
          <w:sz w:val="28"/>
          <w:szCs w:val="28"/>
          <w:highlight w:val="none"/>
          <w:lang w:val="en-US" w:eastAsia="en-US" w:bidi="ar-SA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highlight w:val="none"/>
          <w:lang w:bidi="ar-SA"/>
        </w:rPr>
        <w:t>编制时间</w:t>
      </w: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>：</w:t>
      </w:r>
      <w:r>
        <w:rPr>
          <w:rFonts w:hint="eastAsia" w:ascii="宋体" w:eastAsia="宋体" w:cs="宋体"/>
          <w:color w:val="auto"/>
          <w:sz w:val="28"/>
          <w:szCs w:val="28"/>
          <w:highlight w:val="none"/>
          <w:u w:val="single"/>
          <w:lang w:val="en-US" w:eastAsia="zh-CN" w:bidi="ar-SA"/>
        </w:rPr>
        <w:t xml:space="preserve">                          </w:t>
      </w: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jc w:val="center"/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br w:type="page"/>
      </w: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>编 制 说 明</w:t>
      </w: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>一、采购单位可以自行组织编制采购需求，也可以委托采购代理机构或者其他第三方机构编制。</w:t>
      </w: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>二、编制的采购需求应当符合《财政部关于印发〈政府采购需求管理办法〉的通知》（财库〔2021〕22 号）要求及政府采购的相关规定。</w:t>
      </w: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 xml:space="preserve">三、斜体字部分属于提醒内容，编制时应删除。 </w:t>
      </w: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 xml:space="preserve">四、对不适用的内容应删除，并调整相应序号。 </w:t>
      </w: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7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669" w:type="dxa"/>
            <w:noWrap w:val="0"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bidi="ar-SA"/>
              </w:rPr>
              <w:t>采购需求</w:t>
            </w:r>
          </w:p>
          <w:p>
            <w:pP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bidi="ar-SA"/>
              </w:rPr>
              <w:t>编制方式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bidi="ar-SA"/>
              </w:rPr>
              <w:t>自行组织编制</w:t>
            </w:r>
          </w:p>
          <w:p>
            <w:pP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bidi="ar-SA"/>
              </w:rPr>
              <w:t xml:space="preserve">负责人：             联系电话：        </w:t>
            </w:r>
          </w:p>
          <w:p>
            <w:pP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bidi="ar-SA"/>
              </w:rPr>
              <w:t>其他参与编制人员：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采购项目概况</w:t>
      </w:r>
    </w:p>
    <w:p>
      <w:pP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本项目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个包，采购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成都市郫都区犀浦街道社区卫生服务中心（成都市郫都区中西医结合医院）202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年医用试剂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 w:bidi="ar-SA"/>
        </w:rPr>
        <w:t>成交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供应商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名。</w:t>
      </w:r>
    </w:p>
    <w:p>
      <w:pP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二、项目预（概）算</w:t>
      </w:r>
    </w:p>
    <w:p>
      <w:pP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 xml:space="preserve">预（概）算 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>586.61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万元，最高限价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u w:val="single"/>
          <w:lang w:eastAsia="zh-CN" w:bidi="ar-SA"/>
        </w:rPr>
        <w:t>包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>1：249.82297万元，包2：163.27537，包3:164.872026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万元。</w:t>
      </w:r>
    </w:p>
    <w:p>
      <w:pP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三、采购需求市场调查情况</w:t>
      </w:r>
    </w:p>
    <w:p>
      <w:pP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ascii="宋体" w:eastAsia="宋体" w:cs="宋体"/>
          <w:color w:val="auto"/>
          <w:sz w:val="24"/>
          <w:szCs w:val="24"/>
          <w:highlight w:val="none"/>
          <w:lang w:bidi="ar-SA"/>
        </w:rPr>
        <w:sym w:font="Wingdings 2" w:char="0052"/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 xml:space="preserve">是 </w:t>
      </w:r>
    </w:p>
    <w:p>
      <w:pP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ascii="宋体" w:eastAsia="宋体" w:cs="宋体"/>
          <w:color w:val="auto"/>
          <w:sz w:val="24"/>
          <w:szCs w:val="24"/>
          <w:highlight w:val="none"/>
          <w:lang w:bidi="ar-SA"/>
        </w:rPr>
        <w:sym w:font="Wingdings 2" w:char="00A3"/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否  原因：</w:t>
      </w:r>
      <w:r>
        <w:rPr>
          <w:rFonts w:ascii="宋体" w:eastAsia="宋体" w:cs="宋体"/>
          <w:color w:val="auto"/>
          <w:sz w:val="24"/>
          <w:szCs w:val="24"/>
          <w:highlight w:val="none"/>
          <w:lang w:bidi="ar-SA"/>
        </w:rPr>
        <w:sym w:font="Wingdings 2" w:char="00A3"/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一年内，已就相关采购标的开展过需求调查。</w:t>
      </w:r>
    </w:p>
    <w:p>
      <w:pP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ascii="宋体" w:eastAsia="宋体" w:cs="宋体"/>
          <w:color w:val="auto"/>
          <w:sz w:val="24"/>
          <w:szCs w:val="24"/>
          <w:highlight w:val="none"/>
          <w:lang w:bidi="ar-SA"/>
        </w:rPr>
        <w:sym w:font="Wingdings 2" w:char="00A3"/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可行性研究已包含本项目需求调查内容。</w:t>
      </w:r>
    </w:p>
    <w:p>
      <w:pP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ascii="宋体" w:eastAsia="宋体" w:cs="宋体"/>
          <w:color w:val="auto"/>
          <w:sz w:val="24"/>
          <w:szCs w:val="24"/>
          <w:highlight w:val="none"/>
          <w:lang w:bidi="ar-SA"/>
        </w:rPr>
        <w:sym w:font="Wingdings 2" w:char="00A3"/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 xml:space="preserve">其他   </w:t>
      </w:r>
    </w:p>
    <w:p>
      <w:pP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四、采购标的汇总表</w:t>
      </w:r>
    </w:p>
    <w:tbl>
      <w:tblPr>
        <w:tblStyle w:val="3"/>
        <w:tblpPr w:leftFromText="180" w:rightFromText="180" w:vertAnchor="text" w:horzAnchor="page" w:tblpX="1779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799"/>
        <w:gridCol w:w="2091"/>
        <w:gridCol w:w="1539"/>
        <w:gridCol w:w="1389"/>
        <w:gridCol w:w="1100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2" w:type="dxa"/>
            <w:noWrap w:val="0"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包号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序号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标的名称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品目分</w:t>
            </w:r>
          </w:p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类编码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计量单位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数量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是否</w:t>
            </w:r>
          </w:p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42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检验试剂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医用材料A1108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批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1批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42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检验试剂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医用材料A1108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批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1批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42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检验试剂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医用材料A1108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批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1批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否</w:t>
            </w:r>
          </w:p>
        </w:tc>
      </w:tr>
    </w:tbl>
    <w:p>
      <w:pP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五、技术要求和商务要求</w:t>
      </w:r>
    </w:p>
    <w:p>
      <w:pP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 xml:space="preserve"> 1.技术要求（功能和质量要求）：    </w:t>
      </w:r>
    </w:p>
    <w:p>
      <w:pP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 xml:space="preserve">   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包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 w:bidi="ar-SA"/>
        </w:rPr>
        <w:t>1：</w:t>
      </w:r>
    </w:p>
    <w:tbl>
      <w:tblPr>
        <w:tblStyle w:val="3"/>
        <w:tblW w:w="8750" w:type="dxa"/>
        <w:tblInd w:w="3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312"/>
        <w:gridCol w:w="1938"/>
        <w:gridCol w:w="825"/>
        <w:gridCol w:w="1200"/>
        <w:gridCol w:w="1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      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预计用量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单价最高限价（元）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M-5D(20L×1)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M-5 LEO(I)(4L×1)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M-5 LEO(II)(500mL×4)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M-53LH (500mlX4)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 LC  LYSE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LC（200ml×1）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超敏C反应蛋白(hs—CRP)测定试剂盒(乳胶增强免疫散射比浊法)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 R:2×25ml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血细胞分析仪用质控物（光学法）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BC-5D中值  3ml/支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风湿三项（ASO/CRP/RF）复合质控品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血球；低值：3×1 mL；高值：3×1 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探头清洁液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PT凝血酶原时间测定试剂盒（液体）（凝固法）（核心产品）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APTT活化部分凝血活酶时间测定试剂盒（凝固法）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R1:4mlx10，R2:50mlx1；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TT凝血酶时间测定试剂盒（液体）（凝固法）（核心产品）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FIB纤维蛋白原含量测定试剂盒（液体）（凝固法）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R1:4mlx5,R2:100mlx1,</w:t>
            </w: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R3:1mlx1；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D-二聚体（D-Dimer)测定试剂盒（胶乳增强免疫比浊法）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R1:9mlx3, R2:3mlx3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纤维蛋白（原）降解产物（FDP）测定试剂盒（胶乳增强免疫比浊法）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R1:9mlx3, R2:3mlx3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D-二聚体（D-Dimer)测定试剂盒（胶乳增强免疫比浊法）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质控品：1x1ml；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纤维蛋白（原）降解产物（FDP）测定试剂盒（胶乳增强免疫比浊法）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质控品：1x1ml；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全自动凝血分析仪用清洗液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10*30 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血凝反应杯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2000个/盒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INR质控品（水平1）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电解质分析仪试剂（离子选择电极法）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Style w:val="5"/>
                <w:lang w:val="en-US" w:eastAsia="zh-CN" w:bidi="ar"/>
              </w:rPr>
              <w:t>XI-931-ABW(</w:t>
            </w: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四项)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Style w:val="5"/>
                <w:lang w:val="en-US" w:eastAsia="zh-CN" w:bidi="ar"/>
              </w:rPr>
              <w:t>参比（</w:t>
            </w: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Ref）电极参比液（离子选择性电极法）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离子电极参比液（离子选择性电极法）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电解质分析仪试剂（离子选择电极法）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Style w:val="5"/>
                <w:lang w:val="en-US" w:eastAsia="zh-CN" w:bidi="ar"/>
              </w:rPr>
              <w:t>QC</w:t>
            </w: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质控液（四项）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周清洗液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日清洗液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钠调整液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尿液分析试纸条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MT-R11（100条/筒)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尿液干化学分析质控物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阳性质控物：4×8ml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尿液干化学分析质控物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阴性质控物：4×8ml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孕酮测定试剂盒（化学发光法）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2*50人份/盒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游离β绒毛膜促性腺激素测定试剂盒（化学发光法）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2*50人份/盒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肌钙蛋白I测定试剂盒（化学发光法）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2*50人份/盒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肌酸激酶同工酶测定试剂盒（化学发光法）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2*50人份/盒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肌红蛋白测定试剂盒（化学发光法）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2*50人份/盒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B型脑钠肽测定试剂盒（化学发光法）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2*50人份/盒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降钙素原测定试剂盒（化学发光法）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2*50人份/盒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预激发液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（4瓶*900ml/箱）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激发液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（4瓶*900ml/箱）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（10L/箱）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反应杯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（1000个/包）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铁蛋白（Fer）测定试剂盒（荧光免疫层析法）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25-羟基维生素D（25-OH-D）测定试剂盒（荧光免疫层析法）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心肌标志物质控品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水平2：6*3mL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</w:tbl>
    <w:p>
      <w:pP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 xml:space="preserve">   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包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 w:bidi="ar-SA"/>
        </w:rPr>
        <w:t>2：</w:t>
      </w:r>
    </w:p>
    <w:tbl>
      <w:tblPr>
        <w:tblStyle w:val="3"/>
        <w:tblW w:w="8763" w:type="dxa"/>
        <w:tblInd w:w="3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487"/>
        <w:gridCol w:w="1913"/>
        <w:gridCol w:w="812"/>
        <w:gridCol w:w="1200"/>
        <w:gridCol w:w="1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bidi="ar-SA"/>
              </w:rPr>
              <w:t xml:space="preserve">  </w:t>
            </w: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      称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    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预计用量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总胆红素测定试剂盒（亚硝酸盐氧化法）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R1：4×40ml R2：2×20ml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直接胆红素测定试剂盒（亚硝酸盐氧化法）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R1：4×40ml R2：2×20ml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0.98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总蛋白测定试剂盒（双缩脲法）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6×40ml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0.37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白蛋白测定试剂盒（溴甲酚绿法）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6×40ml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0.45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天门冬氨酸氨基转移酶测定试剂盒（天门冬氨酸底物法）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R1：4×40ml R2：4×20ml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丙氨酸氨基转移酶测定试剂盒（丙氨酸底物法）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R1：4×40ml R2：4×20ml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碱性磷酸酶测定试剂盒（NPP底物-AMP缓冲液法）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R1：4×40ml R2：2×20ml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γ-谷氨酰基转移酶测定试剂盒（GCANA底物法）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R1：4×40ml R2：2×20ml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胆碱酯酶测定试剂盒（丁酰硫代胆碱底物法）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R1：4×40ml R2：2×20ml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乳酸脱氢酶测定试剂盒（乳酸底物法）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R1：4×40ml R2：4×20ml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1.43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总胆汁酸测定试剂盒（酶循环法）（核心产品）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R1：4×30ml R2：2×20ml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11.7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尿素测定试剂盒（尿素酶-谷氨酸脱氢酶法）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R1：4×40ml R2：2×20ml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1.04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尿酸测定试剂盒（尿酸酶法）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R1：4×40ml R2：4×20ml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肌酐测定试剂盒（肌氨酸氧化酶法）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R1：4×30ml R2：2×20ml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葡萄糖测定试剂盒（葡萄糖氧化酶法）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R1：4×40ml R2：4×20ml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0.75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载脂蛋白A1测定试剂盒（免疫比浊法）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R1：12×16.8ml R2：12×5.8ml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载脂蛋白B测定试剂盒（免疫比浊法）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R1：12×16.8ml R2：12×5.8ml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高密度脂蛋白胆固醇测定试剂盒（直接法-过氧化氢酶清除法）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R1：4×30ml R2：2×20ml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6.67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甘油三酯测定试剂盒（GPO-PAP法）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R1：4×40ml R2：4×20ml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胆固醇测定试剂盒（CHOD-PAP法）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R1：4×40ml R2：4×20ml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α-羟丁酸脱氢酶测定试剂盒（α-酮丁酸底物法）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R1：4×40ml R2：4×20ml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α-淀粉酶测定试剂盒（EPS底物法）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R1：4×40ml R2：2×20ml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10.32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肌酸激酶测定试剂盒（磷酸肌酸底物法）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R1：4×40ml R2：2×20ml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钙离子测定试剂盒（偶氮胂III法）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12×25ml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0.7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乳酸测定试剂盒(乳酸氧化酶法)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4×70ml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腺苷脱氨酶测定试剂盒（过氧化物酶法）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R1：2×40ml R2：2×20ml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19.1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尿微量白蛋白测定试剂盒（免疫比浊法）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R1：2×40ml R2：2×10ml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风疹病毒、弓形虫、巨细胞病毒、单纯疱疹病毒（Ⅰ型/Ⅱ型）IgM抗体检测试剂盒(乳胶法)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人绒毛膜促性腺激素检测试剂盒（免疫荧光法）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降钙素原检测试剂盒（干式免疫荧光法）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条型50人份/盒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A群轮状病毒检测试剂盒（胶体金法）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洗脱缓冲液（高效液相色谱法（HPLC法））ELUENT 80A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600ml×4袋/盒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10436.818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洗脱缓冲液（高效液相色谱法（HPLC法））ELUENT 80B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600ml×2袋/盒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9028.053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糖化血红蛋白溶血剂（溶血洗净液 80H）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2L×3/盒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12891.428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生化质控血清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20支*5ml/盒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一次性吸头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0.5-200uL500支/包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乙肝五项检测卡（胶体金）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人类免疫缺陷病毒抗体试剂盒（胶体金)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卡型50人份/盒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丙型肝炎病毒抗体检测试剂盒（胶体金法）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条型50人份/盒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甲型肝炎病毒IGM抗体检测试剂盒（胶体金）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卡型20人份/盒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戊型肝炎病毒IGM抗体检测试剂盒（胶体金）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20人份/盒 卡型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便隐血检测试纸(免疫层析法)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1人份/袋*100/盒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一次性使用静脉血样采集容器（柠檬酸钠）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2mL*100支/盒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一次性使用静脉血样采集容器（肝素钠）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5mL*100支/盒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一次性使用静脉血样采集容器（分离胶）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5mL*100支/盒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0.7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一次性使用静脉血样采集容器（K2EDTA）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2mL*100支/盒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一次性使用静脉血样采集容器（血糖保护剂）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3mL*100支/盒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一次性使用静脉血样采集容器（普通管）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5mL*100支/盒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一次性使用静脉血样采集容器（柠檬酸钠）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1.6mL*100支/盒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螺旋盖痰杯（无菌）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40ml*50只/袋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一次性使用标本杯（大、小便）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40ml*50只/袋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一次性使用抗凝管（EDTA、K2）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一次性使用拭子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100支/包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生化免疫分析用清洗液A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6*55mL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生化免疫分析用清洗液B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6*55mL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CD80生化分析仪清洗液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2L/瓶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载玻片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50片/盒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塑料试管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12*100mm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塑料试管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12*75mm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O1群霍乱弧菌检测试剂盒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O139群霍乱弧菌检测试剂盒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一次性使用微量采血吸管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40uL*400支/筒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一次性使用离心管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一次性使用静脉采血针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100支/包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0.25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人绒毛膜促性腺激素检测试纸（胶体金）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一次性使用末梢采血针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50支/盒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一次性吸头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（100-1000uL）500支/包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一次性使用标本杯（大、小便）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400只/袋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尿液分析试纸条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MT-R11（100条/筒)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149.202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</w:t>
            </w:r>
          </w:p>
        </w:tc>
      </w:tr>
    </w:tbl>
    <w:p>
      <w:pP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 xml:space="preserve">      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包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 w:bidi="ar-SA"/>
        </w:rPr>
        <w:t>3：</w:t>
      </w:r>
    </w:p>
    <w:tbl>
      <w:tblPr>
        <w:tblStyle w:val="3"/>
        <w:tblW w:w="8788" w:type="dxa"/>
        <w:tblInd w:w="3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63"/>
        <w:gridCol w:w="1943"/>
        <w:gridCol w:w="832"/>
        <w:gridCol w:w="1252"/>
        <w:gridCol w:w="1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      称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预计用量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单价最高限价（元）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营养琼脂平板（营养琼脂培养基）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70mm/块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巧克力色血琼脂平板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70mm/块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血琼脂平板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70mm/块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SS平板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70mm/块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念珠菌显色培养基（念珠菌显色平板）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70mm/块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麦康凯平板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70mm/块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上机血培养瓶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需氧培养瓶（树脂），20人份/盒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上机血培养瓶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厌氧培养瓶（树脂），20人份/盒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上机血培养瓶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儿童培养瓶，20人份/盒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微生物（肠杆菌）鉴定及药敏分析系统测试板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微生物（非发酵菌）鉴定及药敏分析系统测试板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微生物（葡萄球菌）鉴定及药敏分析系统测试板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微生物（链/肠球菌）鉴定及药敏分析系统测试板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微生物（真菌）鉴定及药敏分析系统测试板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志贺氏菌属诊断血清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1ml/瓶*26瓶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沙门氏菌属诊断血清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1ml/瓶*30瓶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卵磷脂吐温胰蛋白胨大豆培养基（洗脱液）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9mL/瓶*10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卵磷脂吐温胰蛋白胨大豆培养基（碘中和剂）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9mL/瓶*10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样本释放剂（盐酸二甲基对苯二胺化学释放剂试纸）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4支/盒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灭菌吸头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1000uL*100个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一次性采样棒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10uL/500支/盒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解脲脲原体和人型支原体培养鉴定药敏试剂盒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20人份/盒（9项药敏）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ABO、RhD血型定型检测卡（单克隆抗体）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抗人球蛋白检测卡（不规则抗体筛查）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12卡/盒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抗人球蛋白检测卡（抗人球蛋白交叉配血）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12卡/盒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ABO血型反定型试剂盒（人血红细胞）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A1、B、O细胞各一瓶，10mL/瓶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112.93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不规则抗体检测试剂（人血红细胞）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O1、O2、O3红细胞各1瓶，5mL/瓶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抗链球菌溶血素“O”（ASO）测定试剂盒（胶乳凝集法）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胶乳液5ml；阳性对照0.5ml；阴性对照0.5ml 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类风湿因子测定试剂盒（胶乳免疫比浊法）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R1：1×40ml R2：1×10ml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毫升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血红蛋白试剂片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25片/筒*2/盒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吗啡、甲基安非他明、氯胺酮联合检测试剂（胶体金法）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甲型/乙型流感病毒抗原检测试剂（胶体金法）（核心产品）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肺炎衣原体IgM抗体、肺炎支原体IgM抗体检测试剂（胶体金法）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肺炎支原体IgM抗体检测试剂（胶体金法）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β-羟丁酸测试条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瑞氏-姬姆萨染色液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3×250ml/盒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毫升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抗酸染色液( 冷染法）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结核菌染色液（整组染液）3*250ml/盒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毫升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快速革兰氏染色液（整组染液）30*5ml/盒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毫升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血气检测试剂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100人份/袋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696.971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血气检测试剂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血气电解质质控液：水平1、水平2、 水平3: 1人份/瓶、 5瓶/盒； 红细胞压积质控液： 高水平、低水平： 1人份/瓶、5瓶/盒。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BG10测试卡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游离四碘甲状腺素检测试剂盒（化学发光法）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2*100测试/盒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促甲状腺激素检测试剂盒（化学发光法）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2*100测试/盒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四碘甲状腺素检测试剂盒（化学发光法）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2*100测试/盒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游离三碘甲状腺原氨酸检测试剂盒（化学发光法）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2*100测试/盒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三碘甲腺原氨酸检测试剂盒（化学发光法）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2*100测试/盒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总前列腺特异性抗原（PSA）检测试剂盒（化学发光法）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2*100测试/盒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游离前列腺特异性抗原（FPSA）检测试剂盒（化学发光法）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2*100测试/盒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癌胚抗原检测试剂盒（化学发光法）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糖类抗原19-9（CA19-9）检测试剂盒（化学发光法）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2*100测试/盒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肿瘤相关抗原125(CA125)检测试剂盒（化学发光法）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2*100测试/盒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癌抗原15-3（CA15-3）检测试剂盒（化学发光法）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2*50测试/盒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甲胎蛋白检测试剂盒（化学发光法）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2*100测试/盒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乙型肝炎病毒表面抗原定量检测试剂盒（化学发光法）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2*100测试/盒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乙型肝炎病毒表面抗体定量检测试剂盒（化学发光法）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2*100测试/盒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乙型肝炎病毒e抗原诊断试剂盒（化学发光法）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2*100测试/盒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乙型肝炎病毒e抗体诊断试剂盒（化学发光法）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2*100测试/盒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乙型肝炎病毒核心抗体诊断试剂盒（化学发光法）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2*100测试/盒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梅毒螺旋体抗体检测试剂盒（化学发光法）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2*100测试/盒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丙型肝炎病毒抗体检测试剂盒（化学发光法）（核心产品）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2*50测试/盒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光激化学发光分析系统通用液（LiCA通用液）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2*105ml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LiCAHT清洗液I(光激化学发光法）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450ml/瓶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板条-LH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12条*8孔/包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盒装低吸附移液枪头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8架*90枚*250ul/盒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阴道炎五联检试剂盒Ⅱ</w:t>
            </w: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（干化学酶法）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100T/盒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2578.067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母乳成分分析清洗液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1L/瓶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稀释位-LA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48孔/支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呼吸道病原体检测5联卡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</w:tr>
    </w:tbl>
    <w:p>
      <w:pP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 xml:space="preserve">  2.商务要求：                                          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 xml:space="preserve"> 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 w:bidi="ar-SA"/>
        </w:rPr>
        <w:t>(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1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、付款方法：按每月实际用量乘以单价付费,付款方式为每个月进行滚动付款，以实际金额进行支付。（实质性要求）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 w:bidi="ar-SA"/>
        </w:rPr>
        <w:t>(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2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 w:bidi="ar-SA"/>
        </w:rPr>
        <w:t>)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、交货时间及地点：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成都市郫都区犀浦街道社区卫生服务中心（成都市郫都区中西医结合医院）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指定地点；交货时间：接到院方通知后及时响应并在24小时内到货，如未及时供货对采购人造成的经济损失等，将追究中标人责任。（实质性要求）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 w:bidi="ar-SA"/>
        </w:rPr>
        <w:t>(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3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、配送服务年限：本次采购合同时效拟定为 1年，采购人有权根据实际情况对所需品种或数量进行调整，但配送总金额不得超过本项目政府采购预算。（实质性要求）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（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4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、其他约定：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（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4.1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中标人在服务期内，因自身原因造成采购合同终止，因此产生的所有经济损失由中标人自行承担，如给采购人造成的经济损失的，采购人将依法追究其法律责任。（实质性要求）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（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4.2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本项目产品的投标单价应符合国家的相关政策及规定，本项目执行过程中，中标人的中标产品如果属于</w:t>
      </w:r>
      <w:r>
        <w:rPr>
          <w:rFonts w:hint="eastAsia" w:ascii="宋体" w:eastAsia="宋体" w:cs="宋体"/>
          <w:color w:val="auto"/>
          <w:sz w:val="24"/>
          <w:szCs w:val="24"/>
          <w:lang w:bidi="ar-SA"/>
        </w:rPr>
        <w:t>四川省药械集中采购及医药价格监管平台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挂网产品，采购人则按照</w:t>
      </w:r>
      <w:r>
        <w:rPr>
          <w:rFonts w:hint="eastAsia" w:ascii="宋体" w:eastAsia="宋体" w:cs="宋体"/>
          <w:color w:val="auto"/>
          <w:sz w:val="24"/>
          <w:szCs w:val="24"/>
          <w:lang w:bidi="ar-SA"/>
        </w:rPr>
        <w:t>四川省药械集中采购及医药价格监管平台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挂网产品最低价格进行结算，中标人的中标产品如果不属于</w:t>
      </w:r>
      <w:r>
        <w:rPr>
          <w:rFonts w:hint="eastAsia" w:ascii="宋体" w:eastAsia="宋体" w:cs="宋体"/>
          <w:color w:val="auto"/>
          <w:sz w:val="24"/>
          <w:szCs w:val="24"/>
          <w:lang w:bidi="ar-SA"/>
        </w:rPr>
        <w:t>四川省药械集中采购及医药价格监管平台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挂网产品的，采购人则按照中标人的中标产品单价进行结算。（实质性要求）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（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5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、 提供的技术资料（投标人交货时需递交资料）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（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5.1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原产地证明书(由制造厂签发)；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（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5.2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提供产品制造厂家或代理商的授权书原件；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（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5.3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提供产品使用说明书；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（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5.4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其它相关技术资料：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（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6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、售后服务要求：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送货上门并有固定的售后服务点。如试剂出现质量问题，须在接用户单位通知后及时响应并在24小时内到现场，免费负责退换，并对由此引起的医疗或法律纠纷完全负责，并全额赔偿由此引起的经济赔偿。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（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6.1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投标方须响应能够按照配送服务合同规定及采购人需求的品牌、产地、质量、价格、规格、有效期及时供货。如中标后不能满足上述招标方需求，直接影响采购人工作，对采购人造成直接或间接经济损失及负面影响的，将停止供货，并按照相关法律及规定承担赔偿责任。（实质性要求）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（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6.2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投标方应承诺，对采购人认为必要的实地考察进行相应的协助。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（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6.3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投标方中标后能给采购人提供的24小时的供货期限。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（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6.4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产品制造厂家或投标人提供设立的售后服务机构网点清单、服务电话和服务人员名单等信息的资料（加盖公章）；</w:t>
      </w:r>
    </w:p>
    <w:p>
      <w:pPr>
        <w:jc w:val="left"/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（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6.5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bidi="ar-SA"/>
        </w:rPr>
        <w:t>说明投标产品的效期时间、效期期内的服务内容与范围、退换货现场响应时间不超过2小时，出现不合格产品的处理措施等，分别提供产品制造厂家和投标人的服务承诺和保障措施。</w:t>
      </w:r>
    </w:p>
    <w:p>
      <w:pPr>
        <w:jc w:val="center"/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jc w:val="center"/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>六、采购需求编制要求</w:t>
      </w: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>1. 采购需求应当符合法律法规、政府采购政策和国家有关规定，符合国家强制性标准，遵循预算、资产和财务等相关管理制度规定，符合采购项目特点和实际需要。</w:t>
      </w: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>2. 采购需求应当依据部门预算（工程项目概预算）确定。</w:t>
      </w: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>3. 采购需求应当清楚明了、表述规范、含义准确。技术要求和商务要求应当客观，量化指标应当明确相应等次，有连续区间的按照区间划分等次。需由供应商提供设计方案、解决方案或者组织方案的采购项目，应当说明采购标的的功能、应用场景、目标等基本要求，并尽可能明确其中的客观、量化指标。</w:t>
      </w: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>采购需求可以直接引用相关国家标准、行业标准、地方标准等标准、规范，也可以根据项目目标提出更高的技术要求。</w:t>
      </w: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>自行组织编制</w:t>
      </w: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 xml:space="preserve">编制负责人：（签字）     </w:t>
      </w:r>
      <w:r>
        <w:rPr>
          <w:rFonts w:hint="eastAsia" w:ascii="宋体" w:eastAsia="宋体" w:cs="宋体"/>
          <w:color w:val="auto"/>
          <w:sz w:val="28"/>
          <w:szCs w:val="28"/>
          <w:highlight w:val="none"/>
          <w:lang w:val="en-US" w:eastAsia="zh-CN" w:bidi="ar-SA"/>
        </w:rPr>
        <w:t xml:space="preserve">      </w:t>
      </w: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 xml:space="preserve">  日期：   年  月  日</w:t>
      </w: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</w:p>
    <w:p>
      <w:pP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highlight w:val="none"/>
          <w:lang w:bidi="ar-SA"/>
        </w:rPr>
        <w:t>编制成员：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C10C52"/>
    <w:multiLevelType w:val="singleLevel"/>
    <w:tmpl w:val="6AC10C5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10BE7"/>
    <w:rsid w:val="3F0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18"/>
    </w:rPr>
  </w:style>
  <w:style w:type="character" w:customStyle="1" w:styleId="5">
    <w:name w:val="font31"/>
    <w:basedOn w:val="4"/>
    <w:qFormat/>
    <w:uiPriority w:val="0"/>
    <w:rPr>
      <w:rFonts w:ascii="宋体" w:eastAsia="宋体" w:cs="宋体"/>
      <w:color w:val="000000"/>
      <w:sz w:val="18"/>
      <w:szCs w:val="1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2022-03-28T01:19:00Z</dcterms:created>
  <dc:creator>随风漂移</dc:creator>
  <cp:lastModifiedBy>随风漂移</cp:lastModifiedBy>
  <dcterms:modified xsi:type="dcterms:W3CDTF">2022-03-28T01:20:04Z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C94DB5972FE343428E4EF687ED0A19BD</vt:lpwstr>
  </property>
</Properties>
</file>