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广西天罡工程项目管理有限公司关于采购2021年企业退休职工春节慰问品（项目编号：GLZC2020-G1-990626-GXTG）公开招标公告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20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bookmarkStart w:id="27" w:name="_GoBack"/>
      <w:bookmarkEnd w:id="27"/>
      <w:bookmarkStart w:id="0" w:name="_Toc28359079"/>
      <w:bookmarkStart w:id="1" w:name="_Toc35393790"/>
      <w:bookmarkStart w:id="2" w:name="_Toc28359002"/>
      <w:bookmarkStart w:id="3" w:name="_Toc35393621"/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eastAsia="zh-CN"/>
        </w:rPr>
        <w:t>采购2021年企业退休职工春节慰问品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 xml:space="preserve"> 招标项目的潜在投标人应在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林市政府采购网（http://gl.zfcg.zcygov.cn）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或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桂林市公共资源交易中心网（http://glggzy.org.cn）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获取招标文件，并于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分（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</w:rPr>
        <w:t>北京时间）前递交投标文件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。</w:t>
      </w: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</w:pPr>
    </w:p>
    <w:p>
      <w:pPr>
        <w:pStyle w:val="8"/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项目基本情况</w:t>
      </w:r>
      <w:bookmarkEnd w:id="0"/>
      <w:bookmarkEnd w:id="1"/>
      <w:bookmarkEnd w:id="2"/>
      <w:bookmarkEnd w:id="3"/>
    </w:p>
    <w:p>
      <w:pPr>
        <w:pStyle w:val="8"/>
        <w:numPr>
          <w:ilvl w:val="0"/>
          <w:numId w:val="0"/>
        </w:numPr>
        <w:ind w:firstLine="422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GLZC2020-G1-990626-GXTG</w:t>
      </w:r>
    </w:p>
    <w:p>
      <w:pPr>
        <w:widowControl/>
        <w:spacing w:line="300" w:lineRule="auto"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</w:t>
      </w:r>
      <w:r>
        <w:rPr>
          <w:rFonts w:hint="eastAsia" w:ascii="宋体" w:hAnsi="宋体" w:cs="宋体"/>
          <w:b/>
          <w:kern w:val="0"/>
          <w:szCs w:val="21"/>
          <w:highlight w:val="none"/>
        </w:rPr>
        <w:t>称：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采购2021年企业退休职工春节慰问品</w:t>
      </w:r>
    </w:p>
    <w:p>
      <w:pPr>
        <w:widowControl/>
        <w:spacing w:line="300" w:lineRule="auto"/>
        <w:ind w:firstLine="422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预算金额：</w:t>
      </w:r>
      <w:r>
        <w:rPr>
          <w:rFonts w:hint="eastAsia" w:ascii="宋体" w:hAnsi="宋体" w:eastAsia="宋体" w:cs="宋体"/>
          <w:color w:val="000000"/>
          <w:szCs w:val="21"/>
        </w:rPr>
        <w:t>人民币</w:t>
      </w:r>
      <w:r>
        <w:rPr>
          <w:rFonts w:hint="eastAsia" w:ascii="宋体" w:hAnsi="宋体"/>
          <w:color w:val="auto"/>
          <w:highlight w:val="none"/>
          <w:lang w:eastAsia="zh-CN"/>
        </w:rPr>
        <w:t>贰佰贰拾玖万陆仟</w:t>
      </w:r>
      <w:r>
        <w:rPr>
          <w:rFonts w:hint="eastAsia" w:ascii="宋体" w:hAnsi="宋体"/>
          <w:color w:val="auto"/>
          <w:highlight w:val="none"/>
        </w:rPr>
        <w:t>元整</w:t>
      </w:r>
      <w:r>
        <w:rPr>
          <w:rFonts w:hint="eastAsia" w:ascii="宋体" w:hAnsi="宋体" w:eastAsia="宋体" w:cs="宋体"/>
          <w:color w:val="000000"/>
          <w:szCs w:val="21"/>
        </w:rPr>
        <w:t>（¥：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2296000</w:t>
      </w:r>
      <w:r>
        <w:rPr>
          <w:rFonts w:hint="eastAsia" w:ascii="宋体" w:hAnsi="宋体"/>
          <w:color w:val="auto"/>
          <w:highlight w:val="none"/>
          <w:u w:val="single"/>
        </w:rPr>
        <w:t>.00</w:t>
      </w:r>
      <w:r>
        <w:rPr>
          <w:rFonts w:hint="eastAsia" w:ascii="宋体" w:hAnsi="宋体" w:eastAsia="宋体" w:cs="宋体"/>
          <w:color w:val="000000"/>
          <w:szCs w:val="21"/>
        </w:rPr>
        <w:t>元）</w:t>
      </w:r>
    </w:p>
    <w:p>
      <w:pPr>
        <w:widowControl/>
        <w:spacing w:line="300" w:lineRule="auto"/>
        <w:ind w:firstLine="422" w:firstLineChars="200"/>
        <w:jc w:val="left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采购需求</w:t>
      </w:r>
    </w:p>
    <w:tbl>
      <w:tblPr>
        <w:tblStyle w:val="6"/>
        <w:tblW w:w="8297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29"/>
        <w:gridCol w:w="795"/>
        <w:gridCol w:w="837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序号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货物名称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数量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</w:t>
            </w:r>
          </w:p>
        </w:tc>
        <w:tc>
          <w:tcPr>
            <w:tcW w:w="37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简要规格描述或项目基本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hAnsi="宋体" w:cs="Times New Roman"/>
                <w:color w:val="auto"/>
                <w:kern w:val="0"/>
                <w:highlight w:val="none"/>
                <w:lang w:eastAsia="zh-CN"/>
              </w:rPr>
              <w:t>食用植物调和油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3280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lang w:val="en-US" w:eastAsia="zh-CN"/>
              </w:rPr>
              <w:t>瓶</w:t>
            </w:r>
          </w:p>
        </w:tc>
        <w:tc>
          <w:tcPr>
            <w:tcW w:w="374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如需进一步了解详细内容，详见</w:t>
            </w:r>
            <w:r>
              <w:rPr>
                <w:rFonts w:hint="eastAsia" w:ascii="宋体" w:hAnsi="宋体"/>
                <w:bCs/>
                <w:lang w:eastAsia="zh-CN"/>
              </w:rPr>
              <w:t>招标文件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eastAsia="zh-CN"/>
        </w:rPr>
        <w:t>合同履行期限：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为及时顺利的完成本次慰问品送达任务，供应商必须有现货，因本项目采购任务时间要求紧急，中标供应商领取中标通知书后，应按采购需求相关规定与采购人签订合同并在签订后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eastAsia="zh-CN"/>
        </w:rPr>
        <w:t>内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 xml:space="preserve">供货完毕。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本项目不接受联合体投标。</w:t>
      </w: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bookmarkStart w:id="4" w:name="_Toc28359080"/>
      <w:bookmarkStart w:id="5" w:name="_Toc35393622"/>
      <w:bookmarkStart w:id="6" w:name="_Toc28359003"/>
      <w:bookmarkStart w:id="7" w:name="_Toc35393791"/>
      <w:r>
        <w:rPr>
          <w:rFonts w:hint="eastAsia" w:ascii="宋体" w:hAnsi="宋体" w:eastAsia="宋体" w:cs="宋体"/>
          <w:b/>
          <w:bCs/>
          <w:color w:val="000000"/>
          <w:szCs w:val="21"/>
        </w:rPr>
        <w:t>二、申请人的资格要求：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1.满足《中华人民共和国政府采购法》第二十二条规定；未被列入失信被执行人、重大税收违法案件当事人名单、政府采购严重违法失信行为记录名单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2.落实政府采购政策需满足的资格要求：本项目适用政府采购促进中小企业、监狱企业发展、促进残疾人就业、节能环保及广西工业产品产销等有关政策，具体详见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3.本项目的特定资格要求：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  <w:bookmarkStart w:id="8" w:name="_Toc35393792"/>
      <w:bookmarkStart w:id="9" w:name="_Toc35393623"/>
      <w:r>
        <w:rPr>
          <w:rFonts w:hint="eastAsia"/>
          <w:b/>
          <w:bCs/>
          <w:lang w:val="en-US" w:eastAsia="zh-CN"/>
        </w:rPr>
        <w:t>三、获取招标文件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潜在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登陆桂林市政府采购网（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http://gl.zfcg.zcygov.cn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）或桂林市公共资源交易中心网（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http://glggzy.org.cn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），从网上下载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文件电子版，并根据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文件规定的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文件递交截止时间和地点直接提交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文件参与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</w:rPr>
      </w:pPr>
      <w:bookmarkStart w:id="10" w:name="_Toc28359082"/>
      <w:bookmarkStart w:id="11" w:name="_Toc28359005"/>
      <w:bookmarkStart w:id="12" w:name="_Toc32480"/>
      <w:bookmarkStart w:id="13" w:name="_Toc35393793"/>
      <w:bookmarkStart w:id="14" w:name="_Toc35393624"/>
      <w:r>
        <w:rPr>
          <w:rFonts w:hint="eastAsia"/>
          <w:b/>
          <w:bCs/>
        </w:rPr>
        <w:t>四、提交投标文件</w:t>
      </w:r>
      <w:bookmarkEnd w:id="10"/>
      <w:bookmarkEnd w:id="11"/>
      <w:r>
        <w:rPr>
          <w:rFonts w:hint="eastAsia"/>
          <w:b/>
          <w:bCs/>
        </w:rPr>
        <w:t>截止时间、开标时间和地点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none"/>
        </w:rPr>
        <w:t>时间：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</w:rPr>
        <w:t>（北京时间）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</w:rPr>
        <w:t>（自招标文件开始发出之日起至投标人提交投标文件截止之日止，不得少于20日）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Cs/>
          <w:i w:val="0"/>
          <w:iCs w:val="0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地点：桂林市公共资源交易中心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  <w:t>号开标室（广西桂林市临桂区西城中路69号创业大厦西辅楼4楼北区）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</w:rPr>
      </w:pPr>
      <w:bookmarkStart w:id="15" w:name="_Toc35393625"/>
      <w:bookmarkStart w:id="16" w:name="_Toc35393794"/>
      <w:bookmarkStart w:id="17" w:name="_Toc3761"/>
      <w:bookmarkStart w:id="18" w:name="_Toc28359084"/>
      <w:bookmarkStart w:id="19" w:name="_Toc28359007"/>
      <w:r>
        <w:rPr>
          <w:rFonts w:hint="eastAsia"/>
          <w:b/>
          <w:bCs/>
        </w:rPr>
        <w:t>五、公告期限</w:t>
      </w:r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</w:rPr>
      </w:pPr>
      <w:bookmarkStart w:id="20" w:name="_Toc1614"/>
      <w:bookmarkStart w:id="21" w:name="_Toc35393795"/>
      <w:bookmarkStart w:id="22" w:name="_Toc35393626"/>
      <w:r>
        <w:rPr>
          <w:rFonts w:hint="eastAsia"/>
          <w:b/>
          <w:bCs/>
        </w:rPr>
        <w:t>六、其他补充事宜</w:t>
      </w:r>
      <w:bookmarkEnd w:id="20"/>
      <w:bookmarkEnd w:id="21"/>
      <w:bookmarkEnd w:id="2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  <w:highlight w:val="none"/>
        </w:rPr>
        <w:t xml:space="preserve">本项目需要落实的政府采购政策：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《政府采购促进中小企业发展暂行办法》（财库[2011]181号）。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《关于政府采购支持监狱企业发展有关问题的通知》（财库[2014]68号）；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《关于促进残疾人就业政府采购政策的通知》（财库[2017]141号）；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强制、优先采购环境标志产品、节能产品。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2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  <w:highlight w:val="none"/>
        </w:rPr>
        <w:t>公告发布媒体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中国政府采购网（http://www.ccgp.gov.cn）、广西壮族自治区政府采购网（http://zfcg.gxzf.gov.cn）、桂林市政府采购网（http://gl.zfcg.zcygov.cn）、桂林市公共资源交易中心网（http://glggzy.org.cn）</w:t>
      </w:r>
      <w:r>
        <w:rPr>
          <w:rFonts w:hint="eastAsia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、对本次招标提出询问，请按以下方式联系。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　　　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41" w:leftChars="371" w:hanging="262" w:hangingChars="125"/>
        <w:jc w:val="left"/>
        <w:textAlignment w:val="auto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</w:rPr>
        <w:t>名 称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</w:t>
      </w:r>
      <w:r>
        <w:rPr>
          <w:rFonts w:hint="eastAsia" w:ascii="宋体" w:hAnsi="宋体"/>
          <w:highlight w:val="none"/>
          <w:lang w:eastAsia="zh-CN"/>
        </w:rPr>
        <w:t>桂林市叠彩区社会保险事业管理中心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41" w:leftChars="371" w:hanging="262" w:hangingChars="125"/>
        <w:jc w:val="left"/>
        <w:textAlignment w:val="auto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地址：</w:t>
      </w:r>
      <w:r>
        <w:rPr>
          <w:rFonts w:hint="eastAsia" w:ascii="宋体" w:hAnsi="宋体"/>
        </w:rPr>
        <w:t>桂林市叠彩区</w:t>
      </w:r>
      <w:r>
        <w:rPr>
          <w:rFonts w:hint="eastAsia" w:ascii="宋体" w:hAnsi="宋体"/>
          <w:lang w:eastAsia="zh-CN"/>
        </w:rPr>
        <w:t>北辰路</w:t>
      </w:r>
      <w:r>
        <w:rPr>
          <w:rFonts w:hint="eastAsia" w:ascii="宋体" w:hAnsi="宋体"/>
          <w:lang w:val="en-US" w:eastAsia="zh-CN"/>
        </w:rPr>
        <w:t>39号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41" w:leftChars="371" w:hanging="262" w:hangingChars="125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yellow"/>
        </w:rPr>
      </w:pPr>
      <w:bookmarkStart w:id="23" w:name="_Toc28359009"/>
      <w:bookmarkStart w:id="24" w:name="_Toc28359086"/>
      <w:r>
        <w:rPr>
          <w:rFonts w:hint="eastAsia" w:ascii="宋体" w:hAnsi="宋体"/>
        </w:rPr>
        <w:t>联系</w:t>
      </w:r>
      <w:r>
        <w:rPr>
          <w:rFonts w:hint="eastAsia" w:ascii="宋体" w:hAnsi="宋体"/>
          <w:lang w:eastAsia="zh-CN"/>
        </w:rPr>
        <w:t>方式：</w:t>
      </w:r>
      <w:r>
        <w:rPr>
          <w:rFonts w:hint="eastAsia" w:ascii="宋体" w:hAnsi="宋体" w:cs="宋体"/>
          <w:lang w:eastAsia="zh-CN"/>
        </w:rPr>
        <w:t>唐工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>0773-8983376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41" w:leftChars="371" w:hanging="262" w:hangingChars="125"/>
        <w:jc w:val="left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2.采购代理机构信息</w:t>
      </w:r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名 称：</w:t>
      </w:r>
      <w:r>
        <w:rPr>
          <w:rFonts w:hint="eastAsia" w:ascii="宋体" w:hAnsi="宋体"/>
        </w:rPr>
        <w:t>广西天罡工程项目管理有限公司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地　址：</w:t>
      </w:r>
      <w:r>
        <w:rPr>
          <w:rFonts w:hint="eastAsia" w:ascii="宋体" w:hAnsi="宋体"/>
          <w:lang w:eastAsia="zh-CN"/>
        </w:rPr>
        <w:t>桂林市七星区七里店路108号桂林国家大学生科技园2栋2单元5楼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hint="default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Cs w:val="21"/>
        </w:rPr>
        <w:t>联系人及联系方式：</w:t>
      </w:r>
      <w:bookmarkStart w:id="25" w:name="_Toc28359087"/>
      <w:bookmarkStart w:id="26" w:name="_Toc28359010"/>
      <w:r>
        <w:rPr>
          <w:rFonts w:hint="eastAsia" w:ascii="宋体" w:hAnsi="宋体"/>
        </w:rPr>
        <w:t>张工</w:t>
      </w:r>
      <w:r>
        <w:rPr>
          <w:rFonts w:hint="eastAsia" w:ascii="宋体" w:hAnsi="宋体"/>
          <w:lang w:val="en-US" w:eastAsia="zh-CN"/>
        </w:rPr>
        <w:t xml:space="preserve">/徐工  </w:t>
      </w:r>
      <w:r>
        <w:rPr>
          <w:rFonts w:hint="eastAsia" w:ascii="宋体" w:hAnsi="宋体"/>
        </w:rPr>
        <w:t>0773-5896688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ascii="宋体" w:hAnsi="宋体" w:eastAsia="宋体" w:cs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Cs w:val="21"/>
        </w:rPr>
        <w:t>3.项目联系方式</w:t>
      </w:r>
      <w:bookmarkEnd w:id="25"/>
      <w:bookmarkEnd w:id="26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项目联系人：</w:t>
      </w:r>
      <w:r>
        <w:rPr>
          <w:rFonts w:hint="eastAsia" w:ascii="宋体" w:hAnsi="宋体"/>
        </w:rPr>
        <w:t>张工</w:t>
      </w:r>
      <w:r>
        <w:rPr>
          <w:rFonts w:hint="eastAsia" w:ascii="宋体" w:hAnsi="宋体"/>
          <w:lang w:val="en-US" w:eastAsia="zh-CN"/>
        </w:rPr>
        <w:t>/徐工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35" w:firstLineChars="350"/>
        <w:textAlignment w:val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color w:val="000000"/>
          <w:szCs w:val="21"/>
        </w:rPr>
        <w:t>电　话：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0773-5896688</w:t>
      </w:r>
    </w:p>
    <w:p>
      <w:pPr>
        <w:pStyle w:val="2"/>
      </w:pPr>
    </w:p>
    <w:p>
      <w:pPr>
        <w:spacing w:line="340" w:lineRule="exact"/>
        <w:ind w:firstLine="630" w:firstLineChars="300"/>
        <w:rPr>
          <w:rFonts w:hint="eastAsia" w:ascii="宋体" w:hAnsi="宋体"/>
        </w:rPr>
      </w:pPr>
    </w:p>
    <w:p>
      <w:pPr>
        <w:widowControl/>
        <w:spacing w:line="300" w:lineRule="auto"/>
        <w:ind w:right="480"/>
        <w:jc w:val="righ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00" w:lineRule="auto"/>
        <w:ind w:right="48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广西天罡工程项目管理有限公司</w:t>
      </w:r>
    </w:p>
    <w:p>
      <w:pPr>
        <w:widowControl/>
        <w:spacing w:line="300" w:lineRule="auto"/>
        <w:ind w:right="480"/>
        <w:jc w:val="right"/>
      </w:pP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</w:rPr>
        <w:t xml:space="preserve">年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kern w:val="0"/>
          <w:szCs w:val="21"/>
        </w:rPr>
        <w:t xml:space="preserve"> 月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kern w:val="0"/>
          <w:szCs w:val="21"/>
        </w:rPr>
        <w:t xml:space="preserve"> 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40CA"/>
    <w:rsid w:val="11190211"/>
    <w:rsid w:val="34865D4D"/>
    <w:rsid w:val="3B1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2020-12-25T06:55:00Z</dcterms:created>
  <dc:creator>Laura</dc:creator>
  <cp:lastModifiedBy>Laura</cp:lastModifiedBy>
  <dcterms:modified xsi:type="dcterms:W3CDTF">2020-12-25T06:58:21Z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