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ms-word.document.macroEnabled.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460" w:lineRule="exact"/>
        <w:ind w:right="126" w:rightChars="60" w:firstLine="16" w:firstLineChars="5"/>
        <w:jc w:val="center"/>
        <w:rPr>
          <w:rFonts w:hint="eastAsia" w:asciiTheme="minorEastAsia" w:hAnsiTheme="minorEastAsia" w:eastAsiaTheme="minorEastAsia" w:cstheme="minorEastAsia"/>
          <w:sz w:val="32"/>
          <w:szCs w:val="32"/>
          <w:lang w:eastAsia="zh-CN"/>
        </w:rPr>
      </w:pPr>
      <w:bookmarkStart w:id="14" w:name="_GoBack"/>
      <w:bookmarkStart w:id="0" w:name="_Toc28359022"/>
      <w:bookmarkStart w:id="1" w:name="_Toc35393809"/>
      <w:r>
        <w:rPr>
          <w:rFonts w:hint="eastAsia" w:asciiTheme="minorEastAsia" w:hAnsiTheme="minorEastAsia" w:eastAsiaTheme="minorEastAsia" w:cstheme="minorEastAsia"/>
          <w:sz w:val="32"/>
          <w:szCs w:val="32"/>
          <w:lang w:eastAsia="zh-CN"/>
        </w:rPr>
        <w:t>广西诚信工程造价咨询有限公司关于多媒体教学设备采购【GLZC2020-G1-990012-GXCX】中标结果公告</w:t>
      </w:r>
      <w:bookmarkEnd w:id="0"/>
      <w:bookmarkEnd w:id="1"/>
    </w:p>
    <w:bookmarkEnd w:id="14"/>
    <w:p>
      <w:pPr>
        <w:pStyle w:val="4"/>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lang w:eastAsia="zh-CN"/>
        </w:rPr>
      </w:pPr>
    </w:p>
    <w:p>
      <w:pPr>
        <w:keepNext w:val="0"/>
        <w:keepLines w:val="0"/>
        <w:pageBreakBefore w:val="0"/>
        <w:widowControl/>
        <w:numPr>
          <w:ilvl w:val="0"/>
          <w:numId w:val="1"/>
        </w:numPr>
        <w:suppressLineNumbers w:val="0"/>
        <w:kinsoku/>
        <w:wordWrap/>
        <w:overflowPunct/>
        <w:topLinePunct w:val="0"/>
        <w:autoSpaceDE/>
        <w:autoSpaceDN/>
        <w:bidi w:val="0"/>
        <w:adjustRightInd/>
        <w:snapToGrid/>
        <w:spacing w:beforeAutospacing="0" w:afterAutospacing="0" w:line="360" w:lineRule="auto"/>
        <w:ind w:left="0" w:leftChars="0" w:right="0" w:rightChars="0" w:firstLine="482" w:firstLineChars="20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b/>
          <w:bCs/>
          <w:color w:val="000000"/>
          <w:kern w:val="2"/>
          <w:sz w:val="24"/>
          <w:szCs w:val="24"/>
          <w:shd w:val="clear" w:fill="FFFFFF"/>
          <w:lang w:val="en-US" w:eastAsia="zh-CN" w:bidi="ar"/>
        </w:rPr>
        <w:t>项目编号：GLZC2020-G1-990012-GXCX</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60" w:lineRule="auto"/>
        <w:ind w:leftChars="200" w:right="0" w:rightChars="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b/>
          <w:bCs/>
          <w:color w:val="000000"/>
          <w:kern w:val="2"/>
          <w:sz w:val="24"/>
          <w:szCs w:val="24"/>
          <w:shd w:val="clear" w:fill="FFFFFF"/>
          <w:lang w:val="en-US" w:eastAsia="zh-CN" w:bidi="ar"/>
        </w:rPr>
        <w:t>二、项目名称：多媒体教学设备采购</w:t>
      </w:r>
    </w:p>
    <w:p>
      <w:pPr>
        <w:pageBreakBefore w:val="0"/>
        <w:kinsoku/>
        <w:wordWrap/>
        <w:overflowPunct/>
        <w:topLinePunct w:val="0"/>
        <w:autoSpaceDN/>
        <w:bidi w:val="0"/>
        <w:adjustRightInd/>
        <w:snapToGrid/>
        <w:spacing w:line="360" w:lineRule="auto"/>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三、中标信息</w:t>
      </w:r>
    </w:p>
    <w:p>
      <w:pPr>
        <w:ind w:firstLine="480" w:firstLineChars="200"/>
        <w:rPr>
          <w:rFonts w:hint="eastAsia" w:asciiTheme="minorEastAsia" w:hAnsiTheme="minorEastAsia" w:eastAsiaTheme="minorEastAsia" w:cstheme="minorEastAsia"/>
          <w:b w:val="0"/>
          <w:bCs w:val="0"/>
          <w:color w:val="000000"/>
          <w:kern w:val="2"/>
          <w:sz w:val="24"/>
          <w:szCs w:val="24"/>
          <w:shd w:val="clear" w:fill="FFFFFF"/>
          <w:lang w:val="en-US" w:eastAsia="zh-CN" w:bidi="ar"/>
        </w:rPr>
      </w:pPr>
      <w:r>
        <w:rPr>
          <w:rFonts w:hint="eastAsia" w:asciiTheme="minorEastAsia" w:hAnsiTheme="minorEastAsia" w:eastAsiaTheme="minorEastAsia" w:cstheme="minorEastAsia"/>
          <w:b w:val="0"/>
          <w:bCs w:val="0"/>
          <w:color w:val="000000"/>
          <w:kern w:val="2"/>
          <w:sz w:val="24"/>
          <w:szCs w:val="24"/>
          <w:shd w:val="clear" w:fill="FFFFFF"/>
          <w:lang w:val="en-US" w:eastAsia="zh-CN" w:bidi="ar"/>
        </w:rPr>
        <w:t>供应商名称：杭州妙道科技有限公司</w:t>
      </w:r>
    </w:p>
    <w:p>
      <w:pPr>
        <w:ind w:firstLine="480" w:firstLineChars="200"/>
        <w:rPr>
          <w:rFonts w:hint="eastAsia" w:asciiTheme="minorEastAsia" w:hAnsiTheme="minorEastAsia" w:eastAsiaTheme="minorEastAsia" w:cstheme="minorEastAsia"/>
          <w:b w:val="0"/>
          <w:bCs w:val="0"/>
          <w:color w:val="000000"/>
          <w:kern w:val="2"/>
          <w:sz w:val="24"/>
          <w:szCs w:val="24"/>
          <w:shd w:val="clear" w:fill="FFFFFF"/>
          <w:lang w:val="en-US" w:eastAsia="zh-CN" w:bidi="ar"/>
        </w:rPr>
      </w:pPr>
      <w:r>
        <w:rPr>
          <w:rFonts w:hint="eastAsia" w:asciiTheme="minorEastAsia" w:hAnsiTheme="minorEastAsia" w:eastAsiaTheme="minorEastAsia" w:cstheme="minorEastAsia"/>
          <w:b w:val="0"/>
          <w:bCs w:val="0"/>
          <w:color w:val="000000"/>
          <w:kern w:val="2"/>
          <w:sz w:val="24"/>
          <w:szCs w:val="24"/>
          <w:shd w:val="clear" w:fill="FFFFFF"/>
          <w:lang w:val="en-US" w:eastAsia="zh-CN" w:bidi="ar"/>
        </w:rPr>
        <w:t>供应商地址：浙江省杭州市西湖区三墩镇三墩街1号世创国际809室</w:t>
      </w:r>
    </w:p>
    <w:p>
      <w:pPr>
        <w:ind w:firstLine="480" w:firstLineChars="200"/>
        <w:rPr>
          <w:rFonts w:hint="eastAsia"/>
          <w:sz w:val="21"/>
          <w:szCs w:val="21"/>
          <w:lang w:val="en-US" w:eastAsia="zh-CN"/>
        </w:rPr>
      </w:pPr>
      <w:r>
        <w:rPr>
          <w:rFonts w:hint="eastAsia" w:asciiTheme="minorEastAsia" w:hAnsiTheme="minorEastAsia" w:eastAsiaTheme="minorEastAsia" w:cstheme="minorEastAsia"/>
          <w:b w:val="0"/>
          <w:bCs w:val="0"/>
          <w:color w:val="000000"/>
          <w:kern w:val="2"/>
          <w:sz w:val="24"/>
          <w:szCs w:val="24"/>
          <w:shd w:val="clear" w:fill="FFFFFF"/>
          <w:lang w:val="en-US" w:eastAsia="zh-CN" w:bidi="ar"/>
        </w:rPr>
        <w:t>中标（成交）金额：2937535.00元</w:t>
      </w:r>
    </w:p>
    <w:p>
      <w:pPr>
        <w:pageBreakBefore w:val="0"/>
        <w:widowControl w:val="0"/>
        <w:numPr>
          <w:ilvl w:val="0"/>
          <w:numId w:val="2"/>
        </w:numPr>
        <w:kinsoku/>
        <w:wordWrap/>
        <w:overflowPunct/>
        <w:topLinePunct w:val="0"/>
        <w:autoSpaceDE/>
        <w:autoSpaceDN/>
        <w:bidi w:val="0"/>
        <w:adjustRightInd/>
        <w:snapToGrid/>
        <w:spacing w:line="360" w:lineRule="auto"/>
        <w:ind w:left="0" w:leftChars="0" w:right="0" w:rightChars="0" w:firstLine="482" w:firstLineChars="200"/>
        <w:jc w:val="both"/>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主要标的信息</w:t>
      </w:r>
    </w:p>
    <w:tbl>
      <w:tblPr>
        <w:tblStyle w:val="8"/>
        <w:tblW w:w="825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4"/>
        <w:gridCol w:w="1652"/>
        <w:gridCol w:w="1201"/>
        <w:gridCol w:w="1887"/>
        <w:gridCol w:w="1028"/>
        <w:gridCol w:w="685"/>
        <w:gridCol w:w="102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项号</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货物名称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品牌</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规格型号</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数量</w:t>
            </w:r>
          </w:p>
        </w:tc>
        <w:tc>
          <w:tcPr>
            <w:tcW w:w="6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单位</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rPr>
            </w:pPr>
            <w:r>
              <w:rPr>
                <w:rFonts w:hint="eastAsia" w:ascii="宋体" w:hAnsi="宋体" w:cs="宋体"/>
              </w:rPr>
              <w:t>单价（元）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jc w:val="center"/>
        </w:trPr>
        <w:tc>
          <w:tcPr>
            <w:tcW w:w="7227" w:type="dxa"/>
            <w:gridSpan w:val="6"/>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宋体" w:hAnsi="宋体" w:cs="宋体"/>
                <w:szCs w:val="21"/>
              </w:rPr>
            </w:pPr>
            <w:r>
              <w:rPr>
                <w:rFonts w:hint="eastAsia" w:ascii="宋体" w:hAnsi="宋体" w:cs="宋体"/>
                <w:szCs w:val="21"/>
              </w:rPr>
              <w:t>一、教学录播设备</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学生桌</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位</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多媒体教师桌椅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2450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录播教室工作台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980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工作台显示器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AOC</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24B2XH</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1180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纳米黑板一体机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云教</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YJZN-F860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27700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一体化云课堂主机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C1000-NH5</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一体化常态云课堂软件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C1000-NH5</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41800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可视化操控软件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C2000-NS1</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教师行为分析摄像机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C3000-NS5</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3360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教师行为分析软件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C3000-NS5</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4350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学生行为分析摄像机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C3000-NS6</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3360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学生行为分析软件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C3000-NS6</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4350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板书检测高清摄像机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C3000-NS8</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680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面板式吊装全向麦</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C3000-NM2</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音箱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C3000-NY1</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资源管理云教学平台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异度云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 C2000-SS1</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95000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终端检测与响应平台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EDR</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19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安装、调试及培训费</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装修及设计</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jc w:val="center"/>
        </w:trPr>
        <w:tc>
          <w:tcPr>
            <w:tcW w:w="7227" w:type="dxa"/>
            <w:gridSpan w:val="6"/>
            <w:tcBorders>
              <w:top w:val="single" w:color="auto" w:sz="4" w:space="0"/>
              <w:left w:val="single" w:color="auto" w:sz="4" w:space="0"/>
              <w:right w:val="single" w:color="auto" w:sz="4" w:space="0"/>
            </w:tcBorders>
            <w:noWrap w:val="0"/>
            <w:vAlign w:val="center"/>
          </w:tcPr>
          <w:p>
            <w:pPr>
              <w:spacing w:line="360" w:lineRule="auto"/>
              <w:jc w:val="left"/>
              <w:rPr>
                <w:rFonts w:hint="eastAsia" w:ascii="宋体" w:hAnsi="宋体" w:cs="宋体"/>
                <w:szCs w:val="21"/>
              </w:rPr>
            </w:pPr>
            <w:r>
              <w:rPr>
                <w:rFonts w:hint="eastAsia" w:ascii="宋体" w:hAnsi="宋体" w:cs="宋体"/>
                <w:szCs w:val="21"/>
              </w:rPr>
              <w:t>二、多媒体教学设备</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3"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壁挂一体机（包括电脑，中控，高拍仪）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拓驰</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TC1200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7845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一体化智能白板</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云教</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YJZN-TBI96I</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超短焦激光投影机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长虹</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P5W33</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12500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2.4G音箱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华拓</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HT-240G</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超短焦投影机支架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副</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安装、调试及辅材</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55</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智慧教学平台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美时美课</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V2.0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移动示教车</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墨豚</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MT-SJ-S4</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67500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29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助学精灵</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墨豚</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AG-V4.0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安装调试费用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jc w:val="center"/>
        </w:trPr>
        <w:tc>
          <w:tcPr>
            <w:tcW w:w="7227" w:type="dxa"/>
            <w:gridSpan w:val="6"/>
            <w:tcBorders>
              <w:top w:val="single" w:color="auto" w:sz="4" w:space="0"/>
              <w:left w:val="single" w:color="auto" w:sz="4" w:space="0"/>
              <w:right w:val="single" w:color="auto" w:sz="4" w:space="0"/>
            </w:tcBorders>
            <w:noWrap w:val="0"/>
            <w:vAlign w:val="center"/>
          </w:tcPr>
          <w:p>
            <w:pPr>
              <w:spacing w:line="360" w:lineRule="auto"/>
              <w:jc w:val="left"/>
              <w:rPr>
                <w:rFonts w:hint="eastAsia" w:ascii="宋体" w:hAnsi="宋体" w:cs="宋体"/>
                <w:szCs w:val="21"/>
              </w:rPr>
            </w:pPr>
            <w:r>
              <w:rPr>
                <w:rFonts w:hint="eastAsia" w:ascii="宋体" w:hAnsi="宋体" w:cs="宋体"/>
                <w:szCs w:val="21"/>
              </w:rPr>
              <w:t>三、多媒体计算机教室</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学生桌</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12</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2250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多媒体教师桌椅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2450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实训凳</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只</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教师机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联想</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启天M420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5200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6"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千兆交换机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华为</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 xml:space="preserve">S5700S-28P-LI-AC </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3</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机柜</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图腾</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22U</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纳米黑板一体机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云教</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YJZN-F860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27700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云计算服务器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VDS-P-5050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2</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39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云计算终端</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aDesk-STD-100-s</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900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显示器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联想</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V20-10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键鼠套装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联想</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KM102</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9"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云计算虚拟桌面软件及授权</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VDI授权与配件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虚拟存储模块</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48</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课堂教学软件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极域</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定制版</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布线及施工</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9900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jc w:val="center"/>
        </w:trPr>
        <w:tc>
          <w:tcPr>
            <w:tcW w:w="7227" w:type="dxa"/>
            <w:gridSpan w:val="6"/>
            <w:tcBorders>
              <w:top w:val="single" w:color="auto" w:sz="4" w:space="0"/>
              <w:left w:val="single" w:color="auto" w:sz="4" w:space="0"/>
              <w:right w:val="single" w:color="auto" w:sz="4" w:space="0"/>
            </w:tcBorders>
            <w:noWrap w:val="0"/>
            <w:vAlign w:val="center"/>
          </w:tcPr>
          <w:p>
            <w:pPr>
              <w:spacing w:line="360" w:lineRule="auto"/>
              <w:jc w:val="left"/>
              <w:rPr>
                <w:rFonts w:hint="eastAsia" w:ascii="宋体" w:hAnsi="宋体" w:cs="宋体"/>
                <w:szCs w:val="21"/>
              </w:rPr>
            </w:pPr>
            <w:r>
              <w:rPr>
                <w:rFonts w:hint="eastAsia" w:ascii="宋体" w:hAnsi="宋体" w:cs="宋体"/>
                <w:szCs w:val="21"/>
              </w:rPr>
              <w:t>四、多媒体电竞实训室</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电竞终端主机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6500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键鼠套装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惠普</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键盘GK520/鼠标G200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只</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电竞显示器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Aoc</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C27B1H</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1190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49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耳机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惠普</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H200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服务器</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戴尔</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R740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32000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接入交换机</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华为</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S5720SV2-28P-LI-AC</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3</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4480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显示屏</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互联网王牌</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100寸</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管理软件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网维大师</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V1.0</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9"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54</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网络终端检测与响应平台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深信服</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EDR</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55</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教师桌</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2450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56</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学生电脑桌</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12</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57</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电脑椅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51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张</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350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58</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机柜</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图腾</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22U</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台</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59</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音箱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新科</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GB-16</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1套</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3500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60</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吊顶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100</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61</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综合布线</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10000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8" w:hRule="atLeast"/>
          <w:jc w:val="center"/>
        </w:trPr>
        <w:tc>
          <w:tcPr>
            <w:tcW w:w="774" w:type="dxa"/>
            <w:tcBorders>
              <w:top w:val="single" w:color="auto" w:sz="4" w:space="0"/>
              <w:left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62</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静电地板</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100</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230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8"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63</w:t>
            </w:r>
          </w:p>
        </w:tc>
        <w:tc>
          <w:tcPr>
            <w:tcW w:w="165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20"/>
                <w:szCs w:val="20"/>
              </w:rPr>
            </w:pPr>
            <w:r>
              <w:rPr>
                <w:rFonts w:hint="eastAsia"/>
                <w:color w:val="000000"/>
                <w:sz w:val="20"/>
                <w:szCs w:val="20"/>
              </w:rPr>
              <w:t>文化布置</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国产</w:t>
            </w:r>
          </w:p>
        </w:tc>
        <w:tc>
          <w:tcPr>
            <w:tcW w:w="188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定制</w:t>
            </w:r>
          </w:p>
        </w:tc>
        <w:tc>
          <w:tcPr>
            <w:tcW w:w="102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1</w:t>
            </w:r>
          </w:p>
        </w:tc>
        <w:tc>
          <w:tcPr>
            <w:tcW w:w="68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20"/>
                <w:szCs w:val="20"/>
              </w:rPr>
            </w:pPr>
            <w:r>
              <w:rPr>
                <w:rFonts w:hint="eastAsia"/>
                <w:color w:val="000000"/>
                <w:sz w:val="20"/>
                <w:szCs w:val="20"/>
              </w:rPr>
              <w:t>项</w:t>
            </w:r>
          </w:p>
        </w:tc>
        <w:tc>
          <w:tcPr>
            <w:tcW w:w="102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color w:val="000000"/>
                <w:szCs w:val="21"/>
              </w:rPr>
              <w:t>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8" w:hRule="atLeast"/>
          <w:jc w:val="center"/>
        </w:trPr>
        <w:tc>
          <w:tcPr>
            <w:tcW w:w="8256" w:type="dxa"/>
            <w:gridSpan w:val="7"/>
            <w:tcBorders>
              <w:top w:val="single" w:color="auto" w:sz="4" w:space="0"/>
              <w:left w:val="single" w:color="auto" w:sz="4" w:space="0"/>
              <w:bottom w:val="single" w:color="auto" w:sz="4" w:space="0"/>
              <w:right w:val="single" w:color="auto" w:sz="4" w:space="0"/>
            </w:tcBorders>
            <w:noWrap w:val="0"/>
            <w:vAlign w:val="center"/>
          </w:tcPr>
          <w:p>
            <w:pPr>
              <w:jc w:val="left"/>
              <w:rPr>
                <w:rFonts w:hint="eastAsia"/>
                <w:color w:val="000000"/>
                <w:szCs w:val="21"/>
              </w:rPr>
            </w:pPr>
            <w:r>
              <w:rPr>
                <w:rFonts w:hint="eastAsia" w:ascii="宋体" w:hAnsi="宋体" w:cs="宋体"/>
                <w:spacing w:val="-6"/>
              </w:rPr>
              <w:t>投标总报价（大写）： 贰佰玖拾叁万柒仟伍佰叁拾伍 元（￥ 2937535 ）人民币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8" w:hRule="atLeast"/>
          <w:jc w:val="center"/>
        </w:trPr>
        <w:tc>
          <w:tcPr>
            <w:tcW w:w="8256" w:type="dxa"/>
            <w:gridSpan w:val="7"/>
            <w:tcBorders>
              <w:top w:val="single" w:color="auto" w:sz="4" w:space="0"/>
              <w:left w:val="single" w:color="auto" w:sz="4" w:space="0"/>
              <w:bottom w:val="single" w:color="auto" w:sz="4" w:space="0"/>
              <w:right w:val="single" w:color="auto" w:sz="4" w:space="0"/>
            </w:tcBorders>
            <w:noWrap w:val="0"/>
            <w:vAlign w:val="center"/>
          </w:tcPr>
          <w:p>
            <w:pPr>
              <w:jc w:val="left"/>
              <w:rPr>
                <w:rFonts w:hint="eastAsia"/>
                <w:color w:val="000000"/>
                <w:szCs w:val="21"/>
              </w:rPr>
            </w:pPr>
            <w:r>
              <w:rPr>
                <w:rFonts w:hint="eastAsia" w:ascii="宋体" w:hAnsi="宋体" w:cs="宋体"/>
                <w:spacing w:val="-6"/>
              </w:rPr>
              <w:t>本项目投标有效期为投标截止时间之日起90天。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8" w:hRule="atLeast"/>
          <w:jc w:val="center"/>
        </w:trPr>
        <w:tc>
          <w:tcPr>
            <w:tcW w:w="8256" w:type="dxa"/>
            <w:gridSpan w:val="7"/>
            <w:tcBorders>
              <w:top w:val="single" w:color="auto" w:sz="4" w:space="0"/>
              <w:left w:val="single" w:color="auto" w:sz="4" w:space="0"/>
              <w:right w:val="single" w:color="auto" w:sz="4" w:space="0"/>
            </w:tcBorders>
            <w:noWrap w:val="0"/>
            <w:vAlign w:val="center"/>
          </w:tcPr>
          <w:p>
            <w:pPr>
              <w:jc w:val="left"/>
              <w:rPr>
                <w:rFonts w:hint="eastAsia"/>
                <w:color w:val="000000"/>
                <w:szCs w:val="21"/>
              </w:rPr>
            </w:pPr>
            <w:r>
              <w:rPr>
                <w:rFonts w:hint="eastAsia" w:ascii="宋体" w:hAnsi="宋体" w:cs="宋体"/>
                <w:spacing w:val="-6"/>
              </w:rPr>
              <w:t>免费保修期:三年</w:t>
            </w: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2" w:firstLineChars="200"/>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eastAsia="zh-CN"/>
        </w:rPr>
        <w:t>五、</w:t>
      </w:r>
      <w:r>
        <w:rPr>
          <w:rFonts w:hint="eastAsia" w:asciiTheme="minorEastAsia" w:hAnsiTheme="minorEastAsia" w:eastAsiaTheme="minorEastAsia" w:cstheme="minorEastAsia"/>
          <w:b/>
          <w:bCs/>
          <w:sz w:val="24"/>
          <w:szCs w:val="24"/>
        </w:rPr>
        <w:t>评审专家名单：</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评标委员会名单：蒋仙玉、 赵京、 徐玉萍、</w:t>
      </w:r>
      <w:r>
        <w:rPr>
          <w:rFonts w:hint="eastAsia" w:ascii="宋体" w:hAnsi="宋体" w:cs="宋体"/>
          <w:sz w:val="24"/>
          <w:szCs w:val="24"/>
          <w:lang w:val="en-US" w:eastAsia="zh-CN"/>
        </w:rPr>
        <w:t>陈纯</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2"/>
          <w:sz w:val="24"/>
          <w:szCs w:val="24"/>
          <w:shd w:val="clear" w:fill="FFFFFF"/>
          <w:lang w:val="en-US" w:eastAsia="zh-CN" w:bidi="ar"/>
        </w:rPr>
        <w:t>采购人代表：</w:t>
      </w:r>
      <w:r>
        <w:rPr>
          <w:rFonts w:hint="eastAsia" w:ascii="宋体" w:hAnsi="宋体" w:cs="宋体"/>
          <w:sz w:val="24"/>
          <w:szCs w:val="24"/>
          <w:lang w:val="en-US" w:eastAsia="zh-CN"/>
        </w:rPr>
        <w:t>张璎璎</w:t>
      </w:r>
      <w:r>
        <w:rPr>
          <w:rFonts w:hint="eastAsia" w:asciiTheme="minorEastAsia" w:hAnsiTheme="minorEastAsia" w:eastAsiaTheme="minorEastAsia" w:cstheme="minorEastAsia"/>
          <w:color w:val="auto"/>
          <w:sz w:val="24"/>
          <w:szCs w:val="24"/>
        </w:rPr>
        <w:t xml:space="preserve"> </w:t>
      </w:r>
    </w:p>
    <w:p>
      <w:pPr>
        <w:pageBreakBefore w:val="0"/>
        <w:kinsoku/>
        <w:wordWrap/>
        <w:overflowPunct/>
        <w:topLinePunct w:val="0"/>
        <w:autoSpaceDE/>
        <w:autoSpaceDN/>
        <w:bidi w:val="0"/>
        <w:adjustRightInd/>
        <w:snapToGrid/>
        <w:spacing w:line="360" w:lineRule="auto"/>
        <w:ind w:right="0" w:rightChars="0" w:firstLine="482" w:firstLineChars="200"/>
        <w:textAlignment w:val="auto"/>
        <w:rPr>
          <w:rFonts w:hint="eastAsia" w:asciiTheme="minorEastAsia" w:hAnsiTheme="minorEastAsia" w:eastAsiaTheme="minorEastAsia" w:cstheme="minorEastAsia"/>
          <w:b/>
          <w:bCs/>
          <w:i w:val="0"/>
          <w:iCs w:val="0"/>
          <w:color w:val="000000"/>
          <w:kern w:val="2"/>
          <w:sz w:val="24"/>
          <w:szCs w:val="24"/>
          <w:shd w:val="clear" w:fill="FFFFFF"/>
          <w:lang w:val="en-US" w:eastAsia="zh-CN" w:bidi="ar"/>
        </w:rPr>
      </w:pPr>
      <w:r>
        <w:rPr>
          <w:rFonts w:hint="eastAsia" w:asciiTheme="minorEastAsia" w:hAnsiTheme="minorEastAsia" w:eastAsiaTheme="minorEastAsia" w:cstheme="minorEastAsia"/>
          <w:b/>
          <w:bCs/>
          <w:i w:val="0"/>
          <w:iCs w:val="0"/>
          <w:sz w:val="24"/>
          <w:szCs w:val="24"/>
        </w:rPr>
        <w:t>六、代理服务收费标准及金额：</w:t>
      </w: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本项目招标代理费金额：叁万陆仟叁佰壹拾叁元整（</w:t>
      </w:r>
      <w:r>
        <w:rPr>
          <w:rFonts w:hint="default" w:ascii="Arial" w:hAnsi="Arial" w:cs="Arial" w:eastAsiaTheme="minorEastAsia"/>
          <w:color w:val="000000"/>
          <w:kern w:val="2"/>
          <w:sz w:val="24"/>
          <w:szCs w:val="24"/>
          <w:shd w:val="clear" w:fill="FFFFFF"/>
          <w:lang w:val="en-US" w:eastAsia="zh-CN" w:bidi="ar"/>
        </w:rPr>
        <w:t>¥</w:t>
      </w:r>
      <w:r>
        <w:rPr>
          <w:rFonts w:hint="eastAsia" w:asciiTheme="minorEastAsia" w:hAnsiTheme="minorEastAsia" w:eastAsiaTheme="minorEastAsia" w:cstheme="minorEastAsia"/>
          <w:color w:val="000000"/>
          <w:kern w:val="2"/>
          <w:sz w:val="24"/>
          <w:szCs w:val="24"/>
          <w:shd w:val="clear" w:fill="FFFFFF"/>
          <w:lang w:val="en-US" w:eastAsia="zh-CN" w:bidi="ar"/>
        </w:rPr>
        <w:t>36313.00）</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本项目招标代理服务收费标准参照计价格[2002]1980号《招标代理服务收费管理暂行办法》货物类收费标准向中标供应商收取。（代理费不足6000元的，按6000元收取）</w:t>
      </w:r>
    </w:p>
    <w:p>
      <w:pPr>
        <w:pageBreakBefore w:val="0"/>
        <w:kinsoku/>
        <w:wordWrap/>
        <w:overflowPunct/>
        <w:topLinePunct w:val="0"/>
        <w:autoSpaceDE/>
        <w:autoSpaceDN/>
        <w:bidi w:val="0"/>
        <w:adjustRightInd/>
        <w:snapToGrid/>
        <w:spacing w:line="360" w:lineRule="auto"/>
        <w:ind w:right="0" w:rightChars="0" w:firstLine="482" w:firstLineChars="200"/>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七、公告期限</w:t>
      </w: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自本公告发布之日起1个工作日。</w:t>
      </w:r>
    </w:p>
    <w:p>
      <w:pPr>
        <w:pageBreakBefore w:val="0"/>
        <w:numPr>
          <w:ilvl w:val="0"/>
          <w:numId w:val="3"/>
        </w:numPr>
        <w:kinsoku/>
        <w:wordWrap/>
        <w:overflowPunct/>
        <w:topLinePunct w:val="0"/>
        <w:autoSpaceDE/>
        <w:autoSpaceDN/>
        <w:bidi w:val="0"/>
        <w:adjustRightInd/>
        <w:snapToGrid/>
        <w:spacing w:line="360" w:lineRule="auto"/>
        <w:ind w:right="0" w:rightChars="0" w:firstLine="482" w:firstLineChars="200"/>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其他补充事宜</w:t>
      </w: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1、未中标情况</w:t>
      </w:r>
    </w:p>
    <w:tbl>
      <w:tblPr>
        <w:tblStyle w:val="8"/>
        <w:tblW w:w="8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5"/>
        <w:gridCol w:w="2644"/>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exact"/>
          <w:jc w:val="center"/>
        </w:trPr>
        <w:tc>
          <w:tcPr>
            <w:tcW w:w="4515" w:type="dxa"/>
            <w:noWrap w:val="0"/>
            <w:vAlign w:val="center"/>
          </w:tcPr>
          <w:p>
            <w:pPr>
              <w:keepNext w:val="0"/>
              <w:keepLines w:val="0"/>
              <w:pageBreakBefore w:val="0"/>
              <w:kinsoku/>
              <w:wordWrap/>
              <w:overflowPunct/>
              <w:topLinePunct w:val="0"/>
              <w:bidi w:val="0"/>
              <w:snapToGrid/>
              <w:spacing w:line="440" w:lineRule="exact"/>
              <w:jc w:val="center"/>
              <w:textAlignment w:val="auto"/>
              <w:rPr>
                <w:rFonts w:ascii="宋体" w:hAnsi="宋体"/>
                <w:bCs/>
                <w:sz w:val="24"/>
                <w:szCs w:val="24"/>
              </w:rPr>
            </w:pPr>
            <w:r>
              <w:rPr>
                <w:rFonts w:hint="eastAsia"/>
                <w:bCs/>
                <w:sz w:val="24"/>
                <w:szCs w:val="24"/>
              </w:rPr>
              <w:t>投 标 人</w:t>
            </w:r>
          </w:p>
        </w:tc>
        <w:tc>
          <w:tcPr>
            <w:tcW w:w="2644" w:type="dxa"/>
            <w:noWrap w:val="0"/>
            <w:vAlign w:val="center"/>
          </w:tcPr>
          <w:p>
            <w:pPr>
              <w:keepNext w:val="0"/>
              <w:keepLines w:val="0"/>
              <w:pageBreakBefore w:val="0"/>
              <w:kinsoku/>
              <w:wordWrap/>
              <w:overflowPunct/>
              <w:topLinePunct w:val="0"/>
              <w:bidi w:val="0"/>
              <w:snapToGrid/>
              <w:spacing w:line="440" w:lineRule="exact"/>
              <w:jc w:val="center"/>
              <w:textAlignment w:val="auto"/>
              <w:rPr>
                <w:rFonts w:hint="eastAsia" w:ascii="宋体" w:hAnsi="宋体"/>
                <w:bCs/>
                <w:sz w:val="24"/>
                <w:szCs w:val="24"/>
              </w:rPr>
            </w:pPr>
            <w:r>
              <w:rPr>
                <w:rFonts w:hint="eastAsia" w:ascii="宋体" w:hAnsi="宋体"/>
                <w:bCs/>
                <w:sz w:val="24"/>
                <w:szCs w:val="24"/>
              </w:rPr>
              <w:t>得  分</w:t>
            </w:r>
          </w:p>
        </w:tc>
        <w:tc>
          <w:tcPr>
            <w:tcW w:w="1438" w:type="dxa"/>
            <w:noWrap w:val="0"/>
            <w:vAlign w:val="center"/>
          </w:tcPr>
          <w:p>
            <w:pPr>
              <w:keepNext w:val="0"/>
              <w:keepLines w:val="0"/>
              <w:pageBreakBefore w:val="0"/>
              <w:kinsoku/>
              <w:wordWrap/>
              <w:overflowPunct/>
              <w:topLinePunct w:val="0"/>
              <w:bidi w:val="0"/>
              <w:snapToGrid/>
              <w:spacing w:line="440" w:lineRule="exact"/>
              <w:jc w:val="center"/>
              <w:textAlignment w:val="auto"/>
              <w:rPr>
                <w:rFonts w:hint="eastAsia"/>
                <w:bCs/>
                <w:sz w:val="24"/>
                <w:szCs w:val="24"/>
              </w:rPr>
            </w:pPr>
            <w:r>
              <w:rPr>
                <w:rFonts w:hint="eastAsia"/>
                <w:bCs/>
                <w:sz w:val="24"/>
                <w:szCs w:val="24"/>
              </w:rPr>
              <w:t>名  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exact"/>
          <w:jc w:val="center"/>
        </w:trPr>
        <w:tc>
          <w:tcPr>
            <w:tcW w:w="4515" w:type="dxa"/>
            <w:noWrap w:val="0"/>
            <w:vAlign w:val="center"/>
          </w:tcPr>
          <w:p>
            <w:pPr>
              <w:keepNext w:val="0"/>
              <w:keepLines w:val="0"/>
              <w:pageBreakBefore w:val="0"/>
              <w:widowControl/>
              <w:kinsoku/>
              <w:wordWrap/>
              <w:overflowPunct/>
              <w:topLinePunct w:val="0"/>
              <w:autoSpaceDE w:val="0"/>
              <w:bidi w:val="0"/>
              <w:snapToGrid/>
              <w:spacing w:line="440" w:lineRule="exact"/>
              <w:ind w:firstLine="480" w:firstLineChars="200"/>
              <w:jc w:val="center"/>
              <w:textAlignment w:val="auto"/>
              <w:rPr>
                <w:rFonts w:hint="eastAsia" w:ascii="宋体" w:hAnsi="宋体" w:eastAsia="宋体"/>
                <w:sz w:val="24"/>
                <w:lang w:val="en-US" w:eastAsia="zh-CN"/>
              </w:rPr>
            </w:pPr>
            <w:r>
              <w:rPr>
                <w:rFonts w:hint="eastAsia" w:ascii="宋体" w:hAnsi="宋体" w:cs="宋体"/>
                <w:sz w:val="24"/>
                <w:szCs w:val="24"/>
              </w:rPr>
              <w:t>杭州沃好友科技有限公司</w:t>
            </w:r>
            <w:r>
              <w:rPr>
                <w:rFonts w:hint="eastAsia" w:ascii="宋体" w:hAnsi="宋体" w:cs="宋体"/>
                <w:sz w:val="24"/>
                <w:szCs w:val="24"/>
                <w:lang w:val="en-US" w:eastAsia="zh-CN"/>
              </w:rPr>
              <w:t xml:space="preserve"> </w:t>
            </w:r>
            <w:r>
              <w:rPr>
                <w:rFonts w:hint="eastAsia" w:ascii="宋体" w:hAnsi="宋体"/>
                <w:sz w:val="24"/>
                <w:szCs w:val="22"/>
                <w:lang w:val="en-US" w:eastAsia="zh-CN"/>
              </w:rPr>
              <w:t xml:space="preserve"> </w:t>
            </w:r>
          </w:p>
        </w:tc>
        <w:tc>
          <w:tcPr>
            <w:tcW w:w="2644" w:type="dxa"/>
            <w:noWrap w:val="0"/>
            <w:vAlign w:val="center"/>
          </w:tcPr>
          <w:p>
            <w:pPr>
              <w:keepNext w:val="0"/>
              <w:keepLines w:val="0"/>
              <w:widowControl/>
              <w:suppressLineNumbers w:val="0"/>
              <w:jc w:val="center"/>
              <w:textAlignment w:val="center"/>
              <w:rPr>
                <w:rFonts w:hint="default" w:ascii="宋体" w:hAnsi="宋体"/>
                <w:bCs/>
                <w:sz w:val="24"/>
                <w:szCs w:val="24"/>
                <w:lang w:val="en-US"/>
              </w:rPr>
            </w:pPr>
            <w:r>
              <w:rPr>
                <w:rFonts w:hint="default" w:ascii="宋体" w:hAnsi="宋体"/>
                <w:bCs/>
                <w:sz w:val="24"/>
                <w:szCs w:val="24"/>
                <w:lang w:val="en-US"/>
              </w:rPr>
              <w:t>62.60</w:t>
            </w:r>
          </w:p>
        </w:tc>
        <w:tc>
          <w:tcPr>
            <w:tcW w:w="1438" w:type="dxa"/>
            <w:noWrap w:val="0"/>
            <w:vAlign w:val="center"/>
          </w:tcPr>
          <w:p>
            <w:pPr>
              <w:keepNext w:val="0"/>
              <w:keepLines w:val="0"/>
              <w:pageBreakBefore w:val="0"/>
              <w:kinsoku/>
              <w:wordWrap/>
              <w:overflowPunct/>
              <w:topLinePunct w:val="0"/>
              <w:bidi w:val="0"/>
              <w:snapToGrid/>
              <w:spacing w:line="440" w:lineRule="exact"/>
              <w:jc w:val="center"/>
              <w:textAlignment w:val="auto"/>
              <w:rPr>
                <w:rFonts w:hint="eastAsia" w:ascii="宋体" w:hAnsi="宋体" w:eastAsia="宋体"/>
                <w:bCs/>
                <w:sz w:val="24"/>
                <w:szCs w:val="24"/>
                <w:lang w:val="en-US" w:eastAsia="zh-CN"/>
              </w:rPr>
            </w:pPr>
            <w:r>
              <w:rPr>
                <w:rFonts w:hint="eastAsia" w:ascii="宋体" w:hAnsi="宋体"/>
                <w:bCs/>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exact"/>
          <w:jc w:val="center"/>
        </w:trPr>
        <w:tc>
          <w:tcPr>
            <w:tcW w:w="4515" w:type="dxa"/>
            <w:noWrap w:val="0"/>
            <w:vAlign w:val="center"/>
          </w:tcPr>
          <w:p>
            <w:pPr>
              <w:keepNext w:val="0"/>
              <w:keepLines w:val="0"/>
              <w:pageBreakBefore w:val="0"/>
              <w:widowControl/>
              <w:kinsoku/>
              <w:wordWrap/>
              <w:overflowPunct/>
              <w:topLinePunct w:val="0"/>
              <w:autoSpaceDE w:val="0"/>
              <w:bidi w:val="0"/>
              <w:snapToGrid/>
              <w:spacing w:line="440" w:lineRule="exact"/>
              <w:ind w:firstLine="480" w:firstLineChars="200"/>
              <w:jc w:val="center"/>
              <w:textAlignment w:val="auto"/>
              <w:rPr>
                <w:rFonts w:hint="eastAsia" w:ascii="宋体" w:hAnsi="宋体" w:eastAsia="宋体"/>
                <w:sz w:val="24"/>
                <w:lang w:val="en-US" w:eastAsia="zh-CN"/>
              </w:rPr>
            </w:pPr>
            <w:r>
              <w:rPr>
                <w:rFonts w:hint="eastAsia" w:ascii="宋体" w:hAnsi="宋体" w:cs="宋体"/>
                <w:sz w:val="24"/>
                <w:szCs w:val="24"/>
              </w:rPr>
              <w:t>杭州飞驹科技有限公司</w:t>
            </w:r>
            <w:r>
              <w:rPr>
                <w:rFonts w:hint="eastAsia" w:ascii="宋体" w:hAnsi="宋体"/>
                <w:sz w:val="24"/>
                <w:szCs w:val="22"/>
                <w:lang w:val="en-US" w:eastAsia="zh-CN"/>
              </w:rPr>
              <w:t xml:space="preserve"> </w:t>
            </w:r>
          </w:p>
        </w:tc>
        <w:tc>
          <w:tcPr>
            <w:tcW w:w="2644" w:type="dxa"/>
            <w:noWrap w:val="0"/>
            <w:vAlign w:val="center"/>
          </w:tcPr>
          <w:p>
            <w:pPr>
              <w:keepNext w:val="0"/>
              <w:keepLines w:val="0"/>
              <w:widowControl/>
              <w:suppressLineNumbers w:val="0"/>
              <w:jc w:val="center"/>
              <w:textAlignment w:val="center"/>
              <w:rPr>
                <w:rFonts w:hint="default" w:ascii="宋体" w:hAnsi="宋体"/>
                <w:bCs/>
                <w:sz w:val="24"/>
                <w:szCs w:val="24"/>
                <w:lang w:val="en-US"/>
              </w:rPr>
            </w:pPr>
            <w:r>
              <w:rPr>
                <w:rFonts w:hint="default" w:ascii="宋体" w:hAnsi="宋体"/>
                <w:bCs/>
                <w:sz w:val="24"/>
                <w:szCs w:val="24"/>
                <w:lang w:val="en-US"/>
              </w:rPr>
              <w:t>57.80</w:t>
            </w:r>
          </w:p>
        </w:tc>
        <w:tc>
          <w:tcPr>
            <w:tcW w:w="1438" w:type="dxa"/>
            <w:noWrap w:val="0"/>
            <w:vAlign w:val="center"/>
          </w:tcPr>
          <w:p>
            <w:pPr>
              <w:keepNext w:val="0"/>
              <w:keepLines w:val="0"/>
              <w:pageBreakBefore w:val="0"/>
              <w:kinsoku/>
              <w:wordWrap/>
              <w:overflowPunct/>
              <w:topLinePunct w:val="0"/>
              <w:bidi w:val="0"/>
              <w:snapToGrid/>
              <w:spacing w:line="440" w:lineRule="exact"/>
              <w:jc w:val="center"/>
              <w:textAlignment w:val="auto"/>
              <w:rPr>
                <w:rFonts w:hint="eastAsia" w:ascii="宋体" w:hAnsi="宋体" w:eastAsia="宋体"/>
                <w:bCs/>
                <w:sz w:val="24"/>
                <w:szCs w:val="24"/>
                <w:lang w:val="en-US" w:eastAsia="zh-CN"/>
              </w:rPr>
            </w:pPr>
            <w:r>
              <w:rPr>
                <w:rFonts w:hint="eastAsia" w:ascii="宋体" w:hAnsi="宋体"/>
                <w:bCs/>
                <w:sz w:val="24"/>
                <w:szCs w:val="24"/>
                <w:lang w:val="en-US" w:eastAsia="zh-CN"/>
              </w:rPr>
              <w:t>3</w:t>
            </w:r>
          </w:p>
        </w:tc>
      </w:tr>
    </w:tbl>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2、未通过资格审查的投标人情况：无。</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3、信息公告发布媒体：本项目信息发布媒体：</w:t>
      </w:r>
      <w:r>
        <w:rPr>
          <w:rFonts w:hint="eastAsia" w:asciiTheme="minorEastAsia" w:hAnsiTheme="minorEastAsia" w:eastAsiaTheme="minorEastAsia" w:cstheme="minorEastAsia"/>
          <w:color w:val="000000"/>
          <w:kern w:val="2"/>
          <w:sz w:val="24"/>
          <w:szCs w:val="24"/>
          <w:shd w:val="clear" w:fill="FFFFFF"/>
          <w:lang w:val="en-US" w:eastAsia="zh-CN" w:bidi="ar"/>
        </w:rPr>
        <w:fldChar w:fldCharType="begin"/>
      </w:r>
      <w:r>
        <w:rPr>
          <w:rFonts w:hint="eastAsia" w:asciiTheme="minorEastAsia" w:hAnsiTheme="minorEastAsia" w:eastAsiaTheme="minorEastAsia" w:cstheme="minorEastAsia"/>
          <w:color w:val="000000"/>
          <w:kern w:val="2"/>
          <w:sz w:val="24"/>
          <w:szCs w:val="24"/>
          <w:shd w:val="clear" w:fill="FFFFFF"/>
          <w:lang w:val="en-US" w:eastAsia="zh-CN" w:bidi="ar"/>
        </w:rPr>
        <w:instrText xml:space="preserve"> HYPERLINK "http://www.ccgp.gov.cn（中国政府采购网）、http:/zfcg.gxzf.gov.cn/（广西壮族自治区政府采购网）、http:/gl.zfcg.zcygov.cn（桂林市政府采购网）、http:/glggzy.org.cn（桂林市公共资源交易中心网）。" </w:instrText>
      </w:r>
      <w:r>
        <w:rPr>
          <w:rFonts w:hint="eastAsia" w:asciiTheme="minorEastAsia" w:hAnsiTheme="minorEastAsia" w:eastAsiaTheme="minorEastAsia" w:cstheme="minorEastAsia"/>
          <w:color w:val="000000"/>
          <w:kern w:val="2"/>
          <w:sz w:val="24"/>
          <w:szCs w:val="24"/>
          <w:shd w:val="clear" w:fill="FFFFFF"/>
          <w:lang w:val="en-US" w:eastAsia="zh-CN" w:bidi="ar"/>
        </w:rPr>
        <w:fldChar w:fldCharType="separate"/>
      </w:r>
      <w:r>
        <w:rPr>
          <w:rFonts w:hint="eastAsia" w:asciiTheme="minorEastAsia" w:hAnsiTheme="minorEastAsia" w:eastAsiaTheme="minorEastAsia" w:cstheme="minorEastAsia"/>
          <w:color w:val="000000"/>
          <w:kern w:val="2"/>
          <w:sz w:val="24"/>
          <w:szCs w:val="24"/>
          <w:shd w:val="clear" w:fill="FFFFFF"/>
          <w:lang w:val="en-US" w:eastAsia="zh-CN" w:bidi="ar"/>
        </w:rPr>
        <w:t>http://www.ccgp.gov.cn（中国政府采购网）、http://zfcg.gxzf.gov.cn/（广西壮族自治区政府采购网）、http://gl.zfcg.zcygov.cn（桂林市政府采购网）、http://glggzy.org.cn（桂林市公共资源交易中心网）。</w:t>
      </w:r>
      <w:r>
        <w:rPr>
          <w:rFonts w:hint="eastAsia" w:asciiTheme="minorEastAsia" w:hAnsiTheme="minorEastAsia" w:eastAsiaTheme="minorEastAsia" w:cstheme="minorEastAsia"/>
          <w:color w:val="000000"/>
          <w:kern w:val="2"/>
          <w:sz w:val="24"/>
          <w:szCs w:val="24"/>
          <w:shd w:val="clear" w:fill="FFFFFF"/>
          <w:lang w:val="en-US" w:eastAsia="zh-CN" w:bidi="ar"/>
        </w:rPr>
        <w:fldChar w:fldCharType="end"/>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color w:val="000000"/>
          <w:kern w:val="2"/>
          <w:sz w:val="24"/>
          <w:szCs w:val="24"/>
          <w:shd w:val="clear" w:fill="FFFFFF"/>
          <w:lang w:val="en-US" w:eastAsia="zh-CN" w:bidi="ar"/>
        </w:rPr>
      </w:pPr>
      <w:r>
        <w:rPr>
          <w:rFonts w:hint="eastAsia" w:asciiTheme="minorEastAsia" w:hAnsiTheme="minorEastAsia" w:eastAsiaTheme="minorEastAsia" w:cstheme="minorEastAsia"/>
          <w:color w:val="000000"/>
          <w:kern w:val="2"/>
          <w:sz w:val="24"/>
          <w:szCs w:val="24"/>
          <w:shd w:val="clear" w:fill="FFFFFF"/>
          <w:lang w:val="en-US" w:eastAsia="zh-CN" w:bidi="ar"/>
        </w:rPr>
        <w:t>4、供应商认为本项目结果使自己的权益受到损害的，可以自中标结果公告期限届满之日起七个工作日内以书面形式广西诚信工程造价咨询有限公司提出质疑，质疑电话0773-5826808，逾期将不再受理。</w:t>
      </w:r>
    </w:p>
    <w:p>
      <w:pPr>
        <w:keepNext w:val="0"/>
        <w:keepLines w:val="0"/>
        <w:pageBreakBefore w:val="0"/>
        <w:kinsoku/>
        <w:wordWrap/>
        <w:overflowPunct/>
        <w:topLinePunct w:val="0"/>
        <w:autoSpaceDE/>
        <w:autoSpaceDN/>
        <w:bidi w:val="0"/>
        <w:adjustRightInd/>
        <w:snapToGrid/>
        <w:spacing w:line="360" w:lineRule="auto"/>
        <w:ind w:right="0" w:rightChars="0" w:firstLine="0" w:firstLineChars="0"/>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九、凡对本次公告内容提出询问，请按以下方式联系。</w:t>
      </w:r>
    </w:p>
    <w:p>
      <w:pPr>
        <w:pStyle w:val="4"/>
        <w:pageBreakBefore w:val="0"/>
        <w:kinsoku/>
        <w:wordWrap/>
        <w:overflowPunct/>
        <w:topLinePunct w:val="0"/>
        <w:autoSpaceDE/>
        <w:autoSpaceDN/>
        <w:bidi w:val="0"/>
        <w:adjustRightInd/>
        <w:snapToGrid/>
        <w:spacing w:before="0" w:after="0" w:line="360" w:lineRule="auto"/>
        <w:ind w:right="0" w:rightChars="0" w:firstLine="480" w:firstLineChars="200"/>
        <w:textAlignment w:val="auto"/>
        <w:rPr>
          <w:rFonts w:hint="eastAsia" w:asciiTheme="minorEastAsia" w:hAnsiTheme="minorEastAsia" w:eastAsiaTheme="minorEastAsia" w:cstheme="minorEastAsia"/>
          <w:b w:val="0"/>
          <w:sz w:val="24"/>
          <w:szCs w:val="24"/>
        </w:rPr>
      </w:pPr>
      <w:bookmarkStart w:id="2" w:name="_Toc28359100"/>
      <w:bookmarkStart w:id="3" w:name="_Toc28359023"/>
      <w:bookmarkStart w:id="4" w:name="_Toc35393810"/>
      <w:bookmarkStart w:id="5" w:name="_Toc35393641"/>
      <w:r>
        <w:rPr>
          <w:rFonts w:hint="eastAsia" w:asciiTheme="minorEastAsia" w:hAnsiTheme="minorEastAsia" w:eastAsiaTheme="minorEastAsia" w:cstheme="minorEastAsia"/>
          <w:b w:val="0"/>
          <w:sz w:val="24"/>
          <w:szCs w:val="24"/>
        </w:rPr>
        <w:t>1.采购人信息</w:t>
      </w:r>
      <w:bookmarkEnd w:id="2"/>
      <w:bookmarkEnd w:id="3"/>
      <w:bookmarkEnd w:id="4"/>
      <w:bookmarkEnd w:id="5"/>
    </w:p>
    <w:p>
      <w:pPr>
        <w:keepNext w:val="0"/>
        <w:keepLines w:val="0"/>
        <w:pageBreakBefore w:val="0"/>
        <w:kinsoku/>
        <w:wordWrap/>
        <w:overflowPunct/>
        <w:topLinePunct w:val="0"/>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    称：</w:t>
      </w:r>
      <w:r>
        <w:rPr>
          <w:rFonts w:hint="eastAsia" w:asciiTheme="minorEastAsia" w:hAnsiTheme="minorEastAsia" w:eastAsiaTheme="minorEastAsia" w:cstheme="minorEastAsia"/>
          <w:sz w:val="24"/>
          <w:szCs w:val="24"/>
          <w:lang w:eastAsia="zh-CN"/>
        </w:rPr>
        <w:t>桂林市机电职业技术学校</w:t>
      </w:r>
    </w:p>
    <w:p>
      <w:pPr>
        <w:pageBreakBefore w:val="0"/>
        <w:kinsoku/>
        <w:wordWrap/>
        <w:overflowPunct/>
        <w:topLinePunct w:val="0"/>
        <w:autoSpaceDN/>
        <w:bidi w:val="0"/>
        <w:adjustRightInd/>
        <w:snapToGrid/>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z w:val="24"/>
          <w:szCs w:val="24"/>
        </w:rPr>
        <w:t>地    址：</w:t>
      </w:r>
      <w:r>
        <w:rPr>
          <w:rFonts w:hint="eastAsia" w:asciiTheme="minorEastAsia" w:hAnsiTheme="minorEastAsia" w:eastAsiaTheme="minorEastAsia" w:cstheme="minorEastAsia"/>
          <w:color w:val="auto"/>
          <w:sz w:val="24"/>
          <w:szCs w:val="24"/>
          <w:highlight w:val="none"/>
        </w:rPr>
        <w:t>桂林市临桂区致远路2号</w:t>
      </w:r>
    </w:p>
    <w:p>
      <w:pPr>
        <w:pageBreakBefore w:val="0"/>
        <w:kinsoku/>
        <w:wordWrap/>
        <w:overflowPunct/>
        <w:topLinePunct w:val="0"/>
        <w:autoSpaceDN/>
        <w:bidi w:val="0"/>
        <w:adjustRightInd/>
        <w:snapToGrid/>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联系方式：</w:t>
      </w:r>
      <w:r>
        <w:rPr>
          <w:rFonts w:hint="eastAsia" w:asciiTheme="minorEastAsia" w:hAnsiTheme="minorEastAsia" w:eastAsiaTheme="minorEastAsia" w:cstheme="minorEastAsia"/>
          <w:color w:val="auto"/>
          <w:sz w:val="24"/>
          <w:szCs w:val="24"/>
          <w:highlight w:val="none"/>
        </w:rPr>
        <w:t xml:space="preserve">唐科长    0773-5580830 </w:t>
      </w:r>
    </w:p>
    <w:p>
      <w:pPr>
        <w:pStyle w:val="4"/>
        <w:pageBreakBefore w:val="0"/>
        <w:kinsoku/>
        <w:wordWrap/>
        <w:overflowPunct/>
        <w:topLinePunct w:val="0"/>
        <w:autoSpaceDE/>
        <w:autoSpaceDN/>
        <w:bidi w:val="0"/>
        <w:adjustRightInd/>
        <w:snapToGrid/>
        <w:spacing w:before="0" w:after="0" w:line="360" w:lineRule="auto"/>
        <w:ind w:right="0" w:rightChars="0" w:firstLine="480" w:firstLineChars="200"/>
        <w:textAlignment w:val="auto"/>
        <w:rPr>
          <w:rFonts w:hint="eastAsia" w:asciiTheme="minorEastAsia" w:hAnsiTheme="minorEastAsia" w:eastAsiaTheme="minorEastAsia" w:cstheme="minorEastAsia"/>
          <w:b w:val="0"/>
          <w:sz w:val="24"/>
          <w:szCs w:val="24"/>
        </w:rPr>
      </w:pPr>
      <w:bookmarkStart w:id="6" w:name="_Toc35393811"/>
      <w:bookmarkStart w:id="7" w:name="_Toc28359101"/>
      <w:bookmarkStart w:id="8" w:name="_Toc35393642"/>
      <w:bookmarkStart w:id="9" w:name="_Toc28359024"/>
      <w:r>
        <w:rPr>
          <w:rFonts w:hint="eastAsia" w:asciiTheme="minorEastAsia" w:hAnsiTheme="minorEastAsia" w:eastAsiaTheme="minorEastAsia" w:cstheme="minorEastAsia"/>
          <w:b w:val="0"/>
          <w:sz w:val="24"/>
          <w:szCs w:val="24"/>
        </w:rPr>
        <w:t>2.采购代理机构信息</w:t>
      </w:r>
      <w:bookmarkEnd w:id="6"/>
      <w:bookmarkEnd w:id="7"/>
      <w:bookmarkEnd w:id="8"/>
      <w:bookmarkEnd w:id="9"/>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    称：　</w:t>
      </w:r>
      <w:r>
        <w:rPr>
          <w:rFonts w:hint="eastAsia" w:asciiTheme="minorEastAsia" w:hAnsiTheme="minorEastAsia" w:eastAsiaTheme="minorEastAsia" w:cstheme="minorEastAsia"/>
          <w:sz w:val="24"/>
          <w:szCs w:val="24"/>
          <w:lang w:eastAsia="zh-CN"/>
        </w:rPr>
        <w:t>广西诚信工程造价咨询有限公司</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地　  址：桂林市临桂区西城大道10号山水凤凰城宏福园21-1栋 </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联系方式：　</w:t>
      </w:r>
      <w:r>
        <w:rPr>
          <w:rFonts w:hint="eastAsia" w:asciiTheme="minorEastAsia" w:hAnsiTheme="minorEastAsia" w:eastAsiaTheme="minorEastAsia" w:cstheme="minorEastAsia"/>
          <w:sz w:val="24"/>
          <w:szCs w:val="24"/>
          <w:lang w:val="en-US" w:eastAsia="zh-CN"/>
        </w:rPr>
        <w:t>0773-5826808</w:t>
      </w:r>
      <w:r>
        <w:rPr>
          <w:rFonts w:hint="eastAsia" w:asciiTheme="minorEastAsia" w:hAnsiTheme="minorEastAsia" w:eastAsiaTheme="minorEastAsia" w:cstheme="minorEastAsia"/>
          <w:sz w:val="24"/>
          <w:szCs w:val="24"/>
        </w:rPr>
        <w:t>　</w:t>
      </w:r>
    </w:p>
    <w:p>
      <w:pPr>
        <w:pStyle w:val="4"/>
        <w:pageBreakBefore w:val="0"/>
        <w:kinsoku/>
        <w:wordWrap/>
        <w:overflowPunct/>
        <w:topLinePunct w:val="0"/>
        <w:autoSpaceDE/>
        <w:autoSpaceDN/>
        <w:bidi w:val="0"/>
        <w:adjustRightInd/>
        <w:snapToGrid/>
        <w:spacing w:before="0" w:after="0" w:line="360" w:lineRule="auto"/>
        <w:ind w:right="0" w:rightChars="0" w:firstLine="480" w:firstLineChars="200"/>
        <w:textAlignment w:val="auto"/>
        <w:rPr>
          <w:rFonts w:hint="eastAsia" w:asciiTheme="minorEastAsia" w:hAnsiTheme="minorEastAsia" w:eastAsiaTheme="minorEastAsia" w:cstheme="minorEastAsia"/>
          <w:b w:val="0"/>
          <w:sz w:val="24"/>
          <w:szCs w:val="24"/>
        </w:rPr>
      </w:pPr>
      <w:bookmarkStart w:id="10" w:name="_Toc35393643"/>
      <w:bookmarkStart w:id="11" w:name="_Toc28359102"/>
      <w:bookmarkStart w:id="12" w:name="_Toc35393812"/>
      <w:bookmarkStart w:id="13" w:name="_Toc28359025"/>
      <w:r>
        <w:rPr>
          <w:rFonts w:hint="eastAsia" w:asciiTheme="minorEastAsia" w:hAnsiTheme="minorEastAsia" w:eastAsiaTheme="minorEastAsia" w:cstheme="minorEastAsia"/>
          <w:b w:val="0"/>
          <w:sz w:val="24"/>
          <w:szCs w:val="24"/>
        </w:rPr>
        <w:t>3.项目联系方式</w:t>
      </w:r>
      <w:bookmarkEnd w:id="10"/>
      <w:bookmarkEnd w:id="11"/>
      <w:bookmarkEnd w:id="12"/>
      <w:bookmarkEnd w:id="13"/>
    </w:p>
    <w:p>
      <w:pPr>
        <w:pStyle w:val="5"/>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项目联系人：</w:t>
      </w:r>
      <w:r>
        <w:rPr>
          <w:rFonts w:hint="eastAsia" w:asciiTheme="minorEastAsia" w:hAnsiTheme="minorEastAsia" w:cstheme="minorEastAsia"/>
          <w:sz w:val="24"/>
          <w:szCs w:val="24"/>
          <w:lang w:eastAsia="zh-CN"/>
        </w:rPr>
        <w:t>宁工</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　  话：　</w:t>
      </w:r>
      <w:r>
        <w:rPr>
          <w:rFonts w:hint="eastAsia" w:asciiTheme="minorEastAsia" w:hAnsiTheme="minorEastAsia" w:eastAsiaTheme="minorEastAsia" w:cstheme="minorEastAsia"/>
          <w:sz w:val="24"/>
          <w:szCs w:val="24"/>
          <w:lang w:val="en-US" w:eastAsia="zh-CN"/>
        </w:rPr>
        <w:t>0773-5826808</w:t>
      </w:r>
      <w:r>
        <w:rPr>
          <w:rFonts w:hint="eastAsia" w:asciiTheme="minorEastAsia" w:hAnsiTheme="minorEastAsia" w:eastAsiaTheme="minorEastAsia" w:cstheme="minorEastAsia"/>
          <w:sz w:val="24"/>
          <w:szCs w:val="24"/>
        </w:rPr>
        <w:t>　</w:t>
      </w:r>
    </w:p>
    <w:p>
      <w:pPr>
        <w:pageBreakBefore w:val="0"/>
        <w:kinsoku/>
        <w:wordWrap/>
        <w:overflowPunct/>
        <w:topLinePunct w:val="0"/>
        <w:autoSpaceDE/>
        <w:autoSpaceDN/>
        <w:bidi w:val="0"/>
        <w:adjustRightInd/>
        <w:snapToGrid/>
        <w:spacing w:line="360" w:lineRule="auto"/>
        <w:ind w:right="0" w:rightChars="0" w:firstLine="482" w:firstLineChars="200"/>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十、附件</w:t>
      </w:r>
    </w:p>
    <w:p>
      <w:pPr>
        <w:pageBreakBefore w:val="0"/>
        <w:kinsoku/>
        <w:wordWrap/>
        <w:overflowPunct/>
        <w:topLinePunct w:val="0"/>
        <w:autoSpaceDE/>
        <w:autoSpaceDN/>
        <w:bidi w:val="0"/>
        <w:adjustRightInd/>
        <w:snapToGrid/>
        <w:spacing w:line="360" w:lineRule="auto"/>
        <w:ind w:right="0" w:rightChars="0" w:firstLine="480" w:firstLineChars="200"/>
        <w:textAlignment w:val="auto"/>
        <w:rPr>
          <w:rFonts w:hint="eastAsia" w:ascii="宋体" w:hAnsi="宋体" w:eastAsia="宋体" w:cs="宋体"/>
          <w:kern w:val="2"/>
          <w:sz w:val="21"/>
          <w:szCs w:val="21"/>
        </w:rPr>
      </w:pPr>
      <w:r>
        <w:rPr>
          <w:rFonts w:hint="eastAsia" w:asciiTheme="minorEastAsia" w:hAnsiTheme="minorEastAsia" w:eastAsiaTheme="minorEastAsia" w:cstheme="minorEastAsia"/>
          <w:kern w:val="0"/>
          <w:sz w:val="24"/>
          <w:szCs w:val="24"/>
          <w:lang w:val="en-US" w:eastAsia="zh-CN"/>
        </w:rPr>
        <w:t>1、</w:t>
      </w:r>
      <w:r>
        <w:rPr>
          <w:rFonts w:hint="eastAsia" w:ascii="宋体" w:hAnsi="宋体" w:eastAsia="宋体" w:cs="宋体"/>
          <w:kern w:val="2"/>
          <w:sz w:val="21"/>
          <w:szCs w:val="21"/>
        </w:rPr>
        <w:t>中小企业声明</w:t>
      </w:r>
    </w:p>
    <w:p>
      <w:pPr>
        <w:pageBreakBefore w:val="0"/>
        <w:kinsoku/>
        <w:wordWrap/>
        <w:overflowPunct/>
        <w:topLinePunct w:val="0"/>
        <w:autoSpaceDE/>
        <w:autoSpaceDN/>
        <w:bidi w:val="0"/>
        <w:adjustRightInd/>
        <w:snapToGrid/>
        <w:spacing w:line="360" w:lineRule="auto"/>
        <w:ind w:right="0" w:rightChars="0" w:firstLine="420" w:firstLineChars="200"/>
        <w:textAlignment w:val="auto"/>
        <w:rPr>
          <w:rFonts w:hint="default" w:ascii="宋体" w:hAnsi="宋体" w:eastAsia="宋体" w:cs="宋体"/>
          <w:kern w:val="2"/>
          <w:sz w:val="21"/>
          <w:szCs w:val="21"/>
          <w:lang w:val="en-US" w:eastAsia="zh-CN"/>
        </w:rPr>
      </w:pPr>
      <w:r>
        <w:rPr>
          <w:rFonts w:hint="eastAsia" w:ascii="宋体" w:hAnsi="宋体" w:cs="宋体"/>
          <w:kern w:val="2"/>
          <w:sz w:val="21"/>
          <w:szCs w:val="21"/>
          <w:lang w:val="en-US" w:eastAsia="zh-CN"/>
        </w:rPr>
        <w:t xml:space="preserve"> 2、中标结果公告</w:t>
      </w:r>
    </w:p>
    <w:p>
      <w:pPr>
        <w:pStyle w:val="2"/>
        <w:rPr>
          <w:rFonts w:hint="eastAsia"/>
          <w:lang w:val="en-US" w:eastAsia="zh-CN"/>
        </w:rPr>
      </w:pPr>
    </w:p>
    <w:p>
      <w:pPr>
        <w:pStyle w:val="4"/>
        <w:pageBreakBefore w:val="0"/>
        <w:kinsoku/>
        <w:wordWrap/>
        <w:overflowPunct/>
        <w:topLinePunct w:val="0"/>
        <w:autoSpaceDE/>
        <w:autoSpaceDN/>
        <w:bidi w:val="0"/>
        <w:adjustRightInd/>
        <w:snapToGrid/>
        <w:spacing w:before="0" w:after="0" w:line="360" w:lineRule="auto"/>
        <w:ind w:right="0" w:rightChars="0" w:firstLine="480" w:firstLineChars="200"/>
        <w:jc w:val="right"/>
        <w:textAlignment w:val="auto"/>
        <w:rPr>
          <w:rFonts w:hint="eastAsia" w:asciiTheme="minorEastAsia" w:hAnsiTheme="minorEastAsia" w:eastAsiaTheme="minorEastAsia" w:cstheme="minorEastAsia"/>
          <w:b w:val="0"/>
          <w:sz w:val="24"/>
          <w:szCs w:val="24"/>
          <w:lang w:val="en-US" w:eastAsia="zh-CN"/>
        </w:rPr>
      </w:pPr>
    </w:p>
    <w:p>
      <w:pPr>
        <w:rPr>
          <w:rFonts w:hint="eastAsia"/>
          <w:sz w:val="21"/>
          <w:szCs w:val="21"/>
          <w:lang w:val="en-US" w:eastAsia="zh-CN"/>
        </w:rPr>
      </w:pPr>
    </w:p>
    <w:p>
      <w:pPr>
        <w:pStyle w:val="4"/>
        <w:pageBreakBefore w:val="0"/>
        <w:kinsoku/>
        <w:wordWrap/>
        <w:overflowPunct/>
        <w:topLinePunct w:val="0"/>
        <w:autoSpaceDE/>
        <w:autoSpaceDN/>
        <w:bidi w:val="0"/>
        <w:adjustRightInd/>
        <w:snapToGrid/>
        <w:spacing w:before="0" w:after="0" w:line="360" w:lineRule="auto"/>
        <w:ind w:right="0" w:rightChars="0" w:firstLine="480" w:firstLineChars="200"/>
        <w:jc w:val="right"/>
        <w:textAlignment w:val="auto"/>
        <w:rPr>
          <w:rFonts w:hint="eastAsia" w:asciiTheme="minorEastAsia" w:hAnsiTheme="minorEastAsia" w:eastAsiaTheme="minorEastAsia" w:cstheme="minorEastAsia"/>
          <w:b w:val="0"/>
          <w:sz w:val="24"/>
          <w:szCs w:val="24"/>
          <w:lang w:val="en-US" w:eastAsia="zh-CN"/>
        </w:rPr>
      </w:pPr>
      <w:r>
        <w:rPr>
          <w:rFonts w:hint="eastAsia" w:asciiTheme="minorEastAsia" w:hAnsiTheme="minorEastAsia" w:eastAsiaTheme="minorEastAsia" w:cstheme="minorEastAsia"/>
          <w:b w:val="0"/>
          <w:sz w:val="24"/>
          <w:szCs w:val="24"/>
          <w:lang w:val="en-US" w:eastAsia="zh-CN"/>
        </w:rPr>
        <w:t>广西诚信工程造价咨询有限公司</w:t>
      </w:r>
    </w:p>
    <w:p>
      <w:pPr>
        <w:pStyle w:val="4"/>
        <w:pageBreakBefore w:val="0"/>
        <w:kinsoku/>
        <w:wordWrap/>
        <w:overflowPunct/>
        <w:topLinePunct w:val="0"/>
        <w:autoSpaceDE/>
        <w:autoSpaceDN/>
        <w:bidi w:val="0"/>
        <w:adjustRightInd/>
        <w:snapToGrid/>
        <w:spacing w:before="0" w:after="0" w:line="360" w:lineRule="auto"/>
        <w:ind w:right="0" w:rightChars="0" w:firstLine="480" w:firstLineChars="200"/>
        <w:jc w:val="right"/>
        <w:textAlignment w:val="auto"/>
        <w:rPr>
          <w:rFonts w:hint="eastAsia" w:asciiTheme="minorEastAsia" w:hAnsiTheme="minorEastAsia" w:eastAsiaTheme="minorEastAsia" w:cstheme="minorEastAsia"/>
          <w:b w:val="0"/>
          <w:sz w:val="24"/>
          <w:szCs w:val="24"/>
          <w:lang w:val="en-US" w:eastAsia="zh-CN"/>
        </w:rPr>
      </w:pPr>
      <w:r>
        <w:rPr>
          <w:rFonts w:hint="eastAsia" w:asciiTheme="minorEastAsia" w:hAnsiTheme="minorEastAsia" w:eastAsiaTheme="minorEastAsia" w:cstheme="minorEastAsia"/>
          <w:b w:val="0"/>
          <w:sz w:val="24"/>
          <w:szCs w:val="24"/>
          <w:lang w:val="en-US" w:eastAsia="zh-CN"/>
        </w:rPr>
        <w:t>2020年8月3日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swiss"/>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105FB"/>
    <w:multiLevelType w:val="singleLevel"/>
    <w:tmpl w:val="02E105FB"/>
    <w:lvl w:ilvl="0" w:tentative="0">
      <w:start w:val="1"/>
      <w:numFmt w:val="chineseCounting"/>
      <w:suff w:val="nothing"/>
      <w:lvlText w:val="%1、"/>
      <w:lvlJc w:val="left"/>
      <w:rPr>
        <w:rFonts w:hint="eastAsia"/>
      </w:rPr>
    </w:lvl>
  </w:abstractNum>
  <w:abstractNum w:abstractNumId="1">
    <w:nsid w:val="5EFD82CE"/>
    <w:multiLevelType w:val="singleLevel"/>
    <w:tmpl w:val="5EFD82CE"/>
    <w:lvl w:ilvl="0" w:tentative="0">
      <w:start w:val="4"/>
      <w:numFmt w:val="chineseCounting"/>
      <w:suff w:val="nothing"/>
      <w:lvlText w:val="%1、"/>
      <w:lvlJc w:val="left"/>
    </w:lvl>
  </w:abstractNum>
  <w:abstractNum w:abstractNumId="2">
    <w:nsid w:val="5EFD8581"/>
    <w:multiLevelType w:val="singleLevel"/>
    <w:tmpl w:val="5EFD8581"/>
    <w:lvl w:ilvl="0" w:tentative="0">
      <w:start w:val="8"/>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C841C5"/>
    <w:rsid w:val="047F5947"/>
    <w:rsid w:val="04BD03E7"/>
    <w:rsid w:val="065D3313"/>
    <w:rsid w:val="07176C56"/>
    <w:rsid w:val="07843DD7"/>
    <w:rsid w:val="07C84D6B"/>
    <w:rsid w:val="091818EC"/>
    <w:rsid w:val="0C2D74D9"/>
    <w:rsid w:val="0CFC564E"/>
    <w:rsid w:val="126424FA"/>
    <w:rsid w:val="16804476"/>
    <w:rsid w:val="1B0333EA"/>
    <w:rsid w:val="1DB40A8A"/>
    <w:rsid w:val="1DC875B9"/>
    <w:rsid w:val="1E073D1D"/>
    <w:rsid w:val="2B7A22A2"/>
    <w:rsid w:val="2BA91440"/>
    <w:rsid w:val="346B78A6"/>
    <w:rsid w:val="36EE591D"/>
    <w:rsid w:val="38101FC0"/>
    <w:rsid w:val="390310A6"/>
    <w:rsid w:val="405B2C26"/>
    <w:rsid w:val="40747826"/>
    <w:rsid w:val="411836C4"/>
    <w:rsid w:val="445C5DB8"/>
    <w:rsid w:val="44732FE4"/>
    <w:rsid w:val="44A2074E"/>
    <w:rsid w:val="45504342"/>
    <w:rsid w:val="46F06698"/>
    <w:rsid w:val="4B0C7D1D"/>
    <w:rsid w:val="4CE91A44"/>
    <w:rsid w:val="4F503E84"/>
    <w:rsid w:val="4F890CDA"/>
    <w:rsid w:val="4FAB7535"/>
    <w:rsid w:val="513846C0"/>
    <w:rsid w:val="51C841C5"/>
    <w:rsid w:val="51D66DDD"/>
    <w:rsid w:val="526B622A"/>
    <w:rsid w:val="536B2B31"/>
    <w:rsid w:val="57376627"/>
    <w:rsid w:val="57402EDE"/>
    <w:rsid w:val="57473C36"/>
    <w:rsid w:val="59434E20"/>
    <w:rsid w:val="5B664C82"/>
    <w:rsid w:val="5CF922FE"/>
    <w:rsid w:val="605C4505"/>
    <w:rsid w:val="62747144"/>
    <w:rsid w:val="64CA3C69"/>
    <w:rsid w:val="682243D5"/>
    <w:rsid w:val="6BE53261"/>
    <w:rsid w:val="6DE9501B"/>
    <w:rsid w:val="6FB2528E"/>
    <w:rsid w:val="79636AC6"/>
    <w:rsid w:val="7A6C0738"/>
    <w:rsid w:val="7A8B775F"/>
    <w:rsid w:val="7B407EE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unhideWhenUsed/>
    <w:qFormat/>
    <w:uiPriority w:val="0"/>
    <w:pPr>
      <w:keepNext/>
      <w:keepLines/>
      <w:spacing w:before="260" w:after="260" w:line="415" w:lineRule="auto"/>
      <w:outlineLvl w:val="1"/>
    </w:pPr>
    <w:rPr>
      <w:rFonts w:ascii="Arial" w:hAnsi="Arial" w:eastAsia="黑体" w:cs="Arial"/>
      <w:b/>
      <w:bCs/>
      <w:sz w:val="32"/>
      <w:szCs w:val="32"/>
    </w:rPr>
  </w:style>
  <w:style w:type="paragraph" w:styleId="2">
    <w:name w:val="heading 4"/>
    <w:basedOn w:val="1"/>
    <w:next w:val="1"/>
    <w:unhideWhenUsed/>
    <w:qFormat/>
    <w:uiPriority w:val="0"/>
    <w:pPr>
      <w:keepNext/>
      <w:keepLines/>
      <w:spacing w:before="280" w:after="290" w:line="376" w:lineRule="auto"/>
      <w:ind w:left="864" w:hanging="864"/>
      <w:outlineLvl w:val="3"/>
    </w:pPr>
    <w:rPr>
      <w:rFonts w:ascii="Cambria" w:hAnsi="Cambria"/>
      <w:b/>
      <w:bCs/>
      <w:kern w:val="0"/>
      <w:sz w:val="28"/>
      <w:szCs w:val="28"/>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Plain Text"/>
    <w:basedOn w:val="1"/>
    <w:qFormat/>
    <w:uiPriority w:val="0"/>
    <w:rPr>
      <w:rFonts w:ascii="宋体" w:hAnsi="Courier New" w:eastAsiaTheme="minorEastAsia" w:cstheme="minorBidi"/>
      <w:szCs w:val="2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style>
  <w:style w:type="character" w:styleId="12">
    <w:name w:val="FollowedHyperlink"/>
    <w:basedOn w:val="10"/>
    <w:qFormat/>
    <w:uiPriority w:val="0"/>
    <w:rPr>
      <w:color w:val="800080"/>
      <w:u w:val="none"/>
    </w:rPr>
  </w:style>
  <w:style w:type="character" w:styleId="13">
    <w:name w:val="Emphasis"/>
    <w:basedOn w:val="10"/>
    <w:qFormat/>
    <w:uiPriority w:val="0"/>
  </w:style>
  <w:style w:type="character" w:styleId="14">
    <w:name w:val="HTML Definition"/>
    <w:basedOn w:val="10"/>
    <w:qFormat/>
    <w:uiPriority w:val="0"/>
  </w:style>
  <w:style w:type="character" w:styleId="15">
    <w:name w:val="HTML Typewriter"/>
    <w:basedOn w:val="10"/>
    <w:qFormat/>
    <w:uiPriority w:val="0"/>
    <w:rPr>
      <w:rFonts w:ascii="monospace" w:hAnsi="monospace" w:eastAsia="monospace" w:cs="monospace"/>
      <w:sz w:val="20"/>
    </w:rPr>
  </w:style>
  <w:style w:type="character" w:styleId="16">
    <w:name w:val="HTML Acronym"/>
    <w:basedOn w:val="10"/>
    <w:qFormat/>
    <w:uiPriority w:val="0"/>
  </w:style>
  <w:style w:type="character" w:styleId="17">
    <w:name w:val="HTML Variable"/>
    <w:basedOn w:val="10"/>
    <w:qFormat/>
    <w:uiPriority w:val="0"/>
  </w:style>
  <w:style w:type="character" w:styleId="18">
    <w:name w:val="Hyperlink"/>
    <w:basedOn w:val="10"/>
    <w:qFormat/>
    <w:uiPriority w:val="0"/>
    <w:rPr>
      <w:color w:val="0000FF"/>
      <w:u w:val="none"/>
    </w:rPr>
  </w:style>
  <w:style w:type="character" w:styleId="19">
    <w:name w:val="HTML Code"/>
    <w:basedOn w:val="10"/>
    <w:qFormat/>
    <w:uiPriority w:val="0"/>
    <w:rPr>
      <w:rFonts w:hint="default" w:ascii="monospace" w:hAnsi="monospace" w:eastAsia="monospace" w:cs="monospace"/>
      <w:sz w:val="20"/>
    </w:rPr>
  </w:style>
  <w:style w:type="character" w:styleId="20">
    <w:name w:val="HTML Cite"/>
    <w:basedOn w:val="10"/>
    <w:qFormat/>
    <w:uiPriority w:val="0"/>
  </w:style>
  <w:style w:type="character" w:styleId="21">
    <w:name w:val="HTML Keyboard"/>
    <w:basedOn w:val="10"/>
    <w:qFormat/>
    <w:uiPriority w:val="0"/>
    <w:rPr>
      <w:rFonts w:hint="default" w:ascii="monospace" w:hAnsi="monospace" w:eastAsia="monospace" w:cs="monospace"/>
      <w:sz w:val="20"/>
    </w:rPr>
  </w:style>
  <w:style w:type="character" w:styleId="22">
    <w:name w:val="HTML Sample"/>
    <w:basedOn w:val="10"/>
    <w:qFormat/>
    <w:uiPriority w:val="0"/>
    <w:rPr>
      <w:rFonts w:hint="default" w:ascii="monospace" w:hAnsi="monospace" w:eastAsia="monospace" w:cs="monospac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2020-07-02T06:16:00Z</dcterms:created>
  <dc:creator>Administrator</dc:creator>
  <cp:lastModifiedBy>Administrator</cp:lastModifiedBy>
  <dcterms:modified xsi:type="dcterms:W3CDTF">2020-08-03T08:18:03Z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