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mbria" w:hAnsi="Cambria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广西振弘建设管理有限公司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凤山县农村产权流转交易信息平台建设营运基础服务以及县、乡（镇）交易服务场所设施设备采购项目</w:t>
      </w:r>
      <w:r>
        <w:rPr>
          <w:rFonts w:hint="eastAsia" w:ascii="Cambria" w:hAnsi="Cambria" w:cs="宋体"/>
          <w:b/>
          <w:bCs/>
          <w:sz w:val="24"/>
          <w:szCs w:val="24"/>
        </w:rPr>
        <w:t>（项目编号:</w:t>
      </w:r>
      <w:r>
        <w:rPr>
          <w:rFonts w:hint="eastAsia" w:ascii="Cambria" w:hAnsi="Cambria" w:cs="宋体"/>
          <w:b/>
          <w:bCs/>
          <w:sz w:val="24"/>
          <w:szCs w:val="24"/>
          <w:lang w:eastAsia="zh-CN"/>
        </w:rPr>
        <w:t>HCZC2020-J3-230124-GXZH</w:t>
      </w:r>
      <w:r>
        <w:rPr>
          <w:rFonts w:hint="eastAsia" w:ascii="Cambria" w:hAnsi="Cambria" w:cs="宋体"/>
          <w:b/>
          <w:bCs/>
          <w:sz w:val="24"/>
          <w:szCs w:val="24"/>
        </w:rPr>
        <w:t>）</w:t>
      </w:r>
      <w:r>
        <w:rPr>
          <w:rFonts w:hint="eastAsia" w:ascii="Cambria" w:hAnsi="Cambria" w:cs="宋体"/>
          <w:b/>
          <w:bCs/>
          <w:sz w:val="24"/>
          <w:szCs w:val="24"/>
          <w:lang w:eastAsia="zh-CN"/>
        </w:rPr>
        <w:t>成交结果公告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HCZC2020-J3-230124-GXZH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凤山县农村产权流转交易信息平台建设营运基础服务以及县、乡（镇）交易服务场所设施设备采购项目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  <w: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供应商名称：北部湾产权交易所集团股份有限公司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供应商地址：中国（广西）自由贸易试验区南宁片区凯旋路15号南宁绿地中心5号楼）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</w:t>
      </w:r>
      <w:r>
        <w:rPr>
          <w:rFonts w:hint="eastAsia" w:ascii="宋体" w:hAnsi="宋体" w:eastAsia="宋体"/>
          <w:sz w:val="24"/>
          <w:lang w:val="en-US" w:eastAsia="zh-CN"/>
        </w:rPr>
        <w:t>叁拾伍万元整（¥350000.00）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四、主要标的信息：</w:t>
      </w:r>
    </w:p>
    <w:tbl>
      <w:tblPr>
        <w:tblStyle w:val="7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1902"/>
        <w:gridCol w:w="1776"/>
        <w:gridCol w:w="2805"/>
        <w:gridCol w:w="68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678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品牌、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591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县级流转交易中心服务大厅配套设备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服务台电脑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品牌：联想</w:t>
            </w:r>
          </w:p>
          <w:p>
            <w:pPr>
              <w:pStyle w:val="2"/>
              <w:spacing w:line="360" w:lineRule="auto"/>
              <w:jc w:val="left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型号：扬天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T4900V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59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信息平台后台服务电脑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品牌：联想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型号：扬天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T4900V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59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九个乡（镇）流转交易服务站电脑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品牌：联想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型号：扬天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T4900V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9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办公电脑桌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59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办公电脑椅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县、各乡镇级流转交易中心多功能打印机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品牌：联想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M7626DNA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文件存档柜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品牌: 苏美特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号: SMT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-ONL01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材质: 铁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触控屏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触控竖版一体机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品牌：赛立</w:t>
            </w:r>
          </w:p>
          <w:p>
            <w:pPr>
              <w:pStyle w:val="2"/>
              <w:spacing w:line="360" w:lineRule="auto"/>
              <w:jc w:val="left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型号：SL-5531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  <w:jc w:val="center"/>
        </w:trPr>
        <w:tc>
          <w:tcPr>
            <w:tcW w:w="591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用于门户网站、新闻、政策及项目交易信息公布配套设备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LED室内D2.5 全彩显示屏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显示屏及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LED备用模组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彩易达</w:t>
            </w:r>
          </w:p>
          <w:p>
            <w:pPr>
              <w:pStyle w:val="2"/>
              <w:spacing w:line="360" w:lineRule="auto"/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发送卡、接收卡、LED系统播放软件品牌：卡莱特</w:t>
            </w:r>
          </w:p>
        </w:tc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9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音箱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其他设施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水晶字、牌匾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eastAsia="zh-CN"/>
              </w:rPr>
              <w:t>平台建设营运基础服务</w:t>
            </w:r>
          </w:p>
        </w:tc>
        <w:tc>
          <w:tcPr>
            <w:tcW w:w="177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100000.00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陆国荣（组长）、韦倩、吴东明；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六、代理服务收费标准：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按国家发展计划委员会《招标代理服务费管理暂行办法》（计价格[2002]1980号）收费标准（货物类）向中标（成交）人收取（上述费用中不含评标委员会评审劳务费）。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5250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各有关当事人对成交结果有异议的，可以在成交公告发布之日起七个工作日内以书面形式向（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凤山县农村经济经营服务中心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  <w:r>
        <w:rPr>
          <w:rFonts w:hint="eastAsia" w:ascii="宋体" w:hAnsi="宋体" w:eastAsia="宋体" w:cs="宋体"/>
          <w:sz w:val="24"/>
          <w:szCs w:val="24"/>
        </w:rPr>
        <w:t>）提出质疑，逾期将不再受理。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凤山县农村经济经营服务中心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cs="宋体"/>
          <w:sz w:val="24"/>
          <w:szCs w:val="24"/>
          <w:lang w:val="en-US" w:eastAsia="zh-CN"/>
        </w:rPr>
        <w:t>广西河池市凤山县凤城镇凤阳路158号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卢清琼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18977828808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地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河池市金城江区城西大道西城铭苑一栋一单元4楼401室；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兰晴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联系电话：0778-2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2888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监督部门： 凤山县政府采购管理办公室      电话：0778-6819211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.项目联系方式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兰晴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话：0778-2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2888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6542" w:firstLineChars="2726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7262" w:firstLineChars="3026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2020年月12日10日</w:t>
      </w:r>
      <w:bookmarkStart w:id="0" w:name="_GoBack"/>
      <w:bookmarkEnd w:id="0"/>
    </w:p>
    <w:sectPr>
      <w:pgSz w:w="11906" w:h="16838"/>
      <w:pgMar w:top="850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D6F"/>
    <w:rsid w:val="06962EE4"/>
    <w:rsid w:val="07AC70EA"/>
    <w:rsid w:val="0A65074B"/>
    <w:rsid w:val="0C893DCD"/>
    <w:rsid w:val="0DB53ECE"/>
    <w:rsid w:val="0DC7012F"/>
    <w:rsid w:val="0DF5139D"/>
    <w:rsid w:val="1ADB6016"/>
    <w:rsid w:val="1DA05CB2"/>
    <w:rsid w:val="1E927B00"/>
    <w:rsid w:val="207B4B36"/>
    <w:rsid w:val="214D2651"/>
    <w:rsid w:val="232B2228"/>
    <w:rsid w:val="251222B7"/>
    <w:rsid w:val="254724F5"/>
    <w:rsid w:val="25E60100"/>
    <w:rsid w:val="265A1CC0"/>
    <w:rsid w:val="292422BD"/>
    <w:rsid w:val="2A570CAB"/>
    <w:rsid w:val="2A93771E"/>
    <w:rsid w:val="2C454A0D"/>
    <w:rsid w:val="2C9A21F3"/>
    <w:rsid w:val="2E7C1B16"/>
    <w:rsid w:val="32AD7559"/>
    <w:rsid w:val="37A76436"/>
    <w:rsid w:val="395A2C95"/>
    <w:rsid w:val="39B21482"/>
    <w:rsid w:val="3CDC21B9"/>
    <w:rsid w:val="3D4F6132"/>
    <w:rsid w:val="3F353E59"/>
    <w:rsid w:val="3F367A5B"/>
    <w:rsid w:val="3FB4121E"/>
    <w:rsid w:val="404153F4"/>
    <w:rsid w:val="44395317"/>
    <w:rsid w:val="46C43E27"/>
    <w:rsid w:val="47C84D61"/>
    <w:rsid w:val="48161BA8"/>
    <w:rsid w:val="4D161F34"/>
    <w:rsid w:val="512D4A48"/>
    <w:rsid w:val="516529BE"/>
    <w:rsid w:val="53131EB9"/>
    <w:rsid w:val="5D450C61"/>
    <w:rsid w:val="612F5B41"/>
    <w:rsid w:val="61E47596"/>
    <w:rsid w:val="628C7A9B"/>
    <w:rsid w:val="6E717C8F"/>
    <w:rsid w:val="712D316D"/>
    <w:rsid w:val="738D6F42"/>
    <w:rsid w:val="73E71590"/>
    <w:rsid w:val="75FD1426"/>
    <w:rsid w:val="78D25E90"/>
    <w:rsid w:val="7A6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2020-10-10T02:50:00Z</cp:lastPrinted>
  <dcterms:modified xsi:type="dcterms:W3CDTF">2020-12-10T02:40:45Z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