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300" w:lineRule="auto"/>
        <w:ind w:firstLine="161" w:firstLineChars="50"/>
        <w:rPr>
          <w:rFonts w:hint="eastAsia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附件1.</w:t>
      </w:r>
      <w:bookmarkStart w:id="20" w:name="_GoBack"/>
      <w:bookmarkEnd w:id="20"/>
      <w:r>
        <w:rPr>
          <w:rFonts w:hint="eastAsia" w:ascii="宋体" w:hAnsi="宋体"/>
          <w:color w:val="000000"/>
        </w:rPr>
        <w:t>服务采购需求</w:t>
      </w:r>
    </w:p>
    <w:p>
      <w:pPr>
        <w:numPr>
          <w:ilvl w:val="0"/>
          <w:numId w:val="1"/>
        </w:numPr>
        <w:tabs>
          <w:tab w:val="left" w:pos="284"/>
        </w:tabs>
        <w:spacing w:after="78" w:line="24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项目概况</w:t>
      </w:r>
    </w:p>
    <w:p>
      <w:pPr>
        <w:widowControl/>
        <w:numPr>
          <w:ilvl w:val="3"/>
          <w:numId w:val="2"/>
        </w:numPr>
        <w:spacing w:after="78" w:line="240" w:lineRule="auto"/>
        <w:ind w:left="426" w:firstLine="0"/>
        <w:jc w:val="left"/>
        <w:outlineLvl w:val="1"/>
        <w:rPr>
          <w:rFonts w:hint="eastAsia" w:ascii="宋体" w:hAnsi="宋体" w:cs="宋体"/>
          <w:color w:val="000000"/>
          <w:sz w:val="24"/>
          <w:szCs w:val="20"/>
        </w:rPr>
      </w:pPr>
      <w:bookmarkStart w:id="0" w:name="_Toc52352855"/>
      <w:bookmarkStart w:id="1" w:name="_Toc9965"/>
      <w:bookmarkStart w:id="2" w:name="_Toc28537"/>
      <w:bookmarkStart w:id="3" w:name="_Toc52376373"/>
      <w:bookmarkStart w:id="4" w:name="_Toc16735"/>
      <w:r>
        <w:rPr>
          <w:rFonts w:hint="eastAsia" w:ascii="宋体" w:hAnsi="宋体" w:cs="宋体"/>
          <w:color w:val="000000"/>
          <w:sz w:val="24"/>
          <w:szCs w:val="20"/>
        </w:rPr>
        <w:t>赛事名称：2020年荔浦市半程马拉松赛。</w:t>
      </w:r>
      <w:bookmarkEnd w:id="0"/>
      <w:bookmarkEnd w:id="1"/>
      <w:bookmarkEnd w:id="2"/>
      <w:bookmarkEnd w:id="3"/>
      <w:bookmarkEnd w:id="4"/>
    </w:p>
    <w:p>
      <w:pPr>
        <w:widowControl/>
        <w:numPr>
          <w:ilvl w:val="3"/>
          <w:numId w:val="2"/>
        </w:numPr>
        <w:spacing w:after="78" w:line="240" w:lineRule="auto"/>
        <w:ind w:left="426" w:firstLine="0"/>
        <w:jc w:val="left"/>
        <w:outlineLvl w:val="1"/>
        <w:rPr>
          <w:rFonts w:hint="eastAsia" w:ascii="宋体" w:hAnsi="宋体" w:cs="宋体"/>
          <w:color w:val="000000"/>
          <w:sz w:val="24"/>
          <w:szCs w:val="20"/>
        </w:rPr>
      </w:pPr>
      <w:bookmarkStart w:id="5" w:name="_Toc52376379"/>
      <w:bookmarkStart w:id="6" w:name="_Toc7746"/>
      <w:bookmarkStart w:id="7" w:name="_Toc52352861"/>
      <w:bookmarkStart w:id="8" w:name="_Toc11388"/>
      <w:bookmarkStart w:id="9" w:name="_Toc13934"/>
      <w:r>
        <w:rPr>
          <w:rFonts w:hint="eastAsia" w:ascii="宋体" w:hAnsi="宋体" w:cs="宋体"/>
          <w:color w:val="000000"/>
          <w:sz w:val="24"/>
          <w:szCs w:val="20"/>
        </w:rPr>
        <w:t>赛事项目设置：</w:t>
      </w:r>
      <w:bookmarkEnd w:id="5"/>
      <w:bookmarkEnd w:id="6"/>
      <w:bookmarkEnd w:id="7"/>
      <w:bookmarkEnd w:id="8"/>
      <w:bookmarkEnd w:id="9"/>
    </w:p>
    <w:p>
      <w:pPr>
        <w:pStyle w:val="5"/>
        <w:spacing w:after="78" w:line="240" w:lineRule="auto"/>
        <w:ind w:left="424" w:leftChars="202" w:firstLine="2"/>
        <w:rPr>
          <w:rFonts w:hint="eastAsia" w:hAnsi="宋体" w:cs="宋体"/>
          <w:color w:val="000000"/>
          <w:szCs w:val="20"/>
        </w:rPr>
      </w:pPr>
      <w:r>
        <w:rPr>
          <w:rFonts w:hint="eastAsia" w:hAnsi="宋体" w:cs="宋体"/>
          <w:color w:val="000000"/>
          <w:szCs w:val="20"/>
        </w:rPr>
        <w:t>半程马拉松(21.0975公里)、迷你马拉松（约5公里）</w:t>
      </w:r>
    </w:p>
    <w:p>
      <w:pPr>
        <w:widowControl/>
        <w:numPr>
          <w:ilvl w:val="3"/>
          <w:numId w:val="2"/>
        </w:numPr>
        <w:spacing w:after="78" w:line="240" w:lineRule="auto"/>
        <w:ind w:left="426" w:firstLine="0"/>
        <w:jc w:val="left"/>
        <w:outlineLvl w:val="1"/>
        <w:rPr>
          <w:rFonts w:hint="eastAsia" w:ascii="宋体" w:hAnsi="宋体" w:cs="宋体"/>
          <w:color w:val="000000"/>
          <w:sz w:val="24"/>
          <w:szCs w:val="20"/>
        </w:rPr>
      </w:pPr>
      <w:bookmarkStart w:id="10" w:name="_Toc52376380"/>
      <w:bookmarkStart w:id="11" w:name="_Toc20989"/>
      <w:bookmarkStart w:id="12" w:name="_Toc16167"/>
      <w:bookmarkStart w:id="13" w:name="_Toc52352862"/>
      <w:bookmarkStart w:id="14" w:name="_Toc8968"/>
      <w:r>
        <w:rPr>
          <w:rFonts w:hint="eastAsia" w:ascii="宋体" w:hAnsi="宋体" w:cs="宋体"/>
          <w:color w:val="000000"/>
          <w:sz w:val="24"/>
          <w:szCs w:val="20"/>
        </w:rPr>
        <w:t>赛事规模：</w:t>
      </w:r>
      <w:bookmarkEnd w:id="10"/>
      <w:bookmarkEnd w:id="11"/>
      <w:bookmarkEnd w:id="12"/>
      <w:bookmarkEnd w:id="13"/>
      <w:bookmarkEnd w:id="14"/>
    </w:p>
    <w:p>
      <w:pPr>
        <w:snapToGrid w:val="0"/>
        <w:spacing w:after="78" w:line="240" w:lineRule="auto"/>
        <w:ind w:firstLine="480" w:firstLineChars="200"/>
        <w:rPr>
          <w:rFonts w:hint="eastAsia" w:ascii="宋体" w:hAnsi="宋体" w:cs="宋体"/>
          <w:color w:val="000000"/>
          <w:sz w:val="24"/>
          <w:szCs w:val="20"/>
        </w:rPr>
      </w:pPr>
      <w:r>
        <w:rPr>
          <w:rFonts w:hint="eastAsia" w:ascii="宋体" w:hAnsi="宋体" w:cs="宋体"/>
          <w:color w:val="000000"/>
          <w:sz w:val="24"/>
          <w:szCs w:val="20"/>
        </w:rPr>
        <w:t>4200人（半程马拉松2500人、迷你马拉松1700人）</w:t>
      </w:r>
    </w:p>
    <w:p>
      <w:pPr>
        <w:widowControl/>
        <w:spacing w:after="78" w:line="240" w:lineRule="auto"/>
        <w:ind w:firstLine="422"/>
        <w:jc w:val="left"/>
        <w:outlineLvl w:val="1"/>
        <w:rPr>
          <w:rFonts w:ascii="宋体" w:hAnsi="宋体"/>
          <w:b/>
          <w:bCs/>
          <w:sz w:val="24"/>
          <w:szCs w:val="24"/>
        </w:rPr>
      </w:pPr>
      <w:bookmarkStart w:id="15" w:name="_Toc22540"/>
      <w:bookmarkStart w:id="16" w:name="_Toc18637"/>
      <w:bookmarkStart w:id="17" w:name="_Toc10871"/>
      <w:bookmarkStart w:id="18" w:name="_Toc52376381"/>
      <w:bookmarkStart w:id="19" w:name="_Toc52352863"/>
      <w:r>
        <w:rPr>
          <w:rFonts w:hint="eastAsia" w:ascii="宋体" w:hAnsi="宋体"/>
          <w:b/>
          <w:bCs/>
          <w:sz w:val="24"/>
          <w:szCs w:val="24"/>
        </w:rPr>
        <w:t>（二）办赛基本要求</w:t>
      </w:r>
      <w:bookmarkEnd w:id="15"/>
      <w:bookmarkEnd w:id="16"/>
      <w:bookmarkEnd w:id="17"/>
      <w:bookmarkEnd w:id="18"/>
      <w:bookmarkEnd w:id="19"/>
    </w:p>
    <w:p>
      <w:pPr>
        <w:spacing w:after="78" w:line="240" w:lineRule="auto"/>
        <w:ind w:firstLine="403" w:firstLineChars="168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1．严密组织实施，保障有力，确保赛事全程全员安全，顺利有序。</w:t>
      </w:r>
    </w:p>
    <w:p>
      <w:pPr>
        <w:spacing w:after="78" w:line="240" w:lineRule="auto"/>
        <w:ind w:firstLine="403" w:firstLineChars="168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 xml:space="preserve">. </w:t>
      </w:r>
      <w:r>
        <w:rPr>
          <w:rFonts w:hint="eastAsia" w:ascii="宋体" w:hAnsi="宋体"/>
          <w:kern w:val="0"/>
          <w:sz w:val="24"/>
          <w:szCs w:val="24"/>
        </w:rPr>
        <w:t>精心策划、亮点突出。在赛事各个环节融入荔浦本地特色。</w:t>
      </w:r>
    </w:p>
    <w:p>
      <w:pPr>
        <w:spacing w:after="78" w:line="240" w:lineRule="auto"/>
        <w:ind w:firstLine="403" w:firstLineChars="168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3</w:t>
      </w:r>
      <w:r>
        <w:rPr>
          <w:rFonts w:ascii="宋体" w:hAnsi="宋体"/>
          <w:kern w:val="0"/>
          <w:sz w:val="24"/>
          <w:szCs w:val="24"/>
        </w:rPr>
        <w:t xml:space="preserve">. </w:t>
      </w:r>
      <w:r>
        <w:rPr>
          <w:rFonts w:hint="eastAsia" w:ascii="宋体" w:hAnsi="宋体"/>
          <w:kern w:val="0"/>
          <w:sz w:val="24"/>
          <w:szCs w:val="24"/>
        </w:rPr>
        <w:t>加强赛事宣传，发挥体育赛事平台宣传作用，弘扬正能量，树立赛事正面形象，发挥“体育+”作用，推进荔浦文体产业发展，打造城市新名片</w:t>
      </w:r>
    </w:p>
    <w:p>
      <w:pPr>
        <w:spacing w:after="78" w:line="240" w:lineRule="auto"/>
        <w:ind w:firstLine="405" w:firstLineChars="168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（三）具体服务需求及内容</w:t>
      </w:r>
    </w:p>
    <w:p>
      <w:pPr>
        <w:pStyle w:val="5"/>
        <w:spacing w:after="78" w:line="288" w:lineRule="auto"/>
        <w:ind w:firstLine="480" w:firstLineChars="200"/>
        <w:rPr>
          <w:rFonts w:hAnsi="宋体" w:cs="仿宋"/>
          <w:szCs w:val="24"/>
        </w:rPr>
      </w:pPr>
      <w:r>
        <w:rPr>
          <w:rFonts w:hint="eastAsia" w:hAnsi="宋体" w:cs="仿宋"/>
          <w:szCs w:val="24"/>
        </w:rPr>
        <w:t>本项目择优选择运营商，运营商负责承担2020荔浦半程马拉松赛策划筹备、竞赛组织、媒体宣传推广等各项工作，具体包含但不限于：赛事整体策划；赛事形象设计；选手报名和服务；协助志愿者招募、组织志愿者培训、布收岗；协助裁判招募、组织裁判培训、布收岗；场地规划、布置；赛道规划、布置；计时服务；赛事物品采购；赛事宣传推广；场地隔离；协助公安和交警部门进行安全和交通保障以及赛道隔离工作；配合医疗主管部门做好防疫和医疗救援工作；成绩发布；奖金发放等。确保赛事安全有序圆满成功举行。具体要求制定以下5个方案：</w:t>
      </w:r>
    </w:p>
    <w:p>
      <w:pPr>
        <w:pStyle w:val="5"/>
        <w:spacing w:after="78" w:line="288" w:lineRule="auto"/>
        <w:ind w:firstLine="480" w:firstLineChars="200"/>
        <w:rPr>
          <w:rFonts w:hAnsi="宋体" w:cs="仿宋"/>
          <w:szCs w:val="24"/>
        </w:rPr>
      </w:pPr>
      <w:r>
        <w:rPr>
          <w:rFonts w:hint="eastAsia" w:hAnsi="宋体" w:cs="仿宋"/>
          <w:szCs w:val="24"/>
        </w:rPr>
        <w:t>1.赛事总体策划实施方案</w:t>
      </w:r>
    </w:p>
    <w:p>
      <w:pPr>
        <w:pStyle w:val="5"/>
        <w:spacing w:after="78" w:line="288" w:lineRule="auto"/>
        <w:ind w:firstLine="480" w:firstLineChars="200"/>
        <w:rPr>
          <w:rFonts w:hAnsi="宋体" w:cs="仿宋"/>
          <w:szCs w:val="24"/>
        </w:rPr>
      </w:pPr>
      <w:r>
        <w:rPr>
          <w:rFonts w:hint="eastAsia" w:hAnsi="宋体" w:cs="仿宋"/>
          <w:szCs w:val="24"/>
        </w:rPr>
        <w:t>包括但不限于通过赛事举办所要达到的目标及其实施路径、赛事形象设计、本次赛事线路特征描述等，要求能充分展现马拉松赛事特点、荔浦特色、易于传播。</w:t>
      </w:r>
    </w:p>
    <w:p>
      <w:pPr>
        <w:pStyle w:val="5"/>
        <w:spacing w:line="288" w:lineRule="auto"/>
        <w:ind w:firstLine="480" w:firstLineChars="200"/>
        <w:rPr>
          <w:rFonts w:hAnsi="宋体" w:cs="仿宋"/>
          <w:szCs w:val="24"/>
        </w:rPr>
      </w:pPr>
      <w:r>
        <w:rPr>
          <w:rFonts w:hAnsi="宋体" w:cs="仿宋"/>
          <w:szCs w:val="24"/>
        </w:rPr>
        <w:t>2.</w:t>
      </w:r>
      <w:r>
        <w:rPr>
          <w:rFonts w:hint="eastAsia" w:hAnsi="宋体" w:cs="仿宋"/>
          <w:szCs w:val="24"/>
        </w:rPr>
        <w:t>赛事宣传推广方案</w:t>
      </w:r>
    </w:p>
    <w:p>
      <w:pPr>
        <w:pStyle w:val="5"/>
        <w:spacing w:line="288" w:lineRule="auto"/>
        <w:ind w:firstLine="480" w:firstLineChars="200"/>
        <w:rPr>
          <w:rFonts w:hint="eastAsia" w:hAnsi="宋体" w:cs="仿宋"/>
          <w:szCs w:val="24"/>
        </w:rPr>
      </w:pPr>
      <w:r>
        <w:rPr>
          <w:rFonts w:hint="eastAsia" w:hAnsi="宋体" w:cs="仿宋"/>
          <w:szCs w:val="24"/>
        </w:rPr>
        <w:t>供应商须扩大宣传，整合宣传资源，运用多种手段，调动各种积极性，加强工作力度，构建形式多样、全方位、多角度的宣传格局，在各级新闻媒体发布转载新闻报道，为赛事顺利举办营造良好舆论环境，提高赛事的知名度与影响力。</w:t>
      </w:r>
    </w:p>
    <w:p>
      <w:pPr>
        <w:pStyle w:val="5"/>
        <w:spacing w:line="288" w:lineRule="auto"/>
        <w:ind w:firstLine="480" w:firstLineChars="200"/>
        <w:rPr>
          <w:rFonts w:hAnsi="宋体" w:cs="仿宋"/>
          <w:szCs w:val="24"/>
        </w:rPr>
      </w:pPr>
      <w:r>
        <w:rPr>
          <w:rFonts w:hint="eastAsia" w:hAnsi="宋体" w:cs="仿宋"/>
          <w:szCs w:val="24"/>
        </w:rPr>
        <w:t>3</w:t>
      </w:r>
      <w:r>
        <w:rPr>
          <w:rFonts w:hAnsi="宋体" w:cs="仿宋"/>
          <w:szCs w:val="24"/>
        </w:rPr>
        <w:t>.</w:t>
      </w:r>
      <w:r>
        <w:rPr>
          <w:rFonts w:hint="eastAsia" w:hAnsi="宋体" w:cs="仿宋"/>
          <w:szCs w:val="24"/>
        </w:rPr>
        <w:t>竞赛组织工作方案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（1）赛事竞赛组织须按照中国田协《中国境内马拉松赛事组织标准》进行 ，制定赛事竞赛规程、线路说明、报名须知等赛事对外公布的通告、通知。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（2）开发赛事报名系统平台：包括官方网站、官方微信平台的搭建；赛事的报名，完赛成绩证书打印、参赛照片的上传均在网络进行；完成赛事相关报名工作。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（3）供应商承担竞赛团队所有人员的差旅费、劳务费、食宿费等。负责赛前、赛中裁判员、志愿者的培训和管理。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（4）赛事物资包含但不限于参赛选手号码布 </w:t>
      </w:r>
      <w:r>
        <w:rPr>
          <w:rFonts w:ascii="宋体" w:hAnsi="宋体"/>
          <w:sz w:val="24"/>
          <w:szCs w:val="24"/>
        </w:rPr>
        <w:t>4200</w:t>
      </w:r>
      <w:r>
        <w:rPr>
          <w:rFonts w:hint="eastAsia"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大)、2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 xml:space="preserve">个（小）、完赛纪念牌 </w:t>
      </w:r>
      <w:r>
        <w:rPr>
          <w:rFonts w:ascii="宋体" w:hAnsi="宋体"/>
          <w:sz w:val="24"/>
          <w:szCs w:val="24"/>
        </w:rPr>
        <w:t>4200</w:t>
      </w:r>
      <w:r>
        <w:rPr>
          <w:rFonts w:hint="eastAsia" w:ascii="宋体" w:hAnsi="宋体"/>
          <w:sz w:val="24"/>
          <w:szCs w:val="24"/>
        </w:rPr>
        <w:t xml:space="preserve"> 个、参赛包 </w:t>
      </w:r>
      <w:r>
        <w:rPr>
          <w:rFonts w:ascii="宋体" w:hAnsi="宋体"/>
          <w:sz w:val="24"/>
          <w:szCs w:val="24"/>
        </w:rPr>
        <w:t>4200</w:t>
      </w:r>
      <w:r>
        <w:rPr>
          <w:rFonts w:hint="eastAsia" w:ascii="宋体" w:hAnsi="宋体"/>
          <w:sz w:val="24"/>
          <w:szCs w:val="24"/>
        </w:rPr>
        <w:t xml:space="preserve"> 个、参赛 T 恤 </w:t>
      </w:r>
      <w:r>
        <w:rPr>
          <w:rFonts w:ascii="宋体" w:hAnsi="宋体"/>
          <w:sz w:val="24"/>
          <w:szCs w:val="24"/>
        </w:rPr>
        <w:t>4200</w:t>
      </w:r>
      <w:r>
        <w:rPr>
          <w:rFonts w:hint="eastAsia" w:ascii="宋体" w:hAnsi="宋体"/>
          <w:sz w:val="24"/>
          <w:szCs w:val="24"/>
        </w:rPr>
        <w:t xml:space="preserve"> 件等。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（5）比赛采用中国田径协会认可的感应器计时系统，起终点、折返点和沿途每 5 公里分别设置一个计时点，半程马拉松参赛选手采用感应计时芯片计时，计时毯要有抗压能力，可以承受汽车通过。提供满足比赛要求的裁判员、后勤保障人员、医疗救护人员的无线通讯系统和设备。提供裁判所需的电脑、打印机和相应耗材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）购买赛事主</w:t>
      </w:r>
      <w:r>
        <w:rPr>
          <w:rFonts w:hint="eastAsia" w:ascii="宋体" w:hAnsi="宋体"/>
          <w:sz w:val="24"/>
        </w:rPr>
        <w:t>体</w:t>
      </w:r>
      <w:r>
        <w:rPr>
          <w:rFonts w:hint="eastAsia" w:ascii="宋体" w:hAnsi="宋体"/>
          <w:sz w:val="24"/>
          <w:szCs w:val="24"/>
        </w:rPr>
        <w:t>责任险，为所有参赛选手、裁判员、志愿者、工作人员投保人身意外险(含突发性死亡保险赔付)。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仿宋"/>
          <w:sz w:val="24"/>
          <w:szCs w:val="24"/>
        </w:rPr>
        <w:t>设计制作提供各类证件、印刷资料，包括但不限于志愿者证、车辆通行证、安保人员证、媒体记者证、工作人员证、秩序册、参赛指南。</w:t>
      </w:r>
    </w:p>
    <w:p>
      <w:pPr>
        <w:spacing w:line="288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）协助做好志愿者招募工作，组织志愿者培训、志愿者物资发放、志愿者布岗与收岗安排，志愿者激励措施的落实。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）协助做好裁判招募、组织裁判培训、裁判物资发放、裁</w:t>
      </w:r>
      <w:r>
        <w:rPr>
          <w:rFonts w:hint="eastAsia" w:ascii="宋体" w:hAnsi="宋体" w:cs="仿宋"/>
          <w:sz w:val="24"/>
          <w:szCs w:val="24"/>
        </w:rPr>
        <w:t>判布岗与收岗安排，裁判激励措施的落实。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（1</w:t>
      </w:r>
      <w:r>
        <w:rPr>
          <w:rFonts w:ascii="宋体" w:hAnsi="宋体" w:cs="仿宋"/>
          <w:sz w:val="24"/>
          <w:szCs w:val="24"/>
        </w:rPr>
        <w:t>0</w:t>
      </w:r>
      <w:r>
        <w:rPr>
          <w:rFonts w:hint="eastAsia" w:ascii="宋体" w:hAnsi="宋体" w:cs="仿宋"/>
          <w:sz w:val="24"/>
          <w:szCs w:val="24"/>
        </w:rPr>
        <w:t>）做好选手服务工作，具体包括报名、审核、通知、答疑、存取包、赛后服务等。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（11）做好赛事路线规划，赛道补给站设置，赛道物资布置等工作。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（12）做好场地规划与布置工作。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4.赛事安保交通保障方案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制定赛事安全保障、交通管制方案，协助公安和交警部门做好赛事安全和交通保障工作，确保赛事安全进行。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5.赛事医疗卫生保障方案</w:t>
      </w:r>
    </w:p>
    <w:p>
      <w:pPr>
        <w:spacing w:line="288" w:lineRule="auto"/>
        <w:ind w:firstLine="480" w:firstLineChars="200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制定赛事防疫具体措施，赛事医疗急救具体工作方案，配合卫健委做好赛事防疫和医疗救援工作。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88" w:lineRule="auto"/>
        <w:ind w:firstLine="482" w:firstLineChars="200"/>
        <w:jc w:val="left"/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（四）付款方式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88" w:lineRule="auto"/>
        <w:ind w:firstLine="480" w:firstLineChars="200"/>
        <w:jc w:val="left"/>
      </w:pP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合同签署后7天内，甲方向乙方支付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 xml:space="preserve">费用的 </w:t>
      </w:r>
      <w:r>
        <w:rPr>
          <w:rFonts w:hint="eastAsia" w:ascii="宋体" w:hAnsi="宋体" w:cs="仿宋"/>
          <w:sz w:val="24"/>
          <w:szCs w:val="24"/>
          <w:lang w:val="en-US" w:eastAsia="zh-CN"/>
        </w:rPr>
        <w:t>50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% 作为定金（本合同履行后，定金抵作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lang w:val="en-US" w:eastAsia="zh-CN"/>
        </w:rPr>
        <w:t>采购费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，不再扣回），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lang w:eastAsia="zh-CN"/>
        </w:rPr>
        <w:t>成果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获得相关部门批复或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lang w:val="en-US" w:eastAsia="zh-CN"/>
        </w:rPr>
        <w:t>采购单位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备案</w:t>
      </w:r>
      <w:r>
        <w:rPr>
          <w:rFonts w:hint="eastAsia" w:ascii="宋体" w:hAnsi="宋体" w:cs="仿宋"/>
          <w:color w:val="auto"/>
          <w:sz w:val="24"/>
          <w:szCs w:val="24"/>
          <w:highlight w:val="none"/>
          <w:lang w:eastAsia="zh-CN"/>
        </w:rPr>
        <w:t>使用</w:t>
      </w: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后，甲方向乙方支付剩余的合同金额。不留尾款。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0A9"/>
    <w:multiLevelType w:val="multilevel"/>
    <w:tmpl w:val="05CA40A9"/>
    <w:lvl w:ilvl="0" w:tentative="0">
      <w:start w:val="1"/>
      <w:numFmt w:val="japaneseCounting"/>
      <w:lvlText w:val="（%1）"/>
      <w:lvlJc w:val="left"/>
      <w:pPr>
        <w:ind w:left="1142" w:hanging="720"/>
      </w:pPr>
      <w:rPr>
        <w:rFonts w:hint="default"/>
        <w:b/>
      </w:rPr>
    </w:lvl>
    <w:lvl w:ilvl="1" w:tentative="0">
      <w:start w:val="2"/>
      <w:numFmt w:val="decimal"/>
      <w:lvlText w:val="%2、"/>
      <w:lvlJc w:val="left"/>
      <w:pPr>
        <w:ind w:left="1202" w:hanging="360"/>
      </w:pPr>
      <w:rPr>
        <w:rFonts w:hint="default" w:ascii="宋体" w:hAnsi="宋体" w:cs="宋体"/>
        <w:color w:val="auto"/>
      </w:r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F6C16A2"/>
    <w:multiLevelType w:val="multilevel"/>
    <w:tmpl w:val="7F6C16A2"/>
    <w:lvl w:ilvl="0" w:tentative="0">
      <w:start w:val="1"/>
      <w:numFmt w:val="decimal"/>
      <w:lvlText w:val="%1．"/>
      <w:lvlJc w:val="left"/>
      <w:pPr>
        <w:ind w:left="70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2" w:hanging="420"/>
      </w:pPr>
    </w:lvl>
    <w:lvl w:ilvl="2" w:tentative="0">
      <w:start w:val="1"/>
      <w:numFmt w:val="lowerRoman"/>
      <w:lvlText w:val="%3."/>
      <w:lvlJc w:val="right"/>
      <w:pPr>
        <w:ind w:left="1542" w:hanging="420"/>
      </w:pPr>
    </w:lvl>
    <w:lvl w:ilvl="3" w:tentative="0">
      <w:start w:val="1"/>
      <w:numFmt w:val="decimal"/>
      <w:lvlText w:val="%4."/>
      <w:lvlJc w:val="left"/>
      <w:pPr>
        <w:ind w:left="1962" w:hanging="420"/>
      </w:pPr>
    </w:lvl>
    <w:lvl w:ilvl="4" w:tentative="0">
      <w:start w:val="1"/>
      <w:numFmt w:val="lowerLetter"/>
      <w:lvlText w:val="%5)"/>
      <w:lvlJc w:val="left"/>
      <w:pPr>
        <w:ind w:left="2382" w:hanging="420"/>
      </w:pPr>
    </w:lvl>
    <w:lvl w:ilvl="5" w:tentative="0">
      <w:start w:val="1"/>
      <w:numFmt w:val="lowerRoman"/>
      <w:lvlText w:val="%6."/>
      <w:lvlJc w:val="right"/>
      <w:pPr>
        <w:ind w:left="2802" w:hanging="420"/>
      </w:pPr>
    </w:lvl>
    <w:lvl w:ilvl="6" w:tentative="0">
      <w:start w:val="1"/>
      <w:numFmt w:val="decimal"/>
      <w:lvlText w:val="%7."/>
      <w:lvlJc w:val="left"/>
      <w:pPr>
        <w:ind w:left="3222" w:hanging="420"/>
      </w:pPr>
    </w:lvl>
    <w:lvl w:ilvl="7" w:tentative="0">
      <w:start w:val="1"/>
      <w:numFmt w:val="lowerLetter"/>
      <w:lvlText w:val="%8)"/>
      <w:lvlJc w:val="left"/>
      <w:pPr>
        <w:ind w:left="3642" w:hanging="420"/>
      </w:pPr>
    </w:lvl>
    <w:lvl w:ilvl="8" w:tentative="0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A6EEF"/>
    <w:rsid w:val="590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line="380" w:lineRule="exact"/>
    </w:pPr>
    <w:rPr>
      <w:sz w:val="24"/>
    </w:rPr>
  </w:style>
  <w:style w:type="paragraph" w:styleId="5">
    <w:name w:val="Plain Text"/>
    <w:basedOn w:val="4"/>
    <w:next w:val="4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2020-12-14T11:09:00Z</dcterms:created>
  <dc:creator>Zero</dc:creator>
  <cp:lastModifiedBy>Zero</cp:lastModifiedBy>
  <dcterms:modified xsi:type="dcterms:W3CDTF">2020-12-14T11:09:29Z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