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rPr>
          <w:sz w:val="30"/>
          <w:szCs w:val="30"/>
        </w:rPr>
      </w:pPr>
      <w:bookmarkStart w:id="0" w:name="_Toc495387428"/>
      <w:bookmarkStart w:id="1" w:name="_Toc254970631"/>
      <w:bookmarkStart w:id="2" w:name="_Toc254970490"/>
      <w:r>
        <w:rPr>
          <w:rFonts w:hint="eastAsia"/>
        </w:rPr>
        <w:t>采购需求</w:t>
      </w:r>
      <w:bookmarkEnd w:id="0"/>
    </w:p>
    <w:bookmarkEnd w:id="1"/>
    <w:bookmarkEnd w:id="2"/>
    <w:p>
      <w:pPr>
        <w:spacing w:line="360" w:lineRule="auto"/>
        <w:rPr>
          <w:rFonts w:hAnsi="宋体"/>
          <w:color w:val="auto"/>
          <w:sz w:val="21"/>
        </w:rPr>
      </w:pPr>
      <w:r>
        <w:rPr>
          <w:rFonts w:hint="eastAsia" w:hAnsi="宋体"/>
          <w:color w:val="auto"/>
          <w:sz w:val="21"/>
        </w:rPr>
        <w:t>说明：</w:t>
      </w:r>
    </w:p>
    <w:p>
      <w:pPr>
        <w:spacing w:line="360" w:lineRule="auto"/>
        <w:ind w:firstLine="424" w:firstLineChars="202"/>
        <w:rPr>
          <w:rFonts w:hAnsi="宋体"/>
          <w:color w:val="auto"/>
          <w:sz w:val="21"/>
        </w:rPr>
      </w:pPr>
      <w:r>
        <w:rPr>
          <w:rFonts w:hint="eastAsia" w:hAnsi="宋体"/>
          <w:color w:val="auto"/>
          <w:sz w:val="21"/>
        </w:rPr>
        <w:t>1.本招标文件所称中小企业必须符合《政府采购促进中小企业发展管理办法》第二条规定。</w:t>
      </w:r>
      <w:r>
        <w:rPr>
          <w:rFonts w:hAnsi="宋体"/>
          <w:color w:val="auto"/>
          <w:sz w:val="21"/>
        </w:rPr>
        <w:t>按照《财政部、司法部关于政府采购支持监狱企业发展有关问题的通知》（财库〔2014〕68号）之规定，监狱企业视同小型、微型企业。</w:t>
      </w:r>
      <w:r>
        <w:rPr>
          <w:rFonts w:hint="eastAsia" w:hAnsi="宋体"/>
          <w:bCs/>
          <w:color w:val="auto"/>
          <w:sz w:val="21"/>
        </w:rPr>
        <w:t>按照《财政部 民政部 中国残疾人联合会关于促进残疾人就业政府采购政策的通知》（财库〔2017〕141号）之规定，残疾人福利性单位视同小型、微型企业。</w:t>
      </w:r>
    </w:p>
    <w:p>
      <w:pPr>
        <w:spacing w:line="360" w:lineRule="auto"/>
        <w:ind w:firstLine="426" w:firstLineChars="202"/>
        <w:rPr>
          <w:rFonts w:hAnsi="宋体"/>
          <w:b/>
          <w:color w:val="auto"/>
          <w:sz w:val="21"/>
        </w:rPr>
      </w:pPr>
      <w:r>
        <w:rPr>
          <w:rFonts w:hAnsi="宋体"/>
          <w:b/>
          <w:color w:val="auto"/>
          <w:sz w:val="21"/>
        </w:rPr>
        <w:t>2</w:t>
      </w:r>
      <w:r>
        <w:rPr>
          <w:rFonts w:hint="eastAsia" w:hAnsi="宋体"/>
          <w:b/>
          <w:color w:val="auto"/>
          <w:sz w:val="21"/>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w:t>
      </w:r>
      <w:r>
        <w:rPr>
          <w:rFonts w:hint="eastAsia" w:hAnsi="宋体" w:cs="Courier New"/>
          <w:b/>
          <w:color w:val="auto"/>
          <w:sz w:val="21"/>
        </w:rPr>
        <w:t>（电子签章）</w:t>
      </w:r>
      <w:r>
        <w:rPr>
          <w:rFonts w:hAnsi="宋体"/>
          <w:b/>
          <w:color w:val="auto"/>
          <w:sz w:val="21"/>
        </w:rPr>
        <w:t>]</w:t>
      </w:r>
      <w:r>
        <w:rPr>
          <w:rFonts w:hint="eastAsia" w:hAnsi="宋体"/>
          <w:b/>
          <w:color w:val="auto"/>
          <w:sz w:val="21"/>
        </w:rPr>
        <w:t>，否则相应投标无效。</w:t>
      </w:r>
    </w:p>
    <w:p>
      <w:pPr>
        <w:spacing w:line="360" w:lineRule="auto"/>
        <w:ind w:firstLine="426" w:firstLineChars="202"/>
        <w:rPr>
          <w:rFonts w:hint="eastAsia" w:hAnsi="宋体"/>
          <w:b/>
          <w:color w:val="auto"/>
          <w:sz w:val="21"/>
        </w:rPr>
      </w:pPr>
      <w:r>
        <w:rPr>
          <w:rFonts w:hAnsi="宋体"/>
          <w:b/>
          <w:color w:val="auto"/>
          <w:sz w:val="21"/>
        </w:rPr>
        <w:t>3</w:t>
      </w:r>
      <w:r>
        <w:rPr>
          <w:rFonts w:hint="eastAsia" w:hAnsi="宋体"/>
          <w:b/>
          <w:color w:val="auto"/>
          <w:sz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电子签章）]，否则投标无效。</w:t>
      </w:r>
    </w:p>
    <w:p>
      <w:pPr>
        <w:spacing w:line="360" w:lineRule="auto"/>
        <w:ind w:firstLine="426" w:firstLineChars="202"/>
        <w:rPr>
          <w:rFonts w:hint="eastAsia" w:hAnsi="宋体"/>
          <w:b/>
          <w:color w:val="auto"/>
          <w:sz w:val="21"/>
        </w:rPr>
      </w:pPr>
      <w:r>
        <w:rPr>
          <w:rFonts w:hAnsi="宋体"/>
          <w:b/>
          <w:color w:val="auto"/>
          <w:sz w:val="21"/>
        </w:rPr>
        <w:t>4.本项目不接受进口产品（即通过中国海关报关验放进入中国境内且产自关境外的产品）参与投标，如有此类产品参与投标的做投标无效处理。</w:t>
      </w:r>
    </w:p>
    <w:p>
      <w:pPr>
        <w:spacing w:line="360" w:lineRule="auto"/>
        <w:ind w:firstLine="424" w:firstLineChars="202"/>
        <w:rPr>
          <w:rFonts w:hint="eastAsia" w:hAnsi="宋体"/>
          <w:color w:val="auto"/>
          <w:sz w:val="21"/>
        </w:rPr>
      </w:pPr>
      <w:r>
        <w:rPr>
          <w:rFonts w:hAnsi="宋体"/>
          <w:color w:val="auto"/>
          <w:sz w:val="21"/>
        </w:rPr>
        <w:t>5.</w:t>
      </w:r>
      <w:r>
        <w:rPr>
          <w:rFonts w:hint="eastAsia" w:hAnsi="宋体"/>
          <w:color w:val="auto"/>
          <w:sz w:val="21"/>
        </w:rPr>
        <w:t>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pPr>
        <w:spacing w:line="360" w:lineRule="auto"/>
        <w:ind w:firstLine="420" w:firstLineChars="200"/>
        <w:rPr>
          <w:rFonts w:hint="eastAsia" w:hAnsi="宋体"/>
          <w:color w:val="auto"/>
          <w:sz w:val="21"/>
        </w:rPr>
      </w:pPr>
      <w:r>
        <w:rPr>
          <w:rFonts w:hAnsi="宋体"/>
          <w:color w:val="auto"/>
          <w:sz w:val="21"/>
        </w:rPr>
        <w:t>6.</w:t>
      </w:r>
      <w:r>
        <w:rPr>
          <w:rFonts w:hint="eastAsia" w:hAnsi="宋体"/>
          <w:color w:val="auto"/>
          <w:sz w:val="21"/>
        </w:rPr>
        <w:t>招标文件中所要求提供的证明材料，如为英文文本的请同时提供中文译本。</w:t>
      </w:r>
    </w:p>
    <w:p>
      <w:pPr>
        <w:spacing w:line="360" w:lineRule="auto"/>
        <w:ind w:firstLine="420" w:firstLineChars="200"/>
        <w:rPr>
          <w:rFonts w:hint="eastAsia" w:hAnsi="宋体"/>
          <w:color w:val="auto"/>
          <w:sz w:val="21"/>
        </w:rPr>
      </w:pPr>
      <w:r>
        <w:rPr>
          <w:rFonts w:hAnsi="宋体"/>
          <w:color w:val="auto"/>
          <w:sz w:val="21"/>
        </w:rPr>
        <w:t>7.</w:t>
      </w:r>
      <w:r>
        <w:rPr>
          <w:rFonts w:hint="eastAsia" w:hAnsi="宋体"/>
          <w:color w:val="auto"/>
          <w:sz w:val="21"/>
        </w:rPr>
        <w:t>采购需求具有国家或其他强制性标准、规范等要求的，投标文件中必须提供相关强制性认证资料，否则投标无效。</w:t>
      </w:r>
    </w:p>
    <w:p>
      <w:pPr>
        <w:spacing w:line="360" w:lineRule="auto"/>
        <w:ind w:firstLine="420" w:firstLineChars="200"/>
        <w:rPr>
          <w:rFonts w:hint="eastAsia" w:hAnsi="宋体"/>
          <w:color w:val="auto"/>
          <w:sz w:val="21"/>
        </w:rPr>
      </w:pPr>
      <w:r>
        <w:rPr>
          <w:rFonts w:hAnsi="宋体"/>
          <w:color w:val="auto"/>
          <w:sz w:val="21"/>
        </w:rPr>
        <w:t>8.</w:t>
      </w:r>
      <w:r>
        <w:rPr>
          <w:rFonts w:hint="eastAsia" w:hAnsi="宋体"/>
          <w:color w:val="auto"/>
          <w:sz w:val="21"/>
        </w:rPr>
        <w:t>本采购需求中技术要求所使用的标准或应用标准如与投标人所执行的标准不一致时，按最新标准或较高标准执行。</w:t>
      </w:r>
    </w:p>
    <w:p>
      <w:pPr>
        <w:spacing w:line="360" w:lineRule="auto"/>
        <w:ind w:firstLine="422" w:firstLineChars="200"/>
        <w:rPr>
          <w:rFonts w:hint="eastAsia" w:hAnsi="宋体"/>
          <w:b/>
          <w:color w:val="auto"/>
          <w:sz w:val="21"/>
        </w:rPr>
      </w:pPr>
      <w:r>
        <w:rPr>
          <w:rFonts w:hAnsi="宋体"/>
          <w:b/>
          <w:color w:val="auto"/>
          <w:sz w:val="21"/>
        </w:rPr>
        <w:t>9.</w:t>
      </w:r>
      <w:r>
        <w:rPr>
          <w:rFonts w:hint="eastAsia" w:hAnsi="宋体"/>
          <w:b/>
          <w:color w:val="auto"/>
          <w:sz w:val="21"/>
        </w:rPr>
        <w:t>凡在“技术参数及性能（配置）要求”中表述为“标配”或“标准配置”的设备，投标人应在投标报价明细表中将其标配参数详细列明，否则该投标无效。</w:t>
      </w:r>
    </w:p>
    <w:p>
      <w:pPr>
        <w:spacing w:line="360" w:lineRule="auto"/>
        <w:ind w:firstLine="422" w:firstLineChars="200"/>
        <w:rPr>
          <w:rFonts w:hint="eastAsia" w:hAnsi="宋体"/>
          <w:b/>
          <w:color w:val="auto"/>
          <w:sz w:val="21"/>
        </w:rPr>
      </w:pPr>
      <w:r>
        <w:rPr>
          <w:rFonts w:hAnsi="宋体"/>
          <w:b/>
          <w:color w:val="auto"/>
          <w:sz w:val="21"/>
        </w:rPr>
        <w:t>10.</w:t>
      </w:r>
      <w:r>
        <w:rPr>
          <w:rFonts w:hint="eastAsia" w:hAnsi="宋体"/>
          <w:b/>
          <w:color w:val="auto"/>
          <w:sz w:val="21"/>
        </w:rPr>
        <w:t>本项目标注“▲”号的条款为实质性条款，必须满足或优于，否则投标无效。</w:t>
      </w:r>
    </w:p>
    <w:tbl>
      <w:tblPr>
        <w:tblStyle w:val="47"/>
        <w:tblW w:w="97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2"/>
        <w:gridCol w:w="1079"/>
        <w:gridCol w:w="283"/>
        <w:gridCol w:w="567"/>
        <w:gridCol w:w="6521"/>
        <w:gridCol w:w="6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74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Ansi="宋体"/>
                <w:b/>
                <w:color w:val="auto"/>
                <w:sz w:val="21"/>
              </w:rPr>
            </w:pPr>
            <w:r>
              <w:rPr>
                <w:rFonts w:hint="eastAsia" w:hAnsi="宋体"/>
                <w:b/>
                <w:color w:val="auto"/>
                <w:sz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color w:val="auto"/>
                <w:sz w:val="21"/>
              </w:rPr>
            </w:pPr>
            <w:r>
              <w:rPr>
                <w:rFonts w:hint="eastAsia" w:hAnsi="宋体"/>
                <w:b/>
                <w:color w:val="auto"/>
                <w:sz w:val="21"/>
              </w:rPr>
              <w:t>项号</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color w:val="auto"/>
                <w:sz w:val="21"/>
              </w:rPr>
            </w:pPr>
            <w:r>
              <w:rPr>
                <w:rFonts w:hint="eastAsia" w:hAnsi="宋体"/>
                <w:b/>
                <w:color w:val="auto"/>
                <w:sz w:val="21"/>
              </w:rPr>
              <w:t>标的名称</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color w:val="auto"/>
                <w:sz w:val="21"/>
              </w:rPr>
            </w:pPr>
            <w:r>
              <w:rPr>
                <w:rFonts w:hint="eastAsia" w:hAnsi="宋体"/>
                <w:b/>
                <w:color w:val="auto"/>
                <w:sz w:val="21"/>
              </w:rPr>
              <w:t>数量及单位</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bCs/>
                <w:color w:val="auto"/>
                <w:sz w:val="21"/>
              </w:rPr>
            </w:pPr>
            <w:r>
              <w:rPr>
                <w:rFonts w:hint="eastAsia" w:hAnsi="宋体" w:cs="Arial"/>
                <w:b/>
                <w:color w:val="auto"/>
                <w:sz w:val="21"/>
              </w:rPr>
              <w:t>技术参数及性能（配置）要求</w:t>
            </w: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bCs/>
                <w:color w:val="auto"/>
                <w:sz w:val="21"/>
              </w:rPr>
            </w:pPr>
            <w:r>
              <w:rPr>
                <w:rFonts w:hint="eastAsia" w:hAnsi="宋体"/>
                <w:b/>
                <w:bCs/>
                <w:color w:val="auto"/>
                <w:sz w:val="21"/>
              </w:rPr>
              <w:t>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22"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60" w:lineRule="auto"/>
              <w:jc w:val="center"/>
              <w:rPr>
                <w:rFonts w:hAnsi="宋体" w:cs="Arial"/>
                <w:color w:val="auto"/>
                <w:sz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olor w:val="auto"/>
                <w:sz w:val="21"/>
              </w:rPr>
            </w:pPr>
            <w:r>
              <w:rPr>
                <w:rFonts w:hint="eastAsia" w:hAnsi="宋体"/>
                <w:color w:val="auto"/>
                <w:sz w:val="21"/>
              </w:rPr>
              <w:t>干扰电治疗仪</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olor w:val="auto"/>
                <w:sz w:val="21"/>
              </w:rPr>
            </w:pPr>
            <w:r>
              <w:rPr>
                <w:rFonts w:hint="eastAsia" w:hAnsi="宋体"/>
                <w:color w:val="auto"/>
                <w:sz w:val="21"/>
              </w:rPr>
              <w:t>2台</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▲1.双路三维干涉波输出；</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2.吸附式电极，负压吸引压80～300mmHg连续可调；</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3.吸引模式：连续模式、脉冲模式（15回/分、30回/分、60回/分）和自动模式，可模拟拔罐、按摩等；</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4.顶板自动加热功能；</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5.输出频率（基频）为2kHz、3kHz、4kHz、5kHz可调节；</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6.干涉波差频频率1～120Hz；</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7.在500Ω额定负载下输出的电流有效值不大于50mA；</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8.种干涉模式可调节：IFC、IFCW、PMC、PMC2、程序；</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▲9.≥5种向量可调节：1、2、3、4、5；</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10.≥3种扫引时间可调节：15秒、30秒、60秒；</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▲11.≥5种调制模式：0、25％、50％、75％、100％；</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12.五种治疗模式可调节：低、中、高、广域、低高；</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13.多重安全保护：过电流保护、过电压保护、断路保护、顶板加热双重温度保护。</w:t>
            </w: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auto"/>
                <w:sz w:val="21"/>
              </w:rPr>
            </w:pPr>
            <w:r>
              <w:rPr>
                <w:rFonts w:hint="eastAsia" w:hAnsi="宋体"/>
                <w:color w:val="auto"/>
                <w:sz w:val="21"/>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22"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60" w:lineRule="auto"/>
              <w:jc w:val="center"/>
              <w:rPr>
                <w:rFonts w:hAnsi="宋体" w:cs="Arial"/>
                <w:color w:val="auto"/>
                <w:sz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hAnsi="宋体" w:cs="宋体"/>
                <w:color w:val="auto"/>
                <w:kern w:val="0"/>
                <w:sz w:val="21"/>
              </w:rPr>
            </w:pPr>
            <w:r>
              <w:rPr>
                <w:rFonts w:hint="eastAsia" w:hAnsi="宋体" w:cs="宋体"/>
                <w:color w:val="auto"/>
                <w:kern w:val="0"/>
                <w:sz w:val="21"/>
              </w:rPr>
              <w:t>超声波治疗仪</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olor w:val="auto"/>
                <w:sz w:val="21"/>
              </w:rPr>
            </w:pPr>
            <w:r>
              <w:rPr>
                <w:rFonts w:hint="eastAsia" w:hAnsi="宋体"/>
                <w:color w:val="auto"/>
                <w:sz w:val="21"/>
              </w:rPr>
              <w:t>2台</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1.额定输出功率：7.50W±20%；3.30W±20%；</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2.治疗头有效辐射面积：2.5</w:t>
            </w:r>
            <w:r>
              <w:rPr>
                <w:color w:val="auto"/>
              </w:rPr>
              <w:t>cm²</w:t>
            </w:r>
            <w:r>
              <w:rPr>
                <w:rFonts w:hint="eastAsia" w:hAnsi="宋体" w:cs="Arial"/>
                <w:color w:val="auto"/>
                <w:sz w:val="21"/>
              </w:rPr>
              <w:t>±20%；1.1</w:t>
            </w:r>
            <w:r>
              <w:rPr>
                <w:color w:val="auto"/>
              </w:rPr>
              <w:t>cm²</w:t>
            </w:r>
            <w:r>
              <w:rPr>
                <w:rFonts w:hint="eastAsia" w:hAnsi="宋体" w:cs="Arial"/>
                <w:color w:val="auto"/>
                <w:sz w:val="21"/>
              </w:rPr>
              <w:t>±20%；</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▲3.额定输出有效声强：3.0W/</w:t>
            </w:r>
            <w:r>
              <w:rPr>
                <w:color w:val="auto"/>
              </w:rPr>
              <w:t>cm²</w:t>
            </w:r>
            <w:r>
              <w:rPr>
                <w:rFonts w:hint="eastAsia" w:hAnsi="宋体" w:cs="Arial"/>
                <w:color w:val="auto"/>
                <w:sz w:val="21"/>
              </w:rPr>
              <w:t>±30%；</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4.声工作频率：1.0MHz±10%；3.0MHz±10%；</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5.波束不均匀性系数：≤8；</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6.波束最大声强：24W/</w:t>
            </w:r>
            <w:r>
              <w:rPr>
                <w:color w:val="auto"/>
              </w:rPr>
              <w:t>cm²</w:t>
            </w:r>
            <w:r>
              <w:rPr>
                <w:rFonts w:hint="eastAsia" w:hAnsi="宋体" w:cs="Arial"/>
                <w:color w:val="auto"/>
                <w:sz w:val="21"/>
              </w:rPr>
              <w:t xml:space="preserve">±30%；波束类型：准直型； </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7.波形：脉冲波、连续波；安全分类：Ⅰ类，B型；</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▲8.治疗头进液防护程度：IPX7 （防水深度，治疗头辐射面往上10mm）；</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9.机身进液防护程度：IPX0；</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▲10.有效声强(W/</w:t>
            </w:r>
            <w:r>
              <w:rPr>
                <w:color w:val="auto"/>
              </w:rPr>
              <w:t>cm²</w:t>
            </w:r>
            <w:r>
              <w:rPr>
                <w:rFonts w:hint="eastAsia" w:hAnsi="宋体" w:cs="Arial"/>
                <w:color w:val="auto"/>
                <w:sz w:val="21"/>
              </w:rPr>
              <w:t>)：0.3W/</w:t>
            </w:r>
            <w:r>
              <w:rPr>
                <w:color w:val="auto"/>
              </w:rPr>
              <w:t>cm²</w:t>
            </w:r>
            <w:r>
              <w:rPr>
                <w:rFonts w:hint="eastAsia" w:hAnsi="宋体" w:cs="Arial"/>
                <w:color w:val="auto"/>
                <w:sz w:val="21"/>
              </w:rPr>
              <w:t>～3.0W/</w:t>
            </w:r>
            <w:r>
              <w:rPr>
                <w:color w:val="auto"/>
              </w:rPr>
              <w:t>cm²</w:t>
            </w:r>
            <w:r>
              <w:rPr>
                <w:rFonts w:hint="eastAsia" w:hAnsi="宋体" w:cs="Arial"/>
                <w:color w:val="auto"/>
                <w:sz w:val="21"/>
              </w:rPr>
              <w:t>；</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11.输出功率（W）：0.33W～7.50W；</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12.脉冲持续时间：10ms；</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13.最大输出功率与输出功率比值：10.0～1.11；</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14.占空比：1:10～9:10；</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15.时间最大声强（W/</w:t>
            </w:r>
            <w:r>
              <w:rPr>
                <w:color w:val="auto"/>
              </w:rPr>
              <w:t>cm²</w:t>
            </w:r>
            <w:r>
              <w:rPr>
                <w:rFonts w:hint="eastAsia" w:hAnsi="宋体" w:cs="Arial"/>
                <w:color w:val="auto"/>
                <w:sz w:val="21"/>
              </w:rPr>
              <w:t>）：3.0；</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16.时间最大输出功率（W）：3.30W～7.5W；</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17.每一种调制设置的调制波形：方波；输出波形描述：100%方波调制；</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18.每种调制设置状态下，脉冲持续时间、脉冲重复周期、占空比以及时间最大输出功率与输出功率的比值，输出功率及有效声强。</w:t>
            </w: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olor w:val="auto"/>
                <w:sz w:val="21"/>
              </w:rPr>
            </w:pPr>
            <w:r>
              <w:rPr>
                <w:rFonts w:hint="eastAsia" w:hAnsi="宋体"/>
                <w:color w:val="auto"/>
                <w:sz w:val="21"/>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22"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60" w:lineRule="auto"/>
              <w:jc w:val="center"/>
              <w:rPr>
                <w:rFonts w:hAnsi="宋体" w:cs="Arial"/>
                <w:color w:val="auto"/>
                <w:sz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hAnsi="宋体" w:cs="宋体"/>
                <w:color w:val="auto"/>
                <w:kern w:val="0"/>
                <w:sz w:val="21"/>
              </w:rPr>
            </w:pPr>
            <w:r>
              <w:rPr>
                <w:rFonts w:hint="eastAsia" w:hAnsi="宋体" w:cs="宋体"/>
                <w:color w:val="auto"/>
                <w:kern w:val="0"/>
                <w:sz w:val="21"/>
              </w:rPr>
              <w:t>全胸振荡排痰机</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olor w:val="auto"/>
                <w:sz w:val="21"/>
              </w:rPr>
            </w:pPr>
            <w:r>
              <w:rPr>
                <w:rFonts w:hint="eastAsia" w:hAnsi="宋体"/>
                <w:color w:val="auto"/>
                <w:sz w:val="21"/>
              </w:rPr>
              <w:t>1台</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1.设备尺寸：约41cm×46cm×96cm；</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2.设备重量：约37Kg；</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3.工作条件：</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a）环境温度：5℃～40℃；</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b）相对湿度：≤85%；</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c）大气压力：860hPa～1060hPa；</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d）电源要求：AC 220V±10％，50Hz±2％；</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e）输入功率：800VA；</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4.柜式一体机型，推车设计带锁止万向轮，各种角度灵活转动；</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▲5.一键飞梭的操作模式，所有调节均可通过一个键的旋转按压实现；</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6.配备手动触发器；</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▲7.特殊设计脉冲式压缩空气泵，解决了传统背心式排痰机在使用过程中噪音大、震动强烈、漏气等问题，保证治疗稳定有效；</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▲8.充气背心采用TPU高强度复合面料充气背心分标准全胸充气背心（成人）、简易半胸充气胸带两种，共5种尺寸型号；</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9.压力范围：0.5～3.2kPa，分10档可调，步距增量1（0.3kPa）；</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10.振动频率：5～30Hz连续可调，步距增量1Hz；</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11.工作模式：手动模式、三种自动程序模式、用户自定义模式；</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12.时间设定：</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a）手动模式1min～99min；</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b）自动模式、自定义模式四档调节5min、10min、15min和20min；</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13.专业调控软件，治疗参数稳定、高效；</w:t>
            </w:r>
          </w:p>
          <w:p>
            <w:pPr>
              <w:autoSpaceDE w:val="0"/>
              <w:autoSpaceDN w:val="0"/>
              <w:adjustRightInd w:val="0"/>
              <w:spacing w:line="360" w:lineRule="auto"/>
              <w:ind w:firstLine="420" w:firstLineChars="200"/>
              <w:rPr>
                <w:rFonts w:hint="eastAsia" w:hAnsi="宋体" w:cs="Arial"/>
                <w:color w:val="auto"/>
                <w:sz w:val="21"/>
              </w:rPr>
            </w:pPr>
            <w:r>
              <w:rPr>
                <w:rFonts w:hint="eastAsia" w:hAnsi="宋体" w:cs="Arial"/>
                <w:color w:val="auto"/>
                <w:sz w:val="21"/>
              </w:rPr>
              <w:t>14.安全性：仪器通过电磁兼容检测。</w:t>
            </w:r>
          </w:p>
        </w:tc>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olor w:val="auto"/>
                <w:sz w:val="21"/>
              </w:rPr>
            </w:pPr>
            <w:r>
              <w:rPr>
                <w:rFonts w:hint="eastAsia" w:hAnsi="宋体"/>
                <w:color w:val="auto"/>
                <w:sz w:val="21"/>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746"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Ansi="宋体"/>
                <w:color w:val="auto"/>
                <w:sz w:val="21"/>
              </w:rPr>
            </w:pPr>
            <w:r>
              <w:rPr>
                <w:rFonts w:hint="eastAsia" w:hAnsi="宋体"/>
                <w:b/>
                <w:color w:val="auto"/>
                <w:sz w:val="21"/>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color w:val="auto"/>
                <w:sz w:val="21"/>
              </w:rPr>
            </w:pPr>
            <w:r>
              <w:rPr>
                <w:rFonts w:hint="eastAsia" w:hAnsi="宋体"/>
                <w:b/>
                <w:color w:val="auto"/>
                <w:sz w:val="21"/>
              </w:rPr>
              <w:t>采购预算</w:t>
            </w:r>
          </w:p>
        </w:tc>
        <w:tc>
          <w:tcPr>
            <w:tcW w:w="776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308" w:firstLineChars="147"/>
              <w:rPr>
                <w:rFonts w:hAnsi="宋体"/>
                <w:color w:val="auto"/>
                <w:sz w:val="21"/>
              </w:rPr>
            </w:pPr>
            <w:r>
              <w:rPr>
                <w:rFonts w:hint="eastAsia" w:hAnsi="宋体"/>
                <w:color w:val="auto"/>
                <w:sz w:val="21"/>
              </w:rPr>
              <w:t>具体见本招标文件第一章“招标公告”。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color w:val="auto"/>
                <w:sz w:val="21"/>
              </w:rPr>
            </w:pPr>
            <w:r>
              <w:rPr>
                <w:rFonts w:hint="eastAsia" w:hAnsi="宋体" w:cs="Arial"/>
                <w:b/>
                <w:color w:val="auto"/>
                <w:sz w:val="21"/>
              </w:rPr>
              <w:t>为落实政府采购政策需满足的要求</w:t>
            </w:r>
          </w:p>
        </w:tc>
        <w:tc>
          <w:tcPr>
            <w:tcW w:w="776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08" w:firstLineChars="147"/>
              <w:rPr>
                <w:rFonts w:hAnsi="宋体"/>
                <w:color w:val="auto"/>
                <w:sz w:val="21"/>
              </w:rPr>
            </w:pPr>
            <w:r>
              <w:rPr>
                <w:rFonts w:hint="eastAsia" w:hAnsi="宋体"/>
                <w:color w:val="auto"/>
                <w:sz w:val="21"/>
              </w:rPr>
              <w:t>具体见本招标文件第三章“投标人须知”及第四章“评标办法及评分标准”。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Arial"/>
                <w:b/>
                <w:color w:val="auto"/>
                <w:sz w:val="21"/>
              </w:rPr>
            </w:pPr>
            <w:r>
              <w:rPr>
                <w:rFonts w:hint="eastAsia" w:hAnsi="宋体" w:cs="Arial"/>
                <w:b/>
                <w:color w:val="auto"/>
                <w:sz w:val="21"/>
              </w:rPr>
              <w:t>规范标准</w:t>
            </w:r>
          </w:p>
        </w:tc>
        <w:tc>
          <w:tcPr>
            <w:tcW w:w="776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08" w:firstLineChars="147"/>
              <w:rPr>
                <w:rFonts w:hAnsi="宋体"/>
                <w:color w:val="auto"/>
                <w:sz w:val="21"/>
              </w:rPr>
            </w:pPr>
            <w:r>
              <w:rPr>
                <w:rFonts w:hint="eastAsia" w:hAnsi="宋体" w:cs="Arial"/>
                <w:color w:val="auto"/>
                <w:sz w:val="21"/>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Arial"/>
                <w:b/>
                <w:color w:val="auto"/>
                <w:sz w:val="21"/>
              </w:rPr>
            </w:pPr>
            <w:r>
              <w:rPr>
                <w:rFonts w:hint="eastAsia" w:hAnsi="宋体" w:cs="Arial"/>
                <w:b/>
                <w:color w:val="auto"/>
                <w:sz w:val="21"/>
              </w:rPr>
              <w:t>采购标的需满足的质量、安全、技术规格、物理特性等</w:t>
            </w:r>
          </w:p>
        </w:tc>
        <w:tc>
          <w:tcPr>
            <w:tcW w:w="776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08" w:firstLineChars="147"/>
              <w:rPr>
                <w:rFonts w:hAnsi="宋体" w:cs="Arial"/>
                <w:color w:val="auto"/>
                <w:sz w:val="21"/>
              </w:rPr>
            </w:pPr>
            <w:r>
              <w:rPr>
                <w:rFonts w:hint="eastAsia" w:hAnsi="宋体" w:cs="Arial"/>
                <w:color w:val="auto"/>
                <w:sz w:val="21"/>
              </w:rPr>
              <w:t>见本表“技术参数及性能（配置）要求”及国家行业相关标准。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Arial"/>
                <w:b/>
                <w:color w:val="auto"/>
                <w:sz w:val="21"/>
              </w:rPr>
            </w:pPr>
            <w:r>
              <w:rPr>
                <w:rFonts w:hint="eastAsia" w:hAnsi="宋体" w:cs="Arial"/>
                <w:b/>
                <w:color w:val="auto"/>
                <w:sz w:val="21"/>
              </w:rPr>
              <w:t>采购标的需满足的服务标准、期限、效率等</w:t>
            </w:r>
          </w:p>
        </w:tc>
        <w:tc>
          <w:tcPr>
            <w:tcW w:w="776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08" w:firstLineChars="147"/>
              <w:rPr>
                <w:rFonts w:hAnsi="宋体" w:cs="Arial"/>
                <w:color w:val="auto"/>
                <w:sz w:val="21"/>
              </w:rPr>
            </w:pPr>
            <w:r>
              <w:rPr>
                <w:rFonts w:hint="eastAsia" w:hAnsi="宋体" w:cs="Arial"/>
                <w:color w:val="auto"/>
                <w:sz w:val="21"/>
              </w:rPr>
              <w:t>见本表</w:t>
            </w:r>
            <w:r>
              <w:rPr>
                <w:rFonts w:hint="eastAsia" w:hAnsi="宋体"/>
                <w:color w:val="auto"/>
                <w:sz w:val="21"/>
              </w:rPr>
              <w:t>“商务最低要求表”</w:t>
            </w:r>
            <w:r>
              <w:rPr>
                <w:rFonts w:hint="eastAsia" w:hAnsi="宋体" w:cs="Arial"/>
                <w:color w:val="auto"/>
                <w:sz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color w:val="auto"/>
                <w:sz w:val="21"/>
              </w:rPr>
            </w:pPr>
            <w:r>
              <w:rPr>
                <w:rFonts w:hint="eastAsia" w:hAnsi="宋体"/>
                <w:b/>
                <w:color w:val="auto"/>
                <w:sz w:val="21"/>
              </w:rPr>
              <w:t>采购标的验收标准</w:t>
            </w:r>
          </w:p>
        </w:tc>
        <w:tc>
          <w:tcPr>
            <w:tcW w:w="7762"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425"/>
              </w:tabs>
              <w:spacing w:line="360" w:lineRule="auto"/>
              <w:ind w:firstLine="420" w:firstLineChars="200"/>
              <w:rPr>
                <w:rFonts w:hAnsi="宋体" w:cs="宋体"/>
                <w:color w:val="auto"/>
                <w:sz w:val="21"/>
              </w:rPr>
            </w:pPr>
            <w:r>
              <w:rPr>
                <w:rFonts w:hint="eastAsia" w:hAnsi="宋体" w:cs="宋体"/>
                <w:color w:val="auto"/>
                <w:sz w:val="21"/>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pPr>
              <w:tabs>
                <w:tab w:val="left" w:pos="425"/>
              </w:tabs>
              <w:spacing w:line="360" w:lineRule="auto"/>
              <w:ind w:firstLine="420" w:firstLineChars="200"/>
              <w:rPr>
                <w:rFonts w:hint="eastAsia" w:hAnsi="宋体" w:cs="宋体"/>
                <w:color w:val="auto"/>
                <w:sz w:val="21"/>
              </w:rPr>
            </w:pPr>
            <w:r>
              <w:rPr>
                <w:rFonts w:hAnsi="宋体" w:cs="宋体"/>
                <w:color w:val="auto"/>
                <w:sz w:val="21"/>
              </w:rPr>
              <w:t>2.</w:t>
            </w:r>
            <w:r>
              <w:rPr>
                <w:rFonts w:hint="eastAsia" w:hAnsi="宋体" w:cs="宋体"/>
                <w:color w:val="auto"/>
                <w:sz w:val="21"/>
              </w:rPr>
              <w:t>产品到达现场后，中标供应商应在采购人单位人员在场情况下当面开箱，共同清点、检查外观，作出开箱记录，双方签字确认。中标供应商应保证货物到达采购人所在地完好无损，如有缺漏、损坏，由中标供应商负责调换、补齐或赔偿。</w:t>
            </w:r>
          </w:p>
          <w:p>
            <w:pPr>
              <w:tabs>
                <w:tab w:val="left" w:pos="425"/>
              </w:tabs>
              <w:spacing w:line="360" w:lineRule="auto"/>
              <w:ind w:firstLine="420" w:firstLineChars="200"/>
              <w:rPr>
                <w:rFonts w:hint="eastAsia" w:hAnsi="宋体" w:cs="宋体"/>
                <w:color w:val="auto"/>
                <w:sz w:val="21"/>
              </w:rPr>
            </w:pPr>
            <w:r>
              <w:rPr>
                <w:rFonts w:hAnsi="宋体" w:cs="宋体"/>
                <w:color w:val="auto"/>
                <w:sz w:val="21"/>
              </w:rPr>
              <w:t>3</w:t>
            </w:r>
            <w:r>
              <w:rPr>
                <w:rFonts w:hint="eastAsia" w:hAnsi="宋体" w:cs="宋体"/>
                <w:color w:val="auto"/>
                <w:sz w:val="21"/>
              </w:rPr>
              <w:t>.中标供应商须确保货物为原制造商制造的全新产品，无污染，无侵权行为、表面无划损、无任何缺陷隐患，在中国境内可依常规安全合法使用。</w:t>
            </w:r>
          </w:p>
          <w:p>
            <w:pPr>
              <w:tabs>
                <w:tab w:val="left" w:pos="425"/>
              </w:tabs>
              <w:spacing w:line="360" w:lineRule="auto"/>
              <w:ind w:firstLine="420" w:firstLineChars="200"/>
              <w:rPr>
                <w:rFonts w:hAnsi="宋体" w:cs="宋体"/>
                <w:color w:val="auto"/>
                <w:sz w:val="21"/>
              </w:rPr>
            </w:pPr>
            <w:r>
              <w:rPr>
                <w:rFonts w:hAnsi="宋体" w:cs="宋体"/>
                <w:color w:val="auto"/>
                <w:sz w:val="21"/>
              </w:rPr>
              <w:t>4</w:t>
            </w:r>
            <w:r>
              <w:rPr>
                <w:rFonts w:hint="eastAsia" w:hAnsi="宋体" w:cs="宋体"/>
                <w:color w:val="auto"/>
                <w:sz w:val="21"/>
              </w:rPr>
              <w:t>.供货时中标供应商应将关键货物的用户手册、保修手册、有关单证资料及配备件等交付给采购人，使用操作及安全须知等重要资料应附有中文说明。</w:t>
            </w:r>
          </w:p>
          <w:p>
            <w:pPr>
              <w:tabs>
                <w:tab w:val="left" w:pos="425"/>
              </w:tabs>
              <w:spacing w:line="360" w:lineRule="auto"/>
              <w:ind w:firstLine="420" w:firstLineChars="200"/>
              <w:rPr>
                <w:rFonts w:hint="eastAsia" w:hAnsi="宋体" w:cs="宋体"/>
                <w:color w:val="auto"/>
                <w:sz w:val="21"/>
              </w:rPr>
            </w:pPr>
            <w:r>
              <w:rPr>
                <w:rFonts w:hAnsi="宋体" w:cs="宋体"/>
                <w:color w:val="auto"/>
                <w:sz w:val="21"/>
              </w:rPr>
              <w:t>5</w:t>
            </w:r>
            <w:r>
              <w:rPr>
                <w:rFonts w:hint="eastAsia" w:hAnsi="宋体" w:cs="宋体"/>
                <w:color w:val="auto"/>
                <w:sz w:val="21"/>
              </w:rPr>
              <w:t>.采购人组成验收小组按国家有关规定、规范进行验收，必要时邀请相关的专业人员或机构参与验收。因货物质量问题发生争议时，由本地质量技术监督部门鉴定。鉴定费由中标供应商承担。</w:t>
            </w:r>
          </w:p>
          <w:p>
            <w:pPr>
              <w:spacing w:line="360" w:lineRule="auto"/>
              <w:ind w:firstLine="420" w:firstLineChars="200"/>
              <w:rPr>
                <w:rFonts w:hint="eastAsia" w:hAnsi="宋体" w:cs="宋体"/>
                <w:color w:val="auto"/>
                <w:sz w:val="21"/>
              </w:rPr>
            </w:pPr>
            <w:r>
              <w:rPr>
                <w:rFonts w:hAnsi="宋体" w:cs="宋体"/>
                <w:color w:val="auto"/>
                <w:sz w:val="21"/>
              </w:rPr>
              <w:t>6</w:t>
            </w:r>
            <w:r>
              <w:rPr>
                <w:rFonts w:hint="eastAsia" w:hAnsi="宋体" w:cs="宋体"/>
                <w:color w:val="auto"/>
                <w:sz w:val="21"/>
              </w:rPr>
              <w:t>.中标供应商必须依照采购文件的要求和投标文件的承诺，将设备、系统安装并调试至正常运行的最佳状态，并完成采购人的人员培训。</w:t>
            </w:r>
          </w:p>
          <w:p>
            <w:pPr>
              <w:spacing w:line="360" w:lineRule="auto"/>
              <w:ind w:firstLine="420" w:firstLineChars="200"/>
              <w:rPr>
                <w:rFonts w:hint="eastAsia" w:hAnsi="宋体" w:cs="宋体"/>
                <w:color w:val="auto"/>
                <w:sz w:val="21"/>
              </w:rPr>
            </w:pPr>
            <w:r>
              <w:rPr>
                <w:rFonts w:hAnsi="宋体" w:cs="宋体"/>
                <w:color w:val="auto"/>
                <w:sz w:val="21"/>
              </w:rPr>
              <w:t>7</w:t>
            </w:r>
            <w:r>
              <w:rPr>
                <w:rFonts w:hint="eastAsia" w:hAnsi="宋体" w:cs="宋体"/>
                <w:color w:val="auto"/>
                <w:sz w:val="21"/>
              </w:rPr>
              <w:t>.采购人对中标供应商提交的货物依据采购（或投标）文件及签订的合同上的技术规格要求和国家有关质量标准进行现场初步验收，外观、说明书符合采购文件技术要求的，给予签收，初步验收不合格的不予签收。</w:t>
            </w:r>
          </w:p>
          <w:p>
            <w:pPr>
              <w:spacing w:line="360" w:lineRule="auto"/>
              <w:ind w:firstLine="420" w:firstLineChars="200"/>
              <w:rPr>
                <w:rFonts w:hint="eastAsia" w:hAnsi="宋体" w:cs="宋体"/>
                <w:color w:val="auto"/>
                <w:sz w:val="21"/>
              </w:rPr>
            </w:pPr>
            <w:r>
              <w:rPr>
                <w:rFonts w:hAnsi="宋体" w:cs="宋体"/>
                <w:color w:val="auto"/>
                <w:sz w:val="21"/>
              </w:rPr>
              <w:t>8</w:t>
            </w:r>
            <w:r>
              <w:rPr>
                <w:rFonts w:hint="eastAsia" w:hAnsi="宋体" w:cs="宋体"/>
                <w:color w:val="auto"/>
                <w:sz w:val="21"/>
              </w:rPr>
              <w:t>.采购人对中标供应商提供的货物验收前，中标供应商需负责安装完毕、培训采购人的使用操作人员并协助采购人一起调试，直到符合招投标文件及签订的合同规定的技术要求，采购人才做最终验收。在验收过程中发现中标供应商有违约问题，可暂缓资金结算，待违约问题解决后，方可办理资金结算事宜。</w:t>
            </w:r>
          </w:p>
          <w:p>
            <w:pPr>
              <w:spacing w:line="360" w:lineRule="auto"/>
              <w:ind w:firstLine="420" w:firstLineChars="200"/>
              <w:rPr>
                <w:rFonts w:hint="eastAsia" w:hAnsi="宋体" w:cs="宋体"/>
                <w:color w:val="auto"/>
                <w:sz w:val="21"/>
              </w:rPr>
            </w:pPr>
            <w:r>
              <w:rPr>
                <w:rFonts w:hAnsi="宋体" w:cs="宋体"/>
                <w:color w:val="auto"/>
                <w:sz w:val="21"/>
              </w:rPr>
              <w:t>9</w:t>
            </w:r>
            <w:r>
              <w:rPr>
                <w:rFonts w:hint="eastAsia" w:hAnsi="宋体" w:cs="宋体"/>
                <w:color w:val="auto"/>
                <w:sz w:val="21"/>
              </w:rPr>
              <w:t>.对技术复杂的货物，采购人可聘请国家认可的专业检测机构参与初步验收及最终验收并由其出具质量检测报告，检测费用由中标供应商承担。</w:t>
            </w:r>
          </w:p>
          <w:p>
            <w:pPr>
              <w:spacing w:line="360" w:lineRule="auto"/>
              <w:ind w:firstLine="420" w:firstLineChars="200"/>
              <w:rPr>
                <w:rFonts w:hint="eastAsia" w:hAnsi="宋体" w:cs="宋体"/>
                <w:color w:val="auto"/>
                <w:sz w:val="21"/>
              </w:rPr>
            </w:pPr>
            <w:r>
              <w:rPr>
                <w:rFonts w:hAnsi="宋体" w:cs="宋体"/>
                <w:color w:val="auto"/>
                <w:sz w:val="21"/>
              </w:rPr>
              <w:t>10</w:t>
            </w:r>
            <w:r>
              <w:rPr>
                <w:rFonts w:hint="eastAsia" w:hAnsi="宋体" w:cs="宋体"/>
                <w:color w:val="auto"/>
                <w:sz w:val="21"/>
              </w:rPr>
              <w:t>.验收时中标供应商代表必须在现场，验收完毕后作出验收结果报告；验收产生的费用由中标供应商承担。</w:t>
            </w:r>
          </w:p>
          <w:p>
            <w:pPr>
              <w:spacing w:line="360" w:lineRule="auto"/>
              <w:ind w:firstLine="420" w:firstLineChars="200"/>
              <w:rPr>
                <w:rFonts w:hint="eastAsia" w:hAnsi="宋体" w:cs="宋体"/>
                <w:color w:val="auto"/>
                <w:sz w:val="21"/>
              </w:rPr>
            </w:pPr>
            <w:r>
              <w:rPr>
                <w:rFonts w:hint="eastAsia" w:hAnsi="宋体" w:cs="宋体"/>
                <w:color w:val="auto"/>
                <w:sz w:val="21"/>
              </w:rPr>
              <w:t>1</w:t>
            </w:r>
            <w:r>
              <w:rPr>
                <w:rFonts w:hAnsi="宋体" w:cs="宋体"/>
                <w:color w:val="auto"/>
                <w:sz w:val="21"/>
              </w:rPr>
              <w:t>1</w:t>
            </w:r>
            <w:r>
              <w:rPr>
                <w:rFonts w:hint="eastAsia" w:hAnsi="宋体" w:cs="宋体"/>
                <w:color w:val="auto"/>
                <w:sz w:val="21"/>
              </w:rPr>
              <w:t>.中标供应商对验收结果有异议的，须在验收后五个工作日内以书面形式向采购人提出，采购人自收到中标供应商书面异议后5个工作日内及时予以复核并书面回复最终验收结果。</w:t>
            </w:r>
          </w:p>
          <w:p>
            <w:pPr>
              <w:spacing w:line="360" w:lineRule="auto"/>
              <w:ind w:firstLine="420" w:firstLineChars="200"/>
              <w:rPr>
                <w:rFonts w:hAnsi="宋体" w:cs="宋体"/>
                <w:color w:val="auto"/>
                <w:sz w:val="21"/>
              </w:rPr>
            </w:pPr>
            <w:r>
              <w:rPr>
                <w:rFonts w:hint="eastAsia" w:hAnsi="宋体" w:cs="宋体"/>
                <w:color w:val="auto"/>
                <w:sz w:val="21"/>
              </w:rPr>
              <w:t>1</w:t>
            </w:r>
            <w:r>
              <w:rPr>
                <w:rFonts w:hAnsi="宋体" w:cs="宋体"/>
                <w:color w:val="auto"/>
                <w:sz w:val="21"/>
              </w:rPr>
              <w:t>2</w:t>
            </w:r>
            <w:r>
              <w:rPr>
                <w:rFonts w:hint="eastAsia" w:hAnsi="宋体" w:cs="宋体"/>
                <w:color w:val="auto"/>
                <w:sz w:val="21"/>
              </w:rPr>
              <w:t>.如中标供应商有下列情况之一的，采购人有权拒绝验收和支付款项，并依照处罚条款作出相应处罚：</w:t>
            </w:r>
          </w:p>
          <w:p>
            <w:pPr>
              <w:spacing w:line="360" w:lineRule="auto"/>
              <w:ind w:firstLine="315" w:firstLineChars="150"/>
              <w:rPr>
                <w:rFonts w:hint="eastAsia" w:hAnsi="宋体" w:cs="宋体"/>
                <w:color w:val="auto"/>
                <w:sz w:val="21"/>
              </w:rPr>
            </w:pPr>
            <w:r>
              <w:rPr>
                <w:rFonts w:hint="eastAsia" w:hAnsi="宋体" w:cs="宋体"/>
                <w:color w:val="auto"/>
                <w:sz w:val="21"/>
              </w:rPr>
              <w:t>（1）提供的货物规格、技术标准、材料未达到其投标文件的承诺，导致无法通过验收交付使用的；</w:t>
            </w:r>
          </w:p>
          <w:p>
            <w:pPr>
              <w:spacing w:line="360" w:lineRule="auto"/>
              <w:ind w:firstLine="420" w:firstLineChars="200"/>
              <w:rPr>
                <w:rFonts w:hint="eastAsia" w:hAnsi="宋体" w:cs="宋体"/>
                <w:color w:val="auto"/>
                <w:sz w:val="21"/>
              </w:rPr>
            </w:pPr>
            <w:r>
              <w:rPr>
                <w:rFonts w:hint="eastAsia" w:hAnsi="宋体" w:cs="宋体"/>
                <w:color w:val="auto"/>
                <w:sz w:val="21"/>
              </w:rPr>
              <w:t>（2）提供的货物经查证无法得到生产厂家正规售后服务的；</w:t>
            </w:r>
          </w:p>
          <w:p>
            <w:pPr>
              <w:spacing w:line="360" w:lineRule="auto"/>
              <w:ind w:firstLine="420" w:firstLineChars="200"/>
              <w:rPr>
                <w:rFonts w:hint="eastAsia" w:hAnsi="宋体" w:cs="宋体"/>
                <w:color w:val="auto"/>
                <w:sz w:val="21"/>
              </w:rPr>
            </w:pPr>
            <w:r>
              <w:rPr>
                <w:rFonts w:hint="eastAsia" w:hAnsi="宋体" w:cs="宋体"/>
                <w:color w:val="auto"/>
                <w:sz w:val="21"/>
              </w:rPr>
              <w:t>（3）提供的货物未经正规合法经销渠道的；</w:t>
            </w:r>
          </w:p>
          <w:p>
            <w:pPr>
              <w:spacing w:line="360" w:lineRule="auto"/>
              <w:ind w:firstLine="420" w:firstLineChars="200"/>
              <w:rPr>
                <w:rFonts w:hint="eastAsia" w:hAnsi="宋体" w:cs="宋体"/>
                <w:color w:val="auto"/>
                <w:sz w:val="21"/>
              </w:rPr>
            </w:pPr>
            <w:r>
              <w:rPr>
                <w:rFonts w:hint="eastAsia" w:hAnsi="宋体" w:cs="宋体"/>
                <w:color w:val="auto"/>
                <w:sz w:val="21"/>
              </w:rPr>
              <w:t>（4）提供的货物侵犯了第三方合法权益而引发了纠纷或诉讼，导致无法按期交付使用的；</w:t>
            </w:r>
          </w:p>
          <w:p>
            <w:pPr>
              <w:spacing w:line="360" w:lineRule="auto"/>
              <w:ind w:firstLine="420" w:firstLineChars="200"/>
              <w:rPr>
                <w:rFonts w:hint="eastAsia" w:hAnsi="宋体" w:cs="宋体"/>
                <w:color w:val="auto"/>
                <w:sz w:val="21"/>
              </w:rPr>
            </w:pPr>
            <w:r>
              <w:rPr>
                <w:rFonts w:hint="eastAsia" w:hAnsi="宋体" w:cs="宋体"/>
                <w:color w:val="auto"/>
                <w:sz w:val="21"/>
              </w:rPr>
              <w:t>（5）所交的货物品种、型号、规格、质量等不符合投标文件提供的技术数据，经实际测试发现不真实的；</w:t>
            </w:r>
          </w:p>
          <w:p>
            <w:pPr>
              <w:spacing w:line="360" w:lineRule="auto"/>
              <w:ind w:firstLine="420" w:firstLineChars="200"/>
              <w:rPr>
                <w:rFonts w:hint="eastAsia" w:hAnsi="宋体" w:cs="宋体"/>
                <w:color w:val="auto"/>
                <w:sz w:val="21"/>
              </w:rPr>
            </w:pPr>
            <w:r>
              <w:rPr>
                <w:rFonts w:hint="eastAsia" w:hAnsi="宋体" w:cs="宋体"/>
                <w:color w:val="auto"/>
                <w:sz w:val="21"/>
              </w:rPr>
              <w:t>（6）发现所提供的产品有弄虚作假行为的。</w:t>
            </w:r>
          </w:p>
          <w:p>
            <w:pPr>
              <w:spacing w:line="360" w:lineRule="auto"/>
              <w:ind w:firstLine="422" w:firstLineChars="200"/>
              <w:rPr>
                <w:rFonts w:hAnsi="宋体" w:cs="宋体"/>
                <w:b/>
                <w:color w:val="auto"/>
                <w:sz w:val="21"/>
              </w:rPr>
            </w:pPr>
            <w:r>
              <w:rPr>
                <w:rFonts w:hint="eastAsia" w:hAnsi="宋体" w:cs="宋体"/>
                <w:b/>
                <w:color w:val="auto"/>
                <w:sz w:val="21"/>
              </w:rPr>
              <w:t>1</w:t>
            </w:r>
            <w:r>
              <w:rPr>
                <w:rFonts w:hAnsi="宋体" w:cs="宋体"/>
                <w:b/>
                <w:color w:val="auto"/>
                <w:sz w:val="21"/>
              </w:rPr>
              <w:t>3</w:t>
            </w:r>
            <w:r>
              <w:rPr>
                <w:rFonts w:hint="eastAsia" w:hAnsi="宋体" w:cs="宋体"/>
                <w:b/>
                <w:color w:val="auto"/>
                <w:sz w:val="21"/>
              </w:rPr>
              <w:t>.采购人有权委托第三方进行履约验收，履约验收费用由中标供应商支付。投标人在投标报价时自行考虑。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74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Ansi="宋体"/>
                <w:b/>
                <w:color w:val="auto"/>
                <w:sz w:val="21"/>
              </w:rPr>
            </w:pPr>
            <w:r>
              <w:rPr>
                <w:rFonts w:hint="eastAsia" w:hAnsi="宋体"/>
                <w:b/>
                <w:color w:val="auto"/>
                <w:sz w:val="21"/>
              </w:rPr>
              <w:t>三、商务最低要求（投标人商务响应表与售后服务方案及承诺书同一内容不相符的，以低计算）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color w:val="auto"/>
                <w:sz w:val="21"/>
              </w:rPr>
            </w:pPr>
            <w:r>
              <w:rPr>
                <w:rFonts w:hint="eastAsia" w:hAnsi="宋体"/>
                <w:b/>
                <w:color w:val="auto"/>
                <w:sz w:val="21"/>
              </w:rPr>
              <w:t>质保期</w:t>
            </w:r>
          </w:p>
        </w:tc>
        <w:tc>
          <w:tcPr>
            <w:tcW w:w="776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Ansi="宋体"/>
                <w:color w:val="auto"/>
                <w:sz w:val="21"/>
              </w:rPr>
            </w:pPr>
            <w:r>
              <w:rPr>
                <w:rFonts w:hint="eastAsia" w:hAnsi="宋体"/>
                <w:color w:val="auto"/>
                <w:sz w:val="21"/>
              </w:rPr>
              <w:t>按国家有关产品“三包”规定执行“三包”，自交货并验收合格之日起质保不少于</w:t>
            </w:r>
            <w:r>
              <w:rPr>
                <w:rFonts w:hAnsi="宋体"/>
                <w:color w:val="auto"/>
                <w:sz w:val="21"/>
              </w:rPr>
              <w:t>1</w:t>
            </w:r>
            <w:r>
              <w:rPr>
                <w:rFonts w:hint="eastAsia" w:hAnsi="宋体"/>
                <w:color w:val="auto"/>
                <w:sz w:val="21"/>
              </w:rPr>
              <w:t>年（若厂家质保期超过</w:t>
            </w:r>
            <w:r>
              <w:rPr>
                <w:rFonts w:hAnsi="宋体"/>
                <w:color w:val="auto"/>
                <w:sz w:val="21"/>
              </w:rPr>
              <w:t>1</w:t>
            </w:r>
            <w:r>
              <w:rPr>
                <w:rFonts w:hint="eastAsia" w:hAnsi="宋体"/>
                <w:color w:val="auto"/>
                <w:sz w:val="21"/>
              </w:rPr>
              <w:t>年的，按厂家规定全免费包修），质保期内全免费上门维修服务，终身维修。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color w:val="auto"/>
                <w:sz w:val="21"/>
              </w:rPr>
            </w:pPr>
            <w:r>
              <w:rPr>
                <w:rFonts w:hint="eastAsia" w:hAnsi="宋体"/>
                <w:b/>
                <w:color w:val="auto"/>
                <w:sz w:val="21"/>
              </w:rPr>
              <w:t>售后服务要求</w:t>
            </w:r>
          </w:p>
        </w:tc>
        <w:tc>
          <w:tcPr>
            <w:tcW w:w="776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both"/>
              <w:rPr>
                <w:rFonts w:hint="eastAsia" w:hAnsi="宋体"/>
                <w:color w:val="auto"/>
                <w:sz w:val="21"/>
              </w:rPr>
            </w:pPr>
            <w:r>
              <w:rPr>
                <w:rFonts w:hint="eastAsia" w:hAnsi="宋体"/>
                <w:color w:val="auto"/>
                <w:sz w:val="21"/>
              </w:rPr>
              <w:t>1.中标供应商所供货物须按厂家承诺实行“三包”，若发现本次采购的货物本身存在缺陷，中标供应商须无条件退货或者更换同类产品。</w:t>
            </w:r>
          </w:p>
          <w:p>
            <w:pPr>
              <w:snapToGrid w:val="0"/>
              <w:spacing w:line="360" w:lineRule="auto"/>
              <w:ind w:firstLine="420" w:firstLineChars="200"/>
              <w:jc w:val="both"/>
              <w:rPr>
                <w:rFonts w:hint="eastAsia" w:hAnsi="宋体"/>
                <w:color w:val="auto"/>
                <w:sz w:val="21"/>
              </w:rPr>
            </w:pPr>
            <w:r>
              <w:rPr>
                <w:rFonts w:hint="eastAsia" w:hAnsi="宋体"/>
                <w:color w:val="auto"/>
                <w:sz w:val="21"/>
              </w:rPr>
              <w:t>2.在质保期内，采购人在使用过程中出现故障或损坏的，中标供应商在接到货物故障通知后4小时内响应，并于72小时内到达现场处理。保修期外，只收配件成本费，免服务费。</w:t>
            </w:r>
          </w:p>
          <w:p>
            <w:pPr>
              <w:snapToGrid w:val="0"/>
              <w:spacing w:line="360" w:lineRule="auto"/>
              <w:ind w:firstLine="420" w:firstLineChars="200"/>
              <w:jc w:val="both"/>
              <w:rPr>
                <w:rFonts w:hAnsi="宋体"/>
                <w:color w:val="auto"/>
                <w:sz w:val="21"/>
              </w:rPr>
            </w:pPr>
            <w:r>
              <w:rPr>
                <w:rFonts w:hAnsi="宋体"/>
                <w:color w:val="auto"/>
                <w:sz w:val="21"/>
              </w:rPr>
              <w:t>3</w:t>
            </w:r>
            <w:r>
              <w:rPr>
                <w:rFonts w:hint="eastAsia" w:hAnsi="宋体"/>
                <w:color w:val="auto"/>
                <w:sz w:val="21"/>
              </w:rPr>
              <w:t>.负责送货上门、安装调式，费用含在投标报价中。</w:t>
            </w:r>
          </w:p>
          <w:p>
            <w:pPr>
              <w:snapToGrid w:val="0"/>
              <w:spacing w:line="360" w:lineRule="auto"/>
              <w:ind w:firstLine="420" w:firstLineChars="200"/>
              <w:jc w:val="both"/>
              <w:rPr>
                <w:rFonts w:hint="eastAsia" w:hAnsi="宋体"/>
                <w:color w:val="auto"/>
                <w:sz w:val="21"/>
              </w:rPr>
            </w:pPr>
            <w:r>
              <w:rPr>
                <w:rFonts w:hAnsi="宋体"/>
                <w:color w:val="auto"/>
                <w:sz w:val="21"/>
              </w:rPr>
              <w:t>4.</w:t>
            </w:r>
            <w:r>
              <w:rPr>
                <w:rFonts w:hint="eastAsia" w:hAnsi="宋体"/>
                <w:color w:val="auto"/>
                <w:sz w:val="21"/>
              </w:rPr>
              <w:t>为采购人的日常使用、维护提供专业的咨询服务，费用含在投标报价中。</w:t>
            </w:r>
          </w:p>
          <w:p>
            <w:pPr>
              <w:snapToGrid w:val="0"/>
              <w:spacing w:line="360" w:lineRule="auto"/>
              <w:ind w:firstLine="420" w:firstLineChars="200"/>
              <w:jc w:val="both"/>
              <w:rPr>
                <w:rFonts w:hint="eastAsia" w:hAnsi="宋体"/>
                <w:color w:val="auto"/>
                <w:sz w:val="21"/>
              </w:rPr>
            </w:pPr>
            <w:r>
              <w:rPr>
                <w:rFonts w:hAnsi="宋体"/>
                <w:color w:val="auto"/>
                <w:sz w:val="21"/>
              </w:rPr>
              <w:t>5</w:t>
            </w:r>
            <w:r>
              <w:rPr>
                <w:rFonts w:hint="eastAsia" w:hAnsi="宋体"/>
                <w:color w:val="auto"/>
                <w:sz w:val="21"/>
              </w:rPr>
              <w:t>.中标供应商提供全部设备必须是具备厂家合法销售渠道的全新合格正品，所有设备必须完全满足采购文件所述性能配置要求，若产品在运输过程中损坏或擦伤须无偿调换相同产品。</w:t>
            </w:r>
          </w:p>
          <w:p>
            <w:pPr>
              <w:snapToGrid w:val="0"/>
              <w:spacing w:line="360" w:lineRule="auto"/>
              <w:ind w:firstLine="420" w:firstLineChars="200"/>
              <w:jc w:val="both"/>
              <w:rPr>
                <w:rFonts w:hint="eastAsia" w:hAnsi="宋体"/>
                <w:color w:val="auto"/>
                <w:sz w:val="21"/>
              </w:rPr>
            </w:pPr>
            <w:r>
              <w:rPr>
                <w:rFonts w:hAnsi="宋体"/>
                <w:color w:val="auto"/>
                <w:sz w:val="21"/>
              </w:rPr>
              <w:t>6</w:t>
            </w:r>
            <w:r>
              <w:rPr>
                <w:rFonts w:hint="eastAsia" w:hAnsi="宋体"/>
                <w:color w:val="auto"/>
                <w:sz w:val="21"/>
              </w:rPr>
              <w:t>.保修期内非用户原因引起的质量事故中标供应商应负全部责任。</w:t>
            </w:r>
          </w:p>
          <w:p>
            <w:pPr>
              <w:snapToGrid w:val="0"/>
              <w:spacing w:line="360" w:lineRule="auto"/>
              <w:ind w:firstLine="420" w:firstLineChars="200"/>
              <w:jc w:val="both"/>
              <w:rPr>
                <w:rFonts w:hint="eastAsia" w:hAnsi="宋体"/>
                <w:color w:val="auto"/>
                <w:sz w:val="21"/>
              </w:rPr>
            </w:pPr>
            <w:r>
              <w:rPr>
                <w:rFonts w:hAnsi="宋体"/>
                <w:color w:val="auto"/>
                <w:sz w:val="21"/>
              </w:rPr>
              <w:t>7</w:t>
            </w:r>
            <w:r>
              <w:rPr>
                <w:rFonts w:hint="eastAsia" w:hAnsi="宋体"/>
                <w:color w:val="auto"/>
                <w:sz w:val="21"/>
              </w:rPr>
              <w:t>.设备维修或更换后其保修期相应顺延。</w:t>
            </w:r>
          </w:p>
          <w:p>
            <w:pPr>
              <w:snapToGrid w:val="0"/>
              <w:spacing w:line="360" w:lineRule="auto"/>
              <w:ind w:firstLine="420" w:firstLineChars="200"/>
              <w:jc w:val="both"/>
              <w:rPr>
                <w:rFonts w:hint="eastAsia" w:hAnsi="宋体"/>
                <w:color w:val="auto"/>
                <w:sz w:val="21"/>
              </w:rPr>
            </w:pPr>
            <w:r>
              <w:rPr>
                <w:rFonts w:hAnsi="宋体"/>
                <w:color w:val="auto"/>
                <w:sz w:val="21"/>
              </w:rPr>
              <w:t>8</w:t>
            </w:r>
            <w:r>
              <w:rPr>
                <w:rFonts w:hint="eastAsia" w:hAnsi="宋体"/>
                <w:color w:val="auto"/>
                <w:sz w:val="21"/>
              </w:rPr>
              <w:t>.所有非故意性损坏以及在要求质量标准范围内的正常使用造成的损坏均要负责维修，费用含在投标报价中。</w:t>
            </w:r>
          </w:p>
          <w:p>
            <w:pPr>
              <w:snapToGrid w:val="0"/>
              <w:spacing w:line="360" w:lineRule="auto"/>
              <w:ind w:firstLine="420" w:firstLineChars="200"/>
              <w:jc w:val="both"/>
              <w:rPr>
                <w:rFonts w:hint="eastAsia" w:hAnsi="宋体"/>
                <w:color w:val="auto"/>
                <w:sz w:val="21"/>
              </w:rPr>
            </w:pPr>
            <w:r>
              <w:rPr>
                <w:rFonts w:hAnsi="宋体"/>
                <w:color w:val="auto"/>
                <w:sz w:val="21"/>
              </w:rPr>
              <w:t>9</w:t>
            </w:r>
            <w:r>
              <w:rPr>
                <w:rFonts w:hint="eastAsia" w:hAnsi="宋体"/>
                <w:color w:val="auto"/>
                <w:sz w:val="21"/>
              </w:rPr>
              <w:t>.对因采购人的不正当使用所造成的损坏不归中标供应商负责保修，但中标供应商也要积极帮助采购人修理，并保证提供优惠价格的配件和服务。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color w:val="auto"/>
                <w:sz w:val="21"/>
              </w:rPr>
            </w:pPr>
            <w:r>
              <w:rPr>
                <w:rFonts w:hint="eastAsia" w:hAnsi="宋体"/>
                <w:b/>
                <w:color w:val="auto"/>
                <w:sz w:val="21"/>
              </w:rPr>
              <w:t>交付和安装要求</w:t>
            </w:r>
          </w:p>
        </w:tc>
        <w:tc>
          <w:tcPr>
            <w:tcW w:w="7762"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rPr>
                <w:rFonts w:hint="eastAsia" w:hAnsi="宋体"/>
                <w:color w:val="auto"/>
                <w:kern w:val="0"/>
                <w:sz w:val="21"/>
              </w:rPr>
            </w:pPr>
            <w:r>
              <w:rPr>
                <w:rFonts w:hint="eastAsia" w:hAnsi="宋体"/>
                <w:color w:val="auto"/>
                <w:sz w:val="21"/>
              </w:rPr>
              <w:t>1.交付</w:t>
            </w:r>
            <w:r>
              <w:rPr>
                <w:rFonts w:hint="eastAsia" w:hAnsi="宋体"/>
                <w:color w:val="auto"/>
                <w:kern w:val="0"/>
                <w:sz w:val="21"/>
              </w:rPr>
              <w:t>时间：自签订合同之日起</w:t>
            </w:r>
            <w:r>
              <w:rPr>
                <w:rFonts w:hint="eastAsia" w:hAnsi="宋体"/>
                <w:color w:val="auto"/>
                <w:kern w:val="0"/>
                <w:sz w:val="21"/>
                <w:u w:val="single"/>
              </w:rPr>
              <w:t>30</w:t>
            </w:r>
            <w:r>
              <w:rPr>
                <w:rFonts w:hint="eastAsia" w:hAnsi="宋体"/>
                <w:color w:val="auto"/>
                <w:kern w:val="0"/>
                <w:sz w:val="21"/>
              </w:rPr>
              <w:t>日内安装调试完毕，验收合格并交付使用。</w:t>
            </w:r>
          </w:p>
          <w:p>
            <w:pPr>
              <w:snapToGrid w:val="0"/>
              <w:spacing w:line="360" w:lineRule="auto"/>
              <w:ind w:firstLine="420" w:firstLineChars="200"/>
              <w:rPr>
                <w:rFonts w:hint="eastAsia" w:hAnsi="宋体"/>
                <w:color w:val="auto"/>
                <w:kern w:val="0"/>
                <w:sz w:val="21"/>
              </w:rPr>
            </w:pPr>
            <w:r>
              <w:rPr>
                <w:rFonts w:hint="eastAsia" w:hAnsi="宋体"/>
                <w:color w:val="auto"/>
                <w:kern w:val="0"/>
                <w:sz w:val="21"/>
              </w:rPr>
              <w:t>2.交付地点：鹿寨县采购人指定地点。</w:t>
            </w:r>
          </w:p>
          <w:p>
            <w:pPr>
              <w:snapToGrid w:val="0"/>
              <w:spacing w:line="360" w:lineRule="auto"/>
              <w:ind w:firstLine="420" w:firstLineChars="200"/>
              <w:rPr>
                <w:rFonts w:hint="eastAsia" w:hAnsi="宋体"/>
                <w:color w:val="auto"/>
                <w:kern w:val="0"/>
                <w:sz w:val="21"/>
              </w:rPr>
            </w:pPr>
            <w:r>
              <w:rPr>
                <w:rFonts w:hint="eastAsia" w:hAnsi="宋体"/>
                <w:color w:val="auto"/>
                <w:kern w:val="0"/>
                <w:sz w:val="21"/>
              </w:rPr>
              <w:t>3.</w:t>
            </w:r>
            <w:r>
              <w:rPr>
                <w:rFonts w:hint="eastAsia" w:hAnsi="宋体" w:cs="宋体"/>
                <w:color w:val="auto"/>
                <w:sz w:val="21"/>
              </w:rPr>
              <w:t>中标供应商</w:t>
            </w:r>
            <w:r>
              <w:rPr>
                <w:rFonts w:hint="eastAsia" w:hAnsi="宋体"/>
                <w:color w:val="auto"/>
                <w:kern w:val="0"/>
                <w:sz w:val="21"/>
              </w:rPr>
              <w:t>提供不符合投标文件（或采购文件）和签订的合同规定的货物，招标人有权拒绝接收。</w:t>
            </w:r>
          </w:p>
          <w:p>
            <w:pPr>
              <w:snapToGrid w:val="0"/>
              <w:spacing w:line="360" w:lineRule="auto"/>
              <w:ind w:firstLine="420" w:firstLineChars="200"/>
              <w:rPr>
                <w:rFonts w:hint="eastAsia" w:hAnsi="宋体"/>
                <w:color w:val="auto"/>
                <w:kern w:val="0"/>
                <w:sz w:val="21"/>
              </w:rPr>
            </w:pPr>
            <w:r>
              <w:rPr>
                <w:rFonts w:hint="eastAsia" w:hAnsi="宋体"/>
                <w:color w:val="auto"/>
                <w:kern w:val="0"/>
                <w:sz w:val="21"/>
              </w:rPr>
              <w:t>4.</w:t>
            </w:r>
            <w:r>
              <w:rPr>
                <w:rFonts w:hint="eastAsia" w:hAnsi="宋体" w:cs="宋体"/>
                <w:color w:val="auto"/>
                <w:sz w:val="21"/>
              </w:rPr>
              <w:t>中标供应商</w:t>
            </w:r>
            <w:r>
              <w:rPr>
                <w:rFonts w:hint="eastAsia" w:hAnsi="宋体"/>
                <w:color w:val="auto"/>
                <w:kern w:val="0"/>
                <w:sz w:val="21"/>
              </w:rPr>
              <w:t>应将所提供货物的装箱清单、用户手册、原厂保修卡、随附资料、工具和备品、备件等一并交付给采购人，如有缺失应及时补齐，否则视为逾期交货。</w:t>
            </w:r>
          </w:p>
          <w:p>
            <w:pPr>
              <w:snapToGrid w:val="0"/>
              <w:spacing w:line="360" w:lineRule="auto"/>
              <w:ind w:firstLine="420" w:firstLineChars="200"/>
              <w:rPr>
                <w:rFonts w:hint="eastAsia" w:hAnsi="宋体"/>
                <w:color w:val="auto"/>
                <w:kern w:val="0"/>
                <w:sz w:val="21"/>
              </w:rPr>
            </w:pPr>
            <w:r>
              <w:rPr>
                <w:rFonts w:hint="eastAsia" w:hAnsi="宋体"/>
                <w:color w:val="auto"/>
                <w:kern w:val="0"/>
                <w:sz w:val="21"/>
              </w:rPr>
              <w:t>5.</w:t>
            </w:r>
            <w:r>
              <w:rPr>
                <w:rFonts w:hint="eastAsia" w:hAnsi="宋体" w:cs="宋体"/>
                <w:color w:val="auto"/>
                <w:sz w:val="21"/>
              </w:rPr>
              <w:t>中标供应商</w:t>
            </w:r>
            <w:r>
              <w:rPr>
                <w:rFonts w:hint="eastAsia" w:hAnsi="宋体"/>
                <w:color w:val="auto"/>
                <w:kern w:val="0"/>
                <w:sz w:val="21"/>
              </w:rPr>
              <w:t>交货前应对产品作出全面检查和对验收文件进行整理，并列出清单，作为采购人收货验收和使用的技术条</w:t>
            </w:r>
            <w:bookmarkStart w:id="3" w:name="_GoBack"/>
            <w:bookmarkEnd w:id="3"/>
            <w:r>
              <w:rPr>
                <w:rFonts w:hint="eastAsia" w:hAnsi="宋体"/>
                <w:color w:val="auto"/>
                <w:kern w:val="0"/>
                <w:sz w:val="21"/>
              </w:rPr>
              <w:t>件依据，检验的结果应随货物交采购人。</w:t>
            </w:r>
          </w:p>
          <w:p>
            <w:pPr>
              <w:snapToGrid w:val="0"/>
              <w:spacing w:line="360" w:lineRule="auto"/>
              <w:ind w:firstLine="420" w:firstLineChars="200"/>
              <w:rPr>
                <w:rFonts w:hAnsi="宋体"/>
                <w:color w:val="auto"/>
                <w:sz w:val="21"/>
              </w:rPr>
            </w:pPr>
            <w:r>
              <w:rPr>
                <w:rFonts w:hint="eastAsia" w:hAnsi="宋体"/>
                <w:color w:val="auto"/>
                <w:kern w:val="0"/>
                <w:sz w:val="21"/>
              </w:rPr>
              <w:t>6.</w:t>
            </w:r>
            <w:r>
              <w:rPr>
                <w:rFonts w:hint="eastAsia" w:hAnsi="宋体" w:cs="宋体"/>
                <w:color w:val="auto"/>
                <w:sz w:val="21"/>
              </w:rPr>
              <w:t>中标供应商</w:t>
            </w:r>
            <w:r>
              <w:rPr>
                <w:rFonts w:hint="eastAsia" w:hAnsi="宋体"/>
                <w:color w:val="auto"/>
                <w:kern w:val="0"/>
                <w:sz w:val="21"/>
              </w:rPr>
              <w:t>负责货物的卸货、搬运及安装，按照采购人要求将货物搬运至指定地点并负责安装、组合成套。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b/>
                <w:color w:val="auto"/>
                <w:sz w:val="21"/>
              </w:rPr>
            </w:pPr>
            <w:r>
              <w:rPr>
                <w:rFonts w:hint="eastAsia" w:hAnsi="宋体"/>
                <w:b/>
                <w:color w:val="auto"/>
                <w:sz w:val="21"/>
              </w:rPr>
              <w:t>报价要求</w:t>
            </w:r>
          </w:p>
        </w:tc>
        <w:tc>
          <w:tcPr>
            <w:tcW w:w="7762"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rPr>
                <w:rFonts w:hint="eastAsia" w:hAnsi="宋体"/>
                <w:color w:val="auto"/>
                <w:sz w:val="21"/>
              </w:rPr>
            </w:pPr>
            <w:r>
              <w:rPr>
                <w:rFonts w:hint="eastAsia" w:hAnsi="宋体"/>
                <w:color w:val="auto"/>
                <w:sz w:val="21"/>
              </w:rPr>
              <w:t>本次报价须为人民币报价，投标报价是履行合同的最终价格，应包括但不限于货款、标准附件、备品备件、专用工具、包装、运输、装卸、保险、税金、货到就位以及安装、调试、培训、保修等一切税金和费用。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2" w:leftChars="-51" w:firstLine="126" w:firstLineChars="60"/>
              <w:jc w:val="center"/>
              <w:rPr>
                <w:rFonts w:hAnsi="宋体"/>
                <w:b/>
                <w:color w:val="auto"/>
                <w:sz w:val="21"/>
              </w:rPr>
            </w:pPr>
            <w:r>
              <w:rPr>
                <w:rFonts w:hint="eastAsia" w:hAnsi="宋体"/>
                <w:b/>
                <w:color w:val="auto"/>
                <w:sz w:val="21"/>
              </w:rPr>
              <w:t>签订合同日期</w:t>
            </w:r>
          </w:p>
        </w:tc>
        <w:tc>
          <w:tcPr>
            <w:tcW w:w="776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Ansi="宋体"/>
                <w:color w:val="auto"/>
                <w:sz w:val="21"/>
              </w:rPr>
            </w:pPr>
            <w:r>
              <w:rPr>
                <w:rFonts w:hint="eastAsia" w:hAnsi="宋体"/>
                <w:color w:val="auto"/>
                <w:sz w:val="21"/>
              </w:rPr>
              <w:t>自</w:t>
            </w:r>
            <w:r>
              <w:rPr>
                <w:rFonts w:hint="eastAsia" w:hAnsi="宋体"/>
                <w:color w:val="auto"/>
                <w:kern w:val="0"/>
                <w:sz w:val="21"/>
              </w:rPr>
              <w:t>中标通知书</w:t>
            </w:r>
            <w:r>
              <w:rPr>
                <w:rFonts w:hint="eastAsia" w:hAnsi="宋体"/>
                <w:color w:val="auto"/>
                <w:sz w:val="21"/>
              </w:rPr>
              <w:t>发出之日起</w:t>
            </w:r>
            <w:r>
              <w:rPr>
                <w:rFonts w:hAnsi="宋体"/>
                <w:color w:val="auto"/>
                <w:sz w:val="21"/>
              </w:rPr>
              <w:t>25</w:t>
            </w:r>
            <w:r>
              <w:rPr>
                <w:rFonts w:hint="eastAsia" w:hAnsi="宋体"/>
                <w:color w:val="auto"/>
                <w:sz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Ansi="宋体" w:cs="宋体"/>
                <w:b/>
                <w:color w:val="auto"/>
                <w:sz w:val="21"/>
              </w:rPr>
            </w:pPr>
            <w:r>
              <w:rPr>
                <w:rFonts w:hint="eastAsia" w:hAnsi="宋体" w:cs="宋体"/>
                <w:b/>
                <w:color w:val="auto"/>
                <w:sz w:val="21"/>
              </w:rPr>
              <w:t>付款条件</w:t>
            </w:r>
          </w:p>
        </w:tc>
        <w:tc>
          <w:tcPr>
            <w:tcW w:w="776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both"/>
              <w:rPr>
                <w:rFonts w:hAnsi="宋体"/>
                <w:bCs/>
                <w:color w:val="auto"/>
                <w:sz w:val="21"/>
              </w:rPr>
            </w:pPr>
            <w:r>
              <w:rPr>
                <w:rFonts w:hint="eastAsia" w:hAnsi="宋体"/>
                <w:bCs/>
                <w:color w:val="auto"/>
                <w:sz w:val="21"/>
              </w:rPr>
              <w:t>本项目全部货物交货、安装、调试完毕能正常使用后，中标供应商开具合同金额40%的发票给采购人，采购人收到发票后30日内支付合同总金额的40%；质保期结束后中标供应商开具合同金额 60%的发票给采购人，采购人收到发票后 30日内支付合同总金额的60%(不计利息)。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746"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hAnsi="宋体"/>
                <w:color w:val="auto"/>
                <w:kern w:val="0"/>
                <w:sz w:val="21"/>
              </w:rPr>
            </w:pPr>
            <w:r>
              <w:rPr>
                <w:rFonts w:hint="eastAsia" w:hAnsi="宋体"/>
                <w:b/>
                <w:color w:val="auto"/>
                <w:kern w:val="0"/>
                <w:sz w:val="21"/>
              </w:rPr>
              <w:t>四、投标人的履约能力要求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jc w:val="center"/>
              <w:rPr>
                <w:rFonts w:hint="eastAsia" w:hAnsi="宋体"/>
                <w:b/>
                <w:color w:val="auto"/>
                <w:sz w:val="21"/>
              </w:rPr>
            </w:pPr>
            <w:r>
              <w:rPr>
                <w:rFonts w:hint="eastAsia" w:hAnsi="宋体"/>
                <w:b/>
                <w:bCs/>
                <w:color w:val="auto"/>
                <w:sz w:val="21"/>
              </w:rPr>
              <w:t>质量管理、企业信用要求</w:t>
            </w:r>
          </w:p>
        </w:tc>
        <w:tc>
          <w:tcPr>
            <w:tcW w:w="776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hAnsi="宋体"/>
                <w:color w:val="auto"/>
                <w:kern w:val="0"/>
                <w:sz w:val="21"/>
              </w:rPr>
            </w:pPr>
            <w:r>
              <w:rPr>
                <w:rFonts w:hint="eastAsia" w:hAnsi="宋体"/>
                <w:color w:val="auto"/>
                <w:kern w:val="0"/>
                <w:sz w:val="21"/>
              </w:rPr>
              <w:t>1.投标人无任何违法、违规、质量安全事故、履约不良等行为反映或记录；</w:t>
            </w:r>
          </w:p>
          <w:p>
            <w:pPr>
              <w:snapToGrid w:val="0"/>
              <w:spacing w:line="360" w:lineRule="auto"/>
              <w:ind w:firstLine="420" w:firstLineChars="200"/>
              <w:rPr>
                <w:rFonts w:hint="eastAsia" w:hAnsi="宋体"/>
                <w:color w:val="auto"/>
                <w:kern w:val="0"/>
                <w:sz w:val="21"/>
              </w:rPr>
            </w:pPr>
            <w:r>
              <w:rPr>
                <w:rFonts w:hint="eastAsia" w:hAnsi="宋体"/>
                <w:color w:val="auto"/>
                <w:kern w:val="0"/>
                <w:sz w:val="21"/>
              </w:rPr>
              <w:t>2.投标人无自身原因违约或不恰当履行合同引起的终止、纠纷、争议、仲裁、和诉讼记录；</w:t>
            </w:r>
          </w:p>
          <w:p>
            <w:pPr>
              <w:snapToGrid w:val="0"/>
              <w:spacing w:line="360" w:lineRule="auto"/>
              <w:ind w:firstLine="420" w:firstLineChars="200"/>
              <w:rPr>
                <w:rFonts w:hint="eastAsia" w:hAnsi="宋体"/>
                <w:color w:val="auto"/>
                <w:kern w:val="0"/>
                <w:sz w:val="21"/>
              </w:rPr>
            </w:pPr>
            <w:r>
              <w:rPr>
                <w:rFonts w:hint="eastAsia" w:hAnsi="宋体"/>
                <w:color w:val="auto"/>
                <w:kern w:val="0"/>
                <w:sz w:val="21"/>
              </w:rPr>
              <w:t>3.投标人无被责令停业或暂停、取消投标资格，无经济方面犯罪或严重违法记录；</w:t>
            </w:r>
          </w:p>
          <w:p>
            <w:pPr>
              <w:snapToGrid w:val="0"/>
              <w:spacing w:line="360" w:lineRule="auto"/>
              <w:ind w:firstLine="420" w:firstLineChars="200"/>
              <w:rPr>
                <w:rFonts w:hint="eastAsia" w:hAnsi="宋体"/>
                <w:color w:val="auto"/>
                <w:kern w:val="0"/>
                <w:sz w:val="21"/>
              </w:rPr>
            </w:pPr>
            <w:r>
              <w:rPr>
                <w:rFonts w:hint="eastAsia" w:hAnsi="宋体"/>
                <w:color w:val="auto"/>
                <w:kern w:val="0"/>
                <w:sz w:val="21"/>
              </w:rPr>
              <w:t>4.投标人无被国家工商或质量监督部门年检或抽检不合格或复查未通过问题；</w:t>
            </w:r>
          </w:p>
          <w:p>
            <w:pPr>
              <w:snapToGrid w:val="0"/>
              <w:spacing w:line="360" w:lineRule="auto"/>
              <w:ind w:firstLine="420" w:firstLineChars="200"/>
              <w:rPr>
                <w:rFonts w:hint="eastAsia" w:hAnsi="宋体"/>
                <w:bCs/>
                <w:color w:val="auto"/>
                <w:sz w:val="21"/>
              </w:rPr>
            </w:pPr>
            <w:r>
              <w:rPr>
                <w:rFonts w:hint="eastAsia" w:hAnsi="宋体"/>
                <w:color w:val="auto"/>
                <w:kern w:val="0"/>
                <w:sz w:val="21"/>
              </w:rPr>
              <w:t>5.投标人或投标产品</w:t>
            </w:r>
            <w:r>
              <w:rPr>
                <w:rFonts w:hint="eastAsia" w:hAnsi="宋体"/>
                <w:bCs/>
                <w:color w:val="auto"/>
                <w:sz w:val="21"/>
              </w:rPr>
              <w:t>无信用不良而处于禁止或取消投标、采购情形。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jc w:val="center"/>
              <w:rPr>
                <w:rFonts w:hint="eastAsia" w:hAnsi="宋体"/>
                <w:b/>
                <w:bCs/>
                <w:color w:val="auto"/>
                <w:sz w:val="21"/>
              </w:rPr>
            </w:pPr>
            <w:r>
              <w:rPr>
                <w:rFonts w:hint="eastAsia" w:hAnsi="宋体"/>
                <w:b/>
                <w:bCs/>
                <w:color w:val="auto"/>
                <w:sz w:val="21"/>
              </w:rPr>
              <w:t>能力或业绩及其他要求</w:t>
            </w:r>
          </w:p>
        </w:tc>
        <w:tc>
          <w:tcPr>
            <w:tcW w:w="776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hAnsi="宋体"/>
                <w:color w:val="auto"/>
                <w:kern w:val="0"/>
                <w:sz w:val="21"/>
              </w:rPr>
            </w:pPr>
            <w:r>
              <w:rPr>
                <w:rFonts w:hint="eastAsia" w:hAnsi="宋体"/>
                <w:color w:val="auto"/>
                <w:kern w:val="0"/>
                <w:sz w:val="21"/>
              </w:rPr>
              <w:t>投标人</w:t>
            </w:r>
            <w:r>
              <w:rPr>
                <w:rStyle w:val="89"/>
                <w:rFonts w:hint="default"/>
                <w:color w:val="auto"/>
                <w:sz w:val="21"/>
                <w:szCs w:val="21"/>
                <w:lang w:bidi="ar"/>
              </w:rPr>
              <w:t>具备履行本项目合同的能力。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746" w:type="dxa"/>
            <w:gridSpan w:val="6"/>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hAnsi="宋体"/>
                <w:bCs/>
                <w:color w:val="auto"/>
                <w:sz w:val="21"/>
              </w:rPr>
            </w:pPr>
            <w:r>
              <w:rPr>
                <w:rFonts w:hint="eastAsia" w:hAnsi="宋体"/>
                <w:b/>
                <w:color w:val="auto"/>
                <w:sz w:val="21"/>
              </w:rPr>
              <w:t>五、采购人对项目的特殊要求及说明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color w:val="auto"/>
                <w:sz w:val="21"/>
              </w:rPr>
            </w:pPr>
            <w:r>
              <w:rPr>
                <w:rFonts w:hint="eastAsia" w:hAnsi="宋体"/>
                <w:b/>
                <w:color w:val="auto"/>
                <w:sz w:val="21"/>
              </w:rPr>
              <w:t>核心产品</w:t>
            </w:r>
          </w:p>
        </w:tc>
        <w:tc>
          <w:tcPr>
            <w:tcW w:w="776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firstLine="422" w:firstLineChars="200"/>
              <w:rPr>
                <w:rFonts w:hint="eastAsia" w:hAnsi="宋体"/>
                <w:b/>
                <w:bCs/>
                <w:color w:val="auto"/>
                <w:sz w:val="21"/>
              </w:rPr>
            </w:pPr>
            <w:r>
              <w:rPr>
                <w:rFonts w:hint="eastAsia" w:hAnsi="宋体"/>
                <w:b/>
                <w:bCs/>
                <w:color w:val="auto"/>
                <w:sz w:val="21"/>
              </w:rPr>
              <w:t>本项目项号1“干扰电治疗仪”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应商推荐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 w:leftChars="-3" w:hanging="8" w:hangingChars="4"/>
              <w:jc w:val="center"/>
              <w:rPr>
                <w:rFonts w:hint="eastAsia" w:hAnsi="宋体"/>
                <w:b/>
                <w:color w:val="auto"/>
                <w:sz w:val="21"/>
              </w:rPr>
            </w:pPr>
            <w:r>
              <w:rPr>
                <w:rFonts w:hint="eastAsia" w:hAnsi="宋体"/>
                <w:b/>
                <w:color w:val="auto"/>
                <w:sz w:val="21"/>
              </w:rPr>
              <w:t>特殊要求</w:t>
            </w:r>
          </w:p>
        </w:tc>
        <w:tc>
          <w:tcPr>
            <w:tcW w:w="776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 w:leftChars="-3" w:hanging="8" w:hangingChars="4"/>
              <w:rPr>
                <w:rFonts w:hint="eastAsia" w:hAnsi="宋体"/>
                <w:b/>
                <w:color w:val="auto"/>
                <w:sz w:val="21"/>
              </w:rPr>
            </w:pPr>
            <w:r>
              <w:rPr>
                <w:rFonts w:hint="eastAsia" w:hAnsi="宋体"/>
                <w:b/>
                <w:color w:val="auto"/>
                <w:sz w:val="21"/>
              </w:rPr>
              <w:t>投标产品属于第一类医疗器械管理的须提供产品备案证明复印件并加盖投标人公章（电子签章）；属于第二类、第三类医疗器械管理的须提供国家主管部门颁发的有效整机产品注册证明复印件并加盖投标人公章（电子签章）；投标人未按要求提供的投标无效。</w:t>
            </w:r>
          </w:p>
        </w:tc>
      </w:tr>
    </w:tbl>
    <w:p/>
    <w:sectPr>
      <w:footerReference r:id="rId3" w:type="default"/>
      <w:pgSz w:w="11906" w:h="16838"/>
      <w:pgMar w:top="1361" w:right="1134" w:bottom="136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52267"/>
      <w:docPartObj>
        <w:docPartGallery w:val="autotext"/>
      </w:docPartObj>
    </w:sdtPr>
    <w:sdtContent>
      <w:p>
        <w:pPr>
          <w:pStyle w:val="31"/>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0DDCA411"/>
    <w:multiLevelType w:val="multilevel"/>
    <w:tmpl w:val="0DDCA411"/>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7"/>
      <w:suff w:val="nothing"/>
      <w:lvlText w:val=""/>
      <w:lvlJc w:val="left"/>
      <w:pPr>
        <w:tabs>
          <w:tab w:val="left" w:pos="0"/>
        </w:tabs>
        <w:ind w:left="0" w:firstLine="0"/>
      </w:pPr>
      <w:rPr>
        <w:rFonts w:hint="eastAsia"/>
      </w:rPr>
    </w:lvl>
    <w:lvl w:ilvl="5" w:tentative="0">
      <w:start w:val="1"/>
      <w:numFmt w:val="none"/>
      <w:pStyle w:val="9"/>
      <w:suff w:val="nothing"/>
      <w:lvlText w:val=""/>
      <w:lvlJc w:val="left"/>
      <w:pPr>
        <w:tabs>
          <w:tab w:val="left" w:pos="0"/>
        </w:tabs>
        <w:ind w:left="0" w:firstLine="0"/>
      </w:pPr>
      <w:rPr>
        <w:rFonts w:hint="eastAsia"/>
      </w:rPr>
    </w:lvl>
    <w:lvl w:ilvl="6" w:tentative="0">
      <w:start w:val="1"/>
      <w:numFmt w:val="none"/>
      <w:pStyle w:val="10"/>
      <w:suff w:val="nothing"/>
      <w:lvlText w:val=""/>
      <w:lvlJc w:val="left"/>
      <w:pPr>
        <w:tabs>
          <w:tab w:val="left" w:pos="0"/>
        </w:tabs>
        <w:ind w:left="0" w:firstLine="0"/>
      </w:pPr>
      <w:rPr>
        <w:rFonts w:hint="eastAsia"/>
      </w:rPr>
    </w:lvl>
    <w:lvl w:ilvl="7" w:tentative="0">
      <w:start w:val="1"/>
      <w:numFmt w:val="none"/>
      <w:pStyle w:val="11"/>
      <w:suff w:val="nothing"/>
      <w:lvlText w:val=""/>
      <w:lvlJc w:val="left"/>
      <w:pPr>
        <w:tabs>
          <w:tab w:val="left" w:pos="0"/>
        </w:tabs>
        <w:ind w:left="0" w:firstLine="0"/>
      </w:pPr>
      <w:rPr>
        <w:rFonts w:hint="eastAsia"/>
      </w:rPr>
    </w:lvl>
    <w:lvl w:ilvl="8" w:tentative="0">
      <w:start w:val="1"/>
      <w:numFmt w:val="none"/>
      <w:pStyle w:val="12"/>
      <w:suff w:val="nothing"/>
      <w:lvlText w:val=""/>
      <w:lvlJc w:val="left"/>
      <w:pPr>
        <w:tabs>
          <w:tab w:val="left" w:pos="0"/>
        </w:tabs>
        <w:ind w:left="0" w:firstLine="0"/>
      </w:pPr>
      <w:rPr>
        <w:rFonts w:hint="eastAsia"/>
      </w:rPr>
    </w:lvl>
  </w:abstractNum>
  <w:abstractNum w:abstractNumId="2">
    <w:nsid w:val="55E618BE"/>
    <w:multiLevelType w:val="multilevel"/>
    <w:tmpl w:val="55E618B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4ODRiNTJjZDA5Y2RhMWYzMWQ0NTEwNGM0ZmIwZTUifQ=="/>
  </w:docVars>
  <w:rsids>
    <w:rsidRoot w:val="00374B7E"/>
    <w:rsid w:val="000E2CA3"/>
    <w:rsid w:val="000F3BF2"/>
    <w:rsid w:val="00103939"/>
    <w:rsid w:val="00164E5E"/>
    <w:rsid w:val="001658C6"/>
    <w:rsid w:val="00193143"/>
    <w:rsid w:val="00193976"/>
    <w:rsid w:val="001B198E"/>
    <w:rsid w:val="001B3CEF"/>
    <w:rsid w:val="00261943"/>
    <w:rsid w:val="002B5E3A"/>
    <w:rsid w:val="002C070D"/>
    <w:rsid w:val="002C171F"/>
    <w:rsid w:val="00315F47"/>
    <w:rsid w:val="00321BF5"/>
    <w:rsid w:val="0035131F"/>
    <w:rsid w:val="00364FCA"/>
    <w:rsid w:val="0037175B"/>
    <w:rsid w:val="00374B7E"/>
    <w:rsid w:val="00390F5B"/>
    <w:rsid w:val="003A1BD1"/>
    <w:rsid w:val="003A7D15"/>
    <w:rsid w:val="00442288"/>
    <w:rsid w:val="00496CB0"/>
    <w:rsid w:val="004B646C"/>
    <w:rsid w:val="004E32BF"/>
    <w:rsid w:val="0051101E"/>
    <w:rsid w:val="00545D2B"/>
    <w:rsid w:val="005522B0"/>
    <w:rsid w:val="005551E2"/>
    <w:rsid w:val="00555FE1"/>
    <w:rsid w:val="00577D19"/>
    <w:rsid w:val="00587971"/>
    <w:rsid w:val="005A6DC8"/>
    <w:rsid w:val="005D1505"/>
    <w:rsid w:val="005D37D6"/>
    <w:rsid w:val="006116B7"/>
    <w:rsid w:val="00630162"/>
    <w:rsid w:val="006B3D0B"/>
    <w:rsid w:val="006D6DB9"/>
    <w:rsid w:val="006F3BE9"/>
    <w:rsid w:val="00732AE0"/>
    <w:rsid w:val="007444AD"/>
    <w:rsid w:val="00751A37"/>
    <w:rsid w:val="00762726"/>
    <w:rsid w:val="00766F75"/>
    <w:rsid w:val="007774E9"/>
    <w:rsid w:val="00780D1F"/>
    <w:rsid w:val="008C0EC3"/>
    <w:rsid w:val="008E4837"/>
    <w:rsid w:val="00944019"/>
    <w:rsid w:val="00946AEA"/>
    <w:rsid w:val="00985909"/>
    <w:rsid w:val="0099385A"/>
    <w:rsid w:val="009A4FF3"/>
    <w:rsid w:val="009D03E1"/>
    <w:rsid w:val="009D5D58"/>
    <w:rsid w:val="00A04213"/>
    <w:rsid w:val="00A2456B"/>
    <w:rsid w:val="00A62DDE"/>
    <w:rsid w:val="00A83DD6"/>
    <w:rsid w:val="00A95137"/>
    <w:rsid w:val="00AB1F76"/>
    <w:rsid w:val="00AB304C"/>
    <w:rsid w:val="00AE5809"/>
    <w:rsid w:val="00AE7412"/>
    <w:rsid w:val="00B373A5"/>
    <w:rsid w:val="00B72E37"/>
    <w:rsid w:val="00B730E9"/>
    <w:rsid w:val="00B9564A"/>
    <w:rsid w:val="00BC0963"/>
    <w:rsid w:val="00BD6DF6"/>
    <w:rsid w:val="00BD6F0F"/>
    <w:rsid w:val="00C17689"/>
    <w:rsid w:val="00C274C6"/>
    <w:rsid w:val="00C63AED"/>
    <w:rsid w:val="00C679B7"/>
    <w:rsid w:val="00C869C4"/>
    <w:rsid w:val="00C97F0F"/>
    <w:rsid w:val="00CE66AF"/>
    <w:rsid w:val="00D37798"/>
    <w:rsid w:val="00D40CD6"/>
    <w:rsid w:val="00D47A4E"/>
    <w:rsid w:val="00DA548B"/>
    <w:rsid w:val="00DB1A4B"/>
    <w:rsid w:val="00E1223A"/>
    <w:rsid w:val="00E57217"/>
    <w:rsid w:val="00E9691F"/>
    <w:rsid w:val="00EA2030"/>
    <w:rsid w:val="00ED285F"/>
    <w:rsid w:val="00F2363E"/>
    <w:rsid w:val="00F30E8F"/>
    <w:rsid w:val="00F34D71"/>
    <w:rsid w:val="00F41B51"/>
    <w:rsid w:val="00F4248C"/>
    <w:rsid w:val="00F57577"/>
    <w:rsid w:val="00F67639"/>
    <w:rsid w:val="00FB2C2B"/>
    <w:rsid w:val="00FC3274"/>
    <w:rsid w:val="00FD008B"/>
    <w:rsid w:val="00FE628A"/>
    <w:rsid w:val="4F772AF7"/>
    <w:rsid w:val="722976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Times New Roman" w:eastAsia="宋体" w:cs="Times New Roman"/>
      <w:kern w:val="2"/>
      <w:sz w:val="24"/>
      <w:szCs w:val="21"/>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6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64"/>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8"/>
    <w:link w:val="65"/>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6"/>
    <w:qFormat/>
    <w:uiPriority w:val="0"/>
    <w:pPr>
      <w:keepNext/>
      <w:keepLines/>
      <w:numPr>
        <w:ilvl w:val="5"/>
        <w:numId w:val="1"/>
      </w:numPr>
      <w:spacing w:before="240" w:after="64" w:line="319" w:lineRule="auto"/>
      <w:outlineLvl w:val="5"/>
    </w:pPr>
    <w:rPr>
      <w:rFonts w:ascii="Arial" w:hAnsi="Arial" w:eastAsia="黑体"/>
      <w:b/>
    </w:rPr>
  </w:style>
  <w:style w:type="paragraph" w:styleId="10">
    <w:name w:val="heading 7"/>
    <w:basedOn w:val="1"/>
    <w:next w:val="8"/>
    <w:link w:val="67"/>
    <w:qFormat/>
    <w:uiPriority w:val="0"/>
    <w:pPr>
      <w:keepNext/>
      <w:keepLines/>
      <w:numPr>
        <w:ilvl w:val="6"/>
        <w:numId w:val="1"/>
      </w:numPr>
      <w:spacing w:before="240" w:after="64" w:line="319" w:lineRule="auto"/>
      <w:outlineLvl w:val="6"/>
    </w:pPr>
    <w:rPr>
      <w:b/>
    </w:rPr>
  </w:style>
  <w:style w:type="paragraph" w:styleId="11">
    <w:name w:val="heading 8"/>
    <w:basedOn w:val="1"/>
    <w:next w:val="8"/>
    <w:link w:val="68"/>
    <w:qFormat/>
    <w:uiPriority w:val="0"/>
    <w:pPr>
      <w:keepNext/>
      <w:keepLines/>
      <w:numPr>
        <w:ilvl w:val="7"/>
        <w:numId w:val="1"/>
      </w:numPr>
      <w:spacing w:before="240" w:after="64" w:line="319" w:lineRule="auto"/>
      <w:outlineLvl w:val="7"/>
    </w:pPr>
    <w:rPr>
      <w:rFonts w:ascii="Arial" w:hAnsi="Arial" w:eastAsia="黑体"/>
    </w:rPr>
  </w:style>
  <w:style w:type="paragraph" w:styleId="12">
    <w:name w:val="heading 9"/>
    <w:basedOn w:val="1"/>
    <w:next w:val="8"/>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8">
    <w:name w:val="Normal Indent"/>
    <w:basedOn w:val="1"/>
    <w:link w:val="75"/>
    <w:uiPriority w:val="0"/>
    <w:pPr>
      <w:ind w:firstLine="420"/>
    </w:pPr>
  </w:style>
  <w:style w:type="paragraph" w:styleId="13">
    <w:name w:val="toc 7"/>
    <w:basedOn w:val="1"/>
    <w:next w:val="1"/>
    <w:qFormat/>
    <w:uiPriority w:val="0"/>
    <w:pPr>
      <w:ind w:left="1200" w:leftChars="1200"/>
    </w:pPr>
    <w:rPr>
      <w:rFonts w:ascii="Calibri" w:hAnsi="Calibri"/>
    </w:rPr>
  </w:style>
  <w:style w:type="paragraph" w:styleId="14">
    <w:name w:val="List Number"/>
    <w:basedOn w:val="1"/>
    <w:uiPriority w:val="0"/>
    <w:pPr>
      <w:widowControl/>
      <w:tabs>
        <w:tab w:val="left" w:pos="454"/>
        <w:tab w:val="left" w:pos="720"/>
        <w:tab w:val="left" w:pos="840"/>
      </w:tabs>
      <w:spacing w:afterLines="50"/>
      <w:ind w:left="454" w:hanging="284"/>
    </w:pPr>
    <w:rPr>
      <w:kern w:val="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96"/>
    <w:qFormat/>
    <w:uiPriority w:val="0"/>
    <w:pPr>
      <w:shd w:val="clear" w:color="auto" w:fill="000080"/>
    </w:pPr>
  </w:style>
  <w:style w:type="paragraph" w:styleId="17">
    <w:name w:val="annotation text"/>
    <w:link w:val="88"/>
    <w:qFormat/>
    <w:uiPriority w:val="0"/>
    <w:pPr>
      <w:widowControl w:val="0"/>
    </w:pPr>
    <w:rPr>
      <w:rFonts w:ascii="宋体" w:hAnsiTheme="minorHAnsi" w:eastAsiaTheme="minorEastAsia" w:cstheme="minorBidi"/>
      <w:kern w:val="2"/>
      <w:sz w:val="24"/>
      <w:szCs w:val="21"/>
      <w:lang w:val="en-US" w:eastAsia="zh-CN" w:bidi="ar-SA"/>
    </w:rPr>
  </w:style>
  <w:style w:type="paragraph" w:styleId="18">
    <w:name w:val="Body Text 3"/>
    <w:basedOn w:val="1"/>
    <w:link w:val="92"/>
    <w:qFormat/>
    <w:uiPriority w:val="0"/>
    <w:pPr>
      <w:spacing w:line="500" w:lineRule="exact"/>
    </w:pPr>
    <w:rPr>
      <w:b/>
      <w:bCs/>
      <w:kern w:val="0"/>
    </w:rPr>
  </w:style>
  <w:style w:type="paragraph" w:styleId="19">
    <w:name w:val="Body Text"/>
    <w:basedOn w:val="1"/>
    <w:link w:val="94"/>
    <w:qFormat/>
    <w:uiPriority w:val="99"/>
    <w:pPr>
      <w:spacing w:line="380" w:lineRule="exact"/>
    </w:pPr>
    <w:rPr>
      <w:kern w:val="0"/>
    </w:rPr>
  </w:style>
  <w:style w:type="paragraph" w:styleId="20">
    <w:name w:val="Body Text Indent"/>
    <w:basedOn w:val="1"/>
    <w:link w:val="73"/>
    <w:qFormat/>
    <w:uiPriority w:val="0"/>
    <w:pPr>
      <w:ind w:firstLine="352" w:firstLineChars="352"/>
    </w:pPr>
    <w:rPr>
      <w:rFonts w:ascii="仿宋_GB2312" w:eastAsia="仿宋_GB2312"/>
      <w:sz w:val="32"/>
    </w:rPr>
  </w:style>
  <w:style w:type="paragraph" w:styleId="21">
    <w:name w:val="List Number 3"/>
    <w:basedOn w:val="1"/>
    <w:uiPriority w:val="0"/>
    <w:pPr>
      <w:numPr>
        <w:ilvl w:val="0"/>
        <w:numId w:val="2"/>
      </w:numPr>
    </w:pPr>
  </w:style>
  <w:style w:type="paragraph" w:styleId="22">
    <w:name w:val="List 2"/>
    <w:basedOn w:val="1"/>
    <w:qFormat/>
    <w:uiPriority w:val="0"/>
    <w:pPr>
      <w:ind w:left="400" w:leftChars="200" w:hanging="200" w:hangingChars="200"/>
    </w:pPr>
    <w:rPr>
      <w:sz w:val="28"/>
    </w:rPr>
  </w:style>
  <w:style w:type="paragraph" w:styleId="23">
    <w:name w:val="toc 5"/>
    <w:basedOn w:val="1"/>
    <w:next w:val="1"/>
    <w:qFormat/>
    <w:uiPriority w:val="0"/>
    <w:pPr>
      <w:ind w:left="800" w:leftChars="800"/>
    </w:pPr>
    <w:rPr>
      <w:rFonts w:ascii="Calibri" w:hAnsi="Calibri"/>
    </w:rPr>
  </w:style>
  <w:style w:type="paragraph" w:styleId="24">
    <w:name w:val="toc 3"/>
    <w:basedOn w:val="1"/>
    <w:next w:val="1"/>
    <w:qFormat/>
    <w:uiPriority w:val="39"/>
    <w:pPr>
      <w:ind w:left="400" w:leftChars="400"/>
    </w:pPr>
    <w:rPr>
      <w:rFonts w:ascii="Calibri" w:hAnsi="Calibri"/>
    </w:rPr>
  </w:style>
  <w:style w:type="paragraph" w:styleId="25">
    <w:name w:val="Plain Text"/>
    <w:basedOn w:val="1"/>
    <w:link w:val="60"/>
    <w:qFormat/>
    <w:uiPriority w:val="99"/>
  </w:style>
  <w:style w:type="paragraph" w:styleId="26">
    <w:name w:val="toc 8"/>
    <w:basedOn w:val="1"/>
    <w:next w:val="1"/>
    <w:uiPriority w:val="0"/>
    <w:pPr>
      <w:ind w:left="1400" w:leftChars="1400"/>
    </w:pPr>
    <w:rPr>
      <w:rFonts w:ascii="Calibri" w:hAnsi="Calibri"/>
    </w:rPr>
  </w:style>
  <w:style w:type="paragraph" w:styleId="27">
    <w:name w:val="Date"/>
    <w:basedOn w:val="1"/>
    <w:next w:val="1"/>
    <w:link w:val="81"/>
    <w:qFormat/>
    <w:uiPriority w:val="0"/>
    <w:pPr>
      <w:ind w:left="2500" w:leftChars="2500"/>
    </w:pPr>
  </w:style>
  <w:style w:type="paragraph" w:styleId="28">
    <w:name w:val="Body Text Indent 2"/>
    <w:basedOn w:val="1"/>
    <w:link w:val="101"/>
    <w:uiPriority w:val="0"/>
    <w:pPr>
      <w:ind w:firstLine="630"/>
    </w:pPr>
    <w:rPr>
      <w:kern w:val="0"/>
      <w:sz w:val="32"/>
      <w:szCs w:val="20"/>
    </w:rPr>
  </w:style>
  <w:style w:type="paragraph" w:styleId="29">
    <w:name w:val="endnote text"/>
    <w:basedOn w:val="1"/>
    <w:link w:val="103"/>
    <w:qFormat/>
    <w:uiPriority w:val="0"/>
    <w:pPr>
      <w:snapToGrid w:val="0"/>
    </w:pPr>
  </w:style>
  <w:style w:type="paragraph" w:styleId="30">
    <w:name w:val="Balloon Text"/>
    <w:basedOn w:val="1"/>
    <w:link w:val="102"/>
    <w:qFormat/>
    <w:uiPriority w:val="0"/>
    <w:rPr>
      <w:kern w:val="0"/>
      <w:sz w:val="18"/>
      <w:szCs w:val="18"/>
    </w:rPr>
  </w:style>
  <w:style w:type="paragraph" w:styleId="31">
    <w:name w:val="footer"/>
    <w:basedOn w:val="1"/>
    <w:link w:val="58"/>
    <w:unhideWhenUsed/>
    <w:qFormat/>
    <w:uiPriority w:val="99"/>
    <w:pPr>
      <w:tabs>
        <w:tab w:val="center" w:pos="4153"/>
        <w:tab w:val="right" w:pos="8306"/>
      </w:tabs>
      <w:snapToGrid w:val="0"/>
    </w:pPr>
    <w:rPr>
      <w:sz w:val="18"/>
      <w:szCs w:val="18"/>
    </w:rPr>
  </w:style>
  <w:style w:type="paragraph" w:styleId="32">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100" w:firstLineChars="100"/>
    </w:pPr>
    <w:rPr>
      <w:b/>
      <w:bCs/>
      <w:caps/>
    </w:rPr>
  </w:style>
  <w:style w:type="paragraph" w:styleId="34">
    <w:name w:val="toc 4"/>
    <w:basedOn w:val="1"/>
    <w:next w:val="1"/>
    <w:uiPriority w:val="0"/>
    <w:pPr>
      <w:ind w:left="600" w:leftChars="600"/>
    </w:pPr>
    <w:rPr>
      <w:rFonts w:ascii="Calibri" w:hAnsi="Calibri"/>
    </w:rPr>
  </w:style>
  <w:style w:type="paragraph" w:styleId="35">
    <w:name w:val="List"/>
    <w:basedOn w:val="1"/>
    <w:qFormat/>
    <w:uiPriority w:val="0"/>
    <w:pPr>
      <w:ind w:left="200" w:hanging="200" w:hangingChars="200"/>
    </w:pPr>
    <w:rPr>
      <w:sz w:val="28"/>
    </w:rPr>
  </w:style>
  <w:style w:type="paragraph" w:styleId="36">
    <w:name w:val="footnote text"/>
    <w:basedOn w:val="1"/>
    <w:link w:val="108"/>
    <w:uiPriority w:val="0"/>
    <w:pPr>
      <w:snapToGrid w:val="0"/>
    </w:pPr>
    <w:rPr>
      <w:sz w:val="18"/>
      <w:szCs w:val="18"/>
    </w:rPr>
  </w:style>
  <w:style w:type="paragraph" w:styleId="37">
    <w:name w:val="toc 6"/>
    <w:basedOn w:val="1"/>
    <w:next w:val="1"/>
    <w:qFormat/>
    <w:uiPriority w:val="0"/>
    <w:pPr>
      <w:ind w:left="1000" w:leftChars="1000"/>
    </w:pPr>
    <w:rPr>
      <w:rFonts w:ascii="Calibri" w:hAnsi="Calibri"/>
    </w:rPr>
  </w:style>
  <w:style w:type="paragraph" w:styleId="38">
    <w:name w:val="Body Text Indent 3"/>
    <w:basedOn w:val="1"/>
    <w:link w:val="107"/>
    <w:qFormat/>
    <w:uiPriority w:val="0"/>
    <w:pPr>
      <w:spacing w:after="120"/>
      <w:ind w:left="200" w:leftChars="200"/>
    </w:pPr>
    <w:rPr>
      <w:kern w:val="0"/>
      <w:sz w:val="16"/>
      <w:szCs w:val="16"/>
    </w:rPr>
  </w:style>
  <w:style w:type="paragraph" w:styleId="39">
    <w:name w:val="toc 2"/>
    <w:basedOn w:val="1"/>
    <w:next w:val="1"/>
    <w:qFormat/>
    <w:uiPriority w:val="39"/>
    <w:pPr>
      <w:ind w:left="200" w:leftChars="200"/>
    </w:pPr>
  </w:style>
  <w:style w:type="paragraph" w:styleId="40">
    <w:name w:val="toc 9"/>
    <w:basedOn w:val="1"/>
    <w:next w:val="1"/>
    <w:qFormat/>
    <w:uiPriority w:val="0"/>
    <w:pPr>
      <w:ind w:left="1600" w:leftChars="1600"/>
    </w:pPr>
    <w:rPr>
      <w:rFonts w:ascii="Calibri" w:hAnsi="Calibri"/>
    </w:rPr>
  </w:style>
  <w:style w:type="paragraph" w:styleId="41">
    <w:name w:val="Body Text 2"/>
    <w:basedOn w:val="1"/>
    <w:link w:val="105"/>
    <w:qFormat/>
    <w:uiPriority w:val="0"/>
    <w:pPr>
      <w:spacing w:after="120" w:line="480" w:lineRule="auto"/>
    </w:pPr>
    <w:rPr>
      <w:kern w:val="0"/>
      <w:sz w:val="20"/>
    </w:rPr>
  </w:style>
  <w:style w:type="paragraph" w:styleId="42">
    <w:name w:val="Normal (Web)"/>
    <w:basedOn w:val="1"/>
    <w:qFormat/>
    <w:uiPriority w:val="0"/>
    <w:pPr>
      <w:widowControl/>
      <w:spacing w:before="100" w:beforeAutospacing="1" w:after="100" w:afterAutospacing="1"/>
    </w:pPr>
    <w:rPr>
      <w:kern w:val="0"/>
    </w:rPr>
  </w:style>
  <w:style w:type="paragraph" w:styleId="43">
    <w:name w:val="index 1"/>
    <w:basedOn w:val="1"/>
    <w:next w:val="1"/>
    <w:qFormat/>
    <w:uiPriority w:val="0"/>
    <w:pPr>
      <w:spacing w:line="400" w:lineRule="exact"/>
      <w:ind w:firstLine="200" w:firstLineChars="200"/>
    </w:pPr>
    <w:rPr>
      <w:b/>
      <w:szCs w:val="20"/>
    </w:rPr>
  </w:style>
  <w:style w:type="paragraph" w:styleId="44">
    <w:name w:val="Title"/>
    <w:basedOn w:val="1"/>
    <w:next w:val="1"/>
    <w:link w:val="98"/>
    <w:qFormat/>
    <w:uiPriority w:val="0"/>
    <w:pPr>
      <w:spacing w:before="240" w:after="60"/>
      <w:jc w:val="center"/>
      <w:outlineLvl w:val="0"/>
    </w:pPr>
    <w:rPr>
      <w:rFonts w:ascii="Cambria" w:hAnsi="Cambria"/>
      <w:b/>
      <w:bCs/>
      <w:sz w:val="32"/>
      <w:szCs w:val="32"/>
    </w:rPr>
  </w:style>
  <w:style w:type="paragraph" w:styleId="45">
    <w:name w:val="annotation subject"/>
    <w:basedOn w:val="17"/>
    <w:next w:val="17"/>
    <w:link w:val="82"/>
    <w:qFormat/>
    <w:uiPriority w:val="0"/>
    <w:rPr>
      <w:b/>
      <w:bCs/>
    </w:rPr>
  </w:style>
  <w:style w:type="paragraph" w:styleId="46">
    <w:name w:val="Body Text First Indent"/>
    <w:basedOn w:val="19"/>
    <w:link w:val="128"/>
    <w:unhideWhenUsed/>
    <w:qFormat/>
    <w:uiPriority w:val="99"/>
    <w:pPr>
      <w:spacing w:after="120" w:line="240" w:lineRule="auto"/>
      <w:ind w:firstLine="420" w:firstLineChars="100"/>
      <w:jc w:val="both"/>
    </w:pPr>
    <w:rPr>
      <w:rFonts w:ascii="Calibri" w:hAnsi="Calibri"/>
      <w:kern w:val="2"/>
      <w:sz w:val="21"/>
      <w:szCs w:val="22"/>
    </w:rPr>
  </w:style>
  <w:style w:type="table" w:styleId="48">
    <w:name w:val="Table Grid"/>
    <w:basedOn w:val="47"/>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22"/>
    <w:rPr>
      <w:rFonts w:ascii="宋体" w:hAnsi="宋体" w:cs="宋体"/>
      <w:b/>
      <w:bCs/>
      <w:sz w:val="24"/>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themeColor="followedHyperlink"/>
      <w:u w:val="single"/>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footnote reference"/>
    <w:qFormat/>
    <w:uiPriority w:val="0"/>
    <w:rPr>
      <w:vertAlign w:val="superscript"/>
    </w:rPr>
  </w:style>
  <w:style w:type="character" w:customStyle="1" w:styleId="57">
    <w:name w:val="页眉 Char"/>
    <w:basedOn w:val="49"/>
    <w:link w:val="32"/>
    <w:qFormat/>
    <w:uiPriority w:val="0"/>
    <w:rPr>
      <w:sz w:val="18"/>
      <w:szCs w:val="18"/>
    </w:rPr>
  </w:style>
  <w:style w:type="character" w:customStyle="1" w:styleId="58">
    <w:name w:val="页脚 Char"/>
    <w:basedOn w:val="49"/>
    <w:link w:val="31"/>
    <w:qFormat/>
    <w:uiPriority w:val="99"/>
    <w:rPr>
      <w:sz w:val="18"/>
      <w:szCs w:val="18"/>
    </w:rPr>
  </w:style>
  <w:style w:type="character" w:customStyle="1" w:styleId="59">
    <w:name w:val="标题 2 Char"/>
    <w:basedOn w:val="49"/>
    <w:link w:val="4"/>
    <w:qFormat/>
    <w:uiPriority w:val="0"/>
    <w:rPr>
      <w:rFonts w:ascii="Arial" w:hAnsi="Arial" w:eastAsia="黑体" w:cs="Times New Roman"/>
      <w:b/>
      <w:bCs/>
      <w:kern w:val="0"/>
      <w:sz w:val="32"/>
      <w:szCs w:val="32"/>
    </w:rPr>
  </w:style>
  <w:style w:type="character" w:customStyle="1" w:styleId="60">
    <w:name w:val="纯文本 Char1"/>
    <w:link w:val="25"/>
    <w:qFormat/>
    <w:uiPriority w:val="99"/>
    <w:rPr>
      <w:rFonts w:ascii="宋体" w:eastAsia="宋体"/>
      <w:szCs w:val="21"/>
    </w:rPr>
  </w:style>
  <w:style w:type="character" w:customStyle="1" w:styleId="61">
    <w:name w:val="纯文本 Char"/>
    <w:basedOn w:val="49"/>
    <w:qFormat/>
    <w:uiPriority w:val="99"/>
    <w:rPr>
      <w:rFonts w:ascii="宋体" w:hAnsi="Courier New" w:eastAsia="宋体" w:cs="Courier New"/>
      <w:szCs w:val="21"/>
    </w:rPr>
  </w:style>
  <w:style w:type="character" w:customStyle="1" w:styleId="62">
    <w:name w:val="标题 1 Char"/>
    <w:basedOn w:val="49"/>
    <w:link w:val="3"/>
    <w:qFormat/>
    <w:uiPriority w:val="0"/>
    <w:rPr>
      <w:rFonts w:ascii="宋体" w:hAnsi="Times New Roman" w:eastAsia="宋体" w:cs="Times New Roman"/>
      <w:b/>
      <w:bCs/>
      <w:kern w:val="44"/>
      <w:sz w:val="44"/>
      <w:szCs w:val="44"/>
    </w:rPr>
  </w:style>
  <w:style w:type="character" w:customStyle="1" w:styleId="63">
    <w:name w:val="标题 3 Char"/>
    <w:basedOn w:val="49"/>
    <w:link w:val="5"/>
    <w:qFormat/>
    <w:uiPriority w:val="0"/>
    <w:rPr>
      <w:rFonts w:ascii="宋体" w:hAnsi="Times New Roman" w:eastAsia="宋体" w:cs="Times New Roman"/>
      <w:b/>
      <w:bCs/>
      <w:kern w:val="0"/>
      <w:sz w:val="32"/>
      <w:szCs w:val="32"/>
    </w:rPr>
  </w:style>
  <w:style w:type="character" w:customStyle="1" w:styleId="64">
    <w:name w:val="标题 4 Char"/>
    <w:basedOn w:val="49"/>
    <w:link w:val="6"/>
    <w:qFormat/>
    <w:uiPriority w:val="9"/>
    <w:rPr>
      <w:rFonts w:ascii="Cambria" w:hAnsi="Cambria" w:eastAsia="宋体" w:cs="Times New Roman"/>
      <w:b/>
      <w:bCs/>
      <w:sz w:val="28"/>
      <w:szCs w:val="28"/>
    </w:rPr>
  </w:style>
  <w:style w:type="character" w:customStyle="1" w:styleId="65">
    <w:name w:val="标题 5 Char"/>
    <w:basedOn w:val="49"/>
    <w:link w:val="7"/>
    <w:qFormat/>
    <w:uiPriority w:val="0"/>
    <w:rPr>
      <w:rFonts w:ascii="宋体" w:hAnsi="Times New Roman" w:eastAsia="宋体" w:cs="Times New Roman"/>
      <w:b/>
      <w:sz w:val="28"/>
      <w:szCs w:val="21"/>
    </w:rPr>
  </w:style>
  <w:style w:type="character" w:customStyle="1" w:styleId="66">
    <w:name w:val="标题 6 Char"/>
    <w:basedOn w:val="49"/>
    <w:link w:val="9"/>
    <w:qFormat/>
    <w:uiPriority w:val="0"/>
    <w:rPr>
      <w:rFonts w:ascii="Arial" w:hAnsi="Arial" w:eastAsia="黑体" w:cs="Times New Roman"/>
      <w:b/>
      <w:sz w:val="24"/>
      <w:szCs w:val="21"/>
    </w:rPr>
  </w:style>
  <w:style w:type="character" w:customStyle="1" w:styleId="67">
    <w:name w:val="标题 7 Char"/>
    <w:basedOn w:val="49"/>
    <w:link w:val="10"/>
    <w:qFormat/>
    <w:uiPriority w:val="0"/>
    <w:rPr>
      <w:rFonts w:ascii="宋体" w:hAnsi="Times New Roman" w:eastAsia="宋体" w:cs="Times New Roman"/>
      <w:b/>
      <w:sz w:val="24"/>
      <w:szCs w:val="21"/>
    </w:rPr>
  </w:style>
  <w:style w:type="character" w:customStyle="1" w:styleId="68">
    <w:name w:val="标题 8 Char"/>
    <w:basedOn w:val="49"/>
    <w:link w:val="11"/>
    <w:qFormat/>
    <w:uiPriority w:val="0"/>
    <w:rPr>
      <w:rFonts w:ascii="Arial" w:hAnsi="Arial" w:eastAsia="黑体" w:cs="Times New Roman"/>
      <w:sz w:val="24"/>
      <w:szCs w:val="21"/>
    </w:rPr>
  </w:style>
  <w:style w:type="character" w:customStyle="1" w:styleId="69">
    <w:name w:val="标题 9 Char"/>
    <w:basedOn w:val="49"/>
    <w:link w:val="12"/>
    <w:qFormat/>
    <w:uiPriority w:val="0"/>
    <w:rPr>
      <w:rFonts w:ascii="Arial" w:hAnsi="Arial" w:eastAsia="黑体" w:cs="Times New Roman"/>
      <w:sz w:val="24"/>
      <w:szCs w:val="21"/>
    </w:rPr>
  </w:style>
  <w:style w:type="character" w:customStyle="1" w:styleId="70">
    <w:name w:val="批注文字 字符"/>
    <w:qFormat/>
    <w:uiPriority w:val="0"/>
    <w:rPr>
      <w:rFonts w:ascii="Times New Roman" w:hAnsi="Times New Roman"/>
      <w:kern w:val="2"/>
      <w:sz w:val="21"/>
      <w:szCs w:val="24"/>
    </w:rPr>
  </w:style>
  <w:style w:type="character" w:customStyle="1" w:styleId="71">
    <w:name w:val="页眉 Char1"/>
    <w:semiHidden/>
    <w:qFormat/>
    <w:locked/>
    <w:uiPriority w:val="0"/>
    <w:rPr>
      <w:rFonts w:ascii="宋体"/>
      <w:kern w:val="2"/>
      <w:sz w:val="18"/>
      <w:szCs w:val="18"/>
    </w:rPr>
  </w:style>
  <w:style w:type="character" w:customStyle="1" w:styleId="72">
    <w:name w:val="普通文字 Char Char2"/>
    <w:qFormat/>
    <w:uiPriority w:val="0"/>
    <w:rPr>
      <w:rFonts w:ascii="宋体" w:eastAsia="宋体" w:cs="Courier New"/>
      <w:szCs w:val="21"/>
      <w:lang w:bidi="ar-SA"/>
    </w:rPr>
  </w:style>
  <w:style w:type="character" w:customStyle="1" w:styleId="73">
    <w:name w:val="正文文本缩进 Char"/>
    <w:link w:val="20"/>
    <w:qFormat/>
    <w:uiPriority w:val="0"/>
    <w:rPr>
      <w:rFonts w:ascii="仿宋_GB2312" w:eastAsia="仿宋_GB2312"/>
      <w:sz w:val="32"/>
    </w:rPr>
  </w:style>
  <w:style w:type="character" w:customStyle="1" w:styleId="74">
    <w:name w:val="批注文字 字符1"/>
    <w:semiHidden/>
    <w:qFormat/>
    <w:locked/>
    <w:uiPriority w:val="0"/>
    <w:rPr>
      <w:rFonts w:ascii="Times New Roman" w:hAnsi="Times New Roman"/>
      <w:kern w:val="2"/>
      <w:sz w:val="21"/>
      <w:szCs w:val="24"/>
    </w:rPr>
  </w:style>
  <w:style w:type="character" w:customStyle="1" w:styleId="75">
    <w:name w:val="正文缩进 Char"/>
    <w:link w:val="8"/>
    <w:qFormat/>
    <w:uiPriority w:val="0"/>
    <w:rPr>
      <w:rFonts w:ascii="宋体"/>
      <w:sz w:val="24"/>
    </w:rPr>
  </w:style>
  <w:style w:type="character" w:customStyle="1" w:styleId="76">
    <w:name w:val="apple-style-span"/>
    <w:basedOn w:val="49"/>
    <w:qFormat/>
    <w:uiPriority w:val="0"/>
  </w:style>
  <w:style w:type="character" w:customStyle="1" w:styleId="77">
    <w:name w:val="纯文本 字符1"/>
    <w:qFormat/>
    <w:uiPriority w:val="0"/>
    <w:rPr>
      <w:rFonts w:ascii="宋体"/>
      <w:szCs w:val="21"/>
    </w:rPr>
  </w:style>
  <w:style w:type="character" w:customStyle="1" w:styleId="78">
    <w:name w:val="textcontents"/>
    <w:basedOn w:val="49"/>
    <w:qFormat/>
    <w:uiPriority w:val="0"/>
  </w:style>
  <w:style w:type="character" w:customStyle="1" w:styleId="79">
    <w:name w:val="MSG_EN_FONT_STYLE_NAME_TEMPLATE_ROLE_NUMBER MSG_EN_FONT_STYLE_NAME_BY_ROLE_TEXT 2"/>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0">
    <w:name w:val="headline-content4"/>
    <w:basedOn w:val="49"/>
    <w:qFormat/>
    <w:uiPriority w:val="0"/>
  </w:style>
  <w:style w:type="character" w:customStyle="1" w:styleId="81">
    <w:name w:val="日期 Char"/>
    <w:link w:val="27"/>
    <w:qFormat/>
    <w:uiPriority w:val="0"/>
    <w:rPr>
      <w:rFonts w:ascii="宋体"/>
      <w:szCs w:val="21"/>
    </w:rPr>
  </w:style>
  <w:style w:type="character" w:customStyle="1" w:styleId="82">
    <w:name w:val="批注主题 Char"/>
    <w:link w:val="45"/>
    <w:qFormat/>
    <w:uiPriority w:val="0"/>
    <w:rPr>
      <w:rFonts w:ascii="宋体"/>
      <w:b/>
      <w:bCs/>
      <w:sz w:val="24"/>
      <w:szCs w:val="21"/>
    </w:rPr>
  </w:style>
  <w:style w:type="character" w:customStyle="1" w:styleId="83">
    <w:name w:val="case31"/>
    <w:qFormat/>
    <w:uiPriority w:val="0"/>
    <w:rPr>
      <w:sz w:val="21"/>
      <w:szCs w:val="21"/>
    </w:rPr>
  </w:style>
  <w:style w:type="character" w:customStyle="1" w:styleId="84">
    <w:name w:val="fontstyle01"/>
    <w:qFormat/>
    <w:uiPriority w:val="0"/>
    <w:rPr>
      <w:color w:val="000000"/>
      <w:sz w:val="20"/>
      <w:szCs w:val="20"/>
    </w:rPr>
  </w:style>
  <w:style w:type="character" w:customStyle="1" w:styleId="85">
    <w:name w:val="List Paragraph Char"/>
    <w:link w:val="86"/>
    <w:qFormat/>
    <w:locked/>
    <w:uiPriority w:val="0"/>
    <w:rPr>
      <w:rFonts w:ascii="Calibri" w:hAnsi="Calibri"/>
      <w:sz w:val="24"/>
    </w:rPr>
  </w:style>
  <w:style w:type="paragraph" w:customStyle="1" w:styleId="86">
    <w:name w:val="列出段落1"/>
    <w:basedOn w:val="1"/>
    <w:link w:val="85"/>
    <w:qFormat/>
    <w:uiPriority w:val="0"/>
    <w:pPr>
      <w:ind w:firstLine="200" w:firstLineChars="200"/>
    </w:pPr>
    <w:rPr>
      <w:rFonts w:ascii="Calibri" w:hAnsi="Calibri"/>
    </w:rPr>
  </w:style>
  <w:style w:type="character" w:customStyle="1" w:styleId="87">
    <w:name w:val="批注文字 Char"/>
    <w:qFormat/>
    <w:uiPriority w:val="99"/>
    <w:rPr>
      <w:rFonts w:ascii="Times New Roman" w:hAnsi="Times New Roman"/>
      <w:kern w:val="2"/>
      <w:sz w:val="21"/>
      <w:szCs w:val="24"/>
    </w:rPr>
  </w:style>
  <w:style w:type="character" w:customStyle="1" w:styleId="88">
    <w:name w:val="批注文字 Char1"/>
    <w:link w:val="17"/>
    <w:qFormat/>
    <w:uiPriority w:val="0"/>
    <w:rPr>
      <w:rFonts w:ascii="宋体"/>
      <w:sz w:val="24"/>
      <w:szCs w:val="21"/>
    </w:rPr>
  </w:style>
  <w:style w:type="character" w:customStyle="1" w:styleId="89">
    <w:name w:val="font41"/>
    <w:qFormat/>
    <w:uiPriority w:val="0"/>
    <w:rPr>
      <w:rFonts w:hint="eastAsia" w:ascii="宋体" w:hAnsi="宋体" w:eastAsia="宋体" w:cs="宋体"/>
      <w:color w:val="000000"/>
      <w:sz w:val="20"/>
      <w:szCs w:val="20"/>
      <w:u w:val="none"/>
    </w:rPr>
  </w:style>
  <w:style w:type="character" w:customStyle="1" w:styleId="90">
    <w:name w:val="纯文本 Char2"/>
    <w:qFormat/>
    <w:uiPriority w:val="99"/>
    <w:rPr>
      <w:rFonts w:ascii="宋体" w:eastAsia="宋体"/>
      <w:szCs w:val="21"/>
    </w:rPr>
  </w:style>
  <w:style w:type="character" w:customStyle="1" w:styleId="91">
    <w:name w:val="纯文本 Char4"/>
    <w:qFormat/>
    <w:uiPriority w:val="99"/>
    <w:rPr>
      <w:rFonts w:ascii="宋体" w:eastAsia="宋体"/>
      <w:szCs w:val="21"/>
    </w:rPr>
  </w:style>
  <w:style w:type="character" w:customStyle="1" w:styleId="92">
    <w:name w:val="正文文本 3 Char"/>
    <w:basedOn w:val="49"/>
    <w:link w:val="18"/>
    <w:qFormat/>
    <w:uiPriority w:val="0"/>
    <w:rPr>
      <w:rFonts w:ascii="宋体" w:hAnsi="Times New Roman" w:eastAsia="宋体" w:cs="Times New Roman"/>
      <w:b/>
      <w:bCs/>
      <w:kern w:val="0"/>
      <w:sz w:val="24"/>
      <w:szCs w:val="21"/>
    </w:rPr>
  </w:style>
  <w:style w:type="character" w:customStyle="1" w:styleId="93">
    <w:name w:val="纯文本 Char3"/>
    <w:basedOn w:val="49"/>
    <w:semiHidden/>
    <w:qFormat/>
    <w:uiPriority w:val="0"/>
    <w:rPr>
      <w:rFonts w:ascii="宋体" w:hAnsi="Courier New" w:cs="Courier New"/>
      <w:kern w:val="2"/>
      <w:sz w:val="21"/>
      <w:szCs w:val="21"/>
    </w:rPr>
  </w:style>
  <w:style w:type="character" w:customStyle="1" w:styleId="94">
    <w:name w:val="正文文本 Char"/>
    <w:basedOn w:val="49"/>
    <w:link w:val="19"/>
    <w:qFormat/>
    <w:uiPriority w:val="99"/>
    <w:rPr>
      <w:rFonts w:ascii="宋体" w:hAnsi="Times New Roman" w:eastAsia="宋体" w:cs="Times New Roman"/>
      <w:kern w:val="0"/>
      <w:sz w:val="24"/>
      <w:szCs w:val="21"/>
    </w:rPr>
  </w:style>
  <w:style w:type="character" w:customStyle="1" w:styleId="95">
    <w:name w:val="正文文本缩进 Char1"/>
    <w:basedOn w:val="49"/>
    <w:semiHidden/>
    <w:qFormat/>
    <w:uiPriority w:val="0"/>
  </w:style>
  <w:style w:type="character" w:customStyle="1" w:styleId="96">
    <w:name w:val="文档结构图 Char"/>
    <w:basedOn w:val="49"/>
    <w:link w:val="16"/>
    <w:qFormat/>
    <w:uiPriority w:val="0"/>
    <w:rPr>
      <w:rFonts w:ascii="宋体" w:hAnsi="Times New Roman" w:eastAsia="宋体" w:cs="Times New Roman"/>
      <w:sz w:val="24"/>
      <w:szCs w:val="21"/>
      <w:shd w:val="clear" w:color="auto" w:fill="000080"/>
    </w:rPr>
  </w:style>
  <w:style w:type="character" w:customStyle="1" w:styleId="97">
    <w:name w:val="批注文字 Char2"/>
    <w:basedOn w:val="49"/>
    <w:semiHidden/>
    <w:qFormat/>
    <w:uiPriority w:val="0"/>
  </w:style>
  <w:style w:type="character" w:customStyle="1" w:styleId="98">
    <w:name w:val="标题 Char"/>
    <w:basedOn w:val="49"/>
    <w:link w:val="44"/>
    <w:qFormat/>
    <w:uiPriority w:val="0"/>
    <w:rPr>
      <w:rFonts w:ascii="Cambria" w:hAnsi="Cambria" w:eastAsia="宋体" w:cs="Times New Roman"/>
      <w:b/>
      <w:bCs/>
      <w:sz w:val="32"/>
      <w:szCs w:val="32"/>
    </w:rPr>
  </w:style>
  <w:style w:type="character" w:customStyle="1" w:styleId="99">
    <w:name w:val="日期 Char1"/>
    <w:basedOn w:val="49"/>
    <w:semiHidden/>
    <w:qFormat/>
    <w:uiPriority w:val="0"/>
  </w:style>
  <w:style w:type="character" w:customStyle="1" w:styleId="100">
    <w:name w:val="页脚 Char1"/>
    <w:basedOn w:val="49"/>
    <w:semiHidden/>
    <w:qFormat/>
    <w:uiPriority w:val="99"/>
    <w:rPr>
      <w:rFonts w:ascii="宋体"/>
      <w:kern w:val="2"/>
      <w:sz w:val="18"/>
      <w:szCs w:val="18"/>
    </w:rPr>
  </w:style>
  <w:style w:type="character" w:customStyle="1" w:styleId="101">
    <w:name w:val="正文文本缩进 2 Char"/>
    <w:basedOn w:val="49"/>
    <w:link w:val="28"/>
    <w:qFormat/>
    <w:uiPriority w:val="0"/>
    <w:rPr>
      <w:rFonts w:ascii="宋体" w:hAnsi="Times New Roman" w:eastAsia="宋体" w:cs="Times New Roman"/>
      <w:kern w:val="0"/>
      <w:sz w:val="32"/>
      <w:szCs w:val="20"/>
    </w:rPr>
  </w:style>
  <w:style w:type="character" w:customStyle="1" w:styleId="102">
    <w:name w:val="批注框文本 Char"/>
    <w:basedOn w:val="49"/>
    <w:link w:val="30"/>
    <w:qFormat/>
    <w:uiPriority w:val="0"/>
    <w:rPr>
      <w:rFonts w:ascii="宋体" w:hAnsi="Times New Roman" w:eastAsia="宋体" w:cs="Times New Roman"/>
      <w:kern w:val="0"/>
      <w:sz w:val="18"/>
      <w:szCs w:val="18"/>
    </w:rPr>
  </w:style>
  <w:style w:type="character" w:customStyle="1" w:styleId="103">
    <w:name w:val="尾注文本 Char"/>
    <w:basedOn w:val="49"/>
    <w:link w:val="29"/>
    <w:qFormat/>
    <w:uiPriority w:val="0"/>
    <w:rPr>
      <w:rFonts w:ascii="宋体" w:hAnsi="Times New Roman" w:eastAsia="宋体" w:cs="Times New Roman"/>
      <w:sz w:val="24"/>
      <w:szCs w:val="21"/>
    </w:rPr>
  </w:style>
  <w:style w:type="character" w:customStyle="1" w:styleId="104">
    <w:name w:val="页眉 Char2"/>
    <w:basedOn w:val="49"/>
    <w:semiHidden/>
    <w:qFormat/>
    <w:uiPriority w:val="0"/>
    <w:rPr>
      <w:rFonts w:ascii="宋体"/>
      <w:kern w:val="2"/>
      <w:sz w:val="18"/>
      <w:szCs w:val="18"/>
    </w:rPr>
  </w:style>
  <w:style w:type="character" w:customStyle="1" w:styleId="105">
    <w:name w:val="正文文本 2 Char"/>
    <w:basedOn w:val="49"/>
    <w:link w:val="41"/>
    <w:qFormat/>
    <w:uiPriority w:val="0"/>
    <w:rPr>
      <w:rFonts w:ascii="宋体" w:hAnsi="Times New Roman" w:eastAsia="宋体" w:cs="Times New Roman"/>
      <w:kern w:val="0"/>
      <w:sz w:val="20"/>
      <w:szCs w:val="21"/>
    </w:rPr>
  </w:style>
  <w:style w:type="character" w:customStyle="1" w:styleId="106">
    <w:name w:val="批注主题 Char1"/>
    <w:basedOn w:val="97"/>
    <w:semiHidden/>
    <w:qFormat/>
    <w:uiPriority w:val="0"/>
    <w:rPr>
      <w:b/>
      <w:bCs/>
    </w:rPr>
  </w:style>
  <w:style w:type="character" w:customStyle="1" w:styleId="107">
    <w:name w:val="正文文本缩进 3 Char"/>
    <w:basedOn w:val="49"/>
    <w:link w:val="38"/>
    <w:qFormat/>
    <w:uiPriority w:val="0"/>
    <w:rPr>
      <w:rFonts w:ascii="宋体" w:hAnsi="Times New Roman" w:eastAsia="宋体" w:cs="Times New Roman"/>
      <w:kern w:val="0"/>
      <w:sz w:val="16"/>
      <w:szCs w:val="16"/>
    </w:rPr>
  </w:style>
  <w:style w:type="character" w:customStyle="1" w:styleId="108">
    <w:name w:val="脚注文本 Char"/>
    <w:basedOn w:val="49"/>
    <w:link w:val="36"/>
    <w:qFormat/>
    <w:uiPriority w:val="0"/>
    <w:rPr>
      <w:rFonts w:ascii="宋体" w:hAnsi="Times New Roman" w:eastAsia="宋体" w:cs="Times New Roman"/>
      <w:sz w:val="18"/>
      <w:szCs w:val="18"/>
    </w:rPr>
  </w:style>
  <w:style w:type="paragraph" w:styleId="109">
    <w:name w:val="List Paragraph"/>
    <w:basedOn w:val="1"/>
    <w:link w:val="130"/>
    <w:qFormat/>
    <w:uiPriority w:val="0"/>
    <w:pPr>
      <w:ind w:firstLine="200" w:firstLineChars="200"/>
    </w:pPr>
  </w:style>
  <w:style w:type="paragraph" w:customStyle="1" w:styleId="110">
    <w:name w:val="正文首行缩进两字符"/>
    <w:basedOn w:val="1"/>
    <w:qFormat/>
    <w:uiPriority w:val="0"/>
    <w:pPr>
      <w:spacing w:line="360" w:lineRule="auto"/>
      <w:ind w:firstLine="200" w:firstLineChars="200"/>
    </w:pPr>
  </w:style>
  <w:style w:type="paragraph" w:customStyle="1" w:styleId="111">
    <w:name w:val="Char1"/>
    <w:basedOn w:val="1"/>
    <w:qFormat/>
    <w:uiPriority w:val="0"/>
  </w:style>
  <w:style w:type="paragraph" w:customStyle="1" w:styleId="112">
    <w:name w:val="xl22"/>
    <w:basedOn w:val="1"/>
    <w:qFormat/>
    <w:uiPriority w:val="0"/>
    <w:pPr>
      <w:widowControl/>
      <w:spacing w:before="100" w:beforeAutospacing="1" w:after="100" w:afterAutospacing="1"/>
    </w:pPr>
    <w:rPr>
      <w:rFonts w:ascii="Arial Unicode MS" w:hAnsi="Arial Unicode MS" w:eastAsia="Arial Unicode MS" w:cs="Arial Unicode MS"/>
      <w:kern w:val="0"/>
      <w:sz w:val="20"/>
      <w:szCs w:val="20"/>
    </w:rPr>
  </w:style>
  <w:style w:type="paragraph" w:customStyle="1" w:styleId="113">
    <w:name w:val="表格"/>
    <w:basedOn w:val="1"/>
    <w:qFormat/>
    <w:uiPriority w:val="0"/>
    <w:pPr>
      <w:spacing w:line="400" w:lineRule="exact"/>
    </w:pPr>
  </w:style>
  <w:style w:type="paragraph" w:customStyle="1" w:styleId="114">
    <w:name w:val="pa-3"/>
    <w:basedOn w:val="1"/>
    <w:qFormat/>
    <w:uiPriority w:val="0"/>
    <w:pPr>
      <w:widowControl/>
      <w:spacing w:before="150" w:after="150"/>
    </w:pPr>
    <w:rPr>
      <w:rFonts w:hAnsi="宋体" w:cs="宋体"/>
      <w:kern w:val="0"/>
      <w:szCs w:val="24"/>
    </w:rPr>
  </w:style>
  <w:style w:type="paragraph" w:customStyle="1" w:styleId="11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6">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17">
    <w:name w:val="TOC Heading"/>
    <w:basedOn w:val="3"/>
    <w:next w:val="1"/>
    <w:qFormat/>
    <w:uiPriority w:val="39"/>
    <w:pPr>
      <w:widowControl/>
      <w:spacing w:before="480" w:after="0" w:line="276" w:lineRule="auto"/>
      <w:outlineLvl w:val="9"/>
    </w:pPr>
    <w:rPr>
      <w:rFonts w:ascii="Cambria" w:hAnsi="Cambria"/>
      <w:color w:val="365F91"/>
      <w:kern w:val="0"/>
      <w:sz w:val="28"/>
      <w:szCs w:val="28"/>
    </w:rPr>
  </w:style>
  <w:style w:type="paragraph" w:customStyle="1" w:styleId="118">
    <w:name w:val="样式 首行缩进:  2 字符"/>
    <w:basedOn w:val="1"/>
    <w:qFormat/>
    <w:uiPriority w:val="0"/>
    <w:pPr>
      <w:spacing w:line="400" w:lineRule="exact"/>
      <w:ind w:firstLine="200" w:firstLineChars="200"/>
    </w:pPr>
    <w:rPr>
      <w:rFonts w:cs="宋体"/>
    </w:rPr>
  </w:style>
  <w:style w:type="paragraph" w:customStyle="1" w:styleId="119">
    <w:name w:val="_Style 2"/>
    <w:basedOn w:val="1"/>
    <w:qFormat/>
    <w:uiPriority w:val="34"/>
    <w:pPr>
      <w:widowControl/>
      <w:spacing w:line="240" w:lineRule="atLeast"/>
      <w:ind w:firstLine="420" w:firstLineChars="200"/>
    </w:pPr>
    <w:rPr>
      <w:rFonts w:ascii="Arial" w:hAnsi="Arial"/>
      <w:kern w:val="0"/>
    </w:rPr>
  </w:style>
  <w:style w:type="paragraph" w:customStyle="1" w:styleId="12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21">
    <w:name w:val="纯文本1"/>
    <w:basedOn w:val="1"/>
    <w:qFormat/>
    <w:uiPriority w:val="0"/>
    <w:rPr>
      <w:rFonts w:cs="Century"/>
    </w:rPr>
  </w:style>
  <w:style w:type="paragraph" w:customStyle="1" w:styleId="122">
    <w:name w:val="列出段落11"/>
    <w:basedOn w:val="1"/>
    <w:unhideWhenUsed/>
    <w:qFormat/>
    <w:uiPriority w:val="0"/>
    <w:pPr>
      <w:ind w:firstLine="420" w:firstLineChars="200"/>
    </w:pPr>
    <w:rPr>
      <w:rFonts w:ascii="Times New Roman"/>
      <w:szCs w:val="24"/>
    </w:rPr>
  </w:style>
  <w:style w:type="paragraph" w:customStyle="1" w:styleId="123">
    <w:name w:val="表格文本"/>
    <w:basedOn w:val="1"/>
    <w:qFormat/>
    <w:uiPriority w:val="0"/>
    <w:pPr>
      <w:tabs>
        <w:tab w:val="decimal" w:pos="0"/>
      </w:tabs>
      <w:autoSpaceDE w:val="0"/>
      <w:autoSpaceDN w:val="0"/>
      <w:adjustRightInd w:val="0"/>
    </w:pPr>
    <w:rPr>
      <w:rFonts w:ascii="Arial" w:hAnsi="Arial"/>
      <w:kern w:val="0"/>
    </w:rPr>
  </w:style>
  <w:style w:type="paragraph" w:customStyle="1" w:styleId="124">
    <w:name w:val="Revision"/>
    <w:unhideWhenUsed/>
    <w:qFormat/>
    <w:uiPriority w:val="99"/>
    <w:rPr>
      <w:rFonts w:ascii="宋体" w:hAnsi="Times New Roman" w:eastAsia="宋体" w:cs="Times New Roman"/>
      <w:kern w:val="2"/>
      <w:sz w:val="24"/>
      <w:szCs w:val="21"/>
      <w:lang w:val="en-US" w:eastAsia="zh-CN" w:bidi="ar-SA"/>
    </w:rPr>
  </w:style>
  <w:style w:type="paragraph" w:customStyle="1" w:styleId="125">
    <w:name w:val="样式"/>
    <w:qFormat/>
    <w:uiPriority w:val="0"/>
    <w:pPr>
      <w:widowControl w:val="0"/>
      <w:autoSpaceDE w:val="0"/>
      <w:autoSpaceDN w:val="0"/>
      <w:adjustRightInd w:val="0"/>
    </w:pPr>
    <w:rPr>
      <w:rFonts w:ascii="宋体" w:hAnsi="Times New Roman" w:eastAsia="宋体" w:cs="宋体"/>
      <w:kern w:val="0"/>
      <w:sz w:val="24"/>
      <w:szCs w:val="24"/>
      <w:lang w:val="en-US" w:eastAsia="zh-CN" w:bidi="ar-SA"/>
    </w:rPr>
  </w:style>
  <w:style w:type="paragraph" w:customStyle="1" w:styleId="126">
    <w:name w:val="正文段"/>
    <w:basedOn w:val="1"/>
    <w:qFormat/>
    <w:uiPriority w:val="0"/>
    <w:pPr>
      <w:widowControl/>
      <w:snapToGrid w:val="0"/>
      <w:spacing w:afterLines="50"/>
      <w:ind w:firstLine="200" w:firstLineChars="200"/>
    </w:pPr>
    <w:rPr>
      <w:kern w:val="0"/>
      <w:szCs w:val="20"/>
    </w:rPr>
  </w:style>
  <w:style w:type="paragraph" w:customStyle="1" w:styleId="127">
    <w:name w:val="默认段落字体 Para Char Char Char Char Char Char Char Char Char1 Char Char Char Char"/>
    <w:basedOn w:val="1"/>
    <w:qFormat/>
    <w:uiPriority w:val="0"/>
    <w:rPr>
      <w:rFonts w:ascii="Tahoma" w:hAnsi="Tahoma"/>
      <w:szCs w:val="20"/>
    </w:rPr>
  </w:style>
  <w:style w:type="character" w:customStyle="1" w:styleId="128">
    <w:name w:val="正文首行缩进 Char"/>
    <w:basedOn w:val="94"/>
    <w:link w:val="46"/>
    <w:qFormat/>
    <w:uiPriority w:val="99"/>
    <w:rPr>
      <w:rFonts w:ascii="Calibri" w:hAnsi="Calibri" w:eastAsia="宋体" w:cs="Times New Roman"/>
      <w:kern w:val="0"/>
      <w:sz w:val="24"/>
      <w:szCs w:val="21"/>
    </w:rPr>
  </w:style>
  <w:style w:type="character" w:customStyle="1" w:styleId="129">
    <w:name w:val="批注文字 字符2"/>
    <w:qFormat/>
    <w:uiPriority w:val="0"/>
    <w:rPr>
      <w:rFonts w:ascii="宋体"/>
      <w:kern w:val="2"/>
      <w:sz w:val="24"/>
      <w:szCs w:val="21"/>
      <w:lang w:val="en-US" w:eastAsia="zh-CN" w:bidi="ar-SA"/>
    </w:rPr>
  </w:style>
  <w:style w:type="character" w:customStyle="1" w:styleId="130">
    <w:name w:val="列出段落 Char"/>
    <w:link w:val="109"/>
    <w:qFormat/>
    <w:uiPriority w:val="0"/>
    <w:rPr>
      <w:rFonts w:ascii="宋体" w:hAnsi="Times New Roman" w:eastAsia="宋体" w:cs="Times New Roman"/>
      <w:sz w:val="24"/>
      <w:szCs w:val="21"/>
    </w:rPr>
  </w:style>
  <w:style w:type="character" w:customStyle="1" w:styleId="131">
    <w:name w:val="纯文本 字符"/>
    <w:qFormat/>
    <w:uiPriority w:val="99"/>
    <w:rPr>
      <w:rFonts w:ascii="宋体" w:eastAsia="宋体"/>
      <w:szCs w:val="21"/>
    </w:rPr>
  </w:style>
  <w:style w:type="character" w:customStyle="1" w:styleId="132">
    <w:name w:val="批注文字 字符3"/>
    <w:qFormat/>
    <w:uiPriority w:val="0"/>
    <w:rPr>
      <w:rFonts w:ascii="宋体"/>
      <w:kern w:val="2"/>
      <w:sz w:val="24"/>
      <w:szCs w:val="21"/>
      <w:lang w:val="en-US" w:eastAsia="zh-CN" w:bidi="ar-SA"/>
    </w:rPr>
  </w:style>
  <w:style w:type="character" w:customStyle="1" w:styleId="133">
    <w:name w:val="fontstyle21"/>
    <w:qFormat/>
    <w:uiPriority w:val="0"/>
    <w:rPr>
      <w:rFonts w:hint="default" w:ascii="Times New Roman" w:hAnsi="Times New Roman" w:cs="Times New Roman"/>
      <w:color w:val="000000"/>
      <w:sz w:val="28"/>
      <w:szCs w:val="28"/>
    </w:rPr>
  </w:style>
  <w:style w:type="paragraph" w:customStyle="1" w:styleId="134">
    <w:name w:val="_Style 1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列出段落2"/>
    <w:basedOn w:val="1"/>
    <w:qFormat/>
    <w:uiPriority w:val="0"/>
    <w:pPr>
      <w:ind w:firstLine="200" w:firstLineChars="200"/>
    </w:pPr>
    <w:rPr>
      <w:rFonts w:ascii="Calibri" w:hAnsi="Calibri"/>
    </w:rPr>
  </w:style>
  <w:style w:type="paragraph" w:customStyle="1" w:styleId="136">
    <w:name w:val="纯文本2"/>
    <w:basedOn w:val="1"/>
    <w:qFormat/>
    <w:uiPriority w:val="0"/>
    <w:rPr>
      <w:rFonts w:cs="Century"/>
    </w:rPr>
  </w:style>
  <w:style w:type="paragraph" w:customStyle="1" w:styleId="137">
    <w:name w:val="_Style 1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列出段落3"/>
    <w:basedOn w:val="1"/>
    <w:qFormat/>
    <w:uiPriority w:val="0"/>
    <w:pPr>
      <w:ind w:firstLine="200" w:firstLineChars="200"/>
    </w:pPr>
    <w:rPr>
      <w:rFonts w:ascii="Calibri" w:hAnsi="Calibri"/>
    </w:rPr>
  </w:style>
  <w:style w:type="paragraph" w:customStyle="1" w:styleId="139">
    <w:name w:val="纯文本3"/>
    <w:basedOn w:val="1"/>
    <w:qFormat/>
    <w:uiPriority w:val="0"/>
    <w:rPr>
      <w:rFonts w:cs="Century"/>
    </w:rPr>
  </w:style>
  <w:style w:type="paragraph" w:customStyle="1" w:styleId="140">
    <w:name w:val="宋体小四"/>
    <w:basedOn w:val="42"/>
    <w:link w:val="141"/>
    <w:qFormat/>
    <w:uiPriority w:val="0"/>
    <w:pPr>
      <w:spacing w:before="0" w:beforeAutospacing="0" w:after="0" w:afterAutospacing="0" w:line="400" w:lineRule="exact"/>
      <w:ind w:firstLine="480" w:firstLineChars="200"/>
    </w:pPr>
    <w:rPr>
      <w:rFonts w:hAnsi="宋体"/>
      <w:bCs/>
      <w:color w:val="000000"/>
      <w:kern w:val="2"/>
      <w:szCs w:val="24"/>
    </w:rPr>
  </w:style>
  <w:style w:type="character" w:customStyle="1" w:styleId="141">
    <w:name w:val="宋体小四 字符"/>
    <w:link w:val="140"/>
    <w:qFormat/>
    <w:uiPriority w:val="0"/>
    <w:rPr>
      <w:rFonts w:ascii="宋体" w:hAnsi="宋体" w:eastAsia="宋体" w:cs="Times New Roman"/>
      <w:bCs/>
      <w:color w:val="000000"/>
      <w:sz w:val="24"/>
      <w:szCs w:val="24"/>
    </w:rPr>
  </w:style>
  <w:style w:type="paragraph" w:customStyle="1" w:styleId="142">
    <w:name w:val="表文"/>
    <w:basedOn w:val="1"/>
    <w:qFormat/>
    <w:uiPriority w:val="0"/>
    <w:rPr>
      <w:rFonts w:ascii="Times New Roman"/>
      <w:kern w:val="0"/>
      <w:sz w:val="20"/>
      <w:szCs w:val="20"/>
    </w:rPr>
  </w:style>
  <w:style w:type="paragraph" w:customStyle="1" w:styleId="143">
    <w:name w:val="列出段落4"/>
    <w:basedOn w:val="1"/>
    <w:qFormat/>
    <w:uiPriority w:val="0"/>
    <w:pPr>
      <w:ind w:firstLine="200" w:firstLineChars="200"/>
    </w:pPr>
    <w:rPr>
      <w:rFonts w:ascii="Calibri" w:hAnsi="Calibri"/>
    </w:rPr>
  </w:style>
  <w:style w:type="paragraph" w:customStyle="1" w:styleId="144">
    <w:name w:val="纯文本4"/>
    <w:basedOn w:val="1"/>
    <w:qFormat/>
    <w:uiPriority w:val="0"/>
    <w:rPr>
      <w:rFonts w:cs="Century"/>
    </w:rPr>
  </w:style>
  <w:style w:type="paragraph" w:customStyle="1" w:styleId="145">
    <w:name w:val="_Style 3"/>
    <w:qFormat/>
    <w:uiPriority w:val="0"/>
    <w:rPr>
      <w:rFonts w:ascii="Calibri" w:hAnsi="Calibri" w:eastAsia="宋体"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5238</Words>
  <Characters>5498</Characters>
  <Lines>43</Lines>
  <Paragraphs>12</Paragraphs>
  <TotalTime>0</TotalTime>
  <ScaleCrop>false</ScaleCrop>
  <LinksUpToDate>false</LinksUpToDate>
  <CharactersWithSpaces>5503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2019-12-09T04:16:00Z</dcterms:created>
  <dc:creator>Trwy002</dc:creator>
  <cp:lastModifiedBy>ymh</cp:lastModifiedBy>
  <cp:lastPrinted>2022-01-13T02:01:00Z</cp:lastPrinted>
  <dcterms:modified xsi:type="dcterms:W3CDTF">2023-01-19T02:45:06Z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75110C36962448BAB9326D0756E78708</vt:lpwstr>
  </property>
</Properties>
</file>