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outlineLvl w:val="9"/>
        <w:rPr>
          <w:rFonts w:hint="eastAsia" w:ascii="宋体" w:hAnsi="宋体" w:eastAsia="宋体" w:cs="宋体"/>
          <w:b/>
          <w:color w:val="auto"/>
          <w:sz w:val="44"/>
          <w:szCs w:val="44"/>
          <w:highlight w:val="none"/>
        </w:rPr>
      </w:pPr>
    </w:p>
    <w:p>
      <w:pPr>
        <w:pStyle w:val="15"/>
        <w:rPr>
          <w:rFonts w:hint="eastAsia"/>
        </w:rPr>
      </w:pPr>
    </w:p>
    <w:p>
      <w:pPr>
        <w:pStyle w:val="3"/>
        <w:jc w:val="center"/>
        <w:rPr>
          <w:rFonts w:hint="eastAsia" w:ascii="宋体" w:hAnsi="宋体" w:eastAsia="宋体" w:cs="宋体"/>
          <w:b/>
          <w:bCs/>
          <w:color w:val="auto"/>
          <w:sz w:val="52"/>
          <w:szCs w:val="40"/>
          <w:highlight w:val="none"/>
          <w:lang w:eastAsia="zh-CN"/>
        </w:rPr>
      </w:pPr>
      <w:r>
        <w:rPr>
          <w:rFonts w:hint="eastAsia" w:hAnsi="宋体" w:cs="宋体"/>
          <w:b/>
          <w:bCs/>
          <w:color w:val="auto"/>
          <w:sz w:val="52"/>
          <w:szCs w:val="40"/>
          <w:highlight w:val="none"/>
          <w:lang w:eastAsia="zh-CN"/>
        </w:rPr>
        <w:t>泽普县人民医院购置数字减影血管造影X光机(DSA)项目</w:t>
      </w: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招 标 文 件</w:t>
      </w:r>
    </w:p>
    <w:p>
      <w:pPr>
        <w:rPr>
          <w:rFonts w:hint="eastAsia" w:ascii="宋体" w:hAnsi="宋体" w:eastAsia="宋体" w:cs="宋体"/>
          <w:color w:val="auto"/>
          <w:highlight w:val="none"/>
        </w:rPr>
      </w:pPr>
    </w:p>
    <w:p>
      <w:pPr>
        <w:spacing w:line="240" w:lineRule="atLeast"/>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ZPDL(2022)043</w:t>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泽普县人民医院</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pPr>
        <w:ind w:firstLine="1120" w:firstLineChars="4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西仁阿依</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18699875091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sz w:val="28"/>
          <w:szCs w:val="28"/>
          <w:highlight w:val="none"/>
        </w:rPr>
      </w:pP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中经国际招标集团有限公司</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eastAsia="zh-CN"/>
        </w:rPr>
        <w:t>王丽娟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15099650569          </w:t>
      </w:r>
      <w:r>
        <w:rPr>
          <w:rFonts w:hint="eastAsia" w:ascii="宋体" w:hAnsi="宋体" w:eastAsia="宋体" w:cs="宋体"/>
          <w:b/>
          <w:color w:val="auto"/>
          <w:sz w:val="28"/>
          <w:szCs w:val="28"/>
          <w:highlight w:val="none"/>
        </w:rPr>
        <w:t xml:space="preserve">   </w:t>
      </w: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spacing w:line="240" w:lineRule="atLeast"/>
        <w:ind w:firstLine="3080" w:firstLineChars="1100"/>
        <w:rPr>
          <w:rFonts w:hint="eastAsia" w:ascii="宋体" w:hAnsi="宋体" w:eastAsia="宋体" w:cs="宋体"/>
          <w:b/>
          <w:color w:val="auto"/>
          <w:sz w:val="28"/>
          <w:szCs w:val="28"/>
          <w:highlight w:val="none"/>
        </w:rPr>
        <w:sectPr>
          <w:headerReference r:id="rId3"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日期：202</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 xml:space="preserve"> 年</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rPr>
        <w:t>月</w:t>
      </w:r>
    </w:p>
    <w:p>
      <w:pPr>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目录</w:t>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TOC \o "1-2" \h \u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_Toc4131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_Toc4131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_Toc4235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一   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_Toc4235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_Toc24573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二   招标文件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_Toc24573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_Toc21527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三   投标文件的编制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_Toc21527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_Toc4902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四   投标文件的递交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_Toc4902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_Toc31699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五   开标及评标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_Toc31699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_Toc10353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六   确定中标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_Toc10353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_Toc9747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第2章   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_Toc9747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_Toc15468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2"/>
          <w:sz w:val="21"/>
          <w:szCs w:val="21"/>
          <w:highlight w:val="none"/>
        </w:rPr>
        <w:t>第一部分 开标一览表及资格证明文件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_Toc15468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_Toc16018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1.开标一览表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_Toc16018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_Toc20415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2.具有有效的独立法人营业执照；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_Toc20415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_Toc24521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3 .提供《医疗器械生产许可证》或《医疗器械经营许可证》及医疗器械注册证（所投产品为二类医疗器械的须提供二类医疗器械备案凭证）；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_Toc24521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_Toc1451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4.法定代表人资格证明及授权书、被授权人身份证；(法定代表人投标需提供法定代表人身份证)；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_Toc1451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_Toc28665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5.依法缴纳近六个月内任意一个月社会保险的凭据；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_Toc28665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_Toc17251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6.税务部门出具的近六个月内任意一个月的完税证明；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_Toc17251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_Toc24469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7.近两年内任意一年的财务审计报告（新成立的公司提供近三个月内任意一个月的银行资信证明）；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_Toc24469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_Toc8025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_Toc8025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_Toc23538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9.参与政府采购活动前3年内未被列入失信、重大税收违法案件、财政部门禁止参加政府采购活动的承诺书；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_Toc23538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_Toc18349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10.提供针对本次项目的《反商业贿赂承诺书》；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_Toc18349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_Toc8282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11.提供缴纳投标保证金的有效凭证；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_Toc8282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_Toc356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12.银行开户许可证复印件或银行基本账户信息(包含：银行账号及开户行名称）；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_Toc356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_Toc8453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bidi="ar-SA"/>
        </w:rPr>
        <w:t>13. 供应商可提供有利于投标的其他资格证明材料。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_Toc8453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_Toc11797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2"/>
          <w:sz w:val="21"/>
          <w:szCs w:val="21"/>
        </w:rPr>
        <w:t xml:space="preserve">第二部分 </w:t>
      </w:r>
      <w:r>
        <w:rPr>
          <w:rFonts w:hint="eastAsia" w:ascii="宋体" w:hAnsi="宋体" w:eastAsia="宋体" w:cs="宋体"/>
          <w:kern w:val="2"/>
          <w:sz w:val="21"/>
          <w:szCs w:val="21"/>
          <w:highlight w:val="none"/>
        </w:rPr>
        <w:t>商务及技术文件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_Toc11797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_Toc26239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投标书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_Toc26239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_Toc29732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投标分项报价表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_Toc29732 \h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_Toc25980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备品备件设备分项报价表（二）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_Toc25980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_Toc17870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货物说明一览表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_Toc17870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_Toc15927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技术规格偏离表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_Toc15927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_Toc9614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2"/>
          <w:sz w:val="21"/>
          <w:szCs w:val="21"/>
          <w:highlight w:val="none"/>
        </w:rPr>
        <w:t>5</w:t>
      </w:r>
      <w:r>
        <w:rPr>
          <w:rFonts w:hint="eastAsia" w:ascii="宋体" w:hAnsi="宋体" w:eastAsia="宋体" w:cs="宋体"/>
          <w:bCs/>
          <w:kern w:val="2"/>
          <w:sz w:val="21"/>
          <w:szCs w:val="21"/>
          <w:highlight w:val="none"/>
          <w:lang w:val="en-US" w:eastAsia="zh-CN"/>
        </w:rPr>
        <w:t>.</w:t>
      </w:r>
      <w:r>
        <w:rPr>
          <w:rFonts w:hint="eastAsia" w:ascii="宋体" w:hAnsi="宋体" w:eastAsia="宋体" w:cs="宋体"/>
          <w:bCs/>
          <w:kern w:val="2"/>
          <w:sz w:val="21"/>
          <w:szCs w:val="21"/>
          <w:highlight w:val="none"/>
        </w:rPr>
        <w:t>商务条款偏离表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_Toc9614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_Toc26565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2"/>
          <w:sz w:val="21"/>
          <w:szCs w:val="21"/>
          <w:highlight w:val="none"/>
        </w:rPr>
        <w:t>6-1  中小企业声明函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_Toc26565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_Toc15006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2"/>
          <w:sz w:val="21"/>
          <w:szCs w:val="21"/>
          <w:highlight w:val="none"/>
        </w:rPr>
        <w:t>6-2   残疾人福利性单位声明函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_Toc15006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_Toc12038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2"/>
          <w:sz w:val="21"/>
          <w:szCs w:val="21"/>
          <w:highlight w:val="none"/>
        </w:rPr>
        <w:t>7</w:t>
      </w:r>
      <w:r>
        <w:rPr>
          <w:rFonts w:hint="eastAsia" w:ascii="宋体" w:hAnsi="宋体" w:eastAsia="宋体" w:cs="宋体"/>
          <w:bCs/>
          <w:kern w:val="2"/>
          <w:sz w:val="21"/>
          <w:szCs w:val="21"/>
          <w:highlight w:val="none"/>
          <w:lang w:val="en-US" w:eastAsia="zh-CN"/>
        </w:rPr>
        <w:t>.</w:t>
      </w:r>
      <w:r>
        <w:rPr>
          <w:rFonts w:hint="eastAsia" w:ascii="宋体" w:hAnsi="宋体" w:eastAsia="宋体" w:cs="宋体"/>
          <w:bCs/>
          <w:kern w:val="2"/>
          <w:sz w:val="21"/>
          <w:szCs w:val="21"/>
          <w:highlight w:val="none"/>
        </w:rPr>
        <w:t>供应商关联单位的说明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_Toc12038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_Toc28185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2"/>
          <w:sz w:val="21"/>
          <w:szCs w:val="21"/>
          <w:highlight w:val="none"/>
          <w:lang w:val="en-US" w:eastAsia="zh-CN"/>
        </w:rPr>
        <w:t>8.供应商可提供有利于投标的其他资格证明材料（具体要求详见项目要求和综合评分表中的技术部分）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_Toc28185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_Toc21996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投标文件格式范本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_Toc21996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_Toc18561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lang w:val="en-US" w:eastAsia="zh-CN"/>
        </w:rPr>
        <w:t>第3章</w:t>
      </w:r>
      <w:r>
        <w:rPr>
          <w:rFonts w:hint="eastAsia" w:ascii="宋体" w:hAnsi="宋体" w:eastAsia="宋体" w:cs="宋体"/>
          <w:sz w:val="21"/>
          <w:szCs w:val="21"/>
          <w:highlight w:val="none"/>
        </w:rPr>
        <w:t xml:space="preserve"> 投标邀请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_Toc18561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_Toc11591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lang w:val="en-US" w:eastAsia="zh-CN"/>
        </w:rPr>
        <w:t>泽普县人民医院购置数字减影血管造影X光机(DSA)项目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_Toc11591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_Toc22875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lang w:val="en-US" w:eastAsia="zh-CN"/>
        </w:rPr>
        <w:t>公开招标</w:t>
      </w:r>
      <w:r>
        <w:rPr>
          <w:rFonts w:hint="eastAsia" w:ascii="宋体" w:hAnsi="宋体" w:eastAsia="宋体" w:cs="宋体"/>
          <w:sz w:val="21"/>
          <w:szCs w:val="21"/>
          <w:highlight w:val="none"/>
        </w:rPr>
        <w:t>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_Toc22875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_Toc22043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一、项目基本情况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_Toc22043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_Toc27733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rPr>
        <w:t>二、</w:t>
      </w:r>
      <w:r>
        <w:rPr>
          <w:rFonts w:hint="eastAsia" w:ascii="宋体" w:hAnsi="宋体" w:eastAsia="宋体" w:cs="宋体"/>
          <w:kern w:val="0"/>
          <w:sz w:val="21"/>
          <w:szCs w:val="21"/>
          <w:highlight w:val="none"/>
          <w:lang w:val="en-US" w:eastAsia="zh-CN"/>
        </w:rPr>
        <w:t>申请人</w:t>
      </w:r>
      <w:r>
        <w:rPr>
          <w:rFonts w:hint="eastAsia" w:ascii="宋体" w:hAnsi="宋体" w:eastAsia="宋体" w:cs="宋体"/>
          <w:kern w:val="0"/>
          <w:sz w:val="21"/>
          <w:szCs w:val="21"/>
          <w:highlight w:val="none"/>
        </w:rPr>
        <w:t>的资格要求：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_Toc27733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_Toc5613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三、获取</w:t>
      </w:r>
      <w:r>
        <w:rPr>
          <w:rFonts w:hint="eastAsia" w:ascii="宋体" w:hAnsi="宋体" w:eastAsia="宋体" w:cs="宋体"/>
          <w:bCs/>
          <w:sz w:val="21"/>
          <w:szCs w:val="21"/>
          <w:highlight w:val="none"/>
          <w:lang w:val="en-US" w:eastAsia="zh-CN"/>
        </w:rPr>
        <w:t>招标</w:t>
      </w:r>
      <w:r>
        <w:rPr>
          <w:rFonts w:hint="eastAsia" w:ascii="宋体" w:hAnsi="宋体" w:eastAsia="宋体" w:cs="宋体"/>
          <w:bCs/>
          <w:sz w:val="21"/>
          <w:szCs w:val="21"/>
          <w:highlight w:val="none"/>
        </w:rPr>
        <w:t>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_Toc5613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_Toc24387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0"/>
          <w:sz w:val="21"/>
          <w:szCs w:val="21"/>
          <w:highlight w:val="none"/>
        </w:rPr>
        <w:t>四、提交投标文件截止时间、开标时间和地点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_Toc24387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_Toc20502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0"/>
          <w:sz w:val="21"/>
          <w:szCs w:val="21"/>
          <w:highlight w:val="none"/>
          <w:lang w:val="en-US" w:eastAsia="zh-CN"/>
        </w:rPr>
        <w:t>五、公告期限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_Toc20502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_Toc31114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0"/>
          <w:sz w:val="21"/>
          <w:szCs w:val="21"/>
          <w:highlight w:val="none"/>
          <w:lang w:val="en-US" w:eastAsia="zh-CN"/>
        </w:rPr>
        <w:t>六、公告发布媒体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_Toc31114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_Toc8723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0"/>
          <w:sz w:val="21"/>
          <w:szCs w:val="21"/>
          <w:highlight w:val="none"/>
          <w:lang w:val="en-US" w:eastAsia="zh-CN"/>
        </w:rPr>
        <w:t>七、其它补充事宜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_Toc8723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_Toc20268 </w:instrText>
      </w:r>
      <w:r>
        <w:rPr>
          <w:rFonts w:hint="eastAsia" w:ascii="宋体" w:hAnsi="宋体" w:eastAsia="宋体" w:cs="宋体"/>
          <w:kern w:val="0"/>
          <w:sz w:val="21"/>
          <w:szCs w:val="21"/>
          <w:highlight w:val="none"/>
        </w:rPr>
        <w:fldChar w:fldCharType="separate"/>
      </w:r>
      <w:r>
        <w:rPr>
          <w:rFonts w:hint="eastAsia" w:ascii="宋体" w:hAnsi="宋体" w:eastAsia="宋体" w:cs="宋体"/>
          <w:bCs/>
          <w:kern w:val="0"/>
          <w:sz w:val="21"/>
          <w:szCs w:val="21"/>
          <w:highlight w:val="none"/>
          <w:lang w:val="en-US" w:eastAsia="zh-CN"/>
        </w:rPr>
        <w:t>八、凡对本次采购提出询问，请按以下方式联系。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_Toc20268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_Toc15625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lang w:val="en-US" w:eastAsia="zh-CN"/>
        </w:rPr>
        <w:t xml:space="preserve">第4章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须知资料表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_Toc15625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_Toc24210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lang w:val="en-US" w:eastAsia="zh-CN"/>
        </w:rPr>
        <w:t>第5章 货物需求一览表及项目要求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_Toc24210 \h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_Toc2441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货物需求：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_Toc2441 \h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_Toc10015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lang w:val="en-US" w:eastAsia="zh-CN"/>
        </w:rPr>
        <w:t>二、项目要求：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_Toc10015 \h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_Toc19292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第6章  评标方法和标准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_Toc19292 \h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_Toc7770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初步评审—资格性审查表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_Toc7770 \h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_Toc559 </w:instrText>
      </w:r>
      <w:r>
        <w:rPr>
          <w:rFonts w:hint="eastAsia" w:ascii="宋体" w:hAnsi="宋体" w:eastAsia="宋体" w:cs="宋体"/>
          <w:kern w:val="0"/>
          <w:sz w:val="21"/>
          <w:szCs w:val="21"/>
          <w:highlight w:val="none"/>
        </w:rPr>
        <w:fldChar w:fldCharType="separate"/>
      </w:r>
      <w:r>
        <w:rPr>
          <w:rFonts w:hint="eastAsia" w:ascii="宋体" w:hAnsi="宋体" w:eastAsia="宋体" w:cs="宋体"/>
          <w:bCs/>
          <w:sz w:val="21"/>
          <w:szCs w:val="21"/>
          <w:highlight w:val="none"/>
        </w:rPr>
        <w:t>初步评审—符合性审查表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_Toc559 \h </w:instrText>
      </w:r>
      <w:r>
        <w:rPr>
          <w:rFonts w:hint="eastAsia" w:ascii="宋体" w:hAnsi="宋体" w:eastAsia="宋体" w:cs="宋体"/>
          <w:sz w:val="21"/>
          <w:szCs w:val="21"/>
        </w:rPr>
        <w:fldChar w:fldCharType="separate"/>
      </w:r>
      <w:r>
        <w:rPr>
          <w:rFonts w:hint="eastAsia" w:ascii="宋体" w:hAnsi="宋体" w:eastAsia="宋体" w:cs="宋体"/>
          <w:sz w:val="21"/>
          <w:szCs w:val="21"/>
        </w:rPr>
        <w:t>63</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_Toc11383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综合评分表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_Toc11383 \h </w:instrText>
      </w:r>
      <w:r>
        <w:rPr>
          <w:rFonts w:hint="eastAsia" w:ascii="宋体" w:hAnsi="宋体" w:eastAsia="宋体" w:cs="宋体"/>
          <w:sz w:val="21"/>
          <w:szCs w:val="21"/>
        </w:rPr>
        <w:fldChar w:fldCharType="separate"/>
      </w:r>
      <w:r>
        <w:rPr>
          <w:rFonts w:hint="eastAsia"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kern w:val="0"/>
          <w:sz w:val="21"/>
          <w:szCs w:val="21"/>
          <w:highlight w:val="none"/>
        </w:rPr>
        <w:instrText xml:space="preserve"> HYPERLINK \l _Toc10166 </w:instrText>
      </w:r>
      <w:r>
        <w:rPr>
          <w:rFonts w:hint="eastAsia" w:ascii="宋体" w:hAnsi="宋体" w:eastAsia="宋体" w:cs="宋体"/>
          <w:kern w:val="0"/>
          <w:sz w:val="21"/>
          <w:szCs w:val="21"/>
          <w:highlight w:val="none"/>
        </w:rPr>
        <w:fldChar w:fldCharType="separate"/>
      </w:r>
      <w:r>
        <w:rPr>
          <w:rFonts w:hint="eastAsia" w:ascii="宋体" w:hAnsi="宋体" w:eastAsia="宋体" w:cs="宋体"/>
          <w:sz w:val="21"/>
          <w:szCs w:val="21"/>
          <w:highlight w:val="none"/>
        </w:rPr>
        <w:t>第7章 政府采购合同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_Toc10166 \h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highlight w:val="none"/>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sectPr>
          <w:headerReference r:id="rId4" w:type="default"/>
          <w:footerReference r:id="rId6" w:type="default"/>
          <w:headerReference r:id="rId5" w:type="even"/>
          <w:footerReference r:id="rId7" w:type="even"/>
          <w:pgSz w:w="11906" w:h="16838"/>
          <w:pgMar w:top="1440" w:right="1797" w:bottom="1440" w:left="1797" w:header="851" w:footer="992" w:gutter="0"/>
          <w:pgNumType w:fmt="decimal" w:start="1"/>
          <w:cols w:space="720" w:num="1"/>
          <w:docGrid w:linePitch="312" w:charSpace="0"/>
        </w:sectPr>
      </w:pPr>
      <w:r>
        <w:rPr>
          <w:rFonts w:hint="eastAsia" w:ascii="宋体" w:hAnsi="宋体" w:eastAsia="宋体" w:cs="宋体"/>
          <w:color w:val="auto"/>
          <w:kern w:val="0"/>
          <w:sz w:val="21"/>
          <w:szCs w:val="21"/>
          <w:highlight w:val="none"/>
        </w:rPr>
        <w:fldChar w:fldCharType="end"/>
      </w: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spacing w:line="240" w:lineRule="atLeast"/>
        <w:jc w:val="center"/>
        <w:rPr>
          <w:rFonts w:hint="eastAsia" w:ascii="宋体" w:hAnsi="宋体" w:eastAsia="宋体" w:cs="宋体"/>
          <w:b/>
          <w:color w:val="auto"/>
          <w:sz w:val="40"/>
          <w:szCs w:val="40"/>
          <w:highlight w:val="none"/>
        </w:rPr>
      </w:pPr>
    </w:p>
    <w:p>
      <w:pPr>
        <w:spacing w:line="240" w:lineRule="atLeast"/>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ZPDL(2022)043</w:t>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 xml:space="preserve">第 </w:t>
      </w:r>
      <w:r>
        <w:rPr>
          <w:rFonts w:hint="eastAsia" w:ascii="宋体" w:hAnsi="宋体" w:cs="宋体"/>
          <w:b/>
          <w:color w:val="auto"/>
          <w:sz w:val="44"/>
          <w:szCs w:val="36"/>
          <w:highlight w:val="none"/>
          <w:lang w:val="en-US" w:eastAsia="zh-CN"/>
        </w:rPr>
        <w:t>一</w:t>
      </w:r>
      <w:r>
        <w:rPr>
          <w:rFonts w:hint="eastAsia" w:ascii="宋体" w:hAnsi="宋体" w:eastAsia="宋体" w:cs="宋体"/>
          <w:b/>
          <w:color w:val="auto"/>
          <w:sz w:val="44"/>
          <w:szCs w:val="36"/>
          <w:highlight w:val="none"/>
        </w:rPr>
        <w:t xml:space="preserve"> 册</w:t>
      </w:r>
    </w:p>
    <w:p>
      <w:pP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br w:type="page"/>
      </w:r>
    </w:p>
    <w:p>
      <w:pPr>
        <w:pStyle w:val="5"/>
        <w:tabs>
          <w:tab w:val="left" w:pos="0"/>
        </w:tabs>
        <w:spacing w:before="0" w:after="0" w:line="240" w:lineRule="atLeast"/>
        <w:jc w:val="center"/>
        <w:rPr>
          <w:rFonts w:hint="eastAsia" w:ascii="宋体" w:hAnsi="宋体" w:eastAsia="宋体" w:cs="宋体"/>
          <w:color w:val="auto"/>
          <w:highlight w:val="none"/>
        </w:rPr>
      </w:pPr>
      <w:bookmarkStart w:id="0" w:name="_Toc4131"/>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0"/>
    </w:p>
    <w:p>
      <w:pPr>
        <w:pStyle w:val="6"/>
        <w:spacing w:before="0" w:line="240" w:lineRule="atLeast"/>
        <w:ind w:left="1080" w:leftChars="257" w:hanging="540"/>
        <w:rPr>
          <w:rFonts w:hint="eastAsia" w:ascii="宋体" w:hAnsi="宋体" w:eastAsia="宋体" w:cs="宋体"/>
          <w:color w:val="auto"/>
          <w:sz w:val="24"/>
          <w:szCs w:val="24"/>
          <w:highlight w:val="none"/>
        </w:rPr>
      </w:pPr>
      <w:bookmarkStart w:id="1" w:name="_Toc216582805"/>
      <w:bookmarkStart w:id="2" w:name="_Toc520356143"/>
      <w:bookmarkStart w:id="3" w:name="_Toc515647757"/>
      <w:bookmarkStart w:id="4" w:name="_Toc21015"/>
      <w:bookmarkStart w:id="5" w:name="_Toc5597"/>
      <w:bookmarkStart w:id="6" w:name="_Toc4235"/>
      <w:bookmarkStart w:id="7" w:name="_Toc21215"/>
      <w:bookmarkStart w:id="8" w:name="_Toc16706"/>
      <w:r>
        <w:rPr>
          <w:rFonts w:hint="eastAsia" w:ascii="宋体" w:hAnsi="宋体" w:eastAsia="宋体" w:cs="宋体"/>
          <w:color w:val="auto"/>
          <w:sz w:val="24"/>
          <w:szCs w:val="24"/>
          <w:highlight w:val="none"/>
        </w:rPr>
        <w:t xml:space="preserve">一   </w:t>
      </w:r>
      <w:bookmarkEnd w:id="1"/>
      <w:bookmarkEnd w:id="2"/>
      <w:bookmarkEnd w:id="3"/>
      <w:r>
        <w:rPr>
          <w:rFonts w:hint="eastAsia" w:ascii="宋体" w:hAnsi="宋体" w:eastAsia="宋体" w:cs="宋体"/>
          <w:color w:val="auto"/>
          <w:sz w:val="24"/>
          <w:szCs w:val="24"/>
          <w:highlight w:val="none"/>
        </w:rPr>
        <w:t>总 则</w:t>
      </w:r>
      <w:bookmarkEnd w:id="4"/>
      <w:bookmarkEnd w:id="5"/>
      <w:bookmarkEnd w:id="6"/>
      <w:bookmarkEnd w:id="7"/>
      <w:bookmarkEnd w:id="8"/>
    </w:p>
    <w:p>
      <w:pPr>
        <w:pStyle w:val="2"/>
        <w:shd w:val="clear" w:color="auto" w:fill="auto"/>
        <w:spacing w:before="0" w:after="0" w:line="380" w:lineRule="exact"/>
        <w:rPr>
          <w:rFonts w:hint="eastAsia" w:ascii="宋体" w:hAnsi="宋体" w:eastAsia="宋体" w:cs="宋体"/>
          <w:color w:val="auto"/>
          <w:sz w:val="24"/>
          <w:szCs w:val="24"/>
          <w:highlight w:val="none"/>
          <w:u w:val="none"/>
          <w:lang w:eastAsia="zh-CN"/>
        </w:rPr>
      </w:pPr>
      <w:bookmarkStart w:id="9" w:name="_Toc25932"/>
      <w:bookmarkStart w:id="10" w:name="_Toc12861"/>
      <w:bookmarkStart w:id="11" w:name="_Toc31685"/>
      <w:bookmarkStart w:id="12" w:name="_Toc333"/>
      <w:r>
        <w:rPr>
          <w:rFonts w:hint="eastAsia" w:ascii="宋体" w:hAnsi="宋体" w:eastAsia="宋体" w:cs="宋体"/>
          <w:color w:val="auto"/>
          <w:sz w:val="24"/>
          <w:szCs w:val="24"/>
          <w:highlight w:val="none"/>
          <w:u w:val="none"/>
        </w:rPr>
        <w:t>1.采购人、采购代理机构及</w:t>
      </w:r>
      <w:bookmarkEnd w:id="9"/>
      <w:bookmarkEnd w:id="10"/>
      <w:bookmarkEnd w:id="11"/>
      <w:bookmarkEnd w:id="12"/>
      <w:r>
        <w:rPr>
          <w:rFonts w:hint="eastAsia" w:hAnsi="宋体" w:cs="宋体"/>
          <w:color w:val="auto"/>
          <w:sz w:val="24"/>
          <w:szCs w:val="24"/>
          <w:highlight w:val="none"/>
          <w:u w:val="none"/>
          <w:lang w:eastAsia="zh-CN"/>
        </w:rPr>
        <w:t>供应商</w:t>
      </w:r>
    </w:p>
    <w:p>
      <w:pPr>
        <w:numPr>
          <w:ilvl w:val="1"/>
          <w:numId w:val="2"/>
        </w:numPr>
        <w:shd w:val="clear" w:color="auto" w:fill="auto"/>
        <w:tabs>
          <w:tab w:val="clear" w:pos="900"/>
        </w:tabs>
        <w:spacing w:line="380" w:lineRule="exact"/>
        <w:ind w:hanging="898"/>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采购人：是指依法开展政府采购活动的国家机关、事业单位、团体组织。</w:t>
      </w:r>
    </w:p>
    <w:p>
      <w:pPr>
        <w:shd w:val="clear" w:color="auto" w:fill="auto"/>
        <w:tabs>
          <w:tab w:val="left" w:pos="0"/>
        </w:tabs>
        <w:spacing w:line="380" w:lineRule="exact"/>
        <w:ind w:lef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本项目的采购人见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numPr>
          <w:ilvl w:val="1"/>
          <w:numId w:val="2"/>
        </w:numPr>
        <w:shd w:val="clear" w:color="auto" w:fill="auto"/>
        <w:tabs>
          <w:tab w:val="clear" w:pos="900"/>
        </w:tabs>
        <w:spacing w:line="380" w:lineRule="exact"/>
        <w:ind w:hanging="898"/>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采购代理机构：是指在集中采购机构或从事采购代理业务的社会中介机构。本项目的采购代理机构见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numPr>
          <w:ilvl w:val="1"/>
          <w:numId w:val="2"/>
        </w:numPr>
        <w:shd w:val="clear" w:color="auto" w:fill="auto"/>
        <w:spacing w:line="380" w:lineRule="exact"/>
        <w:ind w:hangingChars="3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：是指向采购人提供货物、工程或者服务的法人、非法人组织或者自然人。本项目的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及其投标货物须满足以下条件：</w:t>
      </w:r>
    </w:p>
    <w:p>
      <w:pPr>
        <w:shd w:val="clear" w:color="auto" w:fill="auto"/>
        <w:spacing w:line="380" w:lineRule="exact"/>
        <w:ind w:left="850" w:hanging="849" w:hangingChars="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在中华人民共和国境内注册，能够独立承担民事责任，有生产或供应能力的本国供应商。</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具备《中华人民共和国政府采购法》第二十二条关于供应商条件的规定，遵守本项目采购人本级和上级财政部门政府采购的有关规定。</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以采购代理机构认可的方式获得了本项目的招标文件。</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中规定的其他要求。</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中写明允许采购进口产品，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应保证所投产品可履行合法报通关手续进入中国关境内。</w:t>
      </w:r>
    </w:p>
    <w:p>
      <w:pPr>
        <w:shd w:val="clear" w:color="auto" w:fill="auto"/>
        <w:spacing w:line="380" w:lineRule="exact"/>
        <w:ind w:left="899" w:left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中未写明允许采购进口产品，如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所投产品为进口产品，其投标将被认定为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8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若</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中写明专门面向中小企业采购的，如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为非中小企业且所投产品为非中小企业产品，其投标将被认定为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如</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中允许联合体投标，对联合体规定如下：</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两个以上供应商可以组成一个投标联合体，以一个</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的身份投标。</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联合体各方均应符合《中华人民共和国政府采购法》第二十二条规定的条件。</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采购人根据采购项目对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的特殊要求，联合体中至少应当有一方符合相关规定。</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联合体各方应签订共同投标协议，明确约定联合体各方承担的工作和相应的责任，并将共同投标协议连同作为投标文件第一部分的内容提交。</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联合体中有同类资质的供应商按照联合体分工承担相同工作的，按照较低的资质等级确定联合体的资质等级。</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对联合体投标的其他资格要求见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为本项目提供过整体设计、规范编制或者项目管理、监理、检测等货物的供应商，不得再参加本项目上述货物以外的其他采购活动。否则其投标将被认定为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在投标过程中不得向采购人提供、给予任何有价值的物品，影响其正常决策行为。一经发现，其将被认定为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2"/>
        <w:shd w:val="clear" w:color="auto" w:fill="auto"/>
        <w:spacing w:before="0" w:after="0" w:line="380" w:lineRule="exact"/>
        <w:rPr>
          <w:rFonts w:hint="eastAsia" w:ascii="宋体" w:hAnsi="宋体" w:eastAsia="宋体" w:cs="宋体"/>
          <w:color w:val="auto"/>
          <w:sz w:val="24"/>
          <w:szCs w:val="24"/>
          <w:highlight w:val="none"/>
          <w:u w:val="none"/>
        </w:rPr>
      </w:pPr>
      <w:bookmarkStart w:id="13" w:name="_Toc2071"/>
      <w:bookmarkStart w:id="14" w:name="_Toc7800"/>
      <w:bookmarkStart w:id="15" w:name="_Toc27814"/>
      <w:bookmarkStart w:id="16" w:name="_Toc1760"/>
      <w:r>
        <w:rPr>
          <w:rFonts w:hint="eastAsia" w:ascii="宋体" w:hAnsi="宋体" w:eastAsia="宋体" w:cs="宋体"/>
          <w:color w:val="auto"/>
          <w:sz w:val="24"/>
          <w:szCs w:val="24"/>
          <w:highlight w:val="none"/>
          <w:u w:val="none"/>
        </w:rPr>
        <w:t>2.资金来源</w:t>
      </w:r>
      <w:bookmarkEnd w:id="13"/>
      <w:bookmarkEnd w:id="14"/>
      <w:bookmarkEnd w:id="15"/>
      <w:bookmarkEnd w:id="16"/>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本项目的采购人已获得足以支付本次招标后所签订的合同项下的资金（包括财政性资金和本项目采购中无法与财政性资金分割的非财政性资金）。</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项目预算金额和分项或分包最高限价</w:t>
      </w:r>
      <w:r>
        <w:rPr>
          <w:rFonts w:hint="eastAsia" w:ascii="宋体" w:hAnsi="宋体" w:eastAsia="宋体" w:cs="宋体"/>
          <w:color w:val="auto"/>
          <w:sz w:val="24"/>
          <w:szCs w:val="24"/>
          <w:highlight w:val="none"/>
          <w:u w:val="single"/>
        </w:rPr>
        <w:t>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报价超过招标文件规定的预算金额或者分项、分包最高限价的，其投标将被认定为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2"/>
        <w:shd w:val="clear" w:color="auto" w:fill="auto"/>
        <w:spacing w:before="0" w:after="0" w:line="380" w:lineRule="exact"/>
        <w:rPr>
          <w:rFonts w:hint="eastAsia" w:ascii="宋体" w:hAnsi="宋体" w:eastAsia="宋体" w:cs="宋体"/>
          <w:color w:val="auto"/>
          <w:sz w:val="24"/>
          <w:szCs w:val="24"/>
          <w:highlight w:val="none"/>
          <w:u w:val="none"/>
        </w:rPr>
      </w:pPr>
      <w:bookmarkStart w:id="17" w:name="_Toc16693"/>
      <w:bookmarkStart w:id="18" w:name="_Toc22731"/>
      <w:bookmarkStart w:id="19" w:name="_Toc20799"/>
      <w:r>
        <w:rPr>
          <w:rFonts w:hint="eastAsia" w:ascii="宋体" w:hAnsi="宋体" w:eastAsia="宋体" w:cs="宋体"/>
          <w:color w:val="auto"/>
          <w:sz w:val="24"/>
          <w:szCs w:val="24"/>
          <w:highlight w:val="none"/>
          <w:u w:val="none"/>
        </w:rPr>
        <w:t>3.投标费用</w:t>
      </w:r>
      <w:bookmarkEnd w:id="17"/>
      <w:bookmarkEnd w:id="18"/>
      <w:bookmarkEnd w:id="19"/>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不论投标的结果如何，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应承担所有与准备和参加投标有关的费用。</w:t>
      </w:r>
    </w:p>
    <w:p>
      <w:pPr>
        <w:pStyle w:val="2"/>
        <w:shd w:val="clear" w:color="auto" w:fill="auto"/>
        <w:spacing w:before="0" w:after="0" w:line="380" w:lineRule="exact"/>
        <w:rPr>
          <w:rFonts w:hint="eastAsia" w:ascii="宋体" w:hAnsi="宋体" w:eastAsia="宋体" w:cs="宋体"/>
          <w:color w:val="auto"/>
          <w:sz w:val="24"/>
          <w:szCs w:val="24"/>
          <w:highlight w:val="none"/>
          <w:u w:val="none"/>
        </w:rPr>
      </w:pPr>
      <w:bookmarkStart w:id="20" w:name="_Toc16328"/>
      <w:bookmarkStart w:id="21" w:name="_Toc12920"/>
      <w:bookmarkStart w:id="22" w:name="_Toc5853"/>
      <w:bookmarkStart w:id="23" w:name="_Toc4619"/>
      <w:r>
        <w:rPr>
          <w:rFonts w:hint="eastAsia" w:ascii="宋体" w:hAnsi="宋体" w:eastAsia="宋体" w:cs="宋体"/>
          <w:color w:val="auto"/>
          <w:sz w:val="24"/>
          <w:szCs w:val="24"/>
          <w:highlight w:val="none"/>
          <w:u w:val="none"/>
        </w:rPr>
        <w:t>4.适用法律</w:t>
      </w:r>
      <w:bookmarkEnd w:id="20"/>
      <w:bookmarkEnd w:id="21"/>
      <w:bookmarkEnd w:id="22"/>
      <w:bookmarkEnd w:id="23"/>
    </w:p>
    <w:p>
      <w:pPr>
        <w:shd w:val="clear" w:color="auto" w:fill="auto"/>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本项目采购人、采购代理机构、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pPr>
        <w:shd w:val="clear" w:color="auto" w:fill="auto"/>
        <w:spacing w:line="360" w:lineRule="exact"/>
        <w:rPr>
          <w:rFonts w:hint="eastAsia" w:ascii="宋体" w:hAnsi="宋体" w:eastAsia="宋体" w:cs="宋体"/>
          <w:color w:val="auto"/>
          <w:sz w:val="24"/>
          <w:szCs w:val="24"/>
          <w:highlight w:val="none"/>
        </w:rPr>
      </w:pPr>
    </w:p>
    <w:p>
      <w:pPr>
        <w:pStyle w:val="6"/>
        <w:shd w:val="clear" w:color="auto" w:fill="auto"/>
        <w:spacing w:before="0" w:line="360" w:lineRule="auto"/>
        <w:rPr>
          <w:rFonts w:hint="eastAsia" w:ascii="宋体" w:hAnsi="宋体" w:eastAsia="宋体" w:cs="宋体"/>
          <w:color w:val="auto"/>
          <w:sz w:val="24"/>
          <w:szCs w:val="24"/>
          <w:highlight w:val="none"/>
        </w:rPr>
      </w:pPr>
      <w:bookmarkStart w:id="24" w:name="_Toc24573"/>
      <w:bookmarkStart w:id="25" w:name="_Toc18667"/>
      <w:bookmarkStart w:id="26" w:name="_Toc6385"/>
      <w:r>
        <w:rPr>
          <w:rFonts w:hint="eastAsia" w:ascii="宋体" w:hAnsi="宋体" w:eastAsia="宋体" w:cs="宋体"/>
          <w:color w:val="auto"/>
          <w:sz w:val="24"/>
          <w:szCs w:val="24"/>
          <w:highlight w:val="none"/>
        </w:rPr>
        <w:t>二   招标文件</w:t>
      </w:r>
      <w:bookmarkEnd w:id="24"/>
      <w:bookmarkEnd w:id="25"/>
      <w:bookmarkEnd w:id="26"/>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27" w:name="_Toc24971"/>
      <w:bookmarkStart w:id="28" w:name="_Toc29550"/>
      <w:bookmarkStart w:id="29" w:name="_Toc3663"/>
      <w:bookmarkStart w:id="30" w:name="_Toc30280"/>
      <w:r>
        <w:rPr>
          <w:rFonts w:hint="eastAsia" w:ascii="宋体" w:hAnsi="宋体" w:eastAsia="宋体" w:cs="宋体"/>
          <w:color w:val="auto"/>
          <w:sz w:val="24"/>
          <w:szCs w:val="24"/>
          <w:highlight w:val="none"/>
          <w:u w:val="none"/>
        </w:rPr>
        <w:t>5.招标文件构成</w:t>
      </w:r>
      <w:bookmarkEnd w:id="27"/>
      <w:bookmarkEnd w:id="28"/>
      <w:bookmarkEnd w:id="29"/>
      <w:bookmarkEnd w:id="30"/>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招标文件分为三册共7章，内容如下：</w:t>
      </w:r>
    </w:p>
    <w:p>
      <w:pPr>
        <w:shd w:val="clear" w:color="auto" w:fill="auto"/>
        <w:spacing w:line="360" w:lineRule="exact"/>
        <w:ind w:left="1079" w:leftChars="428"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第一册</w:t>
      </w:r>
    </w:p>
    <w:p>
      <w:pPr>
        <w:shd w:val="clear" w:color="auto" w:fill="auto"/>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shd w:val="clear" w:color="auto" w:fill="auto"/>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2投标文件格式</w:t>
      </w:r>
    </w:p>
    <w:p>
      <w:pPr>
        <w:shd w:val="clear" w:color="auto" w:fill="auto"/>
        <w:spacing w:line="360" w:lineRule="exact"/>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第二册</w:t>
      </w:r>
    </w:p>
    <w:p>
      <w:pPr>
        <w:shd w:val="clear" w:color="auto" w:fill="auto"/>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投标邀请</w:t>
      </w:r>
    </w:p>
    <w:p>
      <w:pPr>
        <w:shd w:val="clear" w:color="auto" w:fill="auto"/>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须知资料表</w:t>
      </w:r>
    </w:p>
    <w:p>
      <w:pPr>
        <w:shd w:val="clear" w:color="auto" w:fill="auto"/>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货物需求一览表及项目要求 </w:t>
      </w:r>
    </w:p>
    <w:p>
      <w:pPr>
        <w:shd w:val="clear" w:color="auto" w:fill="auto"/>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评标方法和标准</w:t>
      </w:r>
    </w:p>
    <w:p>
      <w:pPr>
        <w:shd w:val="clear" w:color="auto" w:fill="auto"/>
        <w:spacing w:line="360" w:lineRule="exact"/>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第三册</w:t>
      </w:r>
    </w:p>
    <w:p>
      <w:pPr>
        <w:shd w:val="clear" w:color="auto" w:fill="auto"/>
        <w:spacing w:line="360" w:lineRule="exact"/>
        <w:ind w:left="928" w:leftChars="4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7政府采购合同格式</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如本文件的前后内容不一致，以最后描述为准。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应认真阅读招标文件所有的事项、格式、条款和技术规范等。如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31" w:name="_Toc19275"/>
      <w:bookmarkStart w:id="32" w:name="_Toc28731"/>
      <w:bookmarkStart w:id="33" w:name="_Toc1117"/>
      <w:bookmarkStart w:id="34" w:name="_Toc3461"/>
      <w:r>
        <w:rPr>
          <w:rFonts w:hint="eastAsia" w:ascii="宋体" w:hAnsi="宋体" w:eastAsia="宋体" w:cs="宋体"/>
          <w:color w:val="auto"/>
          <w:sz w:val="24"/>
          <w:szCs w:val="24"/>
          <w:highlight w:val="none"/>
          <w:u w:val="none"/>
        </w:rPr>
        <w:t>6.招标文件的澄清与修改</w:t>
      </w:r>
      <w:bookmarkEnd w:id="31"/>
      <w:bookmarkEnd w:id="32"/>
      <w:bookmarkEnd w:id="33"/>
      <w:bookmarkEnd w:id="34"/>
    </w:p>
    <w:p>
      <w:pPr>
        <w:pStyle w:val="3"/>
        <w:shd w:val="clear" w:color="auto" w:fill="auto"/>
        <w:spacing w:line="36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为了保证对招标文件的澄清和修改满足法律的时限要求，任何要求对招标文件进行澄清的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，均应在投标截止期十五日前，以书面形式将澄清要求通知采购人或采购代理机构。</w:t>
      </w:r>
    </w:p>
    <w:p>
      <w:pPr>
        <w:pStyle w:val="3"/>
        <w:shd w:val="clear" w:color="auto" w:fill="auto"/>
        <w:spacing w:line="36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采购人可主动地或在解答</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提出的澄清问题时对招标文件进行澄清或修改。采购代理机构将以发布澄清（更正）公告的方式，澄清或修改招标文件，澄清或修改内容作为招标文件的组成部分。</w:t>
      </w:r>
    </w:p>
    <w:p>
      <w:pPr>
        <w:pStyle w:val="3"/>
        <w:shd w:val="clear" w:color="auto" w:fill="auto"/>
        <w:spacing w:line="36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澄清或者修改的内容可能影响投标文件编制的，采购代理机构将以书面形式通知所有购买招标文件的潜在</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，并对其具有约束力。</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在收到上述通知后，应及时向采购代理机构回函确认。</w:t>
      </w:r>
    </w:p>
    <w:p>
      <w:pPr>
        <w:pStyle w:val="2"/>
        <w:shd w:val="clear" w:color="auto" w:fill="auto"/>
        <w:tabs>
          <w:tab w:val="left" w:pos="900"/>
        </w:tabs>
        <w:spacing w:before="0" w:after="0" w:line="360" w:lineRule="exact"/>
        <w:rPr>
          <w:rFonts w:hint="eastAsia" w:ascii="宋体" w:hAnsi="宋体" w:eastAsia="宋体" w:cs="宋体"/>
          <w:color w:val="auto"/>
          <w:sz w:val="24"/>
          <w:szCs w:val="24"/>
          <w:highlight w:val="none"/>
          <w:u w:val="none"/>
        </w:rPr>
      </w:pPr>
      <w:bookmarkStart w:id="35" w:name="_Toc517"/>
      <w:bookmarkStart w:id="36" w:name="_Toc22107"/>
      <w:bookmarkStart w:id="37" w:name="_Toc5103"/>
      <w:bookmarkStart w:id="38" w:name="_Toc14702"/>
      <w:r>
        <w:rPr>
          <w:rFonts w:hint="eastAsia" w:ascii="宋体" w:hAnsi="宋体" w:eastAsia="宋体" w:cs="宋体"/>
          <w:color w:val="auto"/>
          <w:sz w:val="24"/>
          <w:szCs w:val="24"/>
          <w:highlight w:val="none"/>
          <w:u w:val="none"/>
        </w:rPr>
        <w:t>7.投标截止时间的顺延</w:t>
      </w:r>
      <w:bookmarkEnd w:id="35"/>
      <w:bookmarkEnd w:id="36"/>
      <w:bookmarkEnd w:id="37"/>
      <w:bookmarkEnd w:id="38"/>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为使</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准备投标时有足够的时间对招标文件的澄清或者修改部分进行研究，采购人将依法决定是否顺延投标截止时间。</w:t>
      </w:r>
    </w:p>
    <w:p>
      <w:pPr>
        <w:shd w:val="clear" w:color="auto" w:fill="auto"/>
        <w:tabs>
          <w:tab w:val="left" w:pos="900"/>
        </w:tabs>
        <w:spacing w:line="360" w:lineRule="exact"/>
        <w:ind w:left="1080" w:leftChars="257" w:hanging="540"/>
        <w:rPr>
          <w:rFonts w:hint="eastAsia" w:ascii="宋体" w:hAnsi="宋体" w:eastAsia="宋体" w:cs="宋体"/>
          <w:color w:val="auto"/>
          <w:sz w:val="24"/>
          <w:szCs w:val="24"/>
          <w:highlight w:val="none"/>
        </w:rPr>
      </w:pPr>
    </w:p>
    <w:p>
      <w:pPr>
        <w:pStyle w:val="6"/>
        <w:shd w:val="clear" w:color="auto" w:fill="auto"/>
        <w:tabs>
          <w:tab w:val="left" w:pos="900"/>
        </w:tabs>
        <w:spacing w:before="0" w:line="360" w:lineRule="exact"/>
        <w:ind w:left="1080" w:leftChars="257" w:hanging="540"/>
        <w:rPr>
          <w:rFonts w:hint="eastAsia" w:ascii="宋体" w:hAnsi="宋体" w:eastAsia="宋体" w:cs="宋体"/>
          <w:color w:val="auto"/>
          <w:sz w:val="24"/>
          <w:szCs w:val="24"/>
          <w:highlight w:val="none"/>
        </w:rPr>
      </w:pPr>
      <w:bookmarkStart w:id="39" w:name="_Toc12806"/>
      <w:bookmarkStart w:id="40" w:name="_Toc21527"/>
      <w:bookmarkStart w:id="41" w:name="_Toc29522"/>
      <w:r>
        <w:rPr>
          <w:rFonts w:hint="eastAsia" w:ascii="宋体" w:hAnsi="宋体" w:eastAsia="宋体" w:cs="宋体"/>
          <w:color w:val="auto"/>
          <w:sz w:val="24"/>
          <w:szCs w:val="24"/>
          <w:highlight w:val="none"/>
        </w:rPr>
        <w:t>三   投标文件的编制</w:t>
      </w:r>
      <w:bookmarkEnd w:id="39"/>
      <w:bookmarkEnd w:id="40"/>
      <w:bookmarkEnd w:id="41"/>
    </w:p>
    <w:p>
      <w:pPr>
        <w:pStyle w:val="3"/>
        <w:shd w:val="clear" w:color="auto" w:fill="auto"/>
        <w:spacing w:line="360" w:lineRule="exact"/>
        <w:rPr>
          <w:rFonts w:hint="eastAsia" w:ascii="宋体" w:hAnsi="宋体" w:eastAsia="宋体" w:cs="宋体"/>
          <w:color w:val="auto"/>
          <w:sz w:val="24"/>
          <w:szCs w:val="24"/>
          <w:highlight w:val="none"/>
        </w:rPr>
      </w:pPr>
    </w:p>
    <w:p>
      <w:pPr>
        <w:pStyle w:val="2"/>
        <w:shd w:val="clear" w:color="auto" w:fill="auto"/>
        <w:tabs>
          <w:tab w:val="left" w:pos="900"/>
        </w:tabs>
        <w:spacing w:before="0" w:after="0" w:line="360" w:lineRule="exact"/>
        <w:rPr>
          <w:rFonts w:hint="eastAsia" w:ascii="宋体" w:hAnsi="宋体" w:eastAsia="宋体" w:cs="宋体"/>
          <w:color w:val="auto"/>
          <w:sz w:val="24"/>
          <w:szCs w:val="24"/>
          <w:highlight w:val="none"/>
          <w:u w:val="none"/>
        </w:rPr>
      </w:pPr>
      <w:bookmarkStart w:id="42" w:name="_Toc2129"/>
      <w:bookmarkStart w:id="43" w:name="_Toc15642"/>
      <w:bookmarkStart w:id="44" w:name="_Toc5025"/>
      <w:bookmarkStart w:id="45" w:name="_Toc10354"/>
      <w:r>
        <w:rPr>
          <w:rFonts w:hint="eastAsia" w:ascii="宋体" w:hAnsi="宋体" w:eastAsia="宋体" w:cs="宋体"/>
          <w:color w:val="auto"/>
          <w:sz w:val="24"/>
          <w:szCs w:val="24"/>
          <w:highlight w:val="none"/>
          <w:u w:val="none"/>
        </w:rPr>
        <w:t>8.</w:t>
      </w:r>
      <w:r>
        <w:rPr>
          <w:rFonts w:hint="eastAsia" w:ascii="宋体" w:hAnsi="宋体" w:eastAsia="宋体" w:cs="宋体"/>
          <w:color w:val="auto"/>
          <w:sz w:val="24"/>
          <w:szCs w:val="24"/>
          <w:highlight w:val="none"/>
          <w:u w:val="none"/>
        </w:rPr>
        <w:tab/>
      </w:r>
      <w:r>
        <w:rPr>
          <w:rFonts w:hint="eastAsia" w:ascii="宋体" w:hAnsi="宋体" w:eastAsia="宋体" w:cs="宋体"/>
          <w:color w:val="auto"/>
          <w:sz w:val="24"/>
          <w:szCs w:val="24"/>
          <w:highlight w:val="none"/>
          <w:u w:val="none"/>
        </w:rPr>
        <w:t>投标范围及投标文件中标准和计量单位的使用</w:t>
      </w:r>
      <w:bookmarkEnd w:id="42"/>
      <w:bookmarkEnd w:id="43"/>
      <w:bookmarkEnd w:id="44"/>
      <w:bookmarkEnd w:id="45"/>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项目有分包的，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可对招标文件其中某一个或几个分包货物进行投标，除非在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中另有规定。</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应当对所投分包招标文件中“货物需求一览表及项目要求”所列的所有内容进行投标，如仅响应某一包中的部分内容，其该包投标将被认定为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无论招标文件第5章货物内容及项目要求，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所投货物均应符合国家强制性标准。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除招标文件中有特殊要求外，投标文件中所使用的计量单位，应采用中华人民共和国法定计量单位。</w:t>
      </w:r>
    </w:p>
    <w:p>
      <w:pPr>
        <w:pStyle w:val="2"/>
        <w:shd w:val="clear" w:color="auto" w:fill="auto"/>
        <w:tabs>
          <w:tab w:val="left" w:pos="900"/>
        </w:tabs>
        <w:spacing w:before="0" w:after="0" w:line="360" w:lineRule="exact"/>
        <w:rPr>
          <w:rFonts w:hint="eastAsia" w:ascii="宋体" w:hAnsi="宋体" w:eastAsia="宋体" w:cs="宋体"/>
          <w:color w:val="auto"/>
          <w:sz w:val="24"/>
          <w:szCs w:val="24"/>
          <w:highlight w:val="none"/>
          <w:u w:val="none"/>
        </w:rPr>
      </w:pPr>
      <w:bookmarkStart w:id="46" w:name="_Toc22417"/>
      <w:bookmarkStart w:id="47" w:name="_Toc16016"/>
      <w:bookmarkStart w:id="48" w:name="_Toc15740"/>
      <w:bookmarkStart w:id="49" w:name="_Toc25854"/>
      <w:r>
        <w:rPr>
          <w:rFonts w:hint="eastAsia" w:ascii="宋体" w:hAnsi="宋体" w:eastAsia="宋体" w:cs="宋体"/>
          <w:color w:val="auto"/>
          <w:sz w:val="24"/>
          <w:szCs w:val="24"/>
          <w:highlight w:val="none"/>
          <w:u w:val="none"/>
        </w:rPr>
        <w:t>9.投标文件构成</w:t>
      </w:r>
      <w:bookmarkEnd w:id="46"/>
      <w:bookmarkEnd w:id="47"/>
      <w:bookmarkEnd w:id="48"/>
      <w:bookmarkEnd w:id="49"/>
    </w:p>
    <w:p>
      <w:pPr>
        <w:shd w:val="clear" w:color="auto" w:fill="auto"/>
        <w:tabs>
          <w:tab w:val="left" w:pos="900"/>
          <w:tab w:val="left" w:pos="5580"/>
        </w:tabs>
        <w:spacing w:line="360" w:lineRule="exact"/>
        <w:ind w:left="960" w:hanging="960" w:hangingChars="4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9.1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应完整地按招标文件提供的投标文件格式及要求</w:t>
      </w:r>
      <w:r>
        <w:rPr>
          <w:rFonts w:hint="eastAsia" w:ascii="宋体" w:hAnsi="宋体" w:cs="宋体"/>
          <w:color w:val="auto"/>
          <w:sz w:val="24"/>
          <w:szCs w:val="24"/>
          <w:highlight w:val="none"/>
          <w:u w:val="single"/>
          <w:lang w:val="en-US" w:eastAsia="zh-CN"/>
        </w:rPr>
        <w:t>编</w:t>
      </w:r>
      <w:r>
        <w:rPr>
          <w:rFonts w:hint="eastAsia" w:ascii="宋体" w:hAnsi="宋体" w:eastAsia="宋体" w:cs="宋体"/>
          <w:color w:val="auto"/>
          <w:sz w:val="24"/>
          <w:szCs w:val="24"/>
          <w:highlight w:val="none"/>
          <w:u w:val="single"/>
        </w:rPr>
        <w:t>写投标文件，投标文件应包括“开标一览表及资格证明文件”和“商务及技术文件”两部分，两部分合订成一册，密封提交。</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应承担封装失误产生的任何后果。</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上述文件应按照招标文件规定的格式填写、签署和盖章。</w:t>
      </w:r>
    </w:p>
    <w:p>
      <w:pPr>
        <w:pStyle w:val="2"/>
        <w:shd w:val="clear" w:color="auto" w:fill="auto"/>
        <w:tabs>
          <w:tab w:val="left" w:pos="900"/>
        </w:tabs>
        <w:spacing w:before="0" w:after="0" w:line="360" w:lineRule="exact"/>
        <w:rPr>
          <w:rFonts w:hint="eastAsia" w:ascii="宋体" w:hAnsi="宋体" w:eastAsia="宋体" w:cs="宋体"/>
          <w:color w:val="auto"/>
          <w:sz w:val="24"/>
          <w:szCs w:val="24"/>
          <w:highlight w:val="none"/>
          <w:u w:val="none"/>
        </w:rPr>
      </w:pPr>
      <w:bookmarkStart w:id="50" w:name="_Toc10584"/>
      <w:bookmarkStart w:id="51" w:name="_Toc6978"/>
      <w:bookmarkStart w:id="52" w:name="_Toc2056"/>
      <w:r>
        <w:rPr>
          <w:rFonts w:hint="eastAsia" w:ascii="宋体" w:hAnsi="宋体" w:eastAsia="宋体" w:cs="宋体"/>
          <w:color w:val="auto"/>
          <w:sz w:val="24"/>
          <w:szCs w:val="24"/>
          <w:highlight w:val="none"/>
          <w:u w:val="none"/>
        </w:rPr>
        <w:t>10.证明投标的的合格性和符合招标文件规定的技术文件</w:t>
      </w:r>
      <w:bookmarkEnd w:id="50"/>
      <w:bookmarkEnd w:id="51"/>
      <w:bookmarkEnd w:id="52"/>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应提交证明文件，证明其投标内容符合招标文件规定。该证明文件是投标文件的一部分。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上款所述的证明文件，可以是文字资料、图纸和数据，它包括：</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建设内容及设备主要技术指标的详细说明；</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从采购单位开始使用至招标文件规定的保质期内正常、连续地使用所必须的备件和专用工具清单；</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对照招标文件技术规格，逐条说明所提供货物及伴随的工程和货物已对招标文件的技术规格做出了实质性的响应，或申明与技术规格条文的偏差和例外。</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应注意采购人在技术规格中指出的工艺、材料和设备的参照品牌型号或分类号仅起说明作用，并没有任何限制性。</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53" w:name="_Toc26145"/>
      <w:bookmarkStart w:id="54" w:name="_Toc301"/>
      <w:bookmarkStart w:id="55" w:name="_Toc30709"/>
      <w:bookmarkStart w:id="56" w:name="_Toc25641"/>
      <w:r>
        <w:rPr>
          <w:rFonts w:hint="eastAsia" w:ascii="宋体" w:hAnsi="宋体" w:eastAsia="宋体" w:cs="宋体"/>
          <w:color w:val="auto"/>
          <w:sz w:val="24"/>
          <w:szCs w:val="24"/>
          <w:highlight w:val="none"/>
          <w:u w:val="none"/>
        </w:rPr>
        <w:t>11.投标报价</w:t>
      </w:r>
      <w:bookmarkEnd w:id="53"/>
      <w:bookmarkEnd w:id="54"/>
      <w:bookmarkEnd w:id="55"/>
      <w:bookmarkEnd w:id="56"/>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所有投标均以人民币报价。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应在投标分项报价表上标明投标相关货物的单价（如适用）和总价，并由法定代表人或其授权代表签署。</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投标分项报价表上的价格应按下列方式填写；</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每种货物只能有一个投标报价。采购人不接受具有附加条件的报价。</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57" w:name="_Toc15752"/>
      <w:bookmarkStart w:id="58" w:name="_Toc18556"/>
      <w:bookmarkStart w:id="59" w:name="_Toc5648"/>
      <w:bookmarkStart w:id="60" w:name="_Toc1683"/>
      <w:r>
        <w:rPr>
          <w:rFonts w:hint="eastAsia" w:ascii="宋体" w:hAnsi="宋体" w:eastAsia="宋体" w:cs="宋体"/>
          <w:color w:val="auto"/>
          <w:sz w:val="24"/>
          <w:szCs w:val="24"/>
          <w:highlight w:val="none"/>
          <w:u w:val="none"/>
        </w:rPr>
        <w:t>12.投标保证金</w:t>
      </w:r>
      <w:bookmarkEnd w:id="57"/>
      <w:bookmarkEnd w:id="58"/>
      <w:bookmarkEnd w:id="59"/>
      <w:bookmarkEnd w:id="60"/>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应提交</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中规定的投标保证金，并作为其投标的一部分。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存在下列情形的，投标保证金不予退还：</w:t>
      </w:r>
    </w:p>
    <w:p>
      <w:pPr>
        <w:pStyle w:val="10"/>
        <w:shd w:val="clear" w:color="auto" w:fill="auto"/>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（1）在投标有效期内，撤销投标的；</w:t>
      </w:r>
    </w:p>
    <w:p>
      <w:pPr>
        <w:pStyle w:val="10"/>
        <w:shd w:val="clear" w:color="auto" w:fill="auto"/>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（2）中标后不按本须知第30条的规定与采购人签订合同的；</w:t>
      </w:r>
    </w:p>
    <w:p>
      <w:pPr>
        <w:pStyle w:val="10"/>
        <w:shd w:val="clear" w:color="auto" w:fill="auto"/>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（3）中标后不按本须知第31条的规定提交履约保证金的；</w:t>
      </w:r>
    </w:p>
    <w:p>
      <w:pPr>
        <w:pStyle w:val="10"/>
        <w:shd w:val="clear" w:color="auto" w:fill="auto"/>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（4）中标后不按本须知第32条的规定缴纳中标服务费的；</w:t>
      </w:r>
    </w:p>
    <w:p>
      <w:pPr>
        <w:pStyle w:val="10"/>
        <w:shd w:val="clear" w:color="auto" w:fill="auto"/>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政府采购信用担保试点范围内的项目，接受符合财政部门规定的政府采购投标担保函原件。</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未按本须知第12.1和12.3条规定提交投标保证金的，其投标将被认定为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采用电汇形式的，一般可以实时入账。</w:t>
      </w:r>
    </w:p>
    <w:p>
      <w:pPr>
        <w:shd w:val="clear" w:color="auto" w:fill="auto"/>
        <w:spacing w:line="360" w:lineRule="exact"/>
        <w:ind w:left="960" w:hanging="960" w:hanging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采用支票形式的，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未及时提交支票或支票不符合银行委托收款要求（如污损、折叠、胶装等），导致投标保证金不能按时进入指定账户的，将按照招标文件的第22.2条相关规定处理。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联合体投标的，可以由联合体中的一方或者共同提交投标保证金。以一方名义提交投标保证金的，对联合体各方均具有约束力。</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投标保证金的退还</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  中标人应在与采购人签订合同之日起5个工作日内，及时联系保证金收受机构办理投标保证金无息退还手续。</w:t>
      </w:r>
    </w:p>
    <w:p>
      <w:pPr>
        <w:shd w:val="clear" w:color="auto" w:fill="auto"/>
        <w:spacing w:line="360" w:lineRule="exact"/>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  未中标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的投标保证金将在中标通知书发出之日暨中标结果公告公布之日起5个工作日内无息退还。</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应及时联系保证金收受机构办理退还投标保证金手续。</w:t>
      </w:r>
    </w:p>
    <w:p>
      <w:pPr>
        <w:shd w:val="clear" w:color="auto" w:fill="auto"/>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政府采购投标担保函不予退回。</w:t>
      </w:r>
    </w:p>
    <w:p>
      <w:pPr>
        <w:shd w:val="clear" w:color="auto" w:fill="auto"/>
        <w:spacing w:line="360" w:lineRule="exact"/>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自身原因导致无法及时退还的，采购人或采购代理机构将不承担相应责任。</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61" w:name="_Toc2905"/>
      <w:bookmarkStart w:id="62" w:name="_Toc27999"/>
      <w:bookmarkStart w:id="63" w:name="_Toc31306"/>
      <w:bookmarkStart w:id="64" w:name="_Toc12947"/>
      <w:r>
        <w:rPr>
          <w:rFonts w:hint="eastAsia" w:ascii="宋体" w:hAnsi="宋体" w:eastAsia="宋体" w:cs="宋体"/>
          <w:color w:val="auto"/>
          <w:sz w:val="24"/>
          <w:szCs w:val="24"/>
          <w:highlight w:val="none"/>
          <w:u w:val="none"/>
        </w:rPr>
        <w:t>13.投标有效期</w:t>
      </w:r>
      <w:bookmarkEnd w:id="61"/>
      <w:bookmarkEnd w:id="62"/>
      <w:bookmarkEnd w:id="63"/>
      <w:bookmarkEnd w:id="64"/>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投标应在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为保证有充分时间签订合同，采购人或采购代理机构可根据实际情况，在原投标有效期截止之前，要求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延长投标文件的有效期。接受该要求的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将不会被要求和允许修正其投标，且本须知中有关投标保证金的要求须在延长的有效期内继续有效。</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可以拒绝延长投标有效期的要求，其投标保证金将及时无息退还。上述要求和答复都应以书面形式提交。</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65" w:name="_Toc3558"/>
      <w:bookmarkStart w:id="66" w:name="_Toc8589"/>
      <w:bookmarkStart w:id="67" w:name="_Toc30127"/>
      <w:bookmarkStart w:id="68" w:name="_Toc16503"/>
      <w:bookmarkStart w:id="69" w:name="_Toc6286"/>
      <w:bookmarkStart w:id="70" w:name="_Toc10633"/>
      <w:bookmarkStart w:id="71" w:name="_Toc29619"/>
      <w:bookmarkStart w:id="72" w:name="_Toc23545"/>
      <w:bookmarkStart w:id="73" w:name="_Toc515647774"/>
      <w:bookmarkStart w:id="74" w:name="_Toc11179"/>
      <w:bookmarkStart w:id="75" w:name="_Toc16865"/>
      <w:bookmarkStart w:id="76" w:name="_Toc25125"/>
      <w:bookmarkStart w:id="77" w:name="_Toc520356159"/>
      <w:bookmarkStart w:id="78" w:name="_Toc216582808"/>
      <w:r>
        <w:rPr>
          <w:rFonts w:hint="eastAsia" w:ascii="宋体" w:hAnsi="宋体" w:eastAsia="宋体" w:cs="宋体"/>
          <w:color w:val="auto"/>
          <w:sz w:val="24"/>
          <w:szCs w:val="24"/>
          <w:highlight w:val="none"/>
          <w:u w:val="none"/>
        </w:rPr>
        <w:t>14.投标文件的签署及规定</w:t>
      </w:r>
      <w:bookmarkEnd w:id="65"/>
      <w:bookmarkEnd w:id="66"/>
      <w:bookmarkEnd w:id="67"/>
      <w:bookmarkEnd w:id="68"/>
      <w:bookmarkEnd w:id="69"/>
      <w:bookmarkEnd w:id="70"/>
      <w:bookmarkEnd w:id="71"/>
      <w:bookmarkEnd w:id="72"/>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中的规定，准备和递交投标文件正本和副本、开标一览表和电子版U盘，每份投标文件封皮须清楚地标明“正本”或“副本”，密封袋上标明“开标一览表、电子版U盘”。若正本和副本不符，以正本为准。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投标文件的正本需打印或用不褪色墨水书写，并由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的法定代表人或经其正式委托代理人按招标文件规定在投标文件上签字或盖章，并加盖单位</w:t>
      </w:r>
      <w:r>
        <w:rPr>
          <w:rFonts w:hint="eastAsia" w:ascii="宋体" w:hAnsi="宋体" w:eastAsia="宋体" w:cs="宋体"/>
          <w:color w:val="auto"/>
          <w:sz w:val="24"/>
          <w:szCs w:val="24"/>
          <w:highlight w:val="none"/>
          <w:lang w:val="en-US" w:eastAsia="zh-CN"/>
        </w:rPr>
        <w:t>鲜</w:t>
      </w:r>
      <w:r>
        <w:rPr>
          <w:rFonts w:hint="eastAsia" w:ascii="宋体" w:hAnsi="宋体" w:eastAsia="宋体" w:cs="宋体"/>
          <w:color w:val="auto"/>
          <w:sz w:val="24"/>
          <w:szCs w:val="24"/>
          <w:highlight w:val="none"/>
        </w:rPr>
        <w:t>章。委托代理人须持有书面的“法定代表人授权委托书”，并将其附在投标文件中。如对投标文件进行了修改，则应由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的法定代表人或其委托代理人在每一修改处签字。投标文件的副本可采用正本的复印件。</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所有投标文件采用不可拆装的胶订方式装订，否则其投标将被认定为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投标文件因字迹潦草、表达不清或装订不当所引起的后果由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负责。</w:t>
      </w:r>
    </w:p>
    <w:p>
      <w:pPr>
        <w:pStyle w:val="6"/>
        <w:shd w:val="clear" w:color="auto" w:fill="auto"/>
        <w:spacing w:before="0" w:line="360" w:lineRule="exact"/>
        <w:ind w:left="1080" w:leftChars="257" w:hanging="540"/>
        <w:rPr>
          <w:rFonts w:hint="eastAsia" w:ascii="宋体" w:hAnsi="宋体" w:eastAsia="宋体" w:cs="宋体"/>
          <w:color w:val="auto"/>
          <w:sz w:val="24"/>
          <w:szCs w:val="24"/>
          <w:highlight w:val="none"/>
        </w:rPr>
      </w:pPr>
      <w:bookmarkStart w:id="79" w:name="_Toc15057"/>
      <w:bookmarkStart w:id="80" w:name="_Toc4902"/>
      <w:r>
        <w:rPr>
          <w:rFonts w:hint="eastAsia" w:ascii="宋体" w:hAnsi="宋体" w:eastAsia="宋体" w:cs="宋体"/>
          <w:color w:val="auto"/>
          <w:sz w:val="24"/>
          <w:szCs w:val="24"/>
          <w:highlight w:val="none"/>
        </w:rPr>
        <w:t>四   投标文件的递交</w:t>
      </w:r>
      <w:bookmarkEnd w:id="73"/>
      <w:bookmarkEnd w:id="74"/>
      <w:bookmarkEnd w:id="75"/>
      <w:bookmarkEnd w:id="76"/>
      <w:bookmarkEnd w:id="77"/>
      <w:bookmarkEnd w:id="78"/>
      <w:bookmarkEnd w:id="79"/>
      <w:bookmarkEnd w:id="80"/>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81" w:name="_Toc7237"/>
      <w:bookmarkStart w:id="82" w:name="_Toc13271"/>
      <w:bookmarkStart w:id="83" w:name="_Toc26166"/>
      <w:bookmarkStart w:id="84" w:name="_Toc7566"/>
      <w:bookmarkStart w:id="85" w:name="_Toc17290"/>
      <w:bookmarkStart w:id="86" w:name="_Toc20951"/>
      <w:bookmarkStart w:id="87" w:name="_Toc28500"/>
      <w:bookmarkStart w:id="88" w:name="_Toc18139"/>
      <w:r>
        <w:rPr>
          <w:rFonts w:hint="eastAsia" w:ascii="宋体" w:hAnsi="宋体" w:eastAsia="宋体" w:cs="宋体"/>
          <w:color w:val="auto"/>
          <w:sz w:val="24"/>
          <w:szCs w:val="24"/>
          <w:highlight w:val="none"/>
          <w:u w:val="none"/>
        </w:rPr>
        <w:t>15.投标文件的密封和标记</w:t>
      </w:r>
      <w:bookmarkEnd w:id="81"/>
      <w:bookmarkEnd w:id="82"/>
      <w:bookmarkEnd w:id="83"/>
      <w:bookmarkEnd w:id="84"/>
      <w:bookmarkEnd w:id="85"/>
      <w:bookmarkEnd w:id="86"/>
      <w:bookmarkEnd w:id="87"/>
      <w:bookmarkEnd w:id="88"/>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为方便开标及进行资格审查，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应将投标文件第一部分和第二部分的内容合订成一册密封提交，并在封皮正面标明“投标文件”字样。</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所有包装封皮和信封上均应：</w:t>
      </w:r>
    </w:p>
    <w:p>
      <w:pPr>
        <w:shd w:val="clear" w:color="auto" w:fill="auto"/>
        <w:spacing w:line="360" w:lineRule="exact"/>
        <w:ind w:left="60" w:hanging="60" w:hanging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（1）注明招标公告或投标邀请书中指明的项目名称、项目编号、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名称和“在（开标时间）之前不得启封”的字样。</w:t>
      </w:r>
    </w:p>
    <w:p>
      <w:pPr>
        <w:shd w:val="clear" w:color="auto" w:fill="auto"/>
        <w:spacing w:line="360" w:lineRule="exact"/>
        <w:ind w:left="60" w:hanging="60" w:hangingChars="2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（2）在封口处加盖</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单位章。</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如果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未按上述要求密封和标记的，将承担相应的后果。</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89" w:name="_Toc21784"/>
      <w:bookmarkStart w:id="90" w:name="_Toc32072"/>
      <w:bookmarkStart w:id="91" w:name="_Toc21823"/>
      <w:bookmarkStart w:id="92" w:name="_Toc21948"/>
      <w:bookmarkStart w:id="93" w:name="_Toc5357"/>
      <w:bookmarkStart w:id="94" w:name="_Toc3163"/>
      <w:bookmarkStart w:id="95" w:name="_Toc1837"/>
      <w:bookmarkStart w:id="96" w:name="_Toc20866"/>
      <w:r>
        <w:rPr>
          <w:rFonts w:hint="eastAsia" w:ascii="宋体" w:hAnsi="宋体" w:eastAsia="宋体" w:cs="宋体"/>
          <w:color w:val="auto"/>
          <w:sz w:val="24"/>
          <w:szCs w:val="24"/>
          <w:highlight w:val="none"/>
          <w:u w:val="none"/>
        </w:rPr>
        <w:t>16.投标截止</w:t>
      </w:r>
      <w:bookmarkEnd w:id="89"/>
      <w:bookmarkEnd w:id="90"/>
      <w:bookmarkEnd w:id="91"/>
      <w:bookmarkEnd w:id="92"/>
      <w:bookmarkEnd w:id="93"/>
      <w:bookmarkEnd w:id="94"/>
      <w:bookmarkEnd w:id="95"/>
      <w:bookmarkEnd w:id="96"/>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w:t>
      </w:r>
      <w:r>
        <w:rPr>
          <w:rFonts w:hint="eastAsia" w:ascii="宋体" w:hAnsi="宋体" w:eastAsia="宋体" w:cs="宋体"/>
          <w:color w:val="auto"/>
          <w:sz w:val="24"/>
          <w:szCs w:val="24"/>
          <w:highlight w:val="none"/>
        </w:rPr>
        <w:t>规定的截止时间前，将投标文件递交到招标公告中规定的地点。</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采购人和采购代理机构有权按本须知的规定，延迟投标截止时间。在此情况下，采购人、采购代理机构和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受投标截止时间制约的所有权利和义务均应延长至新的截止时间。</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采购人和采购代理机构将拒绝接收在投标截止时间后送达的投标文件。</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97" w:name="_Toc20671"/>
      <w:bookmarkStart w:id="98" w:name="_Toc30350"/>
      <w:bookmarkStart w:id="99" w:name="_Toc668"/>
      <w:bookmarkStart w:id="100" w:name="_Toc6533"/>
      <w:bookmarkStart w:id="101" w:name="_Toc12804"/>
      <w:r>
        <w:rPr>
          <w:rFonts w:hint="eastAsia" w:ascii="宋体" w:hAnsi="宋体" w:eastAsia="宋体" w:cs="宋体"/>
          <w:color w:val="auto"/>
          <w:sz w:val="24"/>
          <w:szCs w:val="24"/>
          <w:highlight w:val="none"/>
          <w:u w:val="none"/>
        </w:rPr>
        <w:t>17.投标文件的接收、修改与撤回</w:t>
      </w:r>
      <w:bookmarkEnd w:id="97"/>
      <w:bookmarkEnd w:id="98"/>
      <w:bookmarkEnd w:id="99"/>
      <w:bookmarkEnd w:id="100"/>
      <w:bookmarkEnd w:id="101"/>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在投标截止时间后送达的投标文件的，采购人和采购代理机构将拒绝接收。</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递交投标文件以后，如果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要进行修改或撤回投标，须提出书面申请并在投标截止时间前送达开标地点，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对投标文件的修改或撤回通知应按本须知规定编制、密封、标记。</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采购人和采购代理机构将予以接收，并视为投标文件的组成部分。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在投标截止期之后，采购人和采购代理机构不接受</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主动对其投标文件做任何修改。</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采购人和采购代理机构对所接收投标文件概不退回。</w:t>
      </w:r>
    </w:p>
    <w:p>
      <w:pPr>
        <w:shd w:val="clear" w:color="auto" w:fill="auto"/>
        <w:spacing w:line="280" w:lineRule="exact"/>
        <w:rPr>
          <w:rFonts w:hint="eastAsia" w:ascii="宋体" w:hAnsi="宋体" w:eastAsia="宋体" w:cs="宋体"/>
          <w:color w:val="auto"/>
          <w:sz w:val="24"/>
          <w:szCs w:val="24"/>
          <w:highlight w:val="none"/>
        </w:rPr>
      </w:pPr>
    </w:p>
    <w:p>
      <w:pPr>
        <w:pStyle w:val="6"/>
        <w:shd w:val="clear" w:color="auto" w:fill="auto"/>
        <w:spacing w:before="0" w:line="280" w:lineRule="exact"/>
        <w:ind w:left="1080" w:leftChars="257" w:hanging="540"/>
        <w:rPr>
          <w:rFonts w:hint="eastAsia" w:ascii="宋体" w:hAnsi="宋体" w:eastAsia="宋体" w:cs="宋体"/>
          <w:color w:val="auto"/>
          <w:sz w:val="24"/>
          <w:szCs w:val="24"/>
          <w:highlight w:val="none"/>
        </w:rPr>
      </w:pPr>
      <w:bookmarkStart w:id="102" w:name="_Toc17367"/>
      <w:bookmarkStart w:id="103" w:name="_Toc7470"/>
      <w:bookmarkStart w:id="104" w:name="_Toc31699"/>
      <w:r>
        <w:rPr>
          <w:rFonts w:hint="eastAsia" w:ascii="宋体" w:hAnsi="宋体" w:eastAsia="宋体" w:cs="宋体"/>
          <w:color w:val="auto"/>
          <w:sz w:val="24"/>
          <w:szCs w:val="24"/>
          <w:highlight w:val="none"/>
        </w:rPr>
        <w:t>五   开标及评标</w:t>
      </w:r>
      <w:bookmarkEnd w:id="102"/>
      <w:bookmarkEnd w:id="103"/>
      <w:bookmarkEnd w:id="104"/>
    </w:p>
    <w:p>
      <w:pPr>
        <w:pStyle w:val="2"/>
        <w:numPr>
          <w:ilvl w:val="0"/>
          <w:numId w:val="3"/>
        </w:numPr>
        <w:shd w:val="clear" w:color="auto" w:fill="auto"/>
        <w:spacing w:before="0" w:line="360" w:lineRule="exact"/>
        <w:rPr>
          <w:rFonts w:hint="eastAsia" w:ascii="宋体" w:hAnsi="宋体" w:eastAsia="宋体" w:cs="宋体"/>
          <w:color w:val="auto"/>
          <w:sz w:val="24"/>
          <w:szCs w:val="24"/>
          <w:highlight w:val="none"/>
        </w:rPr>
      </w:pPr>
      <w:bookmarkStart w:id="105" w:name="_Toc2348"/>
      <w:bookmarkStart w:id="106" w:name="_Toc21418"/>
      <w:bookmarkStart w:id="107" w:name="_Toc32409"/>
      <w:bookmarkStart w:id="108" w:name="_Toc63"/>
      <w:bookmarkStart w:id="109" w:name="_Toc4502"/>
      <w:bookmarkStart w:id="110" w:name="_Toc24922"/>
      <w:bookmarkStart w:id="111" w:name="_Toc23987"/>
      <w:bookmarkStart w:id="112" w:name="_Toc18233"/>
      <w:bookmarkStart w:id="113" w:name="_Toc5052"/>
      <w:bookmarkStart w:id="114" w:name="_Toc28586"/>
      <w:r>
        <w:rPr>
          <w:rFonts w:hint="eastAsia" w:ascii="宋体" w:hAnsi="宋体" w:eastAsia="宋体" w:cs="宋体"/>
          <w:color w:val="auto"/>
          <w:sz w:val="24"/>
          <w:szCs w:val="24"/>
          <w:highlight w:val="none"/>
          <w:u w:val="none"/>
        </w:rPr>
        <w:t>开标</w:t>
      </w:r>
      <w:bookmarkEnd w:id="105"/>
      <w:bookmarkEnd w:id="106"/>
      <w:bookmarkEnd w:id="107"/>
      <w:bookmarkEnd w:id="108"/>
      <w:bookmarkEnd w:id="109"/>
      <w:bookmarkEnd w:id="110"/>
      <w:bookmarkEnd w:id="111"/>
    </w:p>
    <w:p>
      <w:pPr>
        <w:numPr>
          <w:ilvl w:val="1"/>
          <w:numId w:val="3"/>
        </w:num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采购人和采购代理机构将按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中规定的开标时间和地点组织公开开标并邀请所有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代表参加。</w:t>
      </w:r>
    </w:p>
    <w:p>
      <w:pPr>
        <w:shd w:val="clear" w:color="auto" w:fill="auto"/>
        <w:spacing w:line="360" w:lineRule="exact"/>
        <w:ind w:firstLine="120" w:firstLine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不足3家的，不得开标。</w:t>
      </w:r>
    </w:p>
    <w:p>
      <w:pPr>
        <w:shd w:val="clear" w:color="auto" w:fill="auto"/>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开标时，由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或其推选的代表检查自己或所代表的投标文件的密封情况，经记录后，由采购人或采购代理机构当众拆封投标文件第一部分，宣读</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名称、投标价格及招标文件规定的内容。对于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在投标截止期前递交的投标声明，在开标时当众宣读，评标时有效。</w:t>
      </w:r>
    </w:p>
    <w:p>
      <w:pPr>
        <w:shd w:val="clear" w:color="auto" w:fill="auto"/>
        <w:spacing w:line="360" w:lineRule="exact"/>
        <w:ind w:left="180"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未宣读投标价格、价格折扣等实质内容，评标时不予承认。</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采购人或采购代理机构将对开标过程进行记录，由参加开标的各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代表和相关工作人员签字确认，并存档备查。</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18.4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代表对开标过程和开标记录有疑义，以及认为采购人、采购代理机构相关工作人员有需要回避的情形的，应当场提出询问或者回避申请。</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15" w:name="_Toc11023"/>
      <w:r>
        <w:rPr>
          <w:rFonts w:hint="eastAsia" w:ascii="宋体" w:hAnsi="宋体" w:eastAsia="宋体" w:cs="宋体"/>
          <w:color w:val="auto"/>
          <w:sz w:val="24"/>
          <w:szCs w:val="24"/>
          <w:highlight w:val="none"/>
          <w:u w:val="none"/>
        </w:rPr>
        <w:t>19.资格审查及组建评标委员会</w:t>
      </w:r>
      <w:bookmarkEnd w:id="112"/>
      <w:bookmarkEnd w:id="113"/>
      <w:bookmarkEnd w:id="114"/>
      <w:bookmarkEnd w:id="115"/>
    </w:p>
    <w:p>
      <w:pPr>
        <w:shd w:val="clear" w:color="auto" w:fill="auto"/>
        <w:spacing w:line="350" w:lineRule="exact"/>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采购人或采购代理机构依据法律法规和招标文件中规定的内容，对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及其货物的资格进行审查</w:t>
      </w:r>
      <w:r>
        <w:rPr>
          <w:rFonts w:hint="eastAsia" w:ascii="宋体" w:hAnsi="宋体" w:eastAsia="宋体" w:cs="宋体"/>
          <w:b/>
          <w:bCs/>
          <w:color w:val="auto"/>
          <w:sz w:val="24"/>
          <w:szCs w:val="24"/>
          <w:highlight w:val="none"/>
        </w:rPr>
        <w:t>，本项目审查内容如下（</w:t>
      </w:r>
      <w:r>
        <w:rPr>
          <w:rFonts w:hint="eastAsia" w:ascii="宋体" w:hAnsi="宋体" w:eastAsia="宋体" w:cs="宋体"/>
          <w:b/>
          <w:bCs/>
          <w:color w:val="auto"/>
          <w:kern w:val="0"/>
          <w:sz w:val="24"/>
          <w:szCs w:val="24"/>
          <w:highlight w:val="none"/>
        </w:rPr>
        <w:t>开标现场须携带</w:t>
      </w:r>
      <w:r>
        <w:rPr>
          <w:rFonts w:hint="eastAsia" w:ascii="宋体" w:hAnsi="宋体" w:eastAsia="宋体" w:cs="宋体"/>
          <w:b/>
          <w:bCs/>
          <w:color w:val="auto"/>
          <w:kern w:val="0"/>
          <w:sz w:val="24"/>
          <w:szCs w:val="24"/>
          <w:highlight w:val="none"/>
          <w:lang w:val="en-US" w:eastAsia="zh-CN"/>
        </w:rPr>
        <w:t>以下资料证明原件或加盖公章的复印件，复印件必须清晰</w:t>
      </w:r>
      <w:r>
        <w:rPr>
          <w:rFonts w:hint="eastAsia" w:ascii="宋体" w:hAnsi="宋体" w:eastAsia="宋体" w:cs="宋体"/>
          <w:b/>
          <w:bCs/>
          <w:color w:val="auto"/>
          <w:sz w:val="24"/>
          <w:szCs w:val="24"/>
          <w:highlight w:val="none"/>
        </w:rPr>
        <w:t>）：</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.具有有效的独立法人营业执照；</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提供《医疗器械生产许可证》或《医疗器械经营许可证》及医疗器械注册证（所投产品为二类医疗器械的须提供二类医疗器械备案凭证）；</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法定代表人资格证明及授权书、被授权人身份证；(法定代表人投标需提供法定代表人身份证)；</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依法缴纳近六个月内任意一个月社会保险的凭据；</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税务部门出具的近六个月内任意一个月的完税证明；</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近两年内任意一年的财务审计报告（新成立的公司提供近三个月内任意一个月的银行资信证明）；</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w:t>
      </w:r>
      <w:r>
        <w:rPr>
          <w:rFonts w:hint="eastAsia" w:ascii="宋体" w:hAnsi="宋体" w:eastAsia="宋体" w:cs="宋体"/>
          <w:b/>
          <w:bCs/>
          <w:color w:val="auto"/>
          <w:kern w:val="2"/>
          <w:sz w:val="24"/>
          <w:szCs w:val="24"/>
          <w:highlight w:val="none"/>
          <w:lang w:val="en-US" w:eastAsia="zh-CN" w:bidi="ar-SA"/>
        </w:rPr>
        <w:t>参与政府采购活动前3年内未被列入失信、重大税收违法案件、财政部门禁止参加政府采购活动的承诺书；</w:t>
      </w:r>
    </w:p>
    <w:p>
      <w:pPr>
        <w:widowControl/>
        <w:snapToGrid w:val="0"/>
        <w:spacing w:line="360" w:lineRule="exact"/>
        <w:ind w:firstLine="482" w:firstLineChars="200"/>
        <w:jc w:val="left"/>
        <w:textAlignment w:val="baseline"/>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w:t>
      </w:r>
      <w:r>
        <w:rPr>
          <w:rFonts w:hint="eastAsia" w:ascii="宋体" w:hAnsi="宋体" w:eastAsia="宋体" w:cs="宋体"/>
          <w:b/>
          <w:bCs/>
          <w:color w:val="auto"/>
          <w:kern w:val="2"/>
          <w:sz w:val="24"/>
          <w:szCs w:val="24"/>
          <w:highlight w:val="none"/>
          <w:lang w:val="en-US" w:eastAsia="zh-CN" w:bidi="ar-SA"/>
        </w:rPr>
        <w:t>提供针对本次项目的《反商业贿赂承诺书》</w:t>
      </w:r>
      <w:r>
        <w:rPr>
          <w:rFonts w:hint="eastAsia" w:ascii="宋体" w:hAnsi="宋体" w:cs="宋体"/>
          <w:b/>
          <w:bCs/>
          <w:color w:val="auto"/>
          <w:kern w:val="2"/>
          <w:sz w:val="24"/>
          <w:szCs w:val="24"/>
          <w:highlight w:val="none"/>
          <w:lang w:val="en-US" w:eastAsia="zh-CN" w:bidi="ar-SA"/>
        </w:rPr>
        <w:t>;</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kern w:val="2"/>
          <w:sz w:val="24"/>
          <w:szCs w:val="24"/>
          <w:highlight w:val="none"/>
          <w:lang w:val="en-US" w:eastAsia="zh-CN" w:bidi="ar-SA"/>
        </w:rPr>
        <w:t>0</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提供缴纳投标保证金的有效凭证</w:t>
      </w:r>
      <w:r>
        <w:rPr>
          <w:rFonts w:hint="eastAsia" w:ascii="宋体" w:hAnsi="宋体" w:eastAsia="宋体" w:cs="宋体"/>
          <w:b/>
          <w:bCs/>
          <w:color w:val="auto"/>
          <w:kern w:val="2"/>
          <w:sz w:val="24"/>
          <w:szCs w:val="24"/>
          <w:highlight w:val="none"/>
          <w:lang w:val="en-US" w:eastAsia="zh-CN" w:bidi="ar-SA"/>
        </w:rPr>
        <w:t>。</w:t>
      </w:r>
    </w:p>
    <w:p>
      <w:pPr>
        <w:widowControl/>
        <w:snapToGrid w:val="0"/>
        <w:spacing w:line="36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各供应商应注意以下事项：</w:t>
      </w:r>
    </w:p>
    <w:p>
      <w:pPr>
        <w:widowControl/>
        <w:snapToGrid w:val="0"/>
        <w:spacing w:line="36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A：本项目要求各投标供应商</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税务部门出具的近六个月内任意一个月的完税证明”，若供应商某月税收为零申报，须提供加盖税务局公章的无欠税证明或申报成功网页截图（供应商可自主登录“国家税务总局电子税务局”12366.chinatax.gov.cn/bsfw/onlinetaxation/main——税费申报及缴纳——申报结果查询）。</w:t>
      </w:r>
    </w:p>
    <w:p>
      <w:pPr>
        <w:widowControl/>
        <w:snapToGrid w:val="0"/>
        <w:spacing w:line="36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B：税务局代收的社保缴费证明不可作为本项目的完税证明（“税种”不可为养老保险、医疗保险、失业保险、工伤保险和生育保险）。</w:t>
      </w:r>
    </w:p>
    <w:p>
      <w:pPr>
        <w:shd w:val="clear" w:color="auto" w:fill="auto"/>
        <w:spacing w:line="360" w:lineRule="exact"/>
        <w:ind w:left="958" w:leftChars="4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未通过资格审查的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不进入评标；通过资格审查的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少于不足三家的，不得评标。</w:t>
      </w:r>
    </w:p>
    <w:p>
      <w:pPr>
        <w:shd w:val="clear" w:color="auto" w:fill="auto"/>
        <w:spacing w:line="360" w:lineRule="exact"/>
        <w:ind w:left="857" w:leftChars="2" w:hanging="8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采购人或采购代理机构将在开标前1个工作日至投标截止后1小时的期间内查询</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的信用记录。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存在不良信用记录的，其投标将被认定为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857" w:leftChars="2" w:hanging="8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 不良信用记录指：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w:t>
      </w:r>
    </w:p>
    <w:p>
      <w:pPr>
        <w:shd w:val="clear" w:color="auto" w:fill="auto"/>
        <w:spacing w:line="360" w:lineRule="exact"/>
        <w:ind w:left="849" w:leftChars="401" w:hanging="7" w:hangingChars="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3"/>
        <w:shd w:val="clear" w:color="auto" w:fill="auto"/>
        <w:spacing w:line="360" w:lineRule="exact"/>
        <w:ind w:left="850" w:hanging="849" w:hangingChars="35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19.2.2 查询及记录方式：采购人或采购代理机构经办人将查询网页打印、签字并存档备查。</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不良信用记录以采购人或采购代理机构查询结果为准。</w:t>
      </w:r>
    </w:p>
    <w:p>
      <w:pPr>
        <w:pStyle w:val="3"/>
        <w:shd w:val="clear" w:color="auto" w:fill="auto"/>
        <w:spacing w:line="360" w:lineRule="exact"/>
        <w:ind w:left="850" w:leftChars="405"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在本招标文件规定的查询时间之后，网站信息发生的任何变更均不再作</w:t>
      </w:r>
    </w:p>
    <w:p>
      <w:pPr>
        <w:pStyle w:val="3"/>
        <w:shd w:val="clear" w:color="auto" w:fill="auto"/>
        <w:spacing w:line="360" w:lineRule="exact"/>
        <w:ind w:left="850" w:leftChars="405"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为评标依据。</w:t>
      </w:r>
    </w:p>
    <w:p>
      <w:pPr>
        <w:pStyle w:val="3"/>
        <w:shd w:val="clear" w:color="auto" w:fill="auto"/>
        <w:spacing w:line="360" w:lineRule="exact"/>
        <w:ind w:left="958" w:leftChars="456" w:firstLine="0"/>
        <w:jc w:val="both"/>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自行提供的与网站信息不一致的其他证明材料亦不作为资格审查依据。</w:t>
      </w:r>
    </w:p>
    <w:p>
      <w:pPr>
        <w:shd w:val="clear" w:color="auto" w:fill="auto"/>
        <w:spacing w:line="360" w:lineRule="exact"/>
        <w:ind w:left="850" w:hanging="849" w:hangingChars="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按照《中华人民共和国政府采购法》、《中华人民共和国政府采购法实施条例》、《政府采购货物和服务招标投标管理办法》财政部令第87号及本项目本级和上级财政部门的有关规定依法</w:t>
      </w:r>
      <w:r>
        <w:rPr>
          <w:rFonts w:hint="eastAsia" w:ascii="宋体" w:hAnsi="宋体" w:cs="宋体"/>
          <w:color w:val="auto"/>
          <w:sz w:val="24"/>
          <w:szCs w:val="24"/>
          <w:highlight w:val="none"/>
          <w:lang w:val="en-US" w:eastAsia="zh-CN"/>
        </w:rPr>
        <w:t>抽取</w:t>
      </w:r>
      <w:r>
        <w:rPr>
          <w:rFonts w:hint="eastAsia" w:ascii="宋体" w:hAnsi="宋体" w:eastAsia="宋体" w:cs="宋体"/>
          <w:b w:val="0"/>
          <w:bCs w:val="0"/>
          <w:color w:val="auto"/>
          <w:sz w:val="24"/>
          <w:szCs w:val="24"/>
          <w:highlight w:val="none"/>
        </w:rPr>
        <w:t>5名</w:t>
      </w:r>
      <w:r>
        <w:rPr>
          <w:rFonts w:hint="eastAsia" w:ascii="宋体" w:hAnsi="宋体" w:cs="宋体"/>
          <w:b w:val="0"/>
          <w:bCs w:val="0"/>
          <w:color w:val="auto"/>
          <w:sz w:val="24"/>
          <w:szCs w:val="24"/>
          <w:highlight w:val="none"/>
          <w:lang w:val="en-US" w:eastAsia="zh-CN"/>
        </w:rPr>
        <w:t>专家</w:t>
      </w:r>
      <w:r>
        <w:rPr>
          <w:rFonts w:hint="eastAsia" w:ascii="宋体" w:hAnsi="宋体" w:eastAsia="宋体" w:cs="宋体"/>
          <w:b w:val="0"/>
          <w:bCs w:val="0"/>
          <w:color w:val="auto"/>
          <w:sz w:val="24"/>
          <w:szCs w:val="24"/>
          <w:highlight w:val="none"/>
        </w:rPr>
        <w:t>组建评标委员会，负责</w:t>
      </w:r>
      <w:r>
        <w:rPr>
          <w:rFonts w:hint="eastAsia" w:ascii="宋体" w:hAnsi="宋体" w:eastAsia="宋体" w:cs="宋体"/>
          <w:color w:val="auto"/>
          <w:sz w:val="24"/>
          <w:szCs w:val="24"/>
          <w:highlight w:val="none"/>
        </w:rPr>
        <w:t>评标工作。</w:t>
      </w:r>
    </w:p>
    <w:p>
      <w:pPr>
        <w:pStyle w:val="2"/>
        <w:shd w:val="clear" w:color="auto" w:fill="auto"/>
        <w:spacing w:before="0" w:after="0" w:line="360" w:lineRule="exact"/>
        <w:rPr>
          <w:rFonts w:hint="eastAsia" w:ascii="宋体" w:hAnsi="宋体" w:eastAsia="宋体" w:cs="宋体"/>
          <w:bCs/>
          <w:color w:val="auto"/>
          <w:sz w:val="24"/>
          <w:szCs w:val="24"/>
          <w:highlight w:val="none"/>
          <w:bdr w:val="single" w:color="auto" w:sz="4" w:space="0"/>
        </w:rPr>
      </w:pPr>
      <w:bookmarkStart w:id="116" w:name="_Toc14028"/>
      <w:bookmarkStart w:id="117" w:name="_Toc17267"/>
      <w:bookmarkStart w:id="118" w:name="_Toc22736"/>
      <w:bookmarkStart w:id="119" w:name="_Toc8432"/>
      <w:r>
        <w:rPr>
          <w:rFonts w:hint="eastAsia" w:ascii="宋体" w:hAnsi="宋体" w:eastAsia="宋体" w:cs="宋体"/>
          <w:color w:val="auto"/>
          <w:sz w:val="24"/>
          <w:szCs w:val="24"/>
          <w:highlight w:val="none"/>
          <w:u w:val="none"/>
        </w:rPr>
        <w:t>20.投标文件符合性审查与澄清</w:t>
      </w:r>
      <w:bookmarkEnd w:id="116"/>
      <w:bookmarkEnd w:id="117"/>
      <w:bookmarkEnd w:id="118"/>
      <w:bookmarkEnd w:id="119"/>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符合性审查是指依据招标文件的规定，从投标文件的有效性和完整性对招标文件的响应程度进行审查，以确定是否对招标文件的实质性要求做出响应。</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投标文件的澄清</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在评标期间，评标委员会将以书面方式要求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对其投标文件中含义不明确、对同类问题表述不一致或者有明显文字和计算错误的内容，以及评标委员会认为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的报价明显低于其他通过符合性检查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的报价，有可能影响履约的情况作必要的澄清、说明或补正。</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的澄清、说明或补正应在评标委员会规定的时间内以书面方式进行，并不得超出投标文件范围或者改变投标文件的实质性内容。</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20.2.2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的的澄清、说明或补正将作为投标文件的一部分。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投标文件报价出现前后不一致的，按照下列规定修正：</w:t>
      </w:r>
    </w:p>
    <w:p>
      <w:pPr>
        <w:shd w:val="clear" w:color="auto" w:fill="auto"/>
        <w:spacing w:line="360" w:lineRule="exact"/>
        <w:ind w:left="1020" w:hanging="1020" w:hangingChars="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（一）投标文件中开标一览表（报价表）内容与投标文件中相应内容不一致的，以开标一览表（报价表）为准；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（二）大写金额和小写金额不一致的，以大写金额为准；</w:t>
      </w:r>
    </w:p>
    <w:p>
      <w:pPr>
        <w:shd w:val="clear" w:color="auto" w:fill="auto"/>
        <w:spacing w:line="360" w:lineRule="exact"/>
        <w:ind w:left="1020" w:hanging="1020" w:hangingChars="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（三）单价金额小数点或者百分比有明显错位的，以开标一览表的总价为准，并修改单价；</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（四）总价金额与按单价汇总金额不一致的，以单价金额计算结果为准。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同时出现两种以上不一致的，按照前款规定的顺序修正。修正后的报价按照第20.2条的规定经</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不确认的，其投标将被认定为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735" w:leftChars="35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对不同文字文本投标文件的解释发生异议的，以中文文本为准。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如一个分包内只有一种产品，不同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所投产品为同一品牌的，按如下方式处理：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20.4.1  如本项目使用最低评标价法，提供相同品牌产品的不同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；未规定的采取随机抽取方式确定，其他投标将被认定为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  如本项目使用综合评分法，提供相同品牌产品且通过资格审查、符合性审查的不同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，按一家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获得中标人推荐资格；评审得分相同的，由采购人或者采购人委托评标委员会按照招标文件中评标办法规定的方式确定一个</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获得中标人推荐资格；未规定的采取随机抽取方式确定，其他同品牌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不作为中标候选人。</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20.5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如采购人所采购产品为政府强制采购的节能产品，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所投产品的品牌及型号必须为清单中有效期内产品并提供证明文件，否则其投标将被认定为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20" w:name="_Toc7973"/>
      <w:bookmarkStart w:id="121" w:name="_Toc17681"/>
      <w:bookmarkStart w:id="122" w:name="_Toc12161"/>
      <w:r>
        <w:rPr>
          <w:rFonts w:hint="eastAsia" w:ascii="宋体" w:hAnsi="宋体" w:eastAsia="宋体" w:cs="宋体"/>
          <w:color w:val="auto"/>
          <w:sz w:val="24"/>
          <w:szCs w:val="24"/>
          <w:highlight w:val="none"/>
          <w:u w:val="none"/>
        </w:rPr>
        <w:t>21.投标偏离</w:t>
      </w:r>
      <w:bookmarkEnd w:id="120"/>
      <w:bookmarkEnd w:id="121"/>
      <w:bookmarkEnd w:id="122"/>
    </w:p>
    <w:p>
      <w:pPr>
        <w:shd w:val="clear" w:color="auto" w:fill="auto"/>
        <w:spacing w:line="360" w:lineRule="exact"/>
        <w:ind w:left="848" w:leftChars="99" w:hanging="640" w:hanging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评标委员会可以接受投标文件中不构成实质性偏离的不正规或不一致。</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23" w:name="_Toc20744"/>
      <w:bookmarkStart w:id="124" w:name="_Toc28742"/>
      <w:bookmarkStart w:id="125" w:name="_Toc23335"/>
      <w:bookmarkStart w:id="126" w:name="_Toc8254"/>
      <w:r>
        <w:rPr>
          <w:rFonts w:hint="eastAsia" w:ascii="宋体" w:hAnsi="宋体" w:eastAsia="宋体" w:cs="宋体"/>
          <w:color w:val="auto"/>
          <w:sz w:val="24"/>
          <w:szCs w:val="24"/>
          <w:highlight w:val="none"/>
          <w:u w:val="none"/>
        </w:rPr>
        <w:t>22.投标无效</w:t>
      </w:r>
      <w:bookmarkEnd w:id="123"/>
      <w:bookmarkEnd w:id="124"/>
      <w:bookmarkEnd w:id="125"/>
      <w:bookmarkEnd w:id="126"/>
    </w:p>
    <w:p>
      <w:pPr>
        <w:shd w:val="clear" w:color="auto" w:fill="auto"/>
        <w:spacing w:line="360" w:lineRule="exact"/>
        <w:ind w:left="852" w:leftChars="-23"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不得通过修正或撤销不符合要求的偏离，从而使其投标成为实质上响应的投标。</w:t>
      </w:r>
    </w:p>
    <w:p>
      <w:pPr>
        <w:shd w:val="clear" w:color="auto" w:fill="auto"/>
        <w:spacing w:line="360" w:lineRule="exact"/>
        <w:ind w:left="792" w:leftChars="3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评标委员会决定投标的响应性只根据招标文件要求、投标文件内容及财政主管部门指定相关信息发布媒体。</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如发现下列情况之一的，其投标将被认定为投标无效</w:t>
      </w:r>
      <w:r>
        <w:rPr>
          <w:rFonts w:hint="eastAsia" w:ascii="宋体" w:hAnsi="宋体" w:eastAsia="宋体" w:cs="宋体"/>
          <w:color w:val="auto"/>
          <w:sz w:val="24"/>
          <w:szCs w:val="24"/>
          <w:highlight w:val="none"/>
        </w:rPr>
        <w:t>：</w:t>
      </w:r>
    </w:p>
    <w:p>
      <w:pPr>
        <w:numPr>
          <w:ilvl w:val="0"/>
          <w:numId w:val="4"/>
        </w:numPr>
        <w:shd w:val="clear" w:color="auto" w:fill="auto"/>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未按招标文件规定的形式和金额提交投标保证金的；</w:t>
      </w:r>
    </w:p>
    <w:p>
      <w:pPr>
        <w:numPr>
          <w:ilvl w:val="0"/>
          <w:numId w:val="4"/>
        </w:numPr>
        <w:shd w:val="clear" w:color="auto" w:fill="auto"/>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未按照招标文件规定要求签署、盖章的；</w:t>
      </w:r>
    </w:p>
    <w:p>
      <w:pPr>
        <w:numPr>
          <w:ilvl w:val="0"/>
          <w:numId w:val="4"/>
        </w:numPr>
        <w:shd w:val="clear" w:color="auto" w:fill="auto"/>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未满足招标文件中技术条款的实质性要求；</w:t>
      </w:r>
    </w:p>
    <w:p>
      <w:pPr>
        <w:numPr>
          <w:ilvl w:val="0"/>
          <w:numId w:val="4"/>
        </w:numPr>
        <w:shd w:val="clear" w:color="auto" w:fill="auto"/>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与其他</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串通投标，或者与</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串通投标；</w:t>
      </w:r>
    </w:p>
    <w:p>
      <w:pPr>
        <w:numPr>
          <w:ilvl w:val="0"/>
          <w:numId w:val="4"/>
        </w:numPr>
        <w:shd w:val="clear" w:color="auto" w:fill="auto"/>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属于招标文件规定的其他投标无效情形；</w:t>
      </w:r>
    </w:p>
    <w:p>
      <w:pPr>
        <w:numPr>
          <w:ilvl w:val="0"/>
          <w:numId w:val="4"/>
        </w:numPr>
        <w:shd w:val="clear" w:color="auto" w:fill="auto"/>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评标委员会认为</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的报价明显低于其他通过符合性检查</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的报价，有可能影响履约的，且</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未按照规定证明其报价合理性的；</w:t>
      </w:r>
    </w:p>
    <w:p>
      <w:pPr>
        <w:numPr>
          <w:ilvl w:val="0"/>
          <w:numId w:val="4"/>
        </w:numPr>
        <w:shd w:val="clear" w:color="auto" w:fill="auto"/>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投标文件含有采购人不能接受的附加条件的；</w:t>
      </w:r>
    </w:p>
    <w:p>
      <w:pPr>
        <w:numPr>
          <w:ilvl w:val="0"/>
          <w:numId w:val="4"/>
        </w:numPr>
        <w:shd w:val="clear" w:color="auto" w:fill="auto"/>
        <w:tabs>
          <w:tab w:val="left" w:pos="0"/>
        </w:tabs>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不符合法规和招标文件中规定的其他实质性要求的。</w:t>
      </w:r>
    </w:p>
    <w:p>
      <w:pPr>
        <w:pStyle w:val="2"/>
        <w:shd w:val="clear" w:color="auto" w:fill="auto"/>
        <w:spacing w:before="0" w:after="0" w:line="34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23.比较与评价</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经符合性审查合格的投标文件，评标委员会将根据招标文件确定的评标方法和标准，对其技术部分和商务部分作进一步的比较和评价。</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评标严格按照招标文件的要求和条件进行。根据实际情况，在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中规定采用下列一种评标方法，详细评标标准见招标文件第六章：</w:t>
      </w:r>
    </w:p>
    <w:p>
      <w:pPr>
        <w:pStyle w:val="10"/>
        <w:shd w:val="clear" w:color="auto" w:fill="auto"/>
        <w:spacing w:line="360" w:lineRule="exact"/>
        <w:ind w:left="899" w:leftChars="342" w:hanging="1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最低评标价法，是指投标文件满足招标文件全部实质性要求，且投标报价最低的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pPr>
        <w:pStyle w:val="10"/>
        <w:shd w:val="clear" w:color="auto" w:fill="auto"/>
        <w:spacing w:line="360" w:lineRule="exact"/>
        <w:ind w:left="898" w:leftChars="342" w:hanging="1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 综合评分法，是指投标文件满足招标文件全部实质性要求，且按照评审因素的量化指标评审得分最高的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pPr>
        <w:pStyle w:val="10"/>
        <w:shd w:val="clear" w:color="auto" w:fill="auto"/>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或省级以上监狱管理局、戒毒管理局（含新疆生产建设兵团）出具的属于监狱企业的证明文件的供应商，其投标报价扣除10%后参与评审。具体办法见招标文件第6章。</w:t>
      </w:r>
    </w:p>
    <w:p>
      <w:pPr>
        <w:pStyle w:val="2"/>
        <w:shd w:val="clear" w:color="auto" w:fill="auto"/>
        <w:spacing w:before="0" w:after="0" w:line="340" w:lineRule="exact"/>
        <w:rPr>
          <w:rFonts w:hint="eastAsia" w:ascii="宋体" w:hAnsi="宋体" w:eastAsia="宋体" w:cs="宋体"/>
          <w:color w:val="auto"/>
          <w:sz w:val="24"/>
          <w:szCs w:val="24"/>
          <w:highlight w:val="none"/>
          <w:u w:val="none"/>
        </w:rPr>
      </w:pPr>
      <w:bookmarkStart w:id="127" w:name="_Toc520356168"/>
      <w:bookmarkStart w:id="128" w:name="_Toc27067"/>
      <w:bookmarkStart w:id="129" w:name="_Toc26402"/>
      <w:bookmarkStart w:id="130" w:name="_Toc31084"/>
      <w:bookmarkStart w:id="131" w:name="_Toc19218"/>
      <w:r>
        <w:rPr>
          <w:rFonts w:hint="eastAsia" w:ascii="宋体" w:hAnsi="宋体" w:eastAsia="宋体" w:cs="宋体"/>
          <w:color w:val="auto"/>
          <w:sz w:val="24"/>
          <w:szCs w:val="24"/>
          <w:highlight w:val="none"/>
          <w:u w:val="none"/>
        </w:rPr>
        <w:t>24</w:t>
      </w:r>
      <w:bookmarkEnd w:id="127"/>
      <w:r>
        <w:rPr>
          <w:rFonts w:hint="eastAsia" w:ascii="宋体" w:hAnsi="宋体" w:eastAsia="宋体" w:cs="宋体"/>
          <w:color w:val="auto"/>
          <w:sz w:val="24"/>
          <w:szCs w:val="24"/>
          <w:highlight w:val="none"/>
          <w:u w:val="none"/>
        </w:rPr>
        <w:t>.废标</w:t>
      </w:r>
      <w:bookmarkEnd w:id="128"/>
      <w:bookmarkEnd w:id="129"/>
      <w:bookmarkEnd w:id="130"/>
      <w:bookmarkEnd w:id="131"/>
    </w:p>
    <w:p>
      <w:pPr>
        <w:shd w:val="clear" w:color="auto" w:fill="auto"/>
        <w:spacing w:line="340" w:lineRule="exact"/>
        <w:ind w:left="898" w:leftChars="399" w:hanging="60" w:hangingChars="2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出现下列情形之一，将导致项目废标：</w:t>
      </w:r>
      <w:r>
        <w:rPr>
          <w:rFonts w:hint="eastAsia" w:ascii="宋体" w:hAnsi="宋体" w:eastAsia="宋体" w:cs="宋体"/>
          <w:color w:val="auto"/>
          <w:sz w:val="24"/>
          <w:szCs w:val="24"/>
          <w:highlight w:val="none"/>
        </w:rPr>
        <w:t xml:space="preserve"> </w:t>
      </w:r>
    </w:p>
    <w:p>
      <w:pPr>
        <w:shd w:val="clear" w:color="auto" w:fill="auto"/>
        <w:spacing w:line="340" w:lineRule="exact"/>
        <w:ind w:left="900" w:hanging="900" w:hangingChars="3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（1）符合专业条件的供应商或者对招标文件做实质性响应的供应商不足三家；</w:t>
      </w:r>
    </w:p>
    <w:p>
      <w:pPr>
        <w:shd w:val="clear" w:color="auto" w:fill="auto"/>
        <w:spacing w:line="340" w:lineRule="exact"/>
        <w:ind w:left="900" w:hanging="904" w:hangingChars="3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（2）出现影响采购公正的违法、违规行为的；</w:t>
      </w:r>
    </w:p>
    <w:p>
      <w:pPr>
        <w:shd w:val="clear" w:color="auto" w:fill="auto"/>
        <w:spacing w:line="340" w:lineRule="exact"/>
        <w:ind w:firstLine="843" w:firstLineChars="3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的报价均超过了采购预算，采购人不能支付的；</w:t>
      </w:r>
    </w:p>
    <w:p>
      <w:pPr>
        <w:shd w:val="clear" w:color="auto" w:fill="auto"/>
        <w:spacing w:line="340" w:lineRule="exact"/>
        <w:ind w:firstLine="843" w:firstLineChars="3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（4）因重大变故，采购任务取消的。  </w:t>
      </w:r>
      <w:r>
        <w:rPr>
          <w:rFonts w:hint="eastAsia" w:ascii="宋体" w:hAnsi="宋体" w:eastAsia="宋体" w:cs="宋体"/>
          <w:color w:val="auto"/>
          <w:sz w:val="24"/>
          <w:szCs w:val="24"/>
          <w:highlight w:val="none"/>
        </w:rPr>
        <w:t xml:space="preserve"> </w:t>
      </w:r>
    </w:p>
    <w:p>
      <w:pPr>
        <w:pStyle w:val="2"/>
        <w:shd w:val="clear" w:color="auto" w:fill="auto"/>
        <w:spacing w:before="0" w:after="0" w:line="340" w:lineRule="exact"/>
        <w:rPr>
          <w:rFonts w:hint="eastAsia" w:ascii="宋体" w:hAnsi="宋体" w:eastAsia="宋体" w:cs="宋体"/>
          <w:color w:val="auto"/>
          <w:sz w:val="24"/>
          <w:szCs w:val="24"/>
          <w:highlight w:val="none"/>
          <w:u w:val="none"/>
        </w:rPr>
      </w:pPr>
      <w:bookmarkStart w:id="132" w:name="_Toc21697"/>
      <w:bookmarkStart w:id="133" w:name="_Toc23725"/>
      <w:bookmarkStart w:id="134" w:name="_Toc10657"/>
      <w:r>
        <w:rPr>
          <w:rFonts w:hint="eastAsia" w:ascii="宋体" w:hAnsi="宋体" w:eastAsia="宋体" w:cs="宋体"/>
          <w:color w:val="auto"/>
          <w:sz w:val="24"/>
          <w:szCs w:val="24"/>
          <w:highlight w:val="none"/>
          <w:u w:val="none"/>
        </w:rPr>
        <w:t>25.保密原则</w:t>
      </w:r>
      <w:bookmarkEnd w:id="132"/>
      <w:bookmarkEnd w:id="133"/>
      <w:bookmarkEnd w:id="134"/>
    </w:p>
    <w:p>
      <w:pPr>
        <w:shd w:val="clear" w:color="auto" w:fill="auto"/>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评标将在严格保密的情况下进行。</w:t>
      </w:r>
    </w:p>
    <w:p>
      <w:pPr>
        <w:shd w:val="clear" w:color="auto" w:fill="auto"/>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pPr>
        <w:shd w:val="clear" w:color="auto" w:fill="auto"/>
        <w:spacing w:line="340" w:lineRule="exact"/>
        <w:ind w:left="1080" w:leftChars="257" w:hanging="540"/>
        <w:rPr>
          <w:rFonts w:hint="eastAsia" w:ascii="宋体" w:hAnsi="宋体" w:eastAsia="宋体" w:cs="宋体"/>
          <w:color w:val="auto"/>
          <w:sz w:val="24"/>
          <w:szCs w:val="24"/>
          <w:highlight w:val="none"/>
        </w:rPr>
      </w:pPr>
    </w:p>
    <w:p>
      <w:pPr>
        <w:pStyle w:val="6"/>
        <w:shd w:val="clear" w:color="auto" w:fill="auto"/>
        <w:spacing w:before="0" w:line="340" w:lineRule="exact"/>
        <w:ind w:left="1080" w:leftChars="257" w:hanging="540"/>
        <w:rPr>
          <w:rFonts w:hint="eastAsia" w:ascii="宋体" w:hAnsi="宋体" w:eastAsia="宋体" w:cs="宋体"/>
          <w:color w:val="auto"/>
          <w:sz w:val="24"/>
          <w:szCs w:val="24"/>
          <w:highlight w:val="none"/>
        </w:rPr>
      </w:pPr>
      <w:bookmarkStart w:id="135" w:name="_Toc31410"/>
      <w:bookmarkStart w:id="136" w:name="_Toc15411"/>
      <w:bookmarkStart w:id="137" w:name="_Toc10353"/>
      <w:r>
        <w:rPr>
          <w:rFonts w:hint="eastAsia" w:ascii="宋体" w:hAnsi="宋体" w:eastAsia="宋体" w:cs="宋体"/>
          <w:color w:val="auto"/>
          <w:sz w:val="24"/>
          <w:szCs w:val="24"/>
          <w:highlight w:val="none"/>
        </w:rPr>
        <w:t>六   确定中标</w:t>
      </w:r>
      <w:bookmarkEnd w:id="135"/>
      <w:bookmarkEnd w:id="136"/>
      <w:bookmarkEnd w:id="137"/>
    </w:p>
    <w:p>
      <w:pPr>
        <w:pStyle w:val="3"/>
        <w:shd w:val="clear" w:color="auto" w:fill="auto"/>
        <w:spacing w:line="340" w:lineRule="exact"/>
        <w:rPr>
          <w:rFonts w:hint="eastAsia" w:ascii="宋体" w:hAnsi="宋体" w:eastAsia="宋体" w:cs="宋体"/>
          <w:color w:val="auto"/>
          <w:sz w:val="24"/>
          <w:szCs w:val="24"/>
          <w:highlight w:val="none"/>
        </w:rPr>
      </w:pPr>
    </w:p>
    <w:p>
      <w:pPr>
        <w:pStyle w:val="2"/>
        <w:shd w:val="clear" w:color="auto" w:fill="auto"/>
        <w:spacing w:before="0" w:after="0" w:line="340" w:lineRule="exact"/>
        <w:rPr>
          <w:rFonts w:hint="eastAsia" w:ascii="宋体" w:hAnsi="宋体" w:eastAsia="宋体" w:cs="宋体"/>
          <w:color w:val="auto"/>
          <w:sz w:val="24"/>
          <w:szCs w:val="24"/>
          <w:highlight w:val="none"/>
          <w:u w:val="none"/>
        </w:rPr>
      </w:pPr>
      <w:bookmarkStart w:id="138" w:name="_Toc13936"/>
      <w:bookmarkStart w:id="139" w:name="_Toc28376"/>
      <w:bookmarkStart w:id="140" w:name="_Toc30510"/>
      <w:r>
        <w:rPr>
          <w:rFonts w:hint="eastAsia" w:ascii="宋体" w:hAnsi="宋体" w:eastAsia="宋体" w:cs="宋体"/>
          <w:color w:val="auto"/>
          <w:sz w:val="24"/>
          <w:szCs w:val="24"/>
          <w:highlight w:val="none"/>
          <w:u w:val="none"/>
        </w:rPr>
        <w:t>26.中标候选人的确定原则及标准</w:t>
      </w:r>
      <w:bookmarkEnd w:id="138"/>
      <w:bookmarkEnd w:id="139"/>
      <w:bookmarkEnd w:id="140"/>
    </w:p>
    <w:p>
      <w:pPr>
        <w:shd w:val="clear" w:color="auto" w:fill="auto"/>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除第28条规定外，对实质上响应招标文件的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按下列方法进行排序，确定投标候选人：</w:t>
      </w:r>
    </w:p>
    <w:p>
      <w:pPr>
        <w:shd w:val="clear" w:color="auto" w:fill="auto"/>
        <w:spacing w:line="340" w:lineRule="exact"/>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（1）采用最低评标价法的，除了算术修正和落实政府采购政策需进行的价格扣除外，不对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的投标价格进行任何调整。评标结果按修正和扣除后的投标报价由低到高顺序排列。报价相同的处理方式详见招标文件第6章。</w:t>
      </w:r>
    </w:p>
    <w:p>
      <w:pPr>
        <w:shd w:val="clear" w:color="auto" w:fill="auto"/>
        <w:spacing w:line="340" w:lineRule="exact"/>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pPr>
        <w:spacing w:line="240" w:lineRule="atLeast"/>
        <w:ind w:left="90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本项目采用综合评分法，其中价格占30%，商务占</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%，技术</w:t>
      </w:r>
      <w:r>
        <w:rPr>
          <w:rFonts w:hint="eastAsia" w:ascii="宋体" w:hAnsi="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en-US" w:eastAsia="zh-CN"/>
        </w:rPr>
        <w:t>%。</w:t>
      </w:r>
    </w:p>
    <w:p>
      <w:pPr>
        <w:pStyle w:val="2"/>
        <w:shd w:val="clear" w:color="auto" w:fill="auto"/>
        <w:tabs>
          <w:tab w:val="left" w:pos="900"/>
        </w:tabs>
        <w:spacing w:before="0" w:after="0" w:line="360" w:lineRule="exact"/>
        <w:rPr>
          <w:rFonts w:hint="eastAsia" w:ascii="宋体" w:hAnsi="宋体" w:eastAsia="宋体" w:cs="宋体"/>
          <w:color w:val="auto"/>
          <w:sz w:val="24"/>
          <w:szCs w:val="24"/>
          <w:highlight w:val="none"/>
          <w:u w:val="none"/>
        </w:rPr>
      </w:pPr>
      <w:bookmarkStart w:id="141" w:name="_Toc28240"/>
      <w:bookmarkStart w:id="142" w:name="_Toc460"/>
      <w:bookmarkStart w:id="143" w:name="_Toc20688"/>
      <w:bookmarkStart w:id="144" w:name="_Toc30072"/>
      <w:r>
        <w:rPr>
          <w:rFonts w:hint="eastAsia" w:ascii="宋体" w:hAnsi="宋体" w:eastAsia="宋体" w:cs="宋体"/>
          <w:color w:val="auto"/>
          <w:sz w:val="24"/>
          <w:szCs w:val="24"/>
          <w:highlight w:val="none"/>
          <w:u w:val="none"/>
        </w:rPr>
        <w:t>27.确定中标候选人和中标人</w:t>
      </w:r>
      <w:bookmarkEnd w:id="141"/>
      <w:bookmarkEnd w:id="142"/>
      <w:bookmarkEnd w:id="143"/>
      <w:bookmarkEnd w:id="144"/>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评标委员会将根据评标标准，按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w:t>
      </w:r>
      <w:r>
        <w:rPr>
          <w:rFonts w:hint="eastAsia" w:ascii="宋体" w:hAnsi="宋体" w:eastAsia="宋体" w:cs="宋体"/>
          <w:color w:val="auto"/>
          <w:sz w:val="24"/>
          <w:szCs w:val="24"/>
          <w:highlight w:val="none"/>
        </w:rPr>
        <w:t>规定数量推荐中标候选人；或根据采购人的委托，直接确定中标人。</w:t>
      </w:r>
    </w:p>
    <w:p>
      <w:pPr>
        <w:pStyle w:val="2"/>
        <w:shd w:val="clear" w:color="auto" w:fill="auto"/>
        <w:tabs>
          <w:tab w:val="left" w:pos="900"/>
        </w:tabs>
        <w:spacing w:before="0" w:after="0" w:line="360" w:lineRule="exact"/>
        <w:rPr>
          <w:rFonts w:hint="eastAsia" w:ascii="宋体" w:hAnsi="宋体" w:eastAsia="宋体" w:cs="宋体"/>
          <w:color w:val="auto"/>
          <w:sz w:val="24"/>
          <w:szCs w:val="24"/>
          <w:highlight w:val="none"/>
          <w:u w:val="none"/>
        </w:rPr>
      </w:pPr>
      <w:bookmarkStart w:id="145" w:name="_Toc31043"/>
      <w:bookmarkStart w:id="146" w:name="_Toc31582"/>
      <w:bookmarkStart w:id="147" w:name="_Toc20001"/>
      <w:bookmarkStart w:id="148" w:name="_Toc7156"/>
      <w:r>
        <w:rPr>
          <w:rFonts w:hint="eastAsia" w:ascii="宋体" w:hAnsi="宋体" w:eastAsia="宋体" w:cs="宋体"/>
          <w:color w:val="auto"/>
          <w:sz w:val="24"/>
          <w:szCs w:val="24"/>
          <w:highlight w:val="none"/>
          <w:u w:val="none"/>
        </w:rPr>
        <w:t>28.采购任务取消</w:t>
      </w:r>
      <w:bookmarkEnd w:id="145"/>
      <w:bookmarkEnd w:id="146"/>
      <w:bookmarkEnd w:id="147"/>
      <w:bookmarkEnd w:id="148"/>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因重大变故采购任务取消时，采购人有权拒绝任何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中标，且对受影响的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不承担任何责任。</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49" w:name="_Toc8834"/>
      <w:bookmarkStart w:id="150" w:name="_Toc30931"/>
      <w:bookmarkStart w:id="151" w:name="_Toc27996"/>
      <w:bookmarkStart w:id="152" w:name="_Toc31939"/>
      <w:r>
        <w:rPr>
          <w:rFonts w:hint="eastAsia" w:ascii="宋体" w:hAnsi="宋体" w:eastAsia="宋体" w:cs="宋体"/>
          <w:color w:val="auto"/>
          <w:sz w:val="24"/>
          <w:szCs w:val="24"/>
          <w:highlight w:val="none"/>
          <w:u w:val="none"/>
        </w:rPr>
        <w:t>29.中标通知书和招标结果通知书</w:t>
      </w:r>
      <w:bookmarkEnd w:id="149"/>
      <w:bookmarkEnd w:id="150"/>
      <w:bookmarkEnd w:id="151"/>
      <w:bookmarkEnd w:id="152"/>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在投标有效期内，中标人确定后，采购人或者采购代理机构发布中标公告，同时以书面形式向中标人发出中标通知书。</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中标通知书是合同的组成部分。</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招标结果通知书和中标通知书同时发出。招标结果通知书中将告知未通过资格审查的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未通过的原因；采用综合评分法评审的，还将告知未中标人本人的评审得分和排序。</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53" w:name="_Toc24091"/>
      <w:bookmarkStart w:id="154" w:name="_Toc14551"/>
      <w:bookmarkStart w:id="155" w:name="_Toc24666"/>
      <w:bookmarkStart w:id="156" w:name="_Toc14106"/>
      <w:r>
        <w:rPr>
          <w:rFonts w:hint="eastAsia" w:ascii="宋体" w:hAnsi="宋体" w:eastAsia="宋体" w:cs="宋体"/>
          <w:color w:val="auto"/>
          <w:sz w:val="24"/>
          <w:szCs w:val="24"/>
          <w:highlight w:val="none"/>
          <w:u w:val="none"/>
        </w:rPr>
        <w:t>30.签订合同</w:t>
      </w:r>
      <w:bookmarkEnd w:id="153"/>
      <w:bookmarkEnd w:id="154"/>
      <w:bookmarkEnd w:id="155"/>
      <w:bookmarkEnd w:id="156"/>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中标人应当自发出中标通知书之日起30日内，与采购人签订合同。</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招标文件、中标人的投标文件及其澄清文件等，均为签订合同的依据。</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   中标人拒绝与采购人签订合同的，采购人可以按照评审报告推荐的中标候选人名单排序，确定下一中标候选人为中标人，也可以重新开展政府采购活动。</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   当出现法规规定的</w:t>
      </w:r>
      <w:r>
        <w:rPr>
          <w:rFonts w:hint="eastAsia" w:ascii="宋体" w:hAnsi="宋体" w:eastAsia="宋体" w:cs="宋体"/>
          <w:b/>
          <w:color w:val="auto"/>
          <w:sz w:val="24"/>
          <w:szCs w:val="24"/>
          <w:highlight w:val="none"/>
        </w:rPr>
        <w:t>中标无效或中标结果无效</w:t>
      </w:r>
      <w:r>
        <w:rPr>
          <w:rFonts w:hint="eastAsia" w:ascii="宋体" w:hAnsi="宋体" w:eastAsia="宋体" w:cs="宋体"/>
          <w:color w:val="auto"/>
          <w:sz w:val="24"/>
          <w:szCs w:val="24"/>
          <w:highlight w:val="none"/>
        </w:rPr>
        <w:t>情形时，采购人可与排名下一位的中标候选人另行签订合同，或依法重新开展采购活动。</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57" w:name="_Toc8189"/>
      <w:bookmarkStart w:id="158" w:name="_Toc28788"/>
      <w:bookmarkStart w:id="159" w:name="_Toc11249"/>
      <w:bookmarkStart w:id="160" w:name="_Toc10991"/>
      <w:r>
        <w:rPr>
          <w:rFonts w:hint="eastAsia" w:ascii="宋体" w:hAnsi="宋体" w:eastAsia="宋体" w:cs="宋体"/>
          <w:color w:val="auto"/>
          <w:sz w:val="24"/>
          <w:szCs w:val="24"/>
          <w:highlight w:val="none"/>
          <w:u w:val="none"/>
        </w:rPr>
        <w:t>31.履约保证金</w:t>
      </w:r>
      <w:bookmarkEnd w:id="157"/>
      <w:bookmarkEnd w:id="158"/>
      <w:bookmarkEnd w:id="159"/>
      <w:bookmarkEnd w:id="160"/>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中标人应按照</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规定向采购人缴纳履约保证金（如采用保函形式，格式见本章附件1）。</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政府采购利用担保试点范围内的项目，除31.1规定的情形外，中标人也可以按照财政部门的规定，向采购人提供合格的履约担保函（格式见本章附件2）。</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61" w:name="_Toc21246"/>
      <w:bookmarkStart w:id="162" w:name="_Toc9967"/>
      <w:bookmarkStart w:id="163" w:name="_Toc17796"/>
      <w:bookmarkStart w:id="164" w:name="_Toc16406"/>
      <w:r>
        <w:rPr>
          <w:rFonts w:hint="eastAsia" w:ascii="宋体" w:hAnsi="宋体" w:eastAsia="宋体" w:cs="宋体"/>
          <w:color w:val="auto"/>
          <w:sz w:val="24"/>
          <w:szCs w:val="24"/>
          <w:highlight w:val="none"/>
          <w:u w:val="none"/>
        </w:rPr>
        <w:t>32.中标服务费</w:t>
      </w:r>
      <w:bookmarkEnd w:id="161"/>
      <w:bookmarkEnd w:id="162"/>
      <w:bookmarkEnd w:id="163"/>
      <w:bookmarkEnd w:id="164"/>
    </w:p>
    <w:p>
      <w:pPr>
        <w:shd w:val="clear" w:color="auto" w:fill="auto"/>
        <w:spacing w:line="360" w:lineRule="exact"/>
        <w:ind w:left="840" w:leftChars="200"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中标人须按照</w:t>
      </w:r>
      <w:r>
        <w:rPr>
          <w:rFonts w:hint="eastAsia" w:ascii="宋体" w:hAnsi="宋体" w:eastAsia="宋体" w:cs="宋体"/>
          <w:color w:val="auto"/>
          <w:sz w:val="24"/>
          <w:szCs w:val="24"/>
          <w:highlight w:val="none"/>
          <w:u w:val="single"/>
        </w:rPr>
        <w:t>投标须知资料表</w:t>
      </w:r>
      <w:r>
        <w:rPr>
          <w:rFonts w:hint="eastAsia" w:ascii="宋体" w:hAnsi="宋体" w:eastAsia="宋体" w:cs="宋体"/>
          <w:color w:val="auto"/>
          <w:sz w:val="24"/>
          <w:szCs w:val="24"/>
          <w:highlight w:val="none"/>
        </w:rPr>
        <w:t>规定，向采购代理机构支付中标服务费。</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65" w:name="_Toc3053"/>
      <w:bookmarkStart w:id="166" w:name="_Toc24525"/>
      <w:bookmarkStart w:id="167" w:name="_Toc16900"/>
      <w:bookmarkStart w:id="168" w:name="_Toc9596"/>
      <w:r>
        <w:rPr>
          <w:rFonts w:hint="eastAsia" w:ascii="宋体" w:hAnsi="宋体" w:eastAsia="宋体" w:cs="宋体"/>
          <w:color w:val="auto"/>
          <w:sz w:val="24"/>
          <w:szCs w:val="24"/>
          <w:highlight w:val="none"/>
          <w:u w:val="none"/>
        </w:rPr>
        <w:t>33.政府采购信用担保</w:t>
      </w:r>
      <w:bookmarkEnd w:id="165"/>
      <w:bookmarkEnd w:id="166"/>
      <w:bookmarkEnd w:id="167"/>
      <w:bookmarkEnd w:id="168"/>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本项目是否属于信用担保试点范围见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shd w:val="clear" w:color="auto" w:fill="auto"/>
        <w:spacing w:line="360" w:lineRule="exact"/>
        <w:ind w:left="850" w:hanging="849" w:hangingChars="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如属于政府采购信用担保试点范围内，中小型企业</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可以自由按照财政部门的规定，采用投标担保、履约担保和融资担保。</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33.2.1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递交的投标担保函和履约担保函应符合本招标文件的规定。</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33.2.2 中标人可以采取融资担保的形式为政府采购项目履约进行融资。</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33.2.3 合格的政府采购专业信用担保机构名单见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69" w:name="_Toc7597"/>
      <w:bookmarkStart w:id="170" w:name="_Toc23161"/>
      <w:bookmarkStart w:id="171" w:name="_Toc27009"/>
      <w:bookmarkStart w:id="172" w:name="_Toc29108"/>
      <w:r>
        <w:rPr>
          <w:rFonts w:hint="eastAsia" w:ascii="宋体" w:hAnsi="宋体" w:eastAsia="宋体" w:cs="宋体"/>
          <w:color w:val="auto"/>
          <w:sz w:val="24"/>
          <w:szCs w:val="24"/>
          <w:highlight w:val="none"/>
          <w:u w:val="none"/>
        </w:rPr>
        <w:t>34.廉洁自律规定</w:t>
      </w:r>
      <w:bookmarkEnd w:id="169"/>
      <w:bookmarkEnd w:id="170"/>
      <w:bookmarkEnd w:id="171"/>
      <w:bookmarkEnd w:id="172"/>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采购代理机构工作人员不得以不正当手段获取政府采购代理业务，不得与采购人、供应商恶意串通操纵政府采购活动。</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为强化采购代理机构内部监督机制，供应商可按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须知资料表中的</w:t>
      </w:r>
      <w:r>
        <w:rPr>
          <w:rFonts w:hint="eastAsia" w:ascii="宋体" w:hAnsi="宋体" w:eastAsia="宋体" w:cs="宋体"/>
          <w:color w:val="auto"/>
          <w:sz w:val="24"/>
          <w:szCs w:val="24"/>
          <w:highlight w:val="none"/>
        </w:rPr>
        <w:t>监督电话和邮箱，反映采购代理机构的廉洁自律等问题。</w:t>
      </w:r>
    </w:p>
    <w:p>
      <w:pPr>
        <w:pStyle w:val="2"/>
        <w:shd w:val="clear" w:color="auto" w:fill="auto"/>
        <w:spacing w:before="0" w:after="0" w:line="360" w:lineRule="exact"/>
        <w:rPr>
          <w:rFonts w:hint="eastAsia" w:ascii="宋体" w:hAnsi="宋体" w:eastAsia="宋体" w:cs="宋体"/>
          <w:color w:val="auto"/>
          <w:sz w:val="24"/>
          <w:szCs w:val="24"/>
          <w:highlight w:val="none"/>
          <w:u w:val="none"/>
        </w:rPr>
      </w:pPr>
      <w:bookmarkStart w:id="173" w:name="_Toc21051"/>
      <w:bookmarkStart w:id="174" w:name="_Toc5448"/>
      <w:bookmarkStart w:id="175" w:name="_Toc30009"/>
      <w:bookmarkStart w:id="176" w:name="_Toc5069"/>
      <w:r>
        <w:rPr>
          <w:rFonts w:hint="eastAsia" w:ascii="宋体" w:hAnsi="宋体" w:eastAsia="宋体" w:cs="宋体"/>
          <w:color w:val="auto"/>
          <w:sz w:val="24"/>
          <w:szCs w:val="24"/>
          <w:highlight w:val="none"/>
          <w:u w:val="none"/>
        </w:rPr>
        <w:t>35.人员回避</w:t>
      </w:r>
      <w:bookmarkEnd w:id="173"/>
      <w:bookmarkEnd w:id="174"/>
      <w:bookmarkEnd w:id="175"/>
      <w:bookmarkEnd w:id="176"/>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认为采购人员及其相关人员有法律法规所列与其他供应商有利害关系的，可以向采购人或采购代理机构书面提出回避申请，并说明理由。</w:t>
      </w:r>
    </w:p>
    <w:p>
      <w:pPr>
        <w:pStyle w:val="2"/>
        <w:shd w:val="clear" w:color="auto" w:fill="auto"/>
        <w:spacing w:before="0" w:after="0" w:line="40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36.质疑与接收</w:t>
      </w:r>
    </w:p>
    <w:p>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采购代理机构质疑函接收部门、联系电话和通讯地址, 见</w:t>
      </w:r>
      <w:r>
        <w:rPr>
          <w:rFonts w:hint="eastAsia" w:ascii="宋体" w:hAnsi="宋体" w:eastAsia="宋体" w:cs="宋体"/>
          <w:color w:val="auto"/>
          <w:sz w:val="24"/>
          <w:szCs w:val="24"/>
          <w:highlight w:val="none"/>
          <w:u w:val="single"/>
        </w:rPr>
        <w:t>供应商须知资料表。</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36.8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36.9   提出质疑应当符合下列条件：</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36.11  质疑人所提供的证明材料应当具有真实性、合法性以及与质疑事项的关联性和证明力，否则不能作为认定该质疑事项成立的依据。</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36.12  质疑人提出质疑时应当提交质疑函。质疑函包括下列内容：</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36.13  质疑人可以委托代理人进行质疑。代理人应当提交授权委托书。授权委托书应当载明委托代理的具体权限、期限和相关事项。</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36.14  质疑的审查和受理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36.15  对不符合质疑受理条件的，分别按照下列不同情形予以处理：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36.16  质疑的处理和答复</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36.17  采购方受理质疑后，将及时把质疑函发送给被质疑人，并要求其在一定限期内提交书面答复，同时提供有关证据、依据和相关材料。</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36.18  对于质疑事项中涉及的问题较多、情况比较复杂的，为了全面查清事实、取得充分的证据，采购方认为有必要时，可以进行调查取证或者组织质证。</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36.19  对评审过程、中标结果提出质疑的，采购方可以组织原评审委员会协助答复质疑。</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36.20  质疑处理过程中，质疑人书面申请撤回质疑的，将终止质疑处理程序。</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36.21  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36.22  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36.23  采购方将在正式受理质疑后7个工作日内作出答复。</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36.24  质疑答复应当包括下列内容：</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pPr>
        <w:pStyle w:val="26"/>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pPr>
        <w:pStyle w:val="26"/>
        <w:shd w:val="clear" w:color="auto" w:fill="auto"/>
        <w:spacing w:line="40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（六）答复质疑的日期。</w:t>
      </w:r>
    </w:p>
    <w:p>
      <w:pPr>
        <w:shd w:val="clear" w:color="auto" w:fill="auto"/>
        <w:spacing w:line="400" w:lineRule="exact"/>
        <w:jc w:val="center"/>
        <w:outlineLvl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hd w:val="clear" w:color="auto" w:fill="auto"/>
        <w:spacing w:line="400" w:lineRule="exact"/>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pPr>
        <w:shd w:val="clear" w:color="auto" w:fill="auto"/>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shd w:val="clear" w:color="auto" w:fill="auto"/>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hd w:val="clear" w:color="auto" w:fill="auto"/>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shd w:val="clear" w:color="auto" w:fill="auto"/>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hd w:val="clear" w:color="auto" w:fill="auto"/>
        <w:spacing w:line="400" w:lineRule="exact"/>
        <w:rPr>
          <w:rFonts w:hint="eastAsia" w:ascii="宋体" w:hAnsi="宋体" w:eastAsia="宋体" w:cs="宋体"/>
          <w:b/>
          <w:color w:val="auto"/>
          <w:sz w:val="24"/>
          <w:szCs w:val="24"/>
          <w:highlight w:val="none"/>
        </w:rPr>
      </w:pPr>
    </w:p>
    <w:p>
      <w:pPr>
        <w:shd w:val="clear" w:color="auto" w:fill="auto"/>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pPr>
        <w:widowControl/>
        <w:shd w:val="clear" w:color="auto" w:fill="auto"/>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hd w:val="clear" w:color="auto" w:fill="auto"/>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widowControl/>
        <w:shd w:val="clear" w:color="auto" w:fill="auto"/>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hd w:val="clear" w:color="auto" w:fill="auto"/>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hd w:val="clear" w:color="auto" w:fill="auto"/>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highlight w:val="none"/>
        </w:rPr>
      </w:pPr>
      <w:bookmarkStart w:id="177" w:name="_Toc27871"/>
      <w:bookmarkStart w:id="178" w:name="_Toc30943"/>
      <w:bookmarkStart w:id="179" w:name="_Toc31362"/>
      <w:bookmarkStart w:id="180" w:name="_Toc12880"/>
      <w:r>
        <w:rPr>
          <w:rFonts w:hint="eastAsia" w:ascii="宋体" w:hAnsi="宋体" w:eastAsia="宋体" w:cs="宋体"/>
          <w:color w:val="auto"/>
          <w:highlight w:val="none"/>
        </w:rPr>
        <w:br w:type="page"/>
      </w:r>
    </w:p>
    <w:p>
      <w:pPr>
        <w:pStyle w:val="5"/>
        <w:tabs>
          <w:tab w:val="left" w:pos="0"/>
        </w:tabs>
        <w:spacing w:before="0" w:after="0" w:line="240" w:lineRule="atLeast"/>
        <w:jc w:val="center"/>
        <w:rPr>
          <w:rFonts w:hint="eastAsia" w:ascii="宋体" w:hAnsi="宋体" w:eastAsia="宋体" w:cs="宋体"/>
          <w:color w:val="auto"/>
          <w:highlight w:val="none"/>
        </w:rPr>
      </w:pPr>
      <w:bookmarkStart w:id="181" w:name="_Toc9747"/>
      <w:r>
        <w:rPr>
          <w:rFonts w:hint="eastAsia" w:ascii="宋体" w:hAnsi="宋体" w:eastAsia="宋体" w:cs="宋体"/>
          <w:color w:val="auto"/>
          <w:highlight w:val="none"/>
        </w:rPr>
        <w:t>第2章   投标文件格式</w:t>
      </w:r>
      <w:bookmarkEnd w:id="181"/>
    </w:p>
    <w:p>
      <w:pPr>
        <w:spacing w:line="240" w:lineRule="atLeast"/>
        <w:ind w:left="735" w:leftChars="350" w:firstLine="105" w:firstLineChars="50"/>
        <w:rPr>
          <w:rFonts w:hint="eastAsia" w:ascii="宋体" w:hAnsi="宋体" w:eastAsia="宋体" w:cs="宋体"/>
          <w:color w:val="auto"/>
          <w:szCs w:val="21"/>
          <w:highlight w:val="none"/>
        </w:rPr>
      </w:pPr>
    </w:p>
    <w:p>
      <w:pPr>
        <w:pStyle w:val="6"/>
        <w:spacing w:before="0" w:line="240" w:lineRule="atLeast"/>
        <w:ind w:left="1080" w:leftChars="257" w:hanging="540"/>
        <w:rPr>
          <w:rFonts w:hint="eastAsia" w:ascii="宋体" w:hAnsi="宋体" w:eastAsia="宋体" w:cs="宋体"/>
          <w:color w:val="auto"/>
          <w:kern w:val="2"/>
          <w:sz w:val="24"/>
          <w:szCs w:val="24"/>
          <w:highlight w:val="none"/>
        </w:rPr>
      </w:pPr>
      <w:bookmarkStart w:id="182" w:name="_Toc15468"/>
      <w:bookmarkStart w:id="183" w:name="_Toc22572"/>
      <w:bookmarkStart w:id="184" w:name="_Toc29179"/>
      <w:bookmarkStart w:id="185" w:name="_Toc515647803"/>
      <w:bookmarkStart w:id="186" w:name="_Toc25792"/>
      <w:bookmarkStart w:id="187" w:name="_Toc18974"/>
      <w:bookmarkStart w:id="188" w:name="_Toc18694"/>
      <w:r>
        <w:rPr>
          <w:rFonts w:hint="eastAsia" w:ascii="宋体" w:hAnsi="宋体" w:eastAsia="宋体" w:cs="宋体"/>
          <w:color w:val="auto"/>
          <w:kern w:val="2"/>
          <w:sz w:val="24"/>
          <w:szCs w:val="24"/>
          <w:highlight w:val="none"/>
        </w:rPr>
        <w:t>第一部分</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开标一览表及资格证明文件</w:t>
      </w:r>
      <w:bookmarkEnd w:id="182"/>
      <w:bookmarkEnd w:id="183"/>
      <w:bookmarkEnd w:id="184"/>
      <w:bookmarkEnd w:id="185"/>
      <w:bookmarkEnd w:id="186"/>
      <w:bookmarkEnd w:id="187"/>
      <w:bookmarkEnd w:id="188"/>
    </w:p>
    <w:p>
      <w:pPr>
        <w:spacing w:line="240" w:lineRule="atLeast"/>
        <w:ind w:left="619" w:hanging="708" w:hangingChars="295"/>
        <w:jc w:val="center"/>
        <w:rPr>
          <w:rFonts w:hint="eastAsia" w:ascii="宋体" w:hAnsi="宋体" w:eastAsia="宋体" w:cs="宋体"/>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开标一览表</w:t>
      </w:r>
      <w:r>
        <w:rPr>
          <w:rFonts w:hint="eastAsia" w:ascii="宋体" w:hAnsi="宋体" w:eastAsia="宋体" w:cs="宋体"/>
          <w:color w:val="auto"/>
          <w:sz w:val="24"/>
          <w:szCs w:val="24"/>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2.具有有效的独立法人营业执照；</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.提供《医疗器械生产许可证》或《医疗器械经营许可证》及医疗器械注册证（所投产品为二类医疗器械的须提供二类医疗器械备案凭证）；</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.法定代表人资格证明及授权书、被授权人身份证；(法定代表人投标需提供法定代表人身份证)；</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.依法缴纳近六个月内任意一个月社会保险的凭据；</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.税务部门出具的近六个月内任意一个月的完税证明；</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.近两年内任意一年的财务审计报告（新成立的公司提供近三个月内任意一个月的银行资信证明）；</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.参与政府采购活动前3年内未被列入失信、重大税收违法案件、财政部门禁止参加政府采购活动的承诺书；</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.提供针对本次项目的《反商业贿赂承诺书》;</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提供缴纳投标保证金的有效凭证;</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12.银行开户许可证复印件或银行基本账户信息(包含：银行账号及开户行名称）；</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可提供有利于投标的其他资格证明材料。</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color w:val="auto"/>
          <w:sz w:val="24"/>
          <w:szCs w:val="24"/>
          <w:highlight w:val="none"/>
        </w:rPr>
      </w:pPr>
      <w:bookmarkStart w:id="189" w:name="_Toc515647804"/>
      <w:bookmarkStart w:id="190" w:name="_Toc30524"/>
      <w:bookmarkStart w:id="191" w:name="_Toc10957"/>
      <w:bookmarkStart w:id="192" w:name="_Toc15286"/>
      <w:bookmarkStart w:id="193" w:name="_Toc16568"/>
      <w:r>
        <w:rPr>
          <w:rFonts w:hint="eastAsia" w:ascii="宋体" w:hAnsi="宋体" w:eastAsia="宋体" w:cs="宋体"/>
          <w:b/>
          <w:bCs/>
          <w:color w:val="auto"/>
          <w:sz w:val="24"/>
          <w:szCs w:val="24"/>
          <w:highlight w:val="none"/>
        </w:rPr>
        <w:t>各供应商应注意以下事项：</w:t>
      </w:r>
    </w:p>
    <w:p>
      <w:pPr>
        <w:keepNext w:val="0"/>
        <w:keepLines w:val="0"/>
        <w:pageBreakBefore w:val="0"/>
        <w:widowControl/>
        <w:kinsoku/>
        <w:wordWrap/>
        <w:overflowPunct/>
        <w:topLinePunct w:val="0"/>
        <w:autoSpaceDE/>
        <w:autoSpaceDN/>
        <w:bidi w:val="0"/>
        <w:adjustRightInd/>
        <w:snapToGrid w:val="0"/>
        <w:spacing w:line="320" w:lineRule="exact"/>
        <w:ind w:firstLine="723" w:firstLineChars="3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本项目要求各投标供应商提供“税务部门出具的近六个月内任意一个月的完税证明”，若供应商某月税收为零申报，须提供加盖税务局公章的无欠税证明或申报成功网页截图（供应商可自主登录“国家税务总局电子税务局”12366.chinatax.gov.cn/bsfw/onlinetaxation/main——税费申报及缴纳——申报结果查询）。</w:t>
      </w:r>
    </w:p>
    <w:p>
      <w:pPr>
        <w:keepNext w:val="0"/>
        <w:keepLines w:val="0"/>
        <w:pageBreakBefore w:val="0"/>
        <w:widowControl/>
        <w:kinsoku/>
        <w:wordWrap/>
        <w:overflowPunct/>
        <w:topLinePunct w:val="0"/>
        <w:autoSpaceDE/>
        <w:autoSpaceDN/>
        <w:bidi w:val="0"/>
        <w:adjustRightInd/>
        <w:snapToGrid w:val="0"/>
        <w:spacing w:line="320" w:lineRule="exact"/>
        <w:ind w:firstLine="723" w:firstLineChars="3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B：税务局代收的社保缴费证明不可作为本项目的完税证明（“税种”不可为养老保险、医疗保险、失业保险、工伤保险和生育保险）。</w:t>
      </w:r>
      <w:bookmarkStart w:id="194" w:name="_Toc2679"/>
      <w:bookmarkStart w:id="195" w:name="_Toc8165"/>
      <w:bookmarkStart w:id="196" w:name="_Toc5230"/>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15"/>
        <w:rPr>
          <w:rFonts w:hint="eastAsia"/>
        </w:rPr>
      </w:pPr>
    </w:p>
    <w:p>
      <w:pPr>
        <w:spacing w:before="0" w:line="240" w:lineRule="atLeast"/>
        <w:ind w:firstLine="3373" w:firstLineChars="1400"/>
        <w:jc w:val="both"/>
        <w:outlineLvl w:val="1"/>
        <w:rPr>
          <w:rFonts w:hint="eastAsia" w:ascii="宋体" w:hAnsi="宋体" w:eastAsia="宋体" w:cs="宋体"/>
          <w:b/>
          <w:color w:val="auto"/>
          <w:sz w:val="24"/>
          <w:szCs w:val="24"/>
          <w:highlight w:val="none"/>
        </w:rPr>
      </w:pPr>
      <w:bookmarkStart w:id="197" w:name="_Toc17125"/>
      <w:bookmarkStart w:id="198" w:name="_Toc16018"/>
      <w:bookmarkStart w:id="199" w:name="_Toc9285"/>
      <w:r>
        <w:rPr>
          <w:rFonts w:hint="eastAsia" w:ascii="宋体" w:hAnsi="宋体" w:eastAsia="宋体" w:cs="宋体"/>
          <w:b/>
          <w:color w:val="auto"/>
          <w:kern w:val="0"/>
          <w:sz w:val="24"/>
          <w:szCs w:val="24"/>
          <w:highlight w:val="none"/>
          <w:lang w:val="en-US" w:eastAsia="zh-CN" w:bidi="ar-SA"/>
        </w:rPr>
        <w:t>1.开标一览表</w:t>
      </w:r>
      <w:bookmarkEnd w:id="189"/>
      <w:bookmarkEnd w:id="190"/>
      <w:bookmarkEnd w:id="191"/>
      <w:bookmarkEnd w:id="192"/>
      <w:bookmarkEnd w:id="193"/>
      <w:bookmarkEnd w:id="194"/>
      <w:bookmarkEnd w:id="195"/>
      <w:bookmarkEnd w:id="196"/>
      <w:bookmarkEnd w:id="197"/>
      <w:bookmarkEnd w:id="198"/>
      <w:bookmarkEnd w:id="199"/>
      <w:bookmarkStart w:id="200" w:name="_Hlt520356241"/>
      <w:bookmarkEnd w:id="200"/>
      <w:bookmarkStart w:id="201" w:name="_Toc494296984"/>
      <w:bookmarkStart w:id="202" w:name="_Ref467988698"/>
      <w:bookmarkStart w:id="203" w:name="_Toc480942349"/>
      <w:bookmarkStart w:id="204" w:name="_Toc216582813"/>
      <w:bookmarkStart w:id="205" w:name="_Toc520356217"/>
    </w:p>
    <w:p>
      <w:pPr>
        <w:pStyle w:val="3"/>
        <w:tabs>
          <w:tab w:val="left" w:pos="5580"/>
        </w:tabs>
        <w:spacing w:line="240" w:lineRule="atLeast"/>
        <w:ind w:left="1080" w:leftChars="257" w:hanging="540"/>
        <w:rPr>
          <w:rFonts w:hint="eastAsia" w:ascii="宋体" w:hAnsi="宋体" w:eastAsia="宋体" w:cs="宋体"/>
          <w:color w:val="auto"/>
          <w:sz w:val="24"/>
          <w:szCs w:val="24"/>
          <w:highlight w:val="none"/>
        </w:rPr>
      </w:pPr>
    </w:p>
    <w:p>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pPr>
        <w:tabs>
          <w:tab w:val="left" w:pos="1800"/>
          <w:tab w:val="left" w:pos="5580"/>
        </w:tabs>
        <w:spacing w:line="240" w:lineRule="atLeast"/>
        <w:ind w:right="-867" w:rightChars="-413"/>
        <w:rPr>
          <w:rFonts w:hint="eastAsia" w:ascii="宋体" w:hAnsi="宋体" w:eastAsia="宋体" w:cs="宋体"/>
          <w:color w:val="auto"/>
          <w:sz w:val="24"/>
          <w:szCs w:val="24"/>
          <w:highlight w:val="none"/>
        </w:rPr>
      </w:pPr>
    </w:p>
    <w:p>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单位：人民币  </w:t>
      </w:r>
      <w:r>
        <w:rPr>
          <w:rFonts w:hint="eastAsia" w:ascii="宋体" w:hAnsi="宋体" w:eastAsia="宋体" w:cs="宋体"/>
          <w:b/>
          <w:color w:val="auto"/>
          <w:sz w:val="24"/>
          <w:szCs w:val="24"/>
          <w:highlight w:val="none"/>
        </w:rPr>
        <w:t xml:space="preserve">元                 </w:t>
      </w:r>
      <w:r>
        <w:rPr>
          <w:rFonts w:hint="eastAsia" w:ascii="宋体" w:hAnsi="宋体" w:eastAsia="宋体" w:cs="宋体"/>
          <w:color w:val="auto"/>
          <w:sz w:val="24"/>
          <w:szCs w:val="24"/>
          <w:highlight w:val="none"/>
        </w:rPr>
        <w:t xml:space="preserve">      </w:t>
      </w:r>
    </w:p>
    <w:tbl>
      <w:tblPr>
        <w:tblStyle w:val="20"/>
        <w:tblW w:w="8349" w:type="dxa"/>
        <w:tblInd w:w="0" w:type="dxa"/>
        <w:tblLayout w:type="fixed"/>
        <w:tblCellMar>
          <w:top w:w="0" w:type="dxa"/>
          <w:left w:w="0" w:type="dxa"/>
          <w:bottom w:w="0" w:type="dxa"/>
          <w:right w:w="0" w:type="dxa"/>
        </w:tblCellMar>
      </w:tblPr>
      <w:tblGrid>
        <w:gridCol w:w="1551"/>
        <w:gridCol w:w="1133"/>
        <w:gridCol w:w="1273"/>
        <w:gridCol w:w="1300"/>
        <w:gridCol w:w="1545"/>
        <w:gridCol w:w="1547"/>
      </w:tblGrid>
      <w:tr>
        <w:tblPrEx>
          <w:tblCellMar>
            <w:top w:w="0" w:type="dxa"/>
            <w:left w:w="0" w:type="dxa"/>
            <w:bottom w:w="0" w:type="dxa"/>
            <w:right w:w="0" w:type="dxa"/>
          </w:tblCellMar>
        </w:tblPrEx>
        <w:trPr>
          <w:trHeight w:val="631" w:hRule="atLeast"/>
        </w:trPr>
        <w:tc>
          <w:tcPr>
            <w:tcW w:w="1551"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货物内容</w:t>
            </w:r>
          </w:p>
        </w:tc>
        <w:tc>
          <w:tcPr>
            <w:tcW w:w="1133"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1273"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300"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15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54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r>
      <w:tr>
        <w:tblPrEx>
          <w:tblCellMar>
            <w:top w:w="0" w:type="dxa"/>
            <w:left w:w="0" w:type="dxa"/>
            <w:bottom w:w="0" w:type="dxa"/>
            <w:right w:w="0" w:type="dxa"/>
          </w:tblCellMar>
        </w:tblPrEx>
        <w:trPr>
          <w:cantSplit/>
          <w:trHeight w:val="1545" w:hRule="atLeast"/>
        </w:trPr>
        <w:tc>
          <w:tcPr>
            <w:tcW w:w="1551"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133"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1273"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300"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p>
        </w:tc>
        <w:tc>
          <w:tcPr>
            <w:tcW w:w="1545"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p>
        </w:tc>
        <w:tc>
          <w:tcPr>
            <w:tcW w:w="154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p>
        </w:tc>
      </w:tr>
    </w:tbl>
    <w:p>
      <w:pPr>
        <w:pStyle w:val="10"/>
        <w:tabs>
          <w:tab w:val="left" w:pos="5580"/>
        </w:tabs>
        <w:spacing w:line="240" w:lineRule="atLeast"/>
        <w:ind w:left="1080" w:leftChars="257" w:hanging="540"/>
        <w:rPr>
          <w:rFonts w:hint="eastAsia" w:ascii="宋体" w:hAnsi="宋体" w:eastAsia="宋体" w:cs="宋体"/>
          <w:color w:val="auto"/>
          <w:sz w:val="24"/>
          <w:szCs w:val="24"/>
          <w:highlight w:val="none"/>
        </w:rPr>
      </w:pPr>
    </w:p>
    <w:p>
      <w:pPr>
        <w:pStyle w:val="10"/>
        <w:tabs>
          <w:tab w:val="left" w:pos="5580"/>
        </w:tabs>
        <w:spacing w:line="240" w:lineRule="atLeast"/>
        <w:ind w:left="1080" w:leftChars="257" w:hanging="540"/>
        <w:rPr>
          <w:rFonts w:hint="eastAsia" w:ascii="宋体" w:hAnsi="宋体" w:eastAsia="宋体" w:cs="宋体"/>
          <w:color w:val="auto"/>
          <w:sz w:val="24"/>
          <w:szCs w:val="24"/>
          <w:highlight w:val="none"/>
          <w:u w:val="single"/>
        </w:rPr>
      </w:pPr>
    </w:p>
    <w:p>
      <w:pPr>
        <w:pStyle w:val="10"/>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0"/>
        <w:tabs>
          <w:tab w:val="left" w:pos="558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法定代表人或委托代理(签字):</w:t>
      </w:r>
      <w:r>
        <w:rPr>
          <w:rFonts w:hint="eastAsia" w:ascii="宋体" w:hAnsi="宋体" w:eastAsia="宋体" w:cs="宋体"/>
          <w:color w:val="auto"/>
          <w:sz w:val="24"/>
          <w:szCs w:val="24"/>
          <w:highlight w:val="none"/>
          <w:u w:val="single"/>
        </w:rPr>
        <w:tab/>
      </w:r>
    </w:p>
    <w:p>
      <w:pPr>
        <w:pStyle w:val="10"/>
        <w:tabs>
          <w:tab w:val="left" w:pos="5580"/>
        </w:tabs>
        <w:spacing w:line="240" w:lineRule="atLeast"/>
        <w:ind w:left="1080" w:leftChars="257" w:hanging="540"/>
        <w:rPr>
          <w:rFonts w:hint="eastAsia" w:ascii="宋体" w:hAnsi="宋体" w:eastAsia="宋体" w:cs="宋体"/>
          <w:color w:val="auto"/>
          <w:sz w:val="24"/>
          <w:szCs w:val="24"/>
          <w:highlight w:val="none"/>
        </w:rPr>
      </w:pPr>
    </w:p>
    <w:p>
      <w:pPr>
        <w:pStyle w:val="10"/>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须知的规定装订密封。</w:t>
      </w:r>
    </w:p>
    <w:p>
      <w:pPr>
        <w:pStyle w:val="10"/>
        <w:numPr>
          <w:ilvl w:val="0"/>
          <w:numId w:val="5"/>
        </w:numPr>
        <w:tabs>
          <w:tab w:val="left" w:pos="5580"/>
        </w:tabs>
        <w:spacing w:line="240" w:lineRule="atLeast"/>
        <w:ind w:left="1079" w:leftChars="428"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此表中，每包的投标总价应和投标分项报价表的总价相一致。</w:t>
      </w:r>
    </w:p>
    <w:p>
      <w:pPr>
        <w:pStyle w:val="10"/>
        <w:numPr>
          <w:ilvl w:val="0"/>
          <w:numId w:val="5"/>
        </w:numPr>
        <w:tabs>
          <w:tab w:val="left" w:pos="5580"/>
        </w:tabs>
        <w:spacing w:line="240" w:lineRule="atLeast"/>
        <w:ind w:left="1079" w:leftChars="428"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此报价中包含运费、安装调试等杂费。</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End w:id="201"/>
      <w:bookmarkStart w:id="206" w:name="_Toc31862"/>
    </w:p>
    <w:p>
      <w:pPr>
        <w:rPr>
          <w:rFonts w:hint="eastAsia" w:ascii="宋体" w:hAnsi="宋体" w:eastAsia="宋体" w:cs="宋体"/>
          <w:color w:val="auto"/>
          <w:sz w:val="24"/>
          <w:szCs w:val="24"/>
          <w:highlight w:val="none"/>
        </w:rPr>
      </w:pPr>
    </w:p>
    <w:bookmarkEnd w:id="206"/>
    <w:p>
      <w:pPr>
        <w:bidi w:val="0"/>
        <w:rPr>
          <w:rFonts w:hint="eastAsia" w:ascii="宋体" w:hAnsi="宋体" w:eastAsia="宋体" w:cs="宋体"/>
          <w:color w:val="auto"/>
          <w:sz w:val="24"/>
          <w:szCs w:val="24"/>
          <w:highlight w:val="none"/>
          <w:lang w:val="en-US" w:eastAsia="zh-CN"/>
        </w:rPr>
      </w:pPr>
    </w:p>
    <w:p>
      <w:pPr>
        <w:pStyle w:val="19"/>
        <w:spacing w:line="400" w:lineRule="exact"/>
        <w:ind w:left="0" w:leftChars="0" w:firstLine="482" w:firstLineChars="200"/>
        <w:outlineLvl w:val="1"/>
        <w:rPr>
          <w:rFonts w:hint="eastAsia" w:ascii="宋体" w:hAnsi="宋体" w:eastAsia="宋体" w:cs="宋体"/>
          <w:b/>
          <w:color w:val="auto"/>
          <w:kern w:val="0"/>
          <w:sz w:val="24"/>
          <w:szCs w:val="24"/>
          <w:highlight w:val="none"/>
          <w:lang w:val="en-US" w:eastAsia="zh-CN" w:bidi="ar-SA"/>
        </w:rPr>
      </w:pPr>
      <w:bookmarkStart w:id="207" w:name="_Toc26792"/>
      <w:bookmarkStart w:id="208" w:name="_Toc8331"/>
      <w:bookmarkStart w:id="209" w:name="_Toc20415"/>
      <w:r>
        <w:rPr>
          <w:rFonts w:hint="eastAsia" w:ascii="宋体" w:hAnsi="宋体" w:eastAsia="宋体" w:cs="宋体"/>
          <w:b/>
          <w:color w:val="auto"/>
          <w:kern w:val="0"/>
          <w:sz w:val="24"/>
          <w:szCs w:val="24"/>
          <w:highlight w:val="none"/>
          <w:lang w:val="en-US" w:eastAsia="zh-CN" w:bidi="ar-SA"/>
        </w:rPr>
        <w:t>2.</w:t>
      </w:r>
      <w:bookmarkEnd w:id="207"/>
      <w:bookmarkEnd w:id="208"/>
      <w:r>
        <w:rPr>
          <w:rFonts w:hint="eastAsia" w:ascii="宋体" w:hAnsi="宋体" w:eastAsia="宋体" w:cs="宋体"/>
          <w:b/>
          <w:color w:val="auto"/>
          <w:kern w:val="0"/>
          <w:sz w:val="24"/>
          <w:szCs w:val="24"/>
          <w:highlight w:val="none"/>
          <w:lang w:val="en-US" w:eastAsia="zh-CN" w:bidi="ar-SA"/>
        </w:rPr>
        <w:t>具有有效的独立法人营业执照；</w:t>
      </w:r>
      <w:bookmarkEnd w:id="209"/>
    </w:p>
    <w:p>
      <w:pPr>
        <w:pStyle w:val="19"/>
        <w:spacing w:line="400" w:lineRule="exact"/>
        <w:rPr>
          <w:rFonts w:hint="eastAsia" w:ascii="宋体" w:hAnsi="宋体" w:eastAsia="宋体" w:cs="宋体"/>
          <w:b/>
          <w:color w:val="auto"/>
          <w:kern w:val="0"/>
          <w:sz w:val="24"/>
          <w:szCs w:val="24"/>
          <w:highlight w:val="none"/>
          <w:lang w:val="en-US" w:eastAsia="zh-CN" w:bidi="ar-SA"/>
        </w:rPr>
      </w:pPr>
    </w:p>
    <w:p>
      <w:pPr>
        <w:pStyle w:val="19"/>
        <w:spacing w:line="400" w:lineRule="exact"/>
        <w:rPr>
          <w:rFonts w:hint="eastAsia" w:ascii="宋体" w:hAnsi="宋体" w:eastAsia="宋体" w:cs="宋体"/>
          <w:b/>
          <w:color w:val="auto"/>
          <w:kern w:val="0"/>
          <w:sz w:val="24"/>
          <w:szCs w:val="24"/>
          <w:highlight w:val="none"/>
          <w:lang w:val="en-US" w:eastAsia="zh-CN" w:bidi="ar-SA"/>
        </w:rPr>
      </w:pPr>
    </w:p>
    <w:p>
      <w:pPr>
        <w:pStyle w:val="19"/>
        <w:spacing w:line="400" w:lineRule="exact"/>
        <w:rPr>
          <w:rFonts w:hint="eastAsia" w:ascii="宋体" w:hAnsi="宋体" w:eastAsia="宋体" w:cs="宋体"/>
          <w:b/>
          <w:color w:val="auto"/>
          <w:kern w:val="0"/>
          <w:sz w:val="24"/>
          <w:szCs w:val="24"/>
          <w:highlight w:val="none"/>
          <w:lang w:val="en-US" w:eastAsia="zh-CN" w:bidi="ar-SA"/>
        </w:rPr>
      </w:pPr>
    </w:p>
    <w:p>
      <w:pPr>
        <w:bidi w:val="0"/>
        <w:rPr>
          <w:rFonts w:hint="eastAsia" w:ascii="宋体" w:hAnsi="宋体" w:eastAsia="宋体" w:cs="宋体"/>
          <w:color w:val="auto"/>
          <w:sz w:val="24"/>
          <w:szCs w:val="24"/>
          <w:highlight w:val="none"/>
          <w:lang w:val="en-US" w:eastAsia="zh-CN"/>
        </w:rPr>
      </w:pPr>
    </w:p>
    <w:p>
      <w:pPr>
        <w:pStyle w:val="19"/>
        <w:spacing w:line="400" w:lineRule="exact"/>
        <w:outlineLvl w:val="1"/>
        <w:rPr>
          <w:rFonts w:hint="eastAsia" w:ascii="宋体" w:hAnsi="宋体" w:eastAsia="宋体" w:cs="宋体"/>
          <w:b/>
          <w:color w:val="auto"/>
          <w:kern w:val="0"/>
          <w:sz w:val="24"/>
          <w:szCs w:val="24"/>
          <w:highlight w:val="none"/>
          <w:lang w:val="en-US" w:eastAsia="zh-CN" w:bidi="ar-SA"/>
        </w:rPr>
      </w:pPr>
      <w:bookmarkStart w:id="210" w:name="_Toc25803"/>
      <w:bookmarkStart w:id="211" w:name="_Toc19946"/>
      <w:bookmarkStart w:id="212" w:name="_Toc24521"/>
      <w:r>
        <w:rPr>
          <w:rFonts w:hint="eastAsia" w:ascii="宋体" w:hAnsi="宋体" w:eastAsia="宋体" w:cs="宋体"/>
          <w:b/>
          <w:color w:val="auto"/>
          <w:kern w:val="0"/>
          <w:sz w:val="24"/>
          <w:szCs w:val="24"/>
          <w:highlight w:val="none"/>
          <w:lang w:val="en-US" w:eastAsia="zh-CN" w:bidi="ar-SA"/>
        </w:rPr>
        <w:t>3 .</w:t>
      </w:r>
      <w:bookmarkEnd w:id="210"/>
      <w:bookmarkEnd w:id="211"/>
      <w:r>
        <w:rPr>
          <w:rFonts w:hint="eastAsia" w:ascii="宋体" w:hAnsi="宋体" w:cs="宋体"/>
          <w:b/>
          <w:color w:val="auto"/>
          <w:kern w:val="0"/>
          <w:sz w:val="24"/>
          <w:szCs w:val="24"/>
          <w:highlight w:val="none"/>
          <w:lang w:val="en-US" w:eastAsia="zh-CN" w:bidi="ar-SA"/>
        </w:rPr>
        <w:t>提供《医疗器械生产许可证》或《医疗器械经营许可证》及医疗器械注册证（所投产品为二类医疗器械的须提供二类医疗器械备案凭证）</w:t>
      </w:r>
      <w:r>
        <w:rPr>
          <w:rFonts w:hint="eastAsia" w:ascii="宋体" w:hAnsi="宋体" w:eastAsia="宋体" w:cs="宋体"/>
          <w:b/>
          <w:color w:val="auto"/>
          <w:kern w:val="0"/>
          <w:sz w:val="24"/>
          <w:szCs w:val="24"/>
          <w:highlight w:val="none"/>
          <w:lang w:val="en-US" w:eastAsia="zh-CN" w:bidi="ar-SA"/>
        </w:rPr>
        <w:t>；</w:t>
      </w:r>
      <w:bookmarkEnd w:id="212"/>
    </w:p>
    <w:p>
      <w:pPr>
        <w:bidi w:val="0"/>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ageBreakBefore w:val="0"/>
        <w:widowControl w:val="0"/>
        <w:kinsoku/>
        <w:wordWrap/>
        <w:overflowPunct/>
        <w:topLinePunct w:val="0"/>
        <w:bidi w:val="0"/>
        <w:snapToGrid/>
        <w:spacing w:line="400" w:lineRule="exact"/>
        <w:ind w:left="0" w:leftChars="0" w:firstLine="482" w:firstLineChars="200"/>
        <w:textAlignment w:val="auto"/>
        <w:outlineLvl w:val="1"/>
        <w:rPr>
          <w:rFonts w:hint="eastAsia" w:ascii="宋体" w:hAnsi="宋体" w:eastAsia="宋体" w:cs="宋体"/>
          <w:b/>
          <w:color w:val="auto"/>
          <w:kern w:val="0"/>
          <w:sz w:val="24"/>
          <w:szCs w:val="24"/>
          <w:highlight w:val="none"/>
          <w:lang w:val="en-US" w:eastAsia="zh-CN" w:bidi="ar-SA"/>
        </w:rPr>
      </w:pPr>
      <w:bookmarkStart w:id="213" w:name="_Toc10025"/>
      <w:bookmarkStart w:id="214" w:name="_Toc17228"/>
      <w:bookmarkStart w:id="215" w:name="_Toc1451"/>
      <w:r>
        <w:rPr>
          <w:rFonts w:hint="eastAsia" w:ascii="宋体" w:hAnsi="宋体" w:eastAsia="宋体" w:cs="宋体"/>
          <w:b/>
          <w:color w:val="auto"/>
          <w:kern w:val="0"/>
          <w:sz w:val="24"/>
          <w:szCs w:val="24"/>
          <w:highlight w:val="none"/>
          <w:lang w:val="en-US" w:eastAsia="zh-CN" w:bidi="ar-SA"/>
        </w:rPr>
        <w:t>4.</w:t>
      </w:r>
      <w:bookmarkEnd w:id="213"/>
      <w:bookmarkEnd w:id="214"/>
      <w:r>
        <w:rPr>
          <w:rFonts w:hint="eastAsia" w:ascii="宋体" w:hAnsi="宋体" w:eastAsia="宋体" w:cs="宋体"/>
          <w:b/>
          <w:color w:val="auto"/>
          <w:kern w:val="0"/>
          <w:sz w:val="24"/>
          <w:szCs w:val="24"/>
          <w:highlight w:val="none"/>
          <w:lang w:val="en-US" w:eastAsia="zh-CN" w:bidi="ar-SA"/>
        </w:rPr>
        <w:t>法定代表人资格证明及授权书、被授权人身份证；(法定代表人投标需提供法定代表人身份证)；</w:t>
      </w:r>
      <w:bookmarkEnd w:id="215"/>
    </w:p>
    <w:p>
      <w:pPr>
        <w:adjustRightInd w:val="0"/>
        <w:snapToGrid w:val="0"/>
        <w:spacing w:before="240" w:beforeLines="100" w:after="240" w:afterLines="10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（一）法定代表人身份证明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签发日期：                  单位：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提供身份证正反面。</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内容必须填写真实、清楚、涂改无效，不得转让。</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、将此证明书原件提交采购代理机构作为投标文件附件。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务必提供本附件)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027"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3"/>
                            </w:pPr>
                          </w:p>
                          <w:p>
                            <w:pPr>
                              <w:pStyle w:val="3"/>
                            </w:pPr>
                          </w:p>
                          <w:p>
                            <w:pPr>
                              <w:pStyle w:val="3"/>
                            </w:pPr>
                          </w:p>
                          <w:p>
                            <w:pPr>
                              <w:pStyle w:val="3"/>
                            </w:pPr>
                          </w:p>
                        </w:txbxContent>
                      </wps:txbx>
                      <wps:bodyPr wrap="square" upright="1"/>
                    </wps:wsp>
                  </a:graphicData>
                </a:graphic>
              </wp:anchor>
            </w:drawing>
          </mc:Choice>
          <mc:Fallback>
            <w:pict>
              <v:roundrect id="圆角矩形 15" o:spid="_x0000_s1026" o:spt="2" style="position:absolute;left:0pt;margin-left:229.8pt;margin-top:2.25pt;height:122.6pt;width:205.5pt;z-index:25165926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y9jX9oAAAAJAQAADwAAAAAAAAABACAAAAAiAAAAZHJzL2Rvd25y&#10;ZXYueG1sUEsBAhQAFAAAAAgAh07iQIcYN3I1AgAAdAQAAA4AAAAAAAAAAQAgAAAAKQEAAGRycy9l&#10;Mm9Eb2MueG1sUEsFBgAAAAAGAAYAWQEAANAFA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3"/>
                      </w:pPr>
                    </w:p>
                    <w:p>
                      <w:pPr>
                        <w:pStyle w:val="3"/>
                      </w:pPr>
                    </w:p>
                    <w:p>
                      <w:pPr>
                        <w:pStyle w:val="3"/>
                      </w:pPr>
                    </w:p>
                    <w:p>
                      <w:pPr>
                        <w:pStyle w:val="3"/>
                      </w:pPr>
                    </w:p>
                  </w:txbxContent>
                </v:textbox>
              </v:roundrect>
            </w:pict>
          </mc:Fallback>
        </mc:AlternateConten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firstLine="784" w:firstLineChars="327"/>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djustRightInd w:val="0"/>
        <w:snapToGrid w:val="0"/>
        <w:spacing w:line="360" w:lineRule="auto"/>
        <w:ind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784" w:firstLineChars="327"/>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bookmarkStart w:id="216" w:name="_Toc22472"/>
      <w:bookmarkStart w:id="217" w:name="_Toc1083"/>
      <w:bookmarkStart w:id="218" w:name="_Toc515647807"/>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pStyle w:val="15"/>
        <w:rPr>
          <w:rFonts w:hint="eastAsia" w:ascii="宋体" w:hAnsi="宋体" w:eastAsia="宋体" w:cs="宋体"/>
          <w:b/>
          <w:bCs/>
          <w:color w:val="auto"/>
          <w:sz w:val="24"/>
          <w:szCs w:val="24"/>
          <w:highlight w:val="none"/>
        </w:rPr>
      </w:pPr>
    </w:p>
    <w:p>
      <w:pPr>
        <w:pStyle w:val="15"/>
        <w:rPr>
          <w:rFonts w:hint="eastAsia" w:ascii="宋体" w:hAnsi="宋体" w:eastAsia="宋体" w:cs="宋体"/>
          <w:b/>
          <w:bCs/>
          <w:color w:val="auto"/>
          <w:sz w:val="24"/>
          <w:szCs w:val="24"/>
          <w:highlight w:val="none"/>
        </w:rPr>
      </w:pPr>
    </w:p>
    <w:p>
      <w:pPr>
        <w:pStyle w:val="15"/>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（二）法定代表人授权委托书</w:t>
      </w:r>
      <w:bookmarkEnd w:id="216"/>
      <w:bookmarkEnd w:id="217"/>
      <w:bookmarkEnd w:id="218"/>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w:t>
      </w:r>
      <w:r>
        <w:rPr>
          <w:rFonts w:hint="eastAsia" w:ascii="宋体" w:hAnsi="宋体" w:eastAsia="宋体" w:cs="宋体"/>
          <w:i w:val="0"/>
          <w:iCs w:val="0"/>
          <w:color w:val="auto"/>
          <w:sz w:val="24"/>
          <w:szCs w:val="24"/>
          <w:highlight w:val="none"/>
        </w:rPr>
        <w:t>授权书声明：注册于</w:t>
      </w:r>
      <w:r>
        <w:rPr>
          <w:rFonts w:hint="eastAsia" w:ascii="宋体" w:hAnsi="宋体" w:eastAsia="宋体" w:cs="宋体"/>
          <w:i w:val="0"/>
          <w:iCs w:val="0"/>
          <w:color w:val="auto"/>
          <w:sz w:val="24"/>
          <w:szCs w:val="24"/>
          <w:highlight w:val="none"/>
          <w:u w:val="single"/>
        </w:rPr>
        <w:t>（国家或地区的名称）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lang w:eastAsia="zh-CN"/>
        </w:rPr>
        <w:t>供应商</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法人代表姓名、职务</w:t>
      </w:r>
      <w:r>
        <w:rPr>
          <w:rFonts w:hint="eastAsia" w:ascii="宋体" w:hAnsi="宋体" w:eastAsia="宋体" w:cs="宋体"/>
          <w:i w:val="0"/>
          <w:iCs w:val="0"/>
          <w:color w:val="auto"/>
          <w:sz w:val="24"/>
          <w:szCs w:val="24"/>
          <w:highlight w:val="none"/>
        </w:rPr>
        <w:t>）代表我单位授权（</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被授权人的姓名、职务</w:t>
      </w:r>
      <w:r>
        <w:rPr>
          <w:rFonts w:hint="eastAsia" w:ascii="宋体" w:hAnsi="宋体" w:eastAsia="宋体" w:cs="宋体"/>
          <w:i w:val="0"/>
          <w:iCs w:val="0"/>
          <w:color w:val="auto"/>
          <w:sz w:val="24"/>
          <w:szCs w:val="24"/>
          <w:highlight w:val="none"/>
        </w:rPr>
        <w:t>）为我单位的合法代理人，就（</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）的投标，以我单位名义处理一切与之有关的事</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w:t>
      </w:r>
    </w:p>
    <w:p>
      <w:pPr>
        <w:pStyle w:val="10"/>
        <w:tabs>
          <w:tab w:val="left" w:pos="5580"/>
        </w:tabs>
        <w:spacing w:line="360" w:lineRule="exac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pPr>
        <w:pStyle w:val="10"/>
        <w:tabs>
          <w:tab w:val="left" w:pos="5580"/>
        </w:tabs>
        <w:spacing w:line="240" w:lineRule="atLeas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rPr>
                                <w:rFonts w:hAnsi="宋体"/>
                              </w:rPr>
                            </w:pPr>
                          </w:p>
                          <w:p>
                            <w:pPr>
                              <w:rPr>
                                <w:rFonts w:hAnsi="宋体"/>
                              </w:rPr>
                            </w:pPr>
                          </w:p>
                          <w:p>
                            <w:pPr>
                              <w:rPr>
                                <w:rFonts w:hAnsi="宋体"/>
                              </w:rPr>
                            </w:pPr>
                          </w:p>
                          <w:p>
                            <w:pPr>
                              <w:jc w:val="center"/>
                            </w:pPr>
                            <w:r>
                              <w:rPr>
                                <w:rFonts w:hint="eastAsia" w:hAnsi="宋体"/>
                              </w:rPr>
                              <w:t>授权委托人身份证复印件</w:t>
                            </w:r>
                          </w:p>
                          <w:p/>
                        </w:txbxContent>
                      </wps:txbx>
                      <wps:bodyPr wrap="square" upright="1"/>
                    </wps:wsp>
                  </a:graphicData>
                </a:graphic>
              </wp:anchor>
            </w:drawing>
          </mc:Choice>
          <mc:Fallback>
            <w:pict>
              <v:roundrect id="自选图形 5" o:spid="_x0000_s1026" o:spt="2" style="position:absolute;left:0pt;margin-left:239.3pt;margin-top:13.2pt;height:76.3pt;width:195.15pt;z-index:251659264;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0c2TzMCAAByBAAADgAAAGRycy9lMm9Eb2MueG1s&#10;rVRLjhMxEN0jcQfLe9KdaJLJtNKZBSFsEIwYOIDjT7eRf9hOurNjhzgDO5ZzB7jNSHALyk6T+cAi&#10;CxKpU25XPdd7r5z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Z+42wAAAAoBAAAPAAAAAAAAAAEAIAAAACIAAABkcnMvZG93bnJl&#10;di54bWxQSwECFAAUAAAACACHTuJAc0c2TzMCAAByBAAADgAAAAAAAAABACAAAAAqAQAAZHJzL2Uy&#10;b0RvYy54bWxQSwUGAAAAAAYABgBZAQAAzwU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pPr>
                        <w:jc w:val="center"/>
                      </w:pPr>
                      <w:r>
                        <w:rPr>
                          <w:rFonts w:hint="eastAsia" w:hAnsi="宋体"/>
                        </w:rPr>
                        <w:t>授权委托人身份证复印件</w:t>
                      </w:r>
                    </w:p>
                    <w:p/>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317750" cy="942340"/>
                <wp:effectExtent l="4445" t="4445" r="11430"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59264;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NoQO1gAAAAgBAAAPAAAAAAAAAAEAIAAAACIAAABkcnMvZG93bnJldi54bWxQSwECFAAUAAAA&#10;CACHTuJA7Cj0kykCAABVBAAADgAAAAAAAAABACAAAAAlAQAAZHJzL2Uyb0RvYy54bWxQSwUGAAAA&#10;AAYABgBZAQAAwAU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v:textbox>
              </v:shape>
            </w:pict>
          </mc:Fallback>
        </mc:AlternateContent>
      </w: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int="eastAsia" w:hAnsi="宋体"/>
                              </w:rPr>
                              <w:t xml:space="preserve">  </w:t>
                            </w:r>
                          </w:p>
                          <w:p>
                            <w:pPr>
                              <w:rPr>
                                <w:rFonts w:hAnsi="宋体"/>
                              </w:rPr>
                            </w:pPr>
                          </w:p>
                          <w:p>
                            <w:pPr>
                              <w:jc w:val="center"/>
                              <w:rPr>
                                <w:szCs w:val="21"/>
                              </w:rPr>
                            </w:pPr>
                            <w:r>
                              <w:rPr>
                                <w:rFonts w:hint="eastAsia" w:hAnsi="宋体"/>
                                <w:szCs w:val="21"/>
                              </w:rPr>
                              <w:t>法定代表人身份证复印件</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5926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RWe2wAAAAoBAAAPAAAAAAAAAAEAIAAAACIAAABkcnMvZG93bnJldi54&#10;bWxQSwECFAAUAAAACACHTuJAJRqzWzACAAByBAAADgAAAAAAAAABACAAAAAqAQAAZHJzL2Uyb0Rv&#10;Yy54bWxQSwUGAAAAAAYABgBZAQAAzAU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rPr>
                          <w:szCs w:val="21"/>
                        </w:rPr>
                      </w:pPr>
                      <w:r>
                        <w:rPr>
                          <w:rFonts w:hint="eastAsia" w:hAnsi="宋体"/>
                          <w:szCs w:val="21"/>
                        </w:rPr>
                        <w:t>法定代表人身份证复印件</w:t>
                      </w:r>
                    </w:p>
                    <w:p/>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p>
                          <w:p>
                            <w:pPr>
                              <w:rPr>
                                <w:rFonts w:hAnsi="宋体"/>
                              </w:rPr>
                            </w:pPr>
                          </w:p>
                          <w:p>
                            <w:pPr>
                              <w:jc w:val="center"/>
                              <w:rPr>
                                <w:szCs w:val="21"/>
                              </w:rPr>
                            </w:pPr>
                            <w:r>
                              <w:rPr>
                                <w:rFonts w:hint="eastAsia" w:hAnsi="宋体"/>
                                <w:szCs w:val="21"/>
                              </w:rPr>
                              <w:t>法定代表人身份证复印件</w:t>
                            </w:r>
                          </w:p>
                          <w:p/>
                        </w:txbxContent>
                      </wps:txbx>
                      <wps:bodyPr wrap="square" upright="1"/>
                    </wps:wsp>
                  </a:graphicData>
                </a:graphic>
              </wp:anchor>
            </w:drawing>
          </mc:Choice>
          <mc:Fallback>
            <w:pict>
              <v:roundrect id="自选图形 8"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C3vYAAAACAEAAA8AAAAAAAAAAQAgAAAAIgAAAGRycy9kb3ducmV2&#10;LnhtbFBLAQIUABQAAAAIAIdO4kAhpKCcNQIAAHMEAAAOAAAAAAAAAAEAIAAAACcBAABkcnMvZTJv&#10;RG9jLnhtbFBLBQYAAAAABgAGAFkBAADOBQAAAAA=&#10;">
                <v:fill on="t" focussize="0,0"/>
                <v:stroke weight="1.25pt" color="#808080" joinstyle="round"/>
                <v:imagedata o:title=""/>
                <o:lock v:ext="edit" aspectratio="f"/>
                <v:textbox>
                  <w:txbxContent>
                    <w:p>
                      <w:pPr>
                        <w:jc w:val="center"/>
                        <w:rPr>
                          <w:rFonts w:hAnsi="宋体"/>
                        </w:rPr>
                      </w:pPr>
                    </w:p>
                    <w:p>
                      <w:pPr>
                        <w:rPr>
                          <w:rFonts w:hAnsi="宋体"/>
                        </w:rPr>
                      </w:pPr>
                    </w:p>
                    <w:p>
                      <w:pPr>
                        <w:jc w:val="center"/>
                        <w:rPr>
                          <w:szCs w:val="21"/>
                        </w:rPr>
                      </w:pPr>
                      <w:r>
                        <w:rPr>
                          <w:rFonts w:hint="eastAsia" w:hAnsi="宋体"/>
                          <w:szCs w:val="21"/>
                        </w:rPr>
                        <w:t>法定代表人身份证复印件</w:t>
                      </w:r>
                    </w:p>
                    <w:p/>
                  </w:txbxContent>
                </v:textbox>
              </v:roundrect>
            </w:pict>
          </mc:Fallback>
        </mc:AlternateContent>
      </w: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pStyle w:val="15"/>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1"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注：提供身份证正反面。</w:t>
      </w:r>
    </w:p>
    <w:p>
      <w:pPr>
        <w:pStyle w:val="10"/>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0"/>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身份证号码：__________________________________ </w:t>
      </w:r>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10"/>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0"/>
        <w:tabs>
          <w:tab w:val="left" w:pos="5580"/>
        </w:tabs>
        <w:spacing w:line="360" w:lineRule="exact"/>
        <w:jc w:val="right"/>
        <w:rPr>
          <w:rFonts w:hint="eastAsia" w:ascii="宋体" w:hAnsi="宋体" w:eastAsia="宋体" w:cs="宋体"/>
          <w:color w:val="auto"/>
          <w:sz w:val="24"/>
          <w:szCs w:val="24"/>
          <w:highlight w:val="none"/>
        </w:rPr>
      </w:pPr>
    </w:p>
    <w:p>
      <w:pPr>
        <w:pStyle w:val="10"/>
        <w:tabs>
          <w:tab w:val="left" w:pos="5580"/>
        </w:tabs>
        <w:spacing w:line="360" w:lineRule="exact"/>
        <w:jc w:val="right"/>
        <w:rPr>
          <w:rFonts w:hint="eastAsia" w:ascii="宋体" w:hAnsi="宋体" w:eastAsia="宋体" w:cs="宋体"/>
          <w:color w:val="auto"/>
          <w:sz w:val="24"/>
          <w:szCs w:val="24"/>
          <w:highlight w:val="none"/>
        </w:rPr>
      </w:pPr>
    </w:p>
    <w:p>
      <w:pPr>
        <w:pStyle w:val="10"/>
        <w:tabs>
          <w:tab w:val="left" w:pos="5580"/>
        </w:tabs>
        <w:spacing w:line="360" w:lineRule="exact"/>
        <w:jc w:val="right"/>
        <w:rPr>
          <w:rFonts w:hint="eastAsia" w:ascii="宋体" w:hAnsi="宋体" w:eastAsia="宋体" w:cs="宋体"/>
          <w:color w:val="auto"/>
          <w:sz w:val="24"/>
          <w:szCs w:val="24"/>
          <w:highlight w:val="none"/>
        </w:rPr>
      </w:pPr>
    </w:p>
    <w:p>
      <w:pPr>
        <w:pStyle w:val="10"/>
        <w:tabs>
          <w:tab w:val="left" w:pos="5580"/>
        </w:tabs>
        <w:spacing w:line="360" w:lineRule="exact"/>
        <w:jc w:val="right"/>
        <w:rPr>
          <w:rFonts w:hint="eastAsia" w:ascii="宋体" w:hAnsi="宋体" w:eastAsia="宋体" w:cs="宋体"/>
          <w:color w:val="auto"/>
          <w:sz w:val="24"/>
          <w:szCs w:val="24"/>
          <w:highlight w:val="none"/>
        </w:rPr>
      </w:pPr>
    </w:p>
    <w:p>
      <w:pPr>
        <w:pStyle w:val="10"/>
        <w:tabs>
          <w:tab w:val="left" w:pos="5580"/>
        </w:tabs>
        <w:spacing w:line="3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0"/>
        <w:tabs>
          <w:tab w:val="left" w:pos="5580"/>
        </w:tabs>
        <w:spacing w:line="360" w:lineRule="exact"/>
        <w:jc w:val="right"/>
        <w:rPr>
          <w:rFonts w:hint="eastAsia" w:ascii="宋体" w:hAnsi="宋体" w:eastAsia="宋体" w:cs="宋体"/>
          <w:color w:val="auto"/>
          <w:sz w:val="24"/>
          <w:szCs w:val="24"/>
          <w:highlight w:val="none"/>
        </w:rPr>
      </w:pPr>
    </w:p>
    <w:p>
      <w:pPr>
        <w:bidi w:val="0"/>
        <w:ind w:firstLine="482" w:firstLineChars="200"/>
        <w:outlineLvl w:val="1"/>
        <w:rPr>
          <w:rFonts w:hint="eastAsia" w:ascii="宋体" w:hAnsi="宋体" w:eastAsia="宋体" w:cs="宋体"/>
          <w:color w:val="auto"/>
          <w:sz w:val="24"/>
          <w:szCs w:val="24"/>
          <w:highlight w:val="none"/>
          <w:lang w:val="en-US" w:eastAsia="zh-CN"/>
        </w:rPr>
      </w:pPr>
      <w:bookmarkStart w:id="219" w:name="_Toc24456"/>
      <w:bookmarkStart w:id="220" w:name="_Toc7550"/>
      <w:bookmarkStart w:id="221" w:name="_Toc28665"/>
      <w:bookmarkStart w:id="222" w:name="_Toc515647811"/>
      <w:bookmarkStart w:id="223" w:name="_Toc32670"/>
      <w:bookmarkStart w:id="224" w:name="_Toc24428"/>
      <w:r>
        <w:rPr>
          <w:rFonts w:hint="eastAsia" w:ascii="宋体" w:hAnsi="宋体" w:eastAsia="宋体" w:cs="宋体"/>
          <w:b/>
          <w:color w:val="auto"/>
          <w:kern w:val="0"/>
          <w:sz w:val="24"/>
          <w:szCs w:val="24"/>
          <w:highlight w:val="none"/>
          <w:lang w:val="en-US" w:eastAsia="zh-CN" w:bidi="ar-SA"/>
        </w:rPr>
        <w:t>5.</w:t>
      </w:r>
      <w:bookmarkEnd w:id="219"/>
      <w:bookmarkEnd w:id="220"/>
      <w:r>
        <w:rPr>
          <w:rFonts w:hint="eastAsia" w:ascii="宋体" w:hAnsi="宋体" w:cs="宋体"/>
          <w:b/>
          <w:color w:val="auto"/>
          <w:kern w:val="0"/>
          <w:sz w:val="24"/>
          <w:szCs w:val="24"/>
          <w:highlight w:val="none"/>
          <w:lang w:val="en-US" w:eastAsia="zh-CN" w:bidi="ar-SA"/>
        </w:rPr>
        <w:t>依法缴纳近六个月内任意一个月社会保险的凭据</w:t>
      </w:r>
      <w:r>
        <w:rPr>
          <w:rFonts w:hint="eastAsia" w:ascii="宋体" w:hAnsi="宋体" w:eastAsia="宋体" w:cs="宋体"/>
          <w:b/>
          <w:color w:val="auto"/>
          <w:kern w:val="0"/>
          <w:sz w:val="24"/>
          <w:szCs w:val="24"/>
          <w:highlight w:val="none"/>
          <w:lang w:val="en-US" w:eastAsia="zh-CN" w:bidi="ar-SA"/>
        </w:rPr>
        <w:t>；</w:t>
      </w:r>
      <w:bookmarkEnd w:id="221"/>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9"/>
        <w:spacing w:line="400" w:lineRule="exact"/>
        <w:outlineLvl w:val="1"/>
        <w:rPr>
          <w:rFonts w:hint="eastAsia" w:ascii="宋体" w:hAnsi="宋体" w:eastAsia="宋体" w:cs="宋体"/>
          <w:b/>
          <w:color w:val="auto"/>
          <w:kern w:val="0"/>
          <w:sz w:val="24"/>
          <w:szCs w:val="24"/>
          <w:highlight w:val="none"/>
          <w:lang w:val="en-US" w:eastAsia="zh-CN" w:bidi="ar-SA"/>
        </w:rPr>
      </w:pPr>
      <w:bookmarkStart w:id="225" w:name="_Toc15050"/>
      <w:bookmarkStart w:id="226" w:name="_Toc29065"/>
      <w:bookmarkStart w:id="227" w:name="_Toc17251"/>
      <w:r>
        <w:rPr>
          <w:rFonts w:hint="eastAsia" w:ascii="宋体" w:hAnsi="宋体" w:eastAsia="宋体" w:cs="宋体"/>
          <w:b/>
          <w:color w:val="auto"/>
          <w:kern w:val="0"/>
          <w:sz w:val="24"/>
          <w:szCs w:val="24"/>
          <w:highlight w:val="none"/>
          <w:lang w:val="en-US" w:eastAsia="zh-CN" w:bidi="ar-SA"/>
        </w:rPr>
        <w:t>6.</w:t>
      </w:r>
      <w:bookmarkEnd w:id="225"/>
      <w:bookmarkEnd w:id="226"/>
      <w:r>
        <w:rPr>
          <w:rFonts w:hint="eastAsia" w:ascii="宋体" w:hAnsi="宋体" w:cs="宋体"/>
          <w:b/>
          <w:color w:val="auto"/>
          <w:kern w:val="0"/>
          <w:sz w:val="24"/>
          <w:szCs w:val="24"/>
          <w:highlight w:val="none"/>
          <w:lang w:val="en-US" w:eastAsia="zh-CN" w:bidi="ar-SA"/>
        </w:rPr>
        <w:t>税务部门出具的近六个月内任意一个月的完税证明</w:t>
      </w:r>
      <w:r>
        <w:rPr>
          <w:rFonts w:hint="eastAsia" w:ascii="宋体" w:hAnsi="宋体" w:eastAsia="宋体" w:cs="宋体"/>
          <w:b/>
          <w:color w:val="auto"/>
          <w:kern w:val="0"/>
          <w:sz w:val="24"/>
          <w:szCs w:val="24"/>
          <w:highlight w:val="none"/>
          <w:lang w:val="en-US" w:eastAsia="zh-CN" w:bidi="ar-SA"/>
        </w:rPr>
        <w:t>；</w:t>
      </w:r>
      <w:bookmarkEnd w:id="227"/>
      <w:r>
        <w:rPr>
          <w:rFonts w:hint="eastAsia" w:ascii="宋体" w:hAnsi="宋体" w:eastAsia="宋体" w:cs="宋体"/>
          <w:b/>
          <w:color w:val="auto"/>
          <w:kern w:val="0"/>
          <w:sz w:val="24"/>
          <w:szCs w:val="24"/>
          <w:highlight w:val="none"/>
          <w:lang w:val="en-US" w:eastAsia="zh-CN" w:bidi="ar-SA"/>
        </w:rPr>
        <w:t xml:space="preserve"> </w:t>
      </w:r>
    </w:p>
    <w:p>
      <w:pPr>
        <w:bidi w:val="0"/>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pStyle w:val="3"/>
        <w:ind w:firstLine="482" w:firstLineChars="200"/>
        <w:outlineLvl w:val="1"/>
        <w:rPr>
          <w:rFonts w:hint="eastAsia" w:ascii="宋体" w:hAnsi="宋体" w:eastAsia="宋体" w:cs="宋体"/>
          <w:color w:val="auto"/>
          <w:sz w:val="24"/>
          <w:szCs w:val="24"/>
          <w:highlight w:val="none"/>
        </w:rPr>
      </w:pPr>
      <w:bookmarkStart w:id="228" w:name="_Toc13272"/>
      <w:bookmarkStart w:id="229" w:name="_Toc5698"/>
      <w:bookmarkStart w:id="230" w:name="_Toc24469"/>
      <w:r>
        <w:rPr>
          <w:rFonts w:hint="eastAsia" w:ascii="宋体" w:hAnsi="宋体" w:eastAsia="宋体" w:cs="宋体"/>
          <w:b/>
          <w:color w:val="auto"/>
          <w:kern w:val="0"/>
          <w:sz w:val="24"/>
          <w:szCs w:val="24"/>
          <w:highlight w:val="none"/>
          <w:lang w:val="en-US" w:eastAsia="zh-CN" w:bidi="ar-SA"/>
        </w:rPr>
        <w:t>7.</w:t>
      </w:r>
      <w:bookmarkEnd w:id="228"/>
      <w:bookmarkEnd w:id="229"/>
      <w:r>
        <w:rPr>
          <w:rFonts w:hint="eastAsia" w:hAnsi="宋体" w:cs="宋体"/>
          <w:b/>
          <w:color w:val="auto"/>
          <w:kern w:val="0"/>
          <w:sz w:val="24"/>
          <w:szCs w:val="24"/>
          <w:highlight w:val="none"/>
          <w:lang w:val="en-US" w:eastAsia="zh-CN" w:bidi="ar-SA"/>
        </w:rPr>
        <w:t>近两年内任意一年的财务审计报告（新成立的公司提供近三个月内任意一个月的银行资信证明）</w:t>
      </w:r>
      <w:r>
        <w:rPr>
          <w:rFonts w:hint="eastAsia" w:ascii="宋体" w:hAnsi="宋体" w:eastAsia="宋体" w:cs="宋体"/>
          <w:b/>
          <w:color w:val="auto"/>
          <w:kern w:val="0"/>
          <w:sz w:val="24"/>
          <w:szCs w:val="24"/>
          <w:highlight w:val="none"/>
          <w:lang w:val="en-US" w:eastAsia="zh-CN" w:bidi="ar-SA"/>
        </w:rPr>
        <w:t>；</w:t>
      </w:r>
      <w:bookmarkEnd w:id="230"/>
    </w:p>
    <w:p>
      <w:pP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p>
    <w:p>
      <w:pPr>
        <w:pStyle w:val="3"/>
        <w:outlineLvl w:val="1"/>
        <w:rPr>
          <w:rFonts w:hint="eastAsia" w:ascii="宋体" w:hAnsi="宋体" w:eastAsia="宋体" w:cs="宋体"/>
          <w:b/>
          <w:color w:val="auto"/>
          <w:kern w:val="0"/>
          <w:sz w:val="24"/>
          <w:szCs w:val="24"/>
          <w:highlight w:val="none"/>
          <w:lang w:val="en-US" w:eastAsia="zh-CN" w:bidi="ar-SA"/>
        </w:rPr>
      </w:pPr>
      <w:bookmarkStart w:id="231" w:name="_Toc18144"/>
      <w:bookmarkStart w:id="232" w:name="_Toc8025"/>
      <w:r>
        <w:rPr>
          <w:rFonts w:hint="eastAsia" w:ascii="宋体" w:hAnsi="宋体" w:eastAsia="宋体" w:cs="宋体"/>
          <w:b/>
          <w:color w:val="auto"/>
          <w:kern w:val="0"/>
          <w:sz w:val="24"/>
          <w:szCs w:val="24"/>
          <w:highlight w:val="none"/>
          <w:lang w:val="en-US" w:eastAsia="zh-CN" w:bidi="ar-SA"/>
        </w:rPr>
        <w:t>8.</w:t>
      </w:r>
      <w:bookmarkEnd w:id="231"/>
      <w:r>
        <w:rPr>
          <w:rFonts w:hint="eastAsia" w:ascii="宋体" w:hAnsi="宋体" w:eastAsia="宋体" w:cs="宋体"/>
          <w:b/>
          <w:color w:val="auto"/>
          <w:kern w:val="0"/>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bookmarkEnd w:id="232"/>
    </w:p>
    <w:p>
      <w:pPr>
        <w:rPr>
          <w:rFonts w:hint="eastAsia" w:ascii="宋体" w:hAnsi="宋体" w:eastAsia="宋体" w:cs="宋体"/>
          <w:b/>
          <w:color w:val="auto"/>
          <w:kern w:val="0"/>
          <w:sz w:val="24"/>
          <w:szCs w:val="24"/>
          <w:highlight w:val="none"/>
          <w:lang w:val="en-US" w:eastAsia="zh-CN" w:bidi="ar-SA"/>
        </w:rPr>
      </w:pPr>
    </w:p>
    <w:p>
      <w:pPr>
        <w:pStyle w:val="3"/>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ind w:firstLine="241" w:firstLineChars="100"/>
        <w:outlineLvl w:val="1"/>
        <w:rPr>
          <w:rFonts w:hint="eastAsia" w:ascii="宋体" w:hAnsi="宋体" w:eastAsia="宋体" w:cs="宋体"/>
          <w:b/>
          <w:color w:val="auto"/>
          <w:sz w:val="24"/>
          <w:szCs w:val="24"/>
          <w:highlight w:val="none"/>
          <w:lang w:val="en-US" w:eastAsia="zh-CN"/>
        </w:rPr>
      </w:pPr>
      <w:bookmarkStart w:id="233" w:name="_Toc30494"/>
      <w:bookmarkStart w:id="234" w:name="_Toc23538"/>
      <w:r>
        <w:rPr>
          <w:rFonts w:hint="eastAsia" w:ascii="宋体" w:hAnsi="宋体" w:eastAsia="宋体" w:cs="宋体"/>
          <w:b/>
          <w:color w:val="auto"/>
          <w:kern w:val="0"/>
          <w:sz w:val="24"/>
          <w:szCs w:val="24"/>
          <w:highlight w:val="none"/>
          <w:lang w:val="en-US" w:eastAsia="zh-CN" w:bidi="ar-SA"/>
        </w:rPr>
        <w:t>9.</w:t>
      </w:r>
      <w:bookmarkEnd w:id="233"/>
      <w:r>
        <w:rPr>
          <w:rFonts w:hint="eastAsia" w:ascii="宋体" w:hAnsi="宋体" w:eastAsia="宋体" w:cs="宋体"/>
          <w:b/>
          <w:color w:val="auto"/>
          <w:kern w:val="0"/>
          <w:sz w:val="24"/>
          <w:szCs w:val="24"/>
          <w:highlight w:val="none"/>
          <w:lang w:val="en-US" w:eastAsia="zh-CN" w:bidi="ar-SA"/>
        </w:rPr>
        <w:t>参与政府采购活动前3年内未被列入失信、重大税收违法案件、财政部门禁止参加政府采购活动的承诺书；</w:t>
      </w:r>
      <w:bookmarkEnd w:id="234"/>
    </w:p>
    <w:p>
      <w:pPr>
        <w:tabs>
          <w:tab w:val="left" w:pos="1009"/>
        </w:tabs>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p>
    <w:p>
      <w:pPr>
        <w:pStyle w:val="19"/>
        <w:ind w:left="0" w:leftChars="0" w:firstLine="0" w:firstLineChars="0"/>
        <w:rPr>
          <w:rFonts w:hint="eastAsia" w:ascii="宋体" w:hAnsi="宋体" w:eastAsia="宋体" w:cs="宋体"/>
          <w:color w:val="auto"/>
          <w:sz w:val="24"/>
          <w:szCs w:val="24"/>
          <w:highlight w:val="none"/>
          <w:lang w:val="en-US" w:eastAsia="zh-CN"/>
        </w:rPr>
      </w:pPr>
    </w:p>
    <w:p>
      <w:pPr>
        <w:pStyle w:val="19"/>
        <w:ind w:left="0" w:leftChars="0" w:firstLine="482" w:firstLineChars="200"/>
        <w:outlineLvl w:val="1"/>
        <w:rPr>
          <w:rFonts w:hint="eastAsia" w:ascii="宋体" w:hAnsi="宋体" w:eastAsia="宋体" w:cs="宋体"/>
          <w:color w:val="auto"/>
          <w:sz w:val="24"/>
          <w:szCs w:val="24"/>
          <w:highlight w:val="none"/>
          <w:lang w:val="en-US" w:eastAsia="zh-CN"/>
        </w:rPr>
      </w:pPr>
      <w:bookmarkStart w:id="235" w:name="_Toc18349"/>
      <w:r>
        <w:rPr>
          <w:rFonts w:hint="eastAsia" w:ascii="宋体" w:hAnsi="宋体" w:eastAsia="宋体" w:cs="宋体"/>
          <w:b/>
          <w:color w:val="auto"/>
          <w:kern w:val="0"/>
          <w:sz w:val="24"/>
          <w:szCs w:val="24"/>
          <w:highlight w:val="none"/>
          <w:lang w:val="en-US" w:eastAsia="zh-CN" w:bidi="ar-SA"/>
        </w:rPr>
        <w:t>10.提供针对本次项目的《反商业贿赂承诺书》；</w:t>
      </w:r>
      <w:bookmarkEnd w:id="235"/>
    </w:p>
    <w:p>
      <w:pPr>
        <w:bidi w:val="0"/>
        <w:rPr>
          <w:rFonts w:hint="eastAsia" w:ascii="宋体" w:hAnsi="宋体" w:eastAsia="宋体" w:cs="宋体"/>
          <w:color w:val="auto"/>
          <w:sz w:val="24"/>
          <w:szCs w:val="24"/>
          <w:highlight w:val="none"/>
          <w:lang w:val="en-US" w:eastAsia="zh-CN"/>
        </w:rPr>
      </w:pPr>
    </w:p>
    <w:p>
      <w:pPr>
        <w:pStyle w:val="15"/>
        <w:rPr>
          <w:rFonts w:hint="eastAsia" w:ascii="宋体" w:hAnsi="宋体" w:eastAsia="宋体" w:cs="宋体"/>
          <w:color w:val="auto"/>
          <w:sz w:val="24"/>
          <w:szCs w:val="24"/>
          <w:highlight w:val="none"/>
          <w:lang w:val="en-US" w:eastAsia="zh-CN"/>
        </w:rPr>
      </w:pPr>
    </w:p>
    <w:p>
      <w:pPr>
        <w:pStyle w:val="15"/>
        <w:rPr>
          <w:rFonts w:hint="eastAsia" w:ascii="宋体" w:hAnsi="宋体" w:eastAsia="宋体" w:cs="宋体"/>
          <w:color w:val="auto"/>
          <w:sz w:val="24"/>
          <w:szCs w:val="24"/>
          <w:highlight w:val="none"/>
          <w:lang w:val="en-US" w:eastAsia="zh-CN"/>
        </w:rPr>
      </w:pPr>
    </w:p>
    <w:p>
      <w:pPr>
        <w:pStyle w:val="15"/>
        <w:rPr>
          <w:rFonts w:hint="eastAsia" w:ascii="宋体" w:hAnsi="宋体" w:eastAsia="宋体" w:cs="宋体"/>
          <w:color w:val="auto"/>
          <w:sz w:val="24"/>
          <w:szCs w:val="24"/>
          <w:highlight w:val="none"/>
          <w:lang w:val="en-US" w:eastAsia="zh-CN"/>
        </w:rPr>
      </w:pPr>
    </w:p>
    <w:p>
      <w:pPr>
        <w:pStyle w:val="15"/>
        <w:rPr>
          <w:rFonts w:hint="eastAsia" w:ascii="宋体" w:hAnsi="宋体" w:eastAsia="宋体" w:cs="宋体"/>
          <w:color w:val="auto"/>
          <w:sz w:val="24"/>
          <w:szCs w:val="24"/>
          <w:highlight w:val="none"/>
          <w:lang w:val="en-US" w:eastAsia="zh-CN"/>
        </w:rPr>
      </w:pPr>
    </w:p>
    <w:p>
      <w:pPr>
        <w:numPr>
          <w:ilvl w:val="0"/>
          <w:numId w:val="0"/>
        </w:numPr>
        <w:ind w:firstLine="241" w:firstLineChars="100"/>
        <w:outlineLvl w:val="1"/>
        <w:rPr>
          <w:rFonts w:hint="eastAsia" w:ascii="宋体" w:hAnsi="宋体" w:eastAsia="宋体" w:cs="宋体"/>
          <w:b/>
          <w:color w:val="auto"/>
          <w:kern w:val="0"/>
          <w:sz w:val="24"/>
          <w:szCs w:val="24"/>
          <w:highlight w:val="none"/>
          <w:lang w:val="en-US" w:eastAsia="zh-CN" w:bidi="ar-SA"/>
        </w:rPr>
      </w:pPr>
      <w:bookmarkStart w:id="236" w:name="_Toc8282"/>
      <w:r>
        <w:rPr>
          <w:rFonts w:hint="eastAsia" w:ascii="宋体" w:hAnsi="宋体" w:eastAsia="宋体" w:cs="宋体"/>
          <w:b/>
          <w:color w:val="auto"/>
          <w:kern w:val="0"/>
          <w:sz w:val="24"/>
          <w:szCs w:val="24"/>
          <w:highlight w:val="none"/>
          <w:lang w:val="en-US" w:eastAsia="zh-CN" w:bidi="ar-SA"/>
        </w:rPr>
        <w:t>11.</w:t>
      </w:r>
      <w:r>
        <w:rPr>
          <w:rFonts w:hint="eastAsia" w:ascii="宋体" w:hAnsi="宋体" w:cs="宋体"/>
          <w:b/>
          <w:color w:val="auto"/>
          <w:kern w:val="0"/>
          <w:sz w:val="24"/>
          <w:szCs w:val="24"/>
          <w:highlight w:val="none"/>
          <w:lang w:val="en-US" w:eastAsia="zh-CN" w:bidi="ar-SA"/>
        </w:rPr>
        <w:t>提供缴纳投标保证金的有效凭证</w:t>
      </w:r>
      <w:r>
        <w:rPr>
          <w:rFonts w:hint="eastAsia" w:ascii="宋体" w:hAnsi="宋体" w:eastAsia="宋体" w:cs="宋体"/>
          <w:b/>
          <w:color w:val="auto"/>
          <w:kern w:val="0"/>
          <w:sz w:val="24"/>
          <w:szCs w:val="24"/>
          <w:highlight w:val="none"/>
          <w:lang w:val="en-US" w:eastAsia="zh-CN" w:bidi="ar-SA"/>
        </w:rPr>
        <w:t>；</w:t>
      </w:r>
      <w:bookmarkEnd w:id="236"/>
    </w:p>
    <w:p>
      <w:pPr>
        <w:numPr>
          <w:ilvl w:val="0"/>
          <w:numId w:val="0"/>
        </w:numPr>
        <w:rPr>
          <w:rFonts w:hint="eastAsia" w:ascii="宋体" w:hAnsi="宋体" w:eastAsia="宋体" w:cs="宋体"/>
          <w:b/>
          <w:bCs/>
          <w:color w:val="auto"/>
          <w:sz w:val="24"/>
          <w:szCs w:val="24"/>
          <w:highlight w:val="none"/>
          <w:lang w:eastAsia="zh-CN"/>
        </w:rPr>
      </w:pPr>
    </w:p>
    <w:p>
      <w:pPr>
        <w:numPr>
          <w:ilvl w:val="0"/>
          <w:numId w:val="0"/>
        </w:numP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rPr>
        <w:t>本项目</w:t>
      </w:r>
      <w:r>
        <w:rPr>
          <w:rFonts w:hint="eastAsia" w:ascii="宋体" w:hAnsi="宋体" w:cs="宋体"/>
          <w:b/>
          <w:bCs/>
          <w:color w:val="auto"/>
          <w:sz w:val="24"/>
          <w:szCs w:val="24"/>
          <w:highlight w:val="none"/>
          <w:lang w:eastAsia="zh-CN"/>
        </w:rPr>
        <w:t>投标保证金</w:t>
      </w:r>
      <w:r>
        <w:rPr>
          <w:rFonts w:hint="eastAsia" w:ascii="宋体" w:hAnsi="宋体" w:eastAsia="宋体" w:cs="宋体"/>
          <w:b/>
          <w:bCs/>
          <w:color w:val="auto"/>
          <w:sz w:val="24"/>
          <w:szCs w:val="24"/>
          <w:highlight w:val="none"/>
        </w:rPr>
        <w:t>银行转账回执单复印件以盖公章为准；</w:t>
      </w:r>
      <w:r>
        <w:rPr>
          <w:rFonts w:hint="eastAsia" w:ascii="宋体" w:hAnsi="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lang w:val="en-US" w:eastAsia="zh-CN"/>
        </w:rPr>
        <w:t>以“保函”形式提交投标保证金的，“保函”必须是供应商基本存款账户开户行银行出具，并须在开标前携带“保函原件”和“加盖公章的基本存款账户信息”到我公司换取“投标保证金保函”收据，投标文件须同时放保函和收据复印件。否则按无效投标保证金处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w:t>
      </w:r>
    </w:p>
    <w:p>
      <w:pPr>
        <w:outlineLvl w:val="9"/>
        <w:rPr>
          <w:rFonts w:hint="eastAsia" w:ascii="宋体" w:hAnsi="宋体" w:eastAsia="宋体" w:cs="宋体"/>
          <w:color w:val="auto"/>
          <w:sz w:val="24"/>
          <w:szCs w:val="24"/>
          <w:highlight w:val="non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pPr>
              <w:pStyle w:val="3"/>
              <w:jc w:val="center"/>
              <w:outlineLvl w:val="9"/>
              <w:rPr>
                <w:rFonts w:hint="eastAsia" w:ascii="宋体" w:hAnsi="宋体" w:eastAsia="宋体" w:cs="宋体"/>
                <w:b/>
                <w:color w:val="auto"/>
                <w:kern w:val="0"/>
                <w:sz w:val="24"/>
                <w:szCs w:val="24"/>
                <w:highlight w:val="none"/>
                <w:vertAlign w:val="baseline"/>
                <w:lang w:val="en-US" w:eastAsia="zh-CN" w:bidi="ar-SA"/>
              </w:rPr>
            </w:pPr>
            <w:r>
              <w:rPr>
                <w:rFonts w:hint="eastAsia" w:ascii="宋体" w:hAnsi="宋体" w:eastAsia="宋体" w:cs="宋体"/>
                <w:b/>
                <w:color w:val="auto"/>
                <w:kern w:val="0"/>
                <w:sz w:val="24"/>
                <w:szCs w:val="24"/>
                <w:highlight w:val="none"/>
                <w:vertAlign w:val="baseline"/>
                <w:lang w:val="en-US" w:eastAsia="zh-CN" w:bidi="ar-SA"/>
              </w:rPr>
              <w:t>缴纳投标保证金的有效凭证</w:t>
            </w:r>
          </w:p>
        </w:tc>
      </w:tr>
    </w:tbl>
    <w:p>
      <w:pPr>
        <w:pStyle w:val="3"/>
        <w:outlineLvl w:val="9"/>
        <w:rPr>
          <w:rFonts w:hint="eastAsia" w:ascii="宋体" w:hAnsi="宋体" w:eastAsia="宋体" w:cs="宋体"/>
          <w:b/>
          <w:color w:val="auto"/>
          <w:kern w:val="0"/>
          <w:sz w:val="24"/>
          <w:szCs w:val="24"/>
          <w:highlight w:val="none"/>
          <w:lang w:val="en-US" w:eastAsia="zh-CN" w:bidi="ar-SA"/>
        </w:rPr>
      </w:pPr>
    </w:p>
    <w:p>
      <w:pPr>
        <w:bidi w:val="0"/>
        <w:rPr>
          <w:rFonts w:hint="eastAsia" w:ascii="宋体" w:hAnsi="宋体" w:eastAsia="宋体" w:cs="宋体"/>
          <w:color w:val="auto"/>
          <w:sz w:val="24"/>
          <w:szCs w:val="24"/>
          <w:highlight w:val="none"/>
          <w:lang w:val="en-US" w:eastAsia="zh-CN"/>
        </w:rPr>
      </w:pPr>
    </w:p>
    <w:p>
      <w:pPr>
        <w:rPr>
          <w:rFonts w:hint="eastAsia" w:ascii="宋体" w:hAnsi="宋体" w:eastAsia="宋体" w:cs="宋体"/>
          <w:b/>
          <w:color w:val="auto"/>
          <w:kern w:val="0"/>
          <w:sz w:val="24"/>
          <w:szCs w:val="24"/>
          <w:highlight w:val="none"/>
          <w:lang w:val="en-US" w:eastAsia="zh-CN" w:bidi="ar-SA"/>
        </w:rPr>
      </w:pPr>
    </w:p>
    <w:p>
      <w:pPr>
        <w:pStyle w:val="19"/>
        <w:rPr>
          <w:rFonts w:hint="eastAsia" w:ascii="宋体" w:hAnsi="宋体" w:eastAsia="宋体" w:cs="宋体"/>
          <w:b/>
          <w:color w:val="auto"/>
          <w:sz w:val="24"/>
          <w:szCs w:val="24"/>
          <w:highlight w:val="none"/>
        </w:rPr>
      </w:pPr>
    </w:p>
    <w:p>
      <w:pPr>
        <w:pStyle w:val="3"/>
        <w:ind w:firstLine="0"/>
        <w:rPr>
          <w:rFonts w:hint="eastAsia" w:ascii="宋体" w:hAnsi="宋体" w:eastAsia="宋体" w:cs="宋体"/>
          <w:b/>
          <w:color w:val="auto"/>
          <w:sz w:val="24"/>
          <w:szCs w:val="24"/>
          <w:highlight w:val="none"/>
        </w:rPr>
      </w:pPr>
    </w:p>
    <w:p>
      <w:pPr>
        <w:tabs>
          <w:tab w:val="left" w:pos="5580"/>
        </w:tabs>
        <w:spacing w:line="400" w:lineRule="atLeast"/>
        <w:ind w:firstLine="482" w:firstLineChars="200"/>
        <w:outlineLvl w:val="1"/>
        <w:rPr>
          <w:rFonts w:hint="eastAsia" w:ascii="宋体" w:hAnsi="宋体" w:eastAsia="宋体" w:cs="宋体"/>
          <w:b/>
          <w:color w:val="auto"/>
          <w:kern w:val="0"/>
          <w:sz w:val="24"/>
          <w:szCs w:val="24"/>
          <w:highlight w:val="none"/>
          <w:lang w:val="en-US" w:eastAsia="zh-CN" w:bidi="ar-SA"/>
        </w:rPr>
      </w:pPr>
      <w:bookmarkStart w:id="237" w:name="_Toc356"/>
      <w:bookmarkStart w:id="238" w:name="_Toc12542"/>
      <w:bookmarkStart w:id="239" w:name="_Toc21307"/>
      <w:bookmarkStart w:id="240" w:name="_Toc28906"/>
      <w:bookmarkStart w:id="241" w:name="_Toc26152"/>
      <w:bookmarkStart w:id="242" w:name="_Toc3829"/>
      <w:r>
        <w:rPr>
          <w:rFonts w:hint="eastAsia" w:ascii="宋体" w:hAnsi="宋体" w:eastAsia="宋体" w:cs="宋体"/>
          <w:b/>
          <w:color w:val="auto"/>
          <w:kern w:val="0"/>
          <w:sz w:val="24"/>
          <w:szCs w:val="24"/>
          <w:highlight w:val="none"/>
          <w:lang w:val="en-US" w:eastAsia="zh-CN" w:bidi="ar-SA"/>
        </w:rPr>
        <w:t>12.银行开户许可证复印件或银行基本账户信息(包含：银行账号及开户行名称）；</w:t>
      </w:r>
      <w:bookmarkEnd w:id="237"/>
      <w:bookmarkEnd w:id="238"/>
      <w:bookmarkEnd w:id="239"/>
    </w:p>
    <w:p>
      <w:pPr>
        <w:pStyle w:val="3"/>
        <w:rPr>
          <w:rFonts w:hint="eastAsia" w:ascii="宋体" w:hAnsi="宋体" w:eastAsia="宋体" w:cs="宋体"/>
          <w:b/>
          <w:color w:val="auto"/>
          <w:kern w:val="0"/>
          <w:sz w:val="24"/>
          <w:szCs w:val="24"/>
          <w:highlight w:val="none"/>
          <w:lang w:val="en-US" w:eastAsia="zh-CN" w:bidi="ar-SA"/>
        </w:rPr>
      </w:pPr>
    </w:p>
    <w:p>
      <w:pPr>
        <w:rPr>
          <w:rFonts w:hint="eastAsia" w:ascii="宋体" w:hAnsi="宋体" w:eastAsia="宋体" w:cs="宋体"/>
          <w:b/>
          <w:color w:val="auto"/>
          <w:kern w:val="0"/>
          <w:sz w:val="24"/>
          <w:szCs w:val="24"/>
          <w:highlight w:val="none"/>
          <w:lang w:val="en-US" w:eastAsia="zh-CN" w:bidi="ar-SA"/>
        </w:rPr>
      </w:pPr>
    </w:p>
    <w:p>
      <w:pPr>
        <w:pStyle w:val="3"/>
        <w:rPr>
          <w:rFonts w:hint="eastAsia" w:ascii="宋体" w:hAnsi="宋体" w:eastAsia="宋体" w:cs="宋体"/>
          <w:b/>
          <w:color w:val="auto"/>
          <w:kern w:val="0"/>
          <w:sz w:val="24"/>
          <w:szCs w:val="24"/>
          <w:highlight w:val="none"/>
          <w:lang w:val="en-US" w:eastAsia="zh-CN" w:bidi="ar-SA"/>
        </w:rPr>
      </w:pPr>
    </w:p>
    <w:p>
      <w:pPr>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tabs>
          <w:tab w:val="left" w:pos="5580"/>
        </w:tabs>
        <w:spacing w:line="400" w:lineRule="atLeast"/>
        <w:ind w:left="420" w:leftChars="200" w:firstLine="241" w:firstLineChars="100"/>
        <w:outlineLvl w:val="1"/>
        <w:rPr>
          <w:rFonts w:hint="eastAsia" w:ascii="宋体" w:hAnsi="宋体" w:eastAsia="宋体" w:cs="宋体"/>
          <w:b/>
          <w:color w:val="auto"/>
          <w:kern w:val="0"/>
          <w:sz w:val="24"/>
          <w:szCs w:val="24"/>
          <w:highlight w:val="none"/>
          <w:lang w:val="en-US" w:eastAsia="zh-CN" w:bidi="ar-SA"/>
        </w:rPr>
      </w:pPr>
      <w:bookmarkStart w:id="243" w:name="_Toc23170"/>
      <w:bookmarkStart w:id="244" w:name="_Toc15105"/>
      <w:bookmarkStart w:id="245" w:name="_Toc8453"/>
      <w:r>
        <w:rPr>
          <w:rFonts w:hint="eastAsia" w:ascii="宋体" w:hAnsi="宋体" w:eastAsia="宋体" w:cs="宋体"/>
          <w:b/>
          <w:color w:val="auto"/>
          <w:kern w:val="0"/>
          <w:sz w:val="24"/>
          <w:szCs w:val="24"/>
          <w:highlight w:val="none"/>
          <w:lang w:val="en-US" w:eastAsia="zh-CN" w:bidi="ar-SA"/>
        </w:rPr>
        <w:t>13. 供应商可提供有利于投标的其他资格证明材料。</w:t>
      </w:r>
      <w:bookmarkEnd w:id="240"/>
      <w:bookmarkEnd w:id="241"/>
      <w:bookmarkEnd w:id="242"/>
      <w:bookmarkEnd w:id="243"/>
      <w:bookmarkEnd w:id="244"/>
      <w:bookmarkEnd w:id="245"/>
    </w:p>
    <w:p>
      <w:pPr>
        <w:pStyle w:val="4"/>
        <w:rPr>
          <w:rFonts w:hint="eastAsia" w:ascii="宋体" w:hAnsi="宋体" w:eastAsia="宋体" w:cs="宋体"/>
          <w:b/>
          <w:color w:val="auto"/>
          <w:kern w:val="0"/>
          <w:szCs w:val="21"/>
          <w:highlight w:val="none"/>
        </w:rPr>
      </w:pPr>
    </w:p>
    <w:p>
      <w:pPr>
        <w:rPr>
          <w:rFonts w:hint="eastAsia" w:ascii="宋体" w:hAnsi="宋体" w:eastAsia="宋体" w:cs="宋体"/>
          <w:color w:val="auto"/>
          <w:highlight w:val="none"/>
        </w:rPr>
      </w:pPr>
    </w:p>
    <w:bookmarkEnd w:id="222"/>
    <w:bookmarkEnd w:id="223"/>
    <w:bookmarkEnd w:id="224"/>
    <w:p>
      <w:pPr>
        <w:pStyle w:val="3"/>
        <w:ind w:firstLine="0"/>
        <w:rPr>
          <w:rFonts w:hint="eastAsia" w:ascii="宋体" w:hAnsi="宋体" w:eastAsia="宋体" w:cs="宋体"/>
          <w:color w:val="auto"/>
          <w:sz w:val="21"/>
          <w:szCs w:val="21"/>
          <w:highlight w:val="none"/>
        </w:rPr>
      </w:pPr>
      <w:bookmarkStart w:id="246" w:name="_Toc22967"/>
      <w:bookmarkStart w:id="247" w:name="_Toc11180"/>
      <w:bookmarkStart w:id="248" w:name="_Toc515647816"/>
      <w:bookmarkStart w:id="249" w:name="_Toc30653"/>
    </w:p>
    <w:p>
      <w:pPr>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3"/>
        <w:ind w:left="0" w:leftChars="0" w:firstLine="0" w:firstLineChars="0"/>
        <w:rPr>
          <w:rFonts w:hint="eastAsia" w:ascii="宋体" w:hAnsi="宋体" w:eastAsia="宋体" w:cs="宋体"/>
          <w:color w:val="auto"/>
          <w:highlight w:val="none"/>
        </w:rPr>
      </w:pPr>
    </w:p>
    <w:p>
      <w:pPr>
        <w:pStyle w:val="6"/>
        <w:spacing w:before="0" w:line="240" w:lineRule="atLeast"/>
        <w:ind w:left="1080" w:leftChars="257" w:hanging="54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第二部分</w:t>
      </w:r>
      <w:bookmarkStart w:id="250" w:name="_Toc11797"/>
      <w:bookmarkStart w:id="251" w:name="_Toc2623"/>
      <w:bookmarkStart w:id="252" w:name="_Toc26066"/>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商务及技术文件</w:t>
      </w:r>
      <w:bookmarkEnd w:id="246"/>
      <w:bookmarkEnd w:id="247"/>
      <w:bookmarkEnd w:id="248"/>
      <w:bookmarkEnd w:id="249"/>
      <w:bookmarkEnd w:id="250"/>
      <w:bookmarkEnd w:id="251"/>
      <w:bookmarkEnd w:id="252"/>
    </w:p>
    <w:p>
      <w:pPr>
        <w:numPr>
          <w:ilvl w:val="0"/>
          <w:numId w:val="0"/>
        </w:num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投标书</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货物说明一览表</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技术规格偏离表</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商务条款偏离表</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中小企业声明函</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6-2 </w:t>
      </w:r>
      <w:r>
        <w:rPr>
          <w:rFonts w:hint="eastAsia" w:ascii="宋体" w:hAnsi="宋体" w:eastAsia="宋体" w:cs="宋体"/>
          <w:color w:val="auto"/>
          <w:sz w:val="24"/>
          <w:szCs w:val="24"/>
          <w:highlight w:val="none"/>
        </w:rPr>
        <w:t>残疾人福利性单位声明函</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关联单位的说明（格式自拟）</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bookmarkStart w:id="253" w:name="_Toc14915"/>
      <w:bookmarkStart w:id="254" w:name="_Toc515647817"/>
      <w:bookmarkStart w:id="255" w:name="_Toc2041"/>
      <w:r>
        <w:rPr>
          <w:rFonts w:hint="eastAsia" w:ascii="宋体" w:hAnsi="宋体" w:eastAsia="宋体" w:cs="宋体"/>
          <w:color w:val="auto"/>
          <w:sz w:val="24"/>
          <w:szCs w:val="24"/>
          <w:highlight w:val="none"/>
          <w:lang w:eastAsia="zh-CN"/>
        </w:rPr>
        <w:t>供应商可提供有利于投标的其他资格证明材料（具体要求详见项目要求和综合评分表中的技术部分）</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投标文件格式范本</w:t>
      </w:r>
    </w:p>
    <w:p>
      <w:pPr>
        <w:pStyle w:val="10"/>
        <w:keepNext w:val="0"/>
        <w:keepLines w:val="0"/>
        <w:pageBreakBefore w:val="0"/>
        <w:widowControl w:val="0"/>
        <w:kinsoku/>
        <w:wordWrap/>
        <w:overflowPunct/>
        <w:topLinePunct w:val="0"/>
        <w:autoSpaceDE/>
        <w:autoSpaceDN/>
        <w:bidi w:val="0"/>
        <w:adjustRightInd/>
        <w:snapToGrid/>
        <w:spacing w:line="320" w:lineRule="exact"/>
        <w:ind w:left="613" w:leftChars="114" w:hanging="374" w:hangingChars="156"/>
        <w:jc w:val="left"/>
        <w:textAlignment w:val="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highlight w:val="none"/>
        </w:rPr>
      </w:pPr>
    </w:p>
    <w:p>
      <w:pPr>
        <w:pStyle w:val="3"/>
        <w:rPr>
          <w:rFonts w:hint="eastAsia" w:ascii="宋体" w:hAnsi="宋体" w:eastAsia="宋体" w:cs="宋体"/>
          <w:b/>
          <w:bCs/>
          <w:color w:val="auto"/>
          <w:highlight w:val="none"/>
        </w:rPr>
      </w:pPr>
    </w:p>
    <w:p>
      <w:pPr>
        <w:pStyle w:val="3"/>
        <w:rPr>
          <w:rFonts w:hint="eastAsia" w:ascii="宋体" w:hAnsi="宋体" w:eastAsia="宋体" w:cs="宋体"/>
          <w:b/>
          <w:bCs/>
          <w:color w:val="auto"/>
          <w:highlight w:val="none"/>
        </w:rPr>
      </w:pPr>
    </w:p>
    <w:p>
      <w:pPr>
        <w:pStyle w:val="3"/>
        <w:rPr>
          <w:rFonts w:hint="eastAsia" w:ascii="宋体" w:hAnsi="宋体" w:eastAsia="宋体" w:cs="宋体"/>
          <w:b/>
          <w:bCs/>
          <w:color w:val="auto"/>
          <w:highlight w:val="none"/>
        </w:rPr>
      </w:pPr>
    </w:p>
    <w:p>
      <w:pPr>
        <w:pStyle w:val="3"/>
        <w:rPr>
          <w:rFonts w:hint="eastAsia" w:ascii="宋体" w:hAnsi="宋体" w:eastAsia="宋体" w:cs="宋体"/>
          <w:b/>
          <w:bCs/>
          <w:color w:val="auto"/>
          <w:highlight w:val="none"/>
        </w:rPr>
      </w:pPr>
    </w:p>
    <w:p>
      <w:pPr>
        <w:pStyle w:val="3"/>
        <w:rPr>
          <w:rFonts w:hint="eastAsia" w:ascii="宋体" w:hAnsi="宋体" w:eastAsia="宋体" w:cs="宋体"/>
          <w:b/>
          <w:bCs/>
          <w:color w:val="auto"/>
          <w:highlight w:val="none"/>
        </w:rPr>
      </w:pPr>
    </w:p>
    <w:p>
      <w:pPr>
        <w:pStyle w:val="3"/>
        <w:rPr>
          <w:rFonts w:hint="eastAsia" w:ascii="宋体" w:hAnsi="宋体" w:eastAsia="宋体" w:cs="宋体"/>
          <w:b/>
          <w:bCs/>
          <w:color w:val="auto"/>
          <w:highlight w:val="none"/>
        </w:rPr>
      </w:pPr>
    </w:p>
    <w:p>
      <w:pPr>
        <w:spacing w:line="360" w:lineRule="auto"/>
        <w:rPr>
          <w:rFonts w:hint="eastAsia" w:ascii="宋体" w:hAnsi="宋体" w:eastAsia="宋体" w:cs="宋体"/>
          <w:color w:val="auto"/>
          <w:sz w:val="24"/>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rPr>
          <w:rFonts w:hint="eastAsia" w:ascii="宋体" w:hAnsi="宋体" w:eastAsia="宋体" w:cs="宋体"/>
          <w:color w:val="auto"/>
          <w:szCs w:val="21"/>
          <w:highlight w:val="none"/>
        </w:rPr>
      </w:pPr>
    </w:p>
    <w:p>
      <w:pPr>
        <w:pStyle w:val="10"/>
        <w:tabs>
          <w:tab w:val="left" w:pos="5580"/>
        </w:tabs>
        <w:spacing w:line="240" w:lineRule="atLeast"/>
        <w:ind w:firstLine="3373" w:firstLineChars="1600"/>
        <w:outlineLvl w:val="1"/>
        <w:rPr>
          <w:rFonts w:hint="eastAsia" w:ascii="宋体" w:hAnsi="宋体" w:eastAsia="宋体" w:cs="宋体"/>
          <w:color w:val="auto"/>
          <w:szCs w:val="21"/>
          <w:highlight w:val="none"/>
        </w:rPr>
      </w:pPr>
      <w:bookmarkStart w:id="256" w:name="_Toc30408"/>
      <w:bookmarkStart w:id="257" w:name="_Toc12580"/>
      <w:bookmarkStart w:id="258" w:name="_Toc20896"/>
      <w:bookmarkStart w:id="259" w:name="_Toc28678"/>
      <w:bookmarkStart w:id="260" w:name="_Toc17344"/>
      <w:bookmarkStart w:id="261" w:name="_Toc2305"/>
      <w:bookmarkStart w:id="262" w:name="_Toc695"/>
      <w:bookmarkStart w:id="263" w:name="_Toc26239"/>
      <w:bookmarkStart w:id="264" w:name="_Toc5022"/>
      <w:bookmarkStart w:id="265" w:name="_Toc27134"/>
      <w:bookmarkStart w:id="266" w:name="_Toc30922"/>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投标</w:t>
      </w:r>
      <w:bookmarkEnd w:id="202"/>
      <w:bookmarkEnd w:id="203"/>
      <w:r>
        <w:rPr>
          <w:rFonts w:hint="eastAsia" w:ascii="宋体" w:hAnsi="宋体" w:eastAsia="宋体" w:cs="宋体"/>
          <w:b/>
          <w:bCs/>
          <w:color w:val="auto"/>
          <w:szCs w:val="21"/>
          <w:highlight w:val="none"/>
        </w:rPr>
        <w:t>书</w:t>
      </w:r>
      <w:bookmarkEnd w:id="204"/>
      <w:bookmarkEnd w:id="20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tabs>
          <w:tab w:val="left" w:pos="5580"/>
        </w:tabs>
        <w:spacing w:line="400" w:lineRule="atLeast"/>
        <w:ind w:left="1080" w:hanging="10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val="en-US" w:eastAsia="zh-CN"/>
        </w:rPr>
        <w:t xml:space="preserve">        </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p>
    <w:p>
      <w:pPr>
        <w:pStyle w:val="10"/>
        <w:tabs>
          <w:tab w:val="left" w:pos="5580"/>
        </w:tabs>
        <w:spacing w:line="40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)项目的投标邀请(</w:t>
      </w:r>
      <w:r>
        <w:rPr>
          <w:rFonts w:hint="eastAsia" w:hAnsi="宋体" w:cs="宋体"/>
          <w:i/>
          <w:color w:val="auto"/>
          <w:szCs w:val="21"/>
          <w:highlight w:val="none"/>
          <w:u w:val="single"/>
          <w:lang w:eastAsia="zh-CN"/>
        </w:rPr>
        <w:t>项目编号</w:t>
      </w:r>
      <w:r>
        <w:rPr>
          <w:rFonts w:hint="eastAsia" w:ascii="宋体" w:hAnsi="宋体" w:eastAsia="宋体" w:cs="宋体"/>
          <w:color w:val="auto"/>
          <w:szCs w:val="21"/>
          <w:highlight w:val="none"/>
        </w:rPr>
        <w:t>),签字代表(</w:t>
      </w:r>
      <w:r>
        <w:rPr>
          <w:rFonts w:hint="eastAsia" w:ascii="宋体" w:hAnsi="宋体" w:eastAsia="宋体" w:cs="宋体"/>
          <w:i/>
          <w:color w:val="auto"/>
          <w:szCs w:val="21"/>
          <w:highlight w:val="none"/>
          <w:u w:val="single"/>
        </w:rPr>
        <w:t>姓名、职务</w:t>
      </w:r>
      <w:r>
        <w:rPr>
          <w:rFonts w:hint="eastAsia" w:ascii="宋体" w:hAnsi="宋体" w:eastAsia="宋体" w:cs="宋体"/>
          <w:color w:val="auto"/>
          <w:szCs w:val="21"/>
          <w:highlight w:val="none"/>
        </w:rPr>
        <w:t>)经正式授权并代表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i/>
          <w:color w:val="auto"/>
          <w:szCs w:val="21"/>
          <w:highlight w:val="none"/>
          <w:u w:val="single"/>
        </w:rPr>
        <w:t>名称、地址</w:t>
      </w:r>
      <w:r>
        <w:rPr>
          <w:rFonts w:hint="eastAsia" w:ascii="宋体" w:hAnsi="宋体" w:eastAsia="宋体" w:cs="宋体"/>
          <w:color w:val="auto"/>
          <w:szCs w:val="21"/>
          <w:highlight w:val="none"/>
        </w:rPr>
        <w:t>）提交下述文件正本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份、副本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份及电子文档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份，并以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形式出具的金额为人民币</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元的投标保证金。</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据此，签字代表宣布同意如下：</w:t>
      </w:r>
    </w:p>
    <w:p>
      <w:pPr>
        <w:pStyle w:val="10"/>
        <w:tabs>
          <w:tab w:val="left" w:pos="720"/>
          <w:tab w:val="left" w:pos="900"/>
        </w:tabs>
        <w:spacing w:line="400" w:lineRule="atLeast"/>
        <w:ind w:left="769" w:leftChars="257" w:hanging="22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（1）附投标价格表中规定的应提供服务的投标总价详见开标一览表，</w:t>
      </w:r>
      <w:r>
        <w:rPr>
          <w:rFonts w:hint="eastAsia" w:ascii="宋体" w:hAnsi="宋体" w:eastAsia="宋体" w:cs="宋体"/>
          <w:color w:val="auto"/>
          <w:szCs w:val="21"/>
          <w:highlight w:val="none"/>
          <w:u w:val="single"/>
        </w:rPr>
        <w:t>其中由小型和</w:t>
      </w:r>
      <w:r>
        <w:rPr>
          <w:rFonts w:hint="eastAsia" w:ascii="宋体" w:hAnsi="宋体" w:eastAsia="宋体" w:cs="宋体"/>
          <w:color w:val="auto"/>
          <w:szCs w:val="21"/>
          <w:highlight w:val="none"/>
        </w:rPr>
        <w:t>微型企业制造产品的价格为</w:t>
      </w:r>
      <w:r>
        <w:rPr>
          <w:rFonts w:hint="eastAsia" w:ascii="宋体" w:hAnsi="宋体" w:eastAsia="宋体" w:cs="宋体"/>
          <w:color w:val="auto"/>
          <w:szCs w:val="21"/>
          <w:highlight w:val="none"/>
          <w:u w:val="single"/>
        </w:rPr>
        <w:t>　　  （用文字和数字表示），占投标总价   %</w:t>
      </w:r>
      <w:r>
        <w:rPr>
          <w:rFonts w:hint="eastAsia" w:ascii="宋体" w:hAnsi="宋体" w:eastAsia="宋体" w:cs="宋体"/>
          <w:color w:val="auto"/>
          <w:szCs w:val="21"/>
          <w:highlight w:val="none"/>
        </w:rPr>
        <w:t>。</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（2）本投标有效期为自投标截止之日起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（3）联合体中的大中型企业和其他自然人、法人或者非法人组织，与联合体中的小型、微型企业之间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存在、不存在）投资关系（如果是联合体的话）。</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（4）已详细审查全部招标文件，包括所有补充通知（如果有的话），完全理解并同意放弃对这方面有不明、误解和质疑的权力。</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（5）在规定的开标时间后，遵守招标文件中有关保证金的规定。</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（6）我方不是为本项目提供整体设计、规范编制或者项目管理、监理、检测等服务的供应商，我方不是采购代理机构的附属机构。</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（7）在领取中标通知书的同时按招标文件规定的形式，向贵方一次性支付中标服务费。</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（8）按照贵方可能要求，提供与其投标有关的一切数据或资料，完全理解贵方不一定接受最低价的投标或收到的任何投标。</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（9）按照招标文件的规定履行合同责任和义务。</w:t>
      </w:r>
    </w:p>
    <w:p>
      <w:pPr>
        <w:pStyle w:val="10"/>
        <w:tabs>
          <w:tab w:val="left" w:pos="5580"/>
        </w:tabs>
        <w:spacing w:line="400" w:lineRule="atLeast"/>
        <w:ind w:left="332" w:leftChars="68" w:hanging="189" w:hangingChars="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与本投标有关的一切正式往来信函请寄：</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电子函件</w:t>
      </w:r>
      <w:r>
        <w:rPr>
          <w:rFonts w:hint="eastAsia" w:ascii="宋体" w:hAnsi="宋体" w:eastAsia="宋体" w:cs="宋体"/>
          <w:color w:val="auto"/>
          <w:szCs w:val="21"/>
          <w:highlight w:val="none"/>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开户银行（全称）</w:t>
      </w:r>
      <w:r>
        <w:rPr>
          <w:rFonts w:hint="eastAsia" w:ascii="宋体" w:hAnsi="宋体" w:eastAsia="宋体" w:cs="宋体"/>
          <w:color w:val="auto"/>
          <w:szCs w:val="21"/>
          <w:highlight w:val="none"/>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银行帐号</w:t>
      </w:r>
      <w:r>
        <w:rPr>
          <w:rFonts w:hint="eastAsia" w:ascii="宋体" w:hAnsi="宋体" w:eastAsia="宋体" w:cs="宋体"/>
          <w:color w:val="auto"/>
          <w:szCs w:val="21"/>
          <w:highlight w:val="none"/>
          <w:u w:val="single"/>
        </w:rPr>
        <w:t>　　　　　　　　 　　</w:t>
      </w:r>
    </w:p>
    <w:p>
      <w:pPr>
        <w:pStyle w:val="10"/>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pStyle w:val="6"/>
        <w:spacing w:before="0"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67" w:name="_Toc19819"/>
      <w:bookmarkStart w:id="268" w:name="_Toc1266"/>
      <w:bookmarkStart w:id="269" w:name="_Toc23473"/>
      <w:bookmarkStart w:id="270" w:name="_Toc30247"/>
      <w:bookmarkStart w:id="271" w:name="_Toc4976"/>
      <w:bookmarkStart w:id="272" w:name="_Toc19746"/>
      <w:bookmarkStart w:id="273" w:name="_Toc20836"/>
      <w:bookmarkStart w:id="274" w:name="_Toc5486"/>
      <w:bookmarkStart w:id="275" w:name="_Toc12429"/>
      <w:bookmarkStart w:id="276" w:name="_Toc19539"/>
      <w:bookmarkStart w:id="277" w:name="_Toc29732"/>
      <w:bookmarkStart w:id="278" w:name="_Toc23851"/>
      <w:bookmarkStart w:id="279" w:name="_Toc213"/>
      <w:r>
        <w:rPr>
          <w:rFonts w:hint="eastAsia" w:ascii="宋体" w:hAnsi="宋体" w:eastAsia="宋体" w:cs="宋体"/>
          <w:b/>
          <w:bCs/>
          <w:color w:val="auto"/>
          <w:sz w:val="21"/>
          <w:szCs w:val="21"/>
          <w:highlight w:val="none"/>
        </w:rPr>
        <w:t>2</w:t>
      </w:r>
      <w:bookmarkEnd w:id="267"/>
      <w:bookmarkEnd w:id="268"/>
      <w:bookmarkEnd w:id="269"/>
      <w:bookmarkStart w:id="280" w:name="_Toc20897"/>
      <w:bookmarkStart w:id="281" w:name="_Toc5101"/>
      <w:bookmarkStart w:id="282" w:name="_Toc1881"/>
      <w:bookmarkStart w:id="283" w:name="_Toc515647818"/>
      <w:bookmarkStart w:id="284" w:name="_Toc216582815"/>
      <w:bookmarkStart w:id="285" w:name="_Toc216582817"/>
      <w:bookmarkStart w:id="286" w:name="_Toc28959"/>
      <w:bookmarkStart w:id="287" w:name="_Toc22563"/>
      <w:bookmarkStart w:id="288" w:name="_Toc515647820"/>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投标分项报价表</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10"/>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tbl>
      <w:tblPr>
        <w:tblStyle w:val="20"/>
        <w:tblpPr w:leftFromText="180" w:rightFromText="180" w:vertAnchor="text" w:horzAnchor="page" w:tblpX="797" w:tblpY="267"/>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86"/>
        <w:gridCol w:w="1481"/>
        <w:gridCol w:w="741"/>
        <w:gridCol w:w="667"/>
        <w:gridCol w:w="667"/>
        <w:gridCol w:w="977"/>
        <w:gridCol w:w="1364"/>
        <w:gridCol w:w="666"/>
        <w:gridCol w:w="811"/>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25"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6"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81"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型号和规格</w:t>
            </w:r>
          </w:p>
        </w:tc>
        <w:tc>
          <w:tcPr>
            <w:tcW w:w="741"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67" w:type="dxa"/>
            <w:noWrap/>
            <w:vAlign w:val="center"/>
          </w:tcPr>
          <w:p>
            <w:pPr>
              <w:pStyle w:val="1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667"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977"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1364"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制造商名称</w:t>
            </w:r>
          </w:p>
        </w:tc>
        <w:tc>
          <w:tcPr>
            <w:tcW w:w="666"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11"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771"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25" w:type="dxa"/>
            <w:noWrap/>
            <w:vAlign w:val="center"/>
          </w:tcPr>
          <w:p>
            <w:pPr>
              <w:pStyle w:val="10"/>
              <w:spacing w:line="4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1286" w:type="dxa"/>
            <w:noWrap/>
            <w:vAlign w:val="center"/>
          </w:tcPr>
          <w:p>
            <w:pPr>
              <w:pStyle w:val="10"/>
              <w:spacing w:line="400" w:lineRule="exact"/>
              <w:jc w:val="center"/>
              <w:rPr>
                <w:rFonts w:hint="eastAsia" w:ascii="宋体" w:hAnsi="宋体" w:eastAsia="宋体" w:cs="宋体"/>
                <w:color w:val="auto"/>
                <w:sz w:val="24"/>
                <w:szCs w:val="24"/>
                <w:highlight w:val="none"/>
              </w:rPr>
            </w:pPr>
          </w:p>
        </w:tc>
        <w:tc>
          <w:tcPr>
            <w:tcW w:w="148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4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97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1364"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6"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81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7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25" w:type="dxa"/>
            <w:noWrap/>
            <w:vAlign w:val="center"/>
          </w:tcPr>
          <w:p>
            <w:pPr>
              <w:pStyle w:val="10"/>
              <w:spacing w:line="4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1286" w:type="dxa"/>
            <w:noWrap/>
            <w:vAlign w:val="center"/>
          </w:tcPr>
          <w:p>
            <w:pPr>
              <w:pStyle w:val="10"/>
              <w:spacing w:line="400" w:lineRule="exact"/>
              <w:jc w:val="center"/>
              <w:rPr>
                <w:rFonts w:hint="eastAsia" w:ascii="宋体" w:hAnsi="宋体" w:eastAsia="宋体" w:cs="宋体"/>
                <w:color w:val="auto"/>
                <w:sz w:val="24"/>
                <w:szCs w:val="24"/>
                <w:highlight w:val="none"/>
              </w:rPr>
            </w:pPr>
          </w:p>
        </w:tc>
        <w:tc>
          <w:tcPr>
            <w:tcW w:w="148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4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97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1364"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6"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81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7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5" w:type="dxa"/>
            <w:noWrap/>
            <w:vAlign w:val="center"/>
          </w:tcPr>
          <w:p>
            <w:pPr>
              <w:pStyle w:val="10"/>
              <w:spacing w:line="4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1286" w:type="dxa"/>
            <w:noWrap/>
            <w:vAlign w:val="center"/>
          </w:tcPr>
          <w:p>
            <w:pPr>
              <w:pStyle w:val="10"/>
              <w:spacing w:line="400" w:lineRule="exact"/>
              <w:jc w:val="center"/>
              <w:rPr>
                <w:rFonts w:hint="eastAsia" w:ascii="宋体" w:hAnsi="宋体" w:eastAsia="宋体" w:cs="宋体"/>
                <w:color w:val="auto"/>
                <w:sz w:val="24"/>
                <w:szCs w:val="24"/>
                <w:highlight w:val="none"/>
              </w:rPr>
            </w:pPr>
          </w:p>
        </w:tc>
        <w:tc>
          <w:tcPr>
            <w:tcW w:w="148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4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97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1364"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6"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81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7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25" w:type="dxa"/>
            <w:noWrap/>
            <w:vAlign w:val="center"/>
          </w:tcPr>
          <w:p>
            <w:pPr>
              <w:pStyle w:val="10"/>
              <w:spacing w:line="4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1286" w:type="dxa"/>
            <w:noWrap/>
            <w:vAlign w:val="center"/>
          </w:tcPr>
          <w:p>
            <w:pPr>
              <w:pStyle w:val="10"/>
              <w:spacing w:line="400" w:lineRule="exact"/>
              <w:jc w:val="center"/>
              <w:rPr>
                <w:rFonts w:hint="eastAsia" w:ascii="宋体" w:hAnsi="宋体" w:eastAsia="宋体" w:cs="宋体"/>
                <w:color w:val="auto"/>
                <w:sz w:val="24"/>
                <w:szCs w:val="24"/>
                <w:highlight w:val="none"/>
              </w:rPr>
            </w:pPr>
          </w:p>
        </w:tc>
        <w:tc>
          <w:tcPr>
            <w:tcW w:w="148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4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97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1364"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6"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81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7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25" w:type="dxa"/>
            <w:noWrap/>
            <w:vAlign w:val="center"/>
          </w:tcPr>
          <w:p>
            <w:pPr>
              <w:pStyle w:val="10"/>
              <w:spacing w:line="40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1286" w:type="dxa"/>
            <w:noWrap/>
            <w:vAlign w:val="center"/>
          </w:tcPr>
          <w:p>
            <w:pPr>
              <w:pStyle w:val="10"/>
              <w:spacing w:line="400" w:lineRule="exact"/>
              <w:jc w:val="center"/>
              <w:rPr>
                <w:rFonts w:hint="eastAsia" w:ascii="宋体" w:hAnsi="宋体" w:eastAsia="宋体" w:cs="宋体"/>
                <w:color w:val="auto"/>
                <w:sz w:val="24"/>
                <w:szCs w:val="24"/>
                <w:highlight w:val="none"/>
              </w:rPr>
            </w:pPr>
          </w:p>
        </w:tc>
        <w:tc>
          <w:tcPr>
            <w:tcW w:w="148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4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977"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1364"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666"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81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c>
          <w:tcPr>
            <w:tcW w:w="771" w:type="dxa"/>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574" w:type="dxa"/>
            <w:gridSpan w:val="9"/>
            <w:noWrap/>
            <w:vAlign w:val="center"/>
          </w:tcPr>
          <w:p>
            <w:pPr>
              <w:pStyle w:val="1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82" w:type="dxa"/>
            <w:gridSpan w:val="2"/>
            <w:noWrap/>
            <w:vAlign w:val="center"/>
          </w:tcPr>
          <w:p>
            <w:pPr>
              <w:pStyle w:val="10"/>
              <w:spacing w:line="400" w:lineRule="exact"/>
              <w:ind w:left="1080" w:leftChars="257" w:hanging="540"/>
              <w:jc w:val="center"/>
              <w:rPr>
                <w:rFonts w:hint="eastAsia" w:ascii="宋体" w:hAnsi="宋体" w:eastAsia="宋体" w:cs="宋体"/>
                <w:color w:val="auto"/>
                <w:sz w:val="24"/>
                <w:szCs w:val="24"/>
                <w:highlight w:val="none"/>
              </w:rPr>
            </w:pPr>
          </w:p>
        </w:tc>
      </w:tr>
    </w:tbl>
    <w:p>
      <w:pPr>
        <w:pStyle w:val="10"/>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报价单位：</w:t>
      </w:r>
    </w:p>
    <w:p>
      <w:pPr>
        <w:pStyle w:val="10"/>
        <w:spacing w:line="240" w:lineRule="atLeast"/>
        <w:jc w:val="left"/>
        <w:rPr>
          <w:rFonts w:hint="eastAsia" w:ascii="宋体" w:hAnsi="宋体" w:eastAsia="宋体" w:cs="宋体"/>
          <w:color w:val="auto"/>
          <w:szCs w:val="21"/>
          <w:highlight w:val="none"/>
        </w:rPr>
      </w:pPr>
    </w:p>
    <w:p>
      <w:pPr>
        <w:pStyle w:val="10"/>
        <w:spacing w:line="240" w:lineRule="atLeast"/>
        <w:rPr>
          <w:rFonts w:hint="eastAsia" w:ascii="宋体" w:hAnsi="宋体" w:eastAsia="宋体" w:cs="宋体"/>
          <w:color w:val="auto"/>
          <w:szCs w:val="21"/>
          <w:highlight w:val="none"/>
        </w:rPr>
      </w:pPr>
    </w:p>
    <w:p>
      <w:pPr>
        <w:pStyle w:val="10"/>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0"/>
        <w:tabs>
          <w:tab w:val="left" w:pos="537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p>
      <w:pPr>
        <w:pStyle w:val="10"/>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认为需要，每种服务内容填写一份该表。</w:t>
      </w:r>
    </w:p>
    <w:p>
      <w:pPr>
        <w:pStyle w:val="10"/>
        <w:spacing w:line="400" w:lineRule="atLeast"/>
        <w:ind w:left="1056" w:leftChars="428" w:hanging="157" w:hangingChars="7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2.如果按单价计算的结果与总价不一致,以单价为准修正总价。</w:t>
      </w:r>
    </w:p>
    <w:p>
      <w:pPr>
        <w:pStyle w:val="10"/>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3.如果不提供详细分项报价将视为没有实质性响应招标文件。</w:t>
      </w:r>
    </w:p>
    <w:p>
      <w:pPr>
        <w:pStyle w:val="10"/>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4.上述各项的详细分项报价，应另页描述。</w:t>
      </w:r>
    </w:p>
    <w:p>
      <w:pPr>
        <w:pStyle w:val="10"/>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5.如果开标一览表（报价表）内容与投标文件中明细表内容不一致的，以开标一览表（报价表）内容为准。</w:t>
      </w: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spacing w:line="360" w:lineRule="auto"/>
        <w:jc w:val="center"/>
        <w:outlineLvl w:val="1"/>
        <w:rPr>
          <w:rFonts w:hint="eastAsia" w:ascii="宋体" w:hAnsi="宋体" w:eastAsia="宋体" w:cs="宋体"/>
          <w:b/>
          <w:color w:val="auto"/>
          <w:sz w:val="30"/>
          <w:szCs w:val="30"/>
          <w:highlight w:val="none"/>
        </w:rPr>
      </w:pPr>
      <w:bookmarkStart w:id="289" w:name="_Toc10486"/>
      <w:bookmarkStart w:id="290" w:name="_Toc30209"/>
      <w:bookmarkStart w:id="291" w:name="_Toc12483"/>
      <w:bookmarkStart w:id="292" w:name="_Toc27721"/>
      <w:bookmarkStart w:id="293" w:name="_Toc16166"/>
      <w:bookmarkStart w:id="294" w:name="_Toc28199"/>
      <w:bookmarkStart w:id="295" w:name="_Toc6480"/>
      <w:bookmarkStart w:id="296" w:name="_Toc13950"/>
      <w:bookmarkStart w:id="297" w:name="_Toc25980"/>
      <w:bookmarkStart w:id="298" w:name="_Toc16798"/>
      <w:r>
        <w:rPr>
          <w:rFonts w:hint="eastAsia" w:ascii="宋体" w:hAnsi="宋体" w:eastAsia="宋体" w:cs="宋体"/>
          <w:b/>
          <w:bCs/>
          <w:color w:val="auto"/>
          <w:sz w:val="24"/>
          <w:highlight w:val="none"/>
        </w:rPr>
        <w:t>备品备件设备分项报价表（二）</w:t>
      </w:r>
      <w:bookmarkEnd w:id="289"/>
      <w:bookmarkEnd w:id="290"/>
      <w:bookmarkEnd w:id="291"/>
      <w:bookmarkEnd w:id="292"/>
      <w:bookmarkEnd w:id="293"/>
      <w:bookmarkEnd w:id="294"/>
      <w:bookmarkEnd w:id="295"/>
      <w:bookmarkEnd w:id="296"/>
      <w:bookmarkEnd w:id="297"/>
      <w:bookmarkEnd w:id="298"/>
    </w:p>
    <w:tbl>
      <w:tblPr>
        <w:tblStyle w:val="20"/>
        <w:tblW w:w="9072"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94"/>
        <w:gridCol w:w="703"/>
        <w:gridCol w:w="805"/>
        <w:gridCol w:w="692"/>
        <w:gridCol w:w="908"/>
        <w:gridCol w:w="612"/>
        <w:gridCol w:w="715"/>
        <w:gridCol w:w="646"/>
        <w:gridCol w:w="658"/>
        <w:gridCol w:w="64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1259" w:type="dxa"/>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tc>
        <w:tc>
          <w:tcPr>
            <w:tcW w:w="70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80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69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90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供货厂商名称</w:t>
            </w:r>
          </w:p>
        </w:tc>
        <w:tc>
          <w:tcPr>
            <w:tcW w:w="61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71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65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64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合价</w:t>
            </w:r>
          </w:p>
        </w:tc>
        <w:tc>
          <w:tcPr>
            <w:tcW w:w="63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质保期外设备报价</w:t>
            </w: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Align w:val="center"/>
          </w:tcPr>
          <w:p>
            <w:pPr>
              <w:spacing w:line="360" w:lineRule="auto"/>
              <w:jc w:val="center"/>
              <w:rPr>
                <w:rFonts w:hint="eastAsia" w:ascii="宋体" w:hAnsi="宋体" w:eastAsia="宋体" w:cs="宋体"/>
                <w:color w:val="auto"/>
                <w:sz w:val="24"/>
                <w:highlight w:val="none"/>
              </w:rPr>
            </w:pPr>
          </w:p>
        </w:tc>
        <w:tc>
          <w:tcPr>
            <w:tcW w:w="7813" w:type="dxa"/>
            <w:gridSpan w:val="11"/>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质保期内免费设备</w:t>
            </w: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72" w:type="dxa"/>
            <w:gridSpan w:val="12"/>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    价（元）：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（质保期外设备报价）</w:t>
            </w:r>
          </w:p>
        </w:tc>
      </w:tr>
    </w:tbl>
    <w:p>
      <w:pPr>
        <w:pStyle w:val="3"/>
        <w:spacing w:line="360" w:lineRule="exact"/>
        <w:ind w:firstLine="0"/>
        <w:rPr>
          <w:rFonts w:hint="eastAsia" w:ascii="宋体" w:hAnsi="宋体" w:eastAsia="宋体" w:cs="宋体"/>
          <w:color w:val="auto"/>
          <w:kern w:val="2"/>
          <w:sz w:val="21"/>
          <w:szCs w:val="21"/>
          <w:highlight w:val="none"/>
        </w:rPr>
      </w:pPr>
    </w:p>
    <w:p>
      <w:pPr>
        <w:pStyle w:val="3"/>
        <w:spacing w:line="360" w:lineRule="exact"/>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供应商名称（公章）：</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                                </w:t>
      </w:r>
    </w:p>
    <w:p>
      <w:pPr>
        <w:pStyle w:val="3"/>
        <w:spacing w:line="36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供应商法人或授权代表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签/章</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p>
    <w:p>
      <w:pPr>
        <w:pStyle w:val="3"/>
        <w:spacing w:line="36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       期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注：</w:t>
      </w:r>
      <w:r>
        <w:rPr>
          <w:rFonts w:hint="eastAsia" w:ascii="宋体" w:hAnsi="宋体" w:eastAsia="宋体" w:cs="宋体"/>
          <w:color w:val="auto"/>
          <w:szCs w:val="21"/>
          <w:highlight w:val="none"/>
        </w:rPr>
        <w:t>1、 表格长度方向可做扩展根据需求可补充相关资料，但不可减少。</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2、备品备件设备分项报价仅供</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在设备发生故障情况下采用此报价，填写此表时请谨慎。备品备件分为两部分（1、质保期内免费的备品备件、2、质保期外备品备件报价）                 </w:t>
      </w:r>
    </w:p>
    <w:p>
      <w:pPr>
        <w:pStyle w:val="3"/>
        <w:spacing w:line="36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3、备品备件设备分项报价不合计于开标一览表总价，单独名列即可。</w:t>
      </w:r>
    </w:p>
    <w:p>
      <w:pPr>
        <w:pStyle w:val="3"/>
        <w:spacing w:line="360" w:lineRule="exact"/>
        <w:ind w:firstLine="0"/>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10"/>
        <w:spacing w:line="240" w:lineRule="atLeast"/>
        <w:ind w:left="1258" w:leftChars="599" w:firstLine="1143" w:firstLineChars="542"/>
        <w:rPr>
          <w:rFonts w:hint="eastAsia" w:ascii="宋体" w:hAnsi="宋体" w:eastAsia="宋体" w:cs="宋体"/>
          <w:b/>
          <w:color w:val="auto"/>
          <w:kern w:val="0"/>
          <w:szCs w:val="21"/>
          <w:highlight w:val="none"/>
        </w:rPr>
      </w:pPr>
    </w:p>
    <w:p>
      <w:pPr>
        <w:pStyle w:val="6"/>
        <w:spacing w:before="0" w:line="240" w:lineRule="atLeast"/>
        <w:ind w:firstLine="2741" w:firstLineChars="1300"/>
        <w:jc w:val="both"/>
        <w:rPr>
          <w:rFonts w:hint="eastAsia" w:ascii="宋体" w:hAnsi="宋体" w:eastAsia="宋体" w:cs="宋体"/>
          <w:b/>
          <w:bCs/>
          <w:color w:val="auto"/>
          <w:sz w:val="21"/>
          <w:szCs w:val="21"/>
          <w:highlight w:val="none"/>
        </w:rPr>
      </w:pPr>
      <w:bookmarkStart w:id="299" w:name="_Toc22966"/>
      <w:bookmarkStart w:id="300" w:name="_Toc31515"/>
      <w:bookmarkStart w:id="301" w:name="_Toc11577"/>
      <w:bookmarkStart w:id="302" w:name="_Toc15861"/>
      <w:bookmarkStart w:id="303" w:name="_Toc15893"/>
      <w:bookmarkStart w:id="304" w:name="_Toc21726"/>
      <w:bookmarkStart w:id="305" w:name="_Toc28817"/>
      <w:bookmarkStart w:id="306" w:name="_Toc28800"/>
      <w:bookmarkStart w:id="307" w:name="_Toc11211"/>
      <w:bookmarkStart w:id="308" w:name="_Toc17870"/>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货物说明一览表</w:t>
      </w:r>
      <w:bookmarkEnd w:id="299"/>
      <w:bookmarkEnd w:id="300"/>
      <w:bookmarkEnd w:id="301"/>
      <w:bookmarkEnd w:id="302"/>
      <w:bookmarkEnd w:id="303"/>
      <w:bookmarkEnd w:id="304"/>
      <w:bookmarkEnd w:id="305"/>
      <w:bookmarkEnd w:id="306"/>
      <w:bookmarkEnd w:id="307"/>
      <w:bookmarkEnd w:id="308"/>
    </w:p>
    <w:p>
      <w:pPr>
        <w:pStyle w:val="10"/>
        <w:spacing w:line="240" w:lineRule="atLeast"/>
        <w:jc w:val="left"/>
        <w:rPr>
          <w:rFonts w:hint="eastAsia" w:ascii="宋体" w:hAnsi="宋体" w:eastAsia="宋体" w:cs="宋体"/>
          <w:color w:val="auto"/>
          <w:szCs w:val="21"/>
          <w:highlight w:val="none"/>
        </w:rPr>
      </w:pPr>
    </w:p>
    <w:p>
      <w:pPr>
        <w:pStyle w:val="10"/>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p>
      <w:pPr>
        <w:pStyle w:val="10"/>
        <w:spacing w:line="240" w:lineRule="atLeast"/>
        <w:ind w:left="1080" w:leftChars="257" w:hanging="540"/>
        <w:rPr>
          <w:rFonts w:hint="eastAsia" w:ascii="宋体" w:hAnsi="宋体" w:eastAsia="宋体" w:cs="宋体"/>
          <w:color w:val="auto"/>
          <w:szCs w:val="21"/>
          <w:highlight w:val="none"/>
        </w:rPr>
      </w:pPr>
    </w:p>
    <w:tbl>
      <w:tblPr>
        <w:tblStyle w:val="20"/>
        <w:tblW w:w="8678"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0"/>
        <w:gridCol w:w="1475"/>
        <w:gridCol w:w="1730"/>
        <w:gridCol w:w="173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141"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序号</w:t>
            </w:r>
          </w:p>
        </w:tc>
        <w:tc>
          <w:tcPr>
            <w:tcW w:w="1370"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货物名称</w:t>
            </w:r>
          </w:p>
        </w:tc>
        <w:tc>
          <w:tcPr>
            <w:tcW w:w="1475"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规格型号</w:t>
            </w:r>
          </w:p>
        </w:tc>
        <w:tc>
          <w:tcPr>
            <w:tcW w:w="1730" w:type="dxa"/>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交货期</w:t>
            </w:r>
          </w:p>
        </w:tc>
        <w:tc>
          <w:tcPr>
            <w:tcW w:w="1730"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交货地点</w:t>
            </w:r>
          </w:p>
        </w:tc>
        <w:tc>
          <w:tcPr>
            <w:tcW w:w="1232" w:type="dxa"/>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0"/>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0"/>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0"/>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0"/>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0"/>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0"/>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4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0"/>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0"/>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0"/>
              <w:spacing w:line="240" w:lineRule="atLeast"/>
              <w:ind w:left="1080" w:leftChars="257" w:hanging="540"/>
              <w:rPr>
                <w:rFonts w:hint="eastAsia" w:ascii="宋体" w:hAnsi="宋体" w:eastAsia="宋体" w:cs="宋体"/>
                <w:color w:val="auto"/>
                <w:szCs w:val="21"/>
                <w:highlight w:val="none"/>
              </w:rPr>
            </w:pPr>
          </w:p>
        </w:tc>
      </w:tr>
    </w:tbl>
    <w:p>
      <w:pPr>
        <w:pStyle w:val="10"/>
        <w:spacing w:line="240" w:lineRule="atLeast"/>
        <w:ind w:left="1080" w:leftChars="257" w:hanging="540"/>
        <w:rPr>
          <w:rFonts w:hint="eastAsia" w:ascii="宋体" w:hAnsi="宋体" w:eastAsia="宋体" w:cs="宋体"/>
          <w:color w:val="auto"/>
          <w:szCs w:val="21"/>
          <w:highlight w:val="none"/>
        </w:rPr>
      </w:pPr>
    </w:p>
    <w:p>
      <w:pPr>
        <w:pStyle w:val="10"/>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0"/>
        <w:tabs>
          <w:tab w:val="left" w:pos="5370"/>
        </w:tabs>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p>
      <w:pPr>
        <w:pStyle w:val="10"/>
        <w:spacing w:line="240" w:lineRule="atLeast"/>
        <w:ind w:left="1080" w:leftChars="257" w:hanging="540"/>
        <w:rPr>
          <w:rFonts w:hint="eastAsia" w:ascii="宋体" w:hAnsi="宋体" w:eastAsia="宋体" w:cs="宋体"/>
          <w:b/>
          <w:bCs/>
          <w:color w:val="auto"/>
          <w:sz w:val="22"/>
          <w:szCs w:val="22"/>
          <w:highlight w:val="none"/>
        </w:rPr>
      </w:pPr>
      <w:r>
        <w:rPr>
          <w:rFonts w:hint="eastAsia" w:ascii="宋体" w:hAnsi="宋体" w:eastAsia="宋体" w:cs="宋体"/>
          <w:color w:val="auto"/>
          <w:szCs w:val="21"/>
          <w:highlight w:val="none"/>
        </w:rPr>
        <w:t>注: 各项服务详细技术性能应另页描述。</w:t>
      </w: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pStyle w:val="10"/>
        <w:spacing w:line="240" w:lineRule="atLeast"/>
        <w:ind w:left="1080" w:leftChars="257" w:hanging="540"/>
        <w:jc w:val="center"/>
        <w:rPr>
          <w:rFonts w:hint="eastAsia" w:ascii="宋体" w:hAnsi="宋体" w:eastAsia="宋体" w:cs="宋体"/>
          <w:b/>
          <w:bCs/>
          <w:color w:val="auto"/>
          <w:sz w:val="22"/>
          <w:szCs w:val="22"/>
          <w:highlight w:val="none"/>
        </w:rPr>
      </w:pPr>
    </w:p>
    <w:p>
      <w:pPr>
        <w:rPr>
          <w:rFonts w:hint="eastAsia" w:ascii="宋体" w:hAnsi="宋体" w:eastAsia="宋体" w:cs="宋体"/>
          <w:b/>
          <w:bCs/>
          <w:color w:val="auto"/>
          <w:sz w:val="22"/>
          <w:szCs w:val="22"/>
          <w:highlight w:val="none"/>
        </w:rPr>
      </w:pPr>
      <w:bookmarkStart w:id="309" w:name="_Toc13093"/>
      <w:bookmarkStart w:id="310" w:name="_Toc13229"/>
      <w:bookmarkStart w:id="311" w:name="_Toc26490"/>
      <w:bookmarkStart w:id="312" w:name="_Toc28414"/>
      <w:bookmarkStart w:id="313" w:name="_Toc32130"/>
      <w:bookmarkStart w:id="314" w:name="_Toc32666"/>
      <w:bookmarkStart w:id="315" w:name="_Toc4939"/>
      <w:bookmarkStart w:id="316" w:name="_Toc3537"/>
      <w:bookmarkStart w:id="317" w:name="_Toc23542"/>
      <w:r>
        <w:rPr>
          <w:rFonts w:hint="eastAsia" w:ascii="宋体" w:hAnsi="宋体" w:eastAsia="宋体" w:cs="宋体"/>
          <w:b/>
          <w:bCs/>
          <w:color w:val="auto"/>
          <w:sz w:val="22"/>
          <w:szCs w:val="22"/>
          <w:highlight w:val="none"/>
        </w:rPr>
        <w:br w:type="page"/>
      </w:r>
    </w:p>
    <w:p>
      <w:pPr>
        <w:pStyle w:val="10"/>
        <w:spacing w:line="240" w:lineRule="atLeast"/>
        <w:ind w:left="1080" w:leftChars="257" w:hanging="540"/>
        <w:jc w:val="center"/>
        <w:outlineLvl w:val="1"/>
        <w:rPr>
          <w:rFonts w:hint="eastAsia" w:ascii="宋体" w:hAnsi="宋体" w:eastAsia="宋体" w:cs="宋体"/>
          <w:b/>
          <w:bCs/>
          <w:color w:val="auto"/>
          <w:sz w:val="22"/>
          <w:szCs w:val="22"/>
          <w:highlight w:val="none"/>
        </w:rPr>
      </w:pPr>
      <w:bookmarkStart w:id="318" w:name="_Toc15927"/>
      <w:r>
        <w:rPr>
          <w:rFonts w:hint="eastAsia" w:ascii="宋体" w:hAnsi="宋体" w:eastAsia="宋体" w:cs="宋体"/>
          <w:b/>
          <w:bCs/>
          <w:color w:val="auto"/>
          <w:sz w:val="22"/>
          <w:szCs w:val="22"/>
          <w:highlight w:val="none"/>
        </w:rPr>
        <w:t>4</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技术规格偏离表</w:t>
      </w:r>
      <w:bookmarkEnd w:id="309"/>
      <w:bookmarkEnd w:id="310"/>
      <w:bookmarkEnd w:id="311"/>
      <w:bookmarkEnd w:id="312"/>
      <w:bookmarkEnd w:id="313"/>
      <w:bookmarkEnd w:id="314"/>
      <w:bookmarkEnd w:id="315"/>
      <w:bookmarkEnd w:id="316"/>
      <w:bookmarkEnd w:id="317"/>
      <w:bookmarkEnd w:id="318"/>
    </w:p>
    <w:p>
      <w:pPr>
        <w:pStyle w:val="10"/>
        <w:spacing w:line="240" w:lineRule="atLeast"/>
        <w:ind w:left="1080" w:leftChars="257" w:hanging="540"/>
        <w:rPr>
          <w:rFonts w:hint="eastAsia" w:ascii="宋体" w:hAnsi="宋体" w:eastAsia="宋体" w:cs="宋体"/>
          <w:color w:val="auto"/>
          <w:szCs w:val="21"/>
          <w:highlight w:val="none"/>
        </w:rPr>
      </w:pPr>
    </w:p>
    <w:p>
      <w:pPr>
        <w:pStyle w:val="10"/>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p>
      <w:pPr>
        <w:pStyle w:val="10"/>
        <w:spacing w:line="240" w:lineRule="atLeast"/>
        <w:ind w:left="1080" w:leftChars="257" w:hanging="540"/>
        <w:rPr>
          <w:rFonts w:hint="eastAsia" w:ascii="宋体" w:hAnsi="宋体" w:eastAsia="宋体" w:cs="宋体"/>
          <w:color w:val="auto"/>
          <w:szCs w:val="21"/>
          <w:highlight w:val="none"/>
        </w:rPr>
      </w:pPr>
    </w:p>
    <w:tbl>
      <w:tblPr>
        <w:tblStyle w:val="2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0" w:type="dxa"/>
            <w:vAlign w:val="center"/>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2472" w:type="dxa"/>
            <w:vAlign w:val="center"/>
          </w:tcPr>
          <w:p>
            <w:pPr>
              <w:pStyle w:val="10"/>
              <w:spacing w:line="240" w:lineRule="atLeast"/>
              <w:ind w:left="269" w:leftChars="12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招标文件条款号</w:t>
            </w:r>
          </w:p>
        </w:tc>
        <w:tc>
          <w:tcPr>
            <w:tcW w:w="1331" w:type="dxa"/>
            <w:vAlign w:val="center"/>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招标规格</w:t>
            </w:r>
          </w:p>
        </w:tc>
        <w:tc>
          <w:tcPr>
            <w:tcW w:w="1331" w:type="dxa"/>
            <w:vAlign w:val="center"/>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投标规格</w:t>
            </w:r>
          </w:p>
        </w:tc>
        <w:tc>
          <w:tcPr>
            <w:tcW w:w="950" w:type="dxa"/>
            <w:vAlign w:val="center"/>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951" w:type="dxa"/>
            <w:vAlign w:val="center"/>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0"/>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950" w:type="dxa"/>
          </w:tcPr>
          <w:p>
            <w:pPr>
              <w:pStyle w:val="10"/>
              <w:spacing w:line="240" w:lineRule="atLeast"/>
              <w:ind w:left="1080" w:leftChars="257" w:hanging="540"/>
              <w:rPr>
                <w:rFonts w:hint="eastAsia" w:ascii="宋体" w:hAnsi="宋体" w:eastAsia="宋体" w:cs="宋体"/>
                <w:color w:val="auto"/>
                <w:szCs w:val="21"/>
                <w:highlight w:val="none"/>
              </w:rPr>
            </w:pPr>
          </w:p>
        </w:tc>
        <w:tc>
          <w:tcPr>
            <w:tcW w:w="951"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0"/>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950" w:type="dxa"/>
          </w:tcPr>
          <w:p>
            <w:pPr>
              <w:pStyle w:val="10"/>
              <w:spacing w:line="240" w:lineRule="atLeast"/>
              <w:ind w:left="1080" w:leftChars="257" w:hanging="540"/>
              <w:rPr>
                <w:rFonts w:hint="eastAsia" w:ascii="宋体" w:hAnsi="宋体" w:eastAsia="宋体" w:cs="宋体"/>
                <w:color w:val="auto"/>
                <w:szCs w:val="21"/>
                <w:highlight w:val="none"/>
              </w:rPr>
            </w:pPr>
          </w:p>
        </w:tc>
        <w:tc>
          <w:tcPr>
            <w:tcW w:w="951"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0"/>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950" w:type="dxa"/>
          </w:tcPr>
          <w:p>
            <w:pPr>
              <w:pStyle w:val="10"/>
              <w:spacing w:line="240" w:lineRule="atLeast"/>
              <w:ind w:left="1080" w:leftChars="257" w:hanging="540"/>
              <w:rPr>
                <w:rFonts w:hint="eastAsia" w:ascii="宋体" w:hAnsi="宋体" w:eastAsia="宋体" w:cs="宋体"/>
                <w:color w:val="auto"/>
                <w:szCs w:val="21"/>
                <w:highlight w:val="none"/>
              </w:rPr>
            </w:pPr>
          </w:p>
        </w:tc>
        <w:tc>
          <w:tcPr>
            <w:tcW w:w="951"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0"/>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950" w:type="dxa"/>
          </w:tcPr>
          <w:p>
            <w:pPr>
              <w:pStyle w:val="10"/>
              <w:spacing w:line="240" w:lineRule="atLeast"/>
              <w:ind w:left="1080" w:leftChars="257" w:hanging="540"/>
              <w:rPr>
                <w:rFonts w:hint="eastAsia" w:ascii="宋体" w:hAnsi="宋体" w:eastAsia="宋体" w:cs="宋体"/>
                <w:color w:val="auto"/>
                <w:szCs w:val="21"/>
                <w:highlight w:val="none"/>
              </w:rPr>
            </w:pPr>
          </w:p>
        </w:tc>
        <w:tc>
          <w:tcPr>
            <w:tcW w:w="951"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0"/>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950" w:type="dxa"/>
          </w:tcPr>
          <w:p>
            <w:pPr>
              <w:pStyle w:val="10"/>
              <w:spacing w:line="240" w:lineRule="atLeast"/>
              <w:ind w:left="1080" w:leftChars="257" w:hanging="540"/>
              <w:rPr>
                <w:rFonts w:hint="eastAsia" w:ascii="宋体" w:hAnsi="宋体" w:eastAsia="宋体" w:cs="宋体"/>
                <w:color w:val="auto"/>
                <w:szCs w:val="21"/>
                <w:highlight w:val="none"/>
              </w:rPr>
            </w:pPr>
          </w:p>
        </w:tc>
        <w:tc>
          <w:tcPr>
            <w:tcW w:w="951"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0"/>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950" w:type="dxa"/>
          </w:tcPr>
          <w:p>
            <w:pPr>
              <w:pStyle w:val="10"/>
              <w:spacing w:line="240" w:lineRule="atLeast"/>
              <w:ind w:left="1080" w:leftChars="257" w:hanging="540"/>
              <w:rPr>
                <w:rFonts w:hint="eastAsia" w:ascii="宋体" w:hAnsi="宋体" w:eastAsia="宋体" w:cs="宋体"/>
                <w:color w:val="auto"/>
                <w:szCs w:val="21"/>
                <w:highlight w:val="none"/>
              </w:rPr>
            </w:pPr>
          </w:p>
        </w:tc>
        <w:tc>
          <w:tcPr>
            <w:tcW w:w="951"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0"/>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0"/>
              <w:spacing w:line="240" w:lineRule="atLeast"/>
              <w:ind w:left="1080" w:leftChars="257" w:hanging="540"/>
              <w:rPr>
                <w:rFonts w:hint="eastAsia" w:ascii="宋体" w:hAnsi="宋体" w:eastAsia="宋体" w:cs="宋体"/>
                <w:color w:val="auto"/>
                <w:szCs w:val="21"/>
                <w:highlight w:val="none"/>
              </w:rPr>
            </w:pPr>
          </w:p>
        </w:tc>
        <w:tc>
          <w:tcPr>
            <w:tcW w:w="950" w:type="dxa"/>
          </w:tcPr>
          <w:p>
            <w:pPr>
              <w:pStyle w:val="10"/>
              <w:spacing w:line="240" w:lineRule="atLeast"/>
              <w:ind w:left="1080" w:leftChars="257" w:hanging="540"/>
              <w:rPr>
                <w:rFonts w:hint="eastAsia" w:ascii="宋体" w:hAnsi="宋体" w:eastAsia="宋体" w:cs="宋体"/>
                <w:color w:val="auto"/>
                <w:szCs w:val="21"/>
                <w:highlight w:val="none"/>
              </w:rPr>
            </w:pPr>
          </w:p>
        </w:tc>
        <w:tc>
          <w:tcPr>
            <w:tcW w:w="951" w:type="dxa"/>
          </w:tcPr>
          <w:p>
            <w:pPr>
              <w:pStyle w:val="10"/>
              <w:spacing w:line="240" w:lineRule="atLeast"/>
              <w:ind w:left="1080" w:leftChars="257" w:hanging="540"/>
              <w:rPr>
                <w:rFonts w:hint="eastAsia" w:ascii="宋体" w:hAnsi="宋体" w:eastAsia="宋体" w:cs="宋体"/>
                <w:color w:val="auto"/>
                <w:szCs w:val="21"/>
                <w:highlight w:val="none"/>
              </w:rPr>
            </w:pPr>
          </w:p>
        </w:tc>
      </w:tr>
    </w:tbl>
    <w:p>
      <w:pPr>
        <w:pStyle w:val="10"/>
        <w:spacing w:line="240" w:lineRule="atLeast"/>
        <w:rPr>
          <w:rFonts w:hint="eastAsia" w:ascii="宋体" w:hAnsi="宋体" w:eastAsia="宋体" w:cs="宋体"/>
          <w:color w:val="auto"/>
          <w:szCs w:val="21"/>
          <w:highlight w:val="none"/>
        </w:rPr>
      </w:pPr>
    </w:p>
    <w:p>
      <w:pPr>
        <w:pStyle w:val="10"/>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0"/>
        <w:tabs>
          <w:tab w:val="left" w:pos="5370"/>
        </w:tabs>
        <w:spacing w:line="240" w:lineRule="atLeast"/>
        <w:ind w:left="1080" w:leftChars="257" w:hanging="540"/>
        <w:rPr>
          <w:rFonts w:hint="eastAsia" w:ascii="宋体" w:hAnsi="宋体" w:eastAsia="宋体" w:cs="宋体"/>
          <w:b/>
          <w:bCs/>
          <w:color w:val="auto"/>
          <w:sz w:val="22"/>
          <w:szCs w:val="22"/>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bookmarkEnd w:id="285"/>
    <w:bookmarkEnd w:id="286"/>
    <w:bookmarkEnd w:id="287"/>
    <w:bookmarkEnd w:id="288"/>
    <w:p>
      <w:pPr>
        <w:bidi w:val="0"/>
        <w:rPr>
          <w:rFonts w:hint="eastAsia" w:ascii="宋体" w:hAnsi="宋体" w:eastAsia="宋体" w:cs="宋体"/>
          <w:color w:val="auto"/>
          <w:highlight w:val="none"/>
        </w:rPr>
      </w:pPr>
      <w:bookmarkStart w:id="319" w:name="_Toc23"/>
      <w:bookmarkStart w:id="320" w:name="_Toc31439"/>
      <w:bookmarkStart w:id="321" w:name="_Toc1980"/>
      <w:bookmarkStart w:id="322" w:name="_Toc216582818"/>
      <w:bookmarkStart w:id="323" w:name="_Toc515647821"/>
    </w:p>
    <w:p>
      <w:pPr>
        <w:bidi w:val="0"/>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bidi w:val="0"/>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19"/>
    <w:bookmarkEnd w:id="320"/>
    <w:bookmarkEnd w:id="321"/>
    <w:bookmarkEnd w:id="322"/>
    <w:bookmarkEnd w:id="323"/>
    <w:p>
      <w:pPr>
        <w:pStyle w:val="6"/>
        <w:spacing w:before="0" w:line="240" w:lineRule="atLeast"/>
        <w:rPr>
          <w:rFonts w:hint="eastAsia" w:ascii="宋体" w:hAnsi="宋体" w:eastAsia="宋体" w:cs="宋体"/>
          <w:b/>
          <w:bCs/>
          <w:color w:val="auto"/>
          <w:kern w:val="2"/>
          <w:sz w:val="22"/>
          <w:szCs w:val="22"/>
          <w:highlight w:val="none"/>
        </w:rPr>
      </w:pPr>
      <w:bookmarkStart w:id="324" w:name="_Toc29782"/>
      <w:bookmarkStart w:id="325" w:name="_Toc7965"/>
      <w:bookmarkStart w:id="326" w:name="_Toc24526"/>
      <w:bookmarkStart w:id="327" w:name="_Toc9614"/>
      <w:bookmarkStart w:id="328" w:name="_Toc28566"/>
      <w:bookmarkStart w:id="329" w:name="_Toc22640"/>
      <w:bookmarkStart w:id="330" w:name="_Toc14878"/>
      <w:bookmarkStart w:id="331" w:name="_Toc6513"/>
      <w:bookmarkStart w:id="332" w:name="_Toc3070"/>
      <w:bookmarkStart w:id="333" w:name="_Toc1896"/>
      <w:r>
        <w:rPr>
          <w:rFonts w:hint="eastAsia" w:ascii="宋体" w:hAnsi="宋体" w:eastAsia="宋体" w:cs="宋体"/>
          <w:b/>
          <w:bCs/>
          <w:color w:val="auto"/>
          <w:kern w:val="2"/>
          <w:sz w:val="22"/>
          <w:szCs w:val="22"/>
          <w:highlight w:val="none"/>
        </w:rPr>
        <w:t>5</w:t>
      </w:r>
      <w:r>
        <w:rPr>
          <w:rFonts w:hint="eastAsia" w:ascii="宋体" w:hAnsi="宋体" w:eastAsia="宋体" w:cs="宋体"/>
          <w:b/>
          <w:bCs/>
          <w:color w:val="auto"/>
          <w:kern w:val="2"/>
          <w:sz w:val="22"/>
          <w:szCs w:val="22"/>
          <w:highlight w:val="none"/>
          <w:lang w:val="en-US" w:eastAsia="zh-CN"/>
        </w:rPr>
        <w:t>.</w:t>
      </w:r>
      <w:r>
        <w:rPr>
          <w:rFonts w:hint="eastAsia" w:ascii="宋体" w:hAnsi="宋体" w:eastAsia="宋体" w:cs="宋体"/>
          <w:b/>
          <w:bCs/>
          <w:color w:val="auto"/>
          <w:kern w:val="2"/>
          <w:sz w:val="22"/>
          <w:szCs w:val="22"/>
          <w:highlight w:val="none"/>
        </w:rPr>
        <w:t>商务条款偏离表</w:t>
      </w:r>
      <w:bookmarkEnd w:id="324"/>
      <w:bookmarkEnd w:id="325"/>
      <w:bookmarkEnd w:id="326"/>
      <w:bookmarkEnd w:id="327"/>
      <w:bookmarkEnd w:id="328"/>
      <w:bookmarkEnd w:id="329"/>
      <w:bookmarkEnd w:id="330"/>
      <w:bookmarkEnd w:id="331"/>
      <w:bookmarkEnd w:id="332"/>
      <w:bookmarkEnd w:id="333"/>
    </w:p>
    <w:p>
      <w:pPr>
        <w:pStyle w:val="10"/>
        <w:spacing w:line="240" w:lineRule="atLeast"/>
        <w:ind w:left="1080" w:leftChars="257" w:hanging="540"/>
        <w:rPr>
          <w:rFonts w:hint="eastAsia" w:ascii="宋体" w:hAnsi="宋体" w:eastAsia="宋体" w:cs="宋体"/>
          <w:color w:val="auto"/>
          <w:szCs w:val="21"/>
          <w:highlight w:val="none"/>
        </w:rPr>
      </w:pPr>
    </w:p>
    <w:p>
      <w:pPr>
        <w:pStyle w:val="10"/>
        <w:spacing w:line="240" w:lineRule="atLeast"/>
        <w:ind w:left="1080" w:leftChars="257" w:hanging="540"/>
        <w:rPr>
          <w:rFonts w:hint="eastAsia" w:ascii="宋体" w:hAnsi="宋体" w:eastAsia="宋体" w:cs="宋体"/>
          <w:color w:val="auto"/>
          <w:szCs w:val="21"/>
          <w:highlight w:val="none"/>
        </w:rPr>
      </w:pPr>
    </w:p>
    <w:p>
      <w:pPr>
        <w:pStyle w:val="10"/>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p>
      <w:pPr>
        <w:pStyle w:val="10"/>
        <w:spacing w:line="240" w:lineRule="atLeast"/>
        <w:ind w:left="1080" w:leftChars="257" w:hanging="540"/>
        <w:rPr>
          <w:rFonts w:hint="eastAsia" w:ascii="宋体" w:hAnsi="宋体" w:eastAsia="宋体" w:cs="宋体"/>
          <w:color w:val="auto"/>
          <w:szCs w:val="21"/>
          <w:highlight w:val="none"/>
        </w:rPr>
      </w:pPr>
    </w:p>
    <w:tbl>
      <w:tblPr>
        <w:tblStyle w:val="2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40" w:type="dxa"/>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招标文件条款号</w:t>
            </w:r>
          </w:p>
        </w:tc>
        <w:tc>
          <w:tcPr>
            <w:tcW w:w="2520" w:type="dxa"/>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招标文件的商务条款</w:t>
            </w:r>
          </w:p>
        </w:tc>
        <w:tc>
          <w:tcPr>
            <w:tcW w:w="2520" w:type="dxa"/>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投标文件的商务条款</w:t>
            </w:r>
          </w:p>
        </w:tc>
        <w:tc>
          <w:tcPr>
            <w:tcW w:w="1014" w:type="dxa"/>
          </w:tcPr>
          <w:p>
            <w:pPr>
              <w:pStyle w:val="1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jc w:val="center"/>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jc w:val="center"/>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0"/>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0"/>
              <w:spacing w:line="240" w:lineRule="atLeast"/>
              <w:ind w:left="1080" w:leftChars="257" w:hanging="540"/>
              <w:rPr>
                <w:rFonts w:hint="eastAsia" w:ascii="宋体" w:hAnsi="宋体" w:eastAsia="宋体" w:cs="宋体"/>
                <w:color w:val="auto"/>
                <w:szCs w:val="21"/>
                <w:highlight w:val="none"/>
              </w:rPr>
            </w:pPr>
          </w:p>
        </w:tc>
      </w:tr>
    </w:tbl>
    <w:p>
      <w:pPr>
        <w:pStyle w:val="10"/>
        <w:spacing w:line="240" w:lineRule="atLeast"/>
        <w:ind w:left="1080" w:leftChars="257" w:hanging="540"/>
        <w:rPr>
          <w:rFonts w:hint="eastAsia" w:ascii="宋体" w:hAnsi="宋体" w:eastAsia="宋体" w:cs="宋体"/>
          <w:color w:val="auto"/>
          <w:szCs w:val="21"/>
          <w:highlight w:val="none"/>
        </w:rPr>
      </w:pPr>
    </w:p>
    <w:p>
      <w:pPr>
        <w:pStyle w:val="10"/>
        <w:spacing w:line="240" w:lineRule="atLeast"/>
        <w:ind w:left="1080" w:leftChars="257" w:hanging="540"/>
        <w:rPr>
          <w:rFonts w:hint="eastAsia" w:ascii="宋体" w:hAnsi="宋体" w:eastAsia="宋体" w:cs="宋体"/>
          <w:color w:val="auto"/>
          <w:szCs w:val="21"/>
          <w:highlight w:val="none"/>
        </w:rPr>
      </w:pPr>
    </w:p>
    <w:p>
      <w:pPr>
        <w:pStyle w:val="10"/>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0"/>
        <w:tabs>
          <w:tab w:val="left" w:pos="5370"/>
        </w:tabs>
        <w:spacing w:line="240" w:lineRule="atLeast"/>
        <w:ind w:left="1080" w:leftChars="257" w:hanging="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p>
      <w:pPr>
        <w:pStyle w:val="10"/>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br w:type="page"/>
      </w:r>
    </w:p>
    <w:p>
      <w:pPr>
        <w:spacing w:line="240" w:lineRule="atLeast"/>
        <w:ind w:left="1080" w:leftChars="257" w:hanging="540"/>
        <w:jc w:val="center"/>
        <w:rPr>
          <w:rFonts w:hint="eastAsia" w:ascii="宋体" w:hAnsi="宋体" w:eastAsia="宋体" w:cs="宋体"/>
          <w:b/>
          <w:color w:val="auto"/>
          <w:kern w:val="0"/>
          <w:szCs w:val="21"/>
          <w:highlight w:val="none"/>
        </w:rPr>
      </w:pPr>
      <w:bookmarkStart w:id="334" w:name="_Hlt520273711"/>
      <w:bookmarkEnd w:id="334"/>
      <w:bookmarkStart w:id="335" w:name="_Hlt520274065"/>
      <w:bookmarkEnd w:id="335"/>
      <w:bookmarkStart w:id="336" w:name="_Hlt520343000"/>
      <w:bookmarkEnd w:id="336"/>
      <w:bookmarkStart w:id="337" w:name="_Hlt520343392"/>
      <w:bookmarkEnd w:id="337"/>
      <w:bookmarkStart w:id="338" w:name="_Hlt520274393"/>
      <w:bookmarkEnd w:id="338"/>
      <w:bookmarkStart w:id="339" w:name="_Hlt520274911"/>
      <w:bookmarkEnd w:id="339"/>
      <w:bookmarkStart w:id="340" w:name="_Hlt520271212"/>
      <w:bookmarkEnd w:id="340"/>
      <w:bookmarkStart w:id="341" w:name="_Hlt520350918"/>
      <w:bookmarkEnd w:id="341"/>
      <w:bookmarkStart w:id="342" w:name="_Hlt520274407"/>
      <w:bookmarkEnd w:id="342"/>
      <w:bookmarkStart w:id="343" w:name="_Hlt520350957"/>
      <w:bookmarkEnd w:id="343"/>
      <w:bookmarkStart w:id="344" w:name="_Hlt520273973"/>
      <w:bookmarkEnd w:id="344"/>
    </w:p>
    <w:p>
      <w:pPr>
        <w:pStyle w:val="6"/>
        <w:spacing w:before="0" w:line="240" w:lineRule="atLeast"/>
        <w:jc w:val="left"/>
        <w:rPr>
          <w:rFonts w:hint="eastAsia" w:ascii="宋体" w:hAnsi="宋体" w:eastAsia="宋体" w:cs="宋体"/>
          <w:b/>
          <w:bCs/>
          <w:color w:val="auto"/>
          <w:kern w:val="2"/>
          <w:sz w:val="22"/>
          <w:szCs w:val="22"/>
          <w:highlight w:val="none"/>
        </w:rPr>
      </w:pPr>
      <w:bookmarkStart w:id="345" w:name="_Toc13462"/>
      <w:bookmarkStart w:id="346" w:name="_Toc16929"/>
      <w:bookmarkStart w:id="347" w:name="_Toc515647823"/>
      <w:bookmarkStart w:id="348" w:name="_Toc8638"/>
      <w:bookmarkStart w:id="349" w:name="_Toc6881"/>
      <w:bookmarkStart w:id="350" w:name="_Toc3844"/>
      <w:bookmarkStart w:id="351" w:name="_Toc21312"/>
      <w:bookmarkStart w:id="352" w:name="_Toc10079"/>
      <w:bookmarkStart w:id="353" w:name="_Toc17820"/>
      <w:bookmarkStart w:id="354" w:name="_Toc21482"/>
      <w:bookmarkStart w:id="355" w:name="_Toc4073"/>
      <w:bookmarkStart w:id="356" w:name="_Toc18923"/>
      <w:bookmarkStart w:id="357" w:name="_Toc10725"/>
      <w:bookmarkStart w:id="358" w:name="_Toc15213"/>
      <w:bookmarkStart w:id="359" w:name="_Toc10860"/>
      <w:bookmarkStart w:id="360" w:name="_Toc26565"/>
      <w:r>
        <w:rPr>
          <w:rFonts w:hint="eastAsia" w:ascii="宋体" w:hAnsi="宋体" w:eastAsia="宋体" w:cs="宋体"/>
          <w:b/>
          <w:bCs/>
          <w:color w:val="auto"/>
          <w:kern w:val="2"/>
          <w:sz w:val="22"/>
          <w:szCs w:val="22"/>
          <w:highlight w:val="none"/>
        </w:rPr>
        <w:t xml:space="preserve">6-1  </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hint="eastAsia" w:ascii="宋体" w:hAnsi="宋体" w:eastAsia="宋体" w:cs="宋体"/>
          <w:b/>
          <w:bCs/>
          <w:color w:val="auto"/>
          <w:kern w:val="2"/>
          <w:sz w:val="22"/>
          <w:szCs w:val="22"/>
          <w:highlight w:val="none"/>
        </w:rPr>
        <w:t>中小企业声明函</w:t>
      </w:r>
      <w:bookmarkEnd w:id="359"/>
      <w:bookmarkEnd w:id="360"/>
    </w:p>
    <w:p>
      <w:pPr>
        <w:pStyle w:val="17"/>
        <w:keepNext w:val="0"/>
        <w:keepLines w:val="0"/>
        <w:widowControl/>
        <w:suppressLineNumbers w:val="0"/>
        <w:spacing w:before="75" w:beforeAutospacing="0" w:after="75" w:afterAutospacing="0" w:line="420" w:lineRule="atLeast"/>
        <w:ind w:left="0" w:right="0" w:firstLine="420"/>
        <w:jc w:val="center"/>
        <w:outlineLvl w:val="9"/>
        <w:rPr>
          <w:rFonts w:ascii="宋体"/>
          <w:b/>
          <w:sz w:val="20"/>
        </w:rPr>
      </w:pPr>
      <w:r>
        <w:rPr>
          <w:rFonts w:hint="eastAsia" w:ascii="宋体" w:hAnsi="宋体" w:eastAsia="宋体" w:cs="宋体"/>
          <w:b/>
          <w:bCs/>
          <w:sz w:val="28"/>
          <w:szCs w:val="28"/>
          <w:lang w:val="en-US" w:eastAsia="zh-CN" w:bidi="zh-CN"/>
        </w:rPr>
        <w:t>中小企业声明函（货物）</w:t>
      </w:r>
    </w:p>
    <w:p>
      <w:pPr>
        <w:pStyle w:val="8"/>
        <w:keepNext w:val="0"/>
        <w:keepLines w:val="0"/>
        <w:pageBreakBefore w:val="0"/>
        <w:widowControl w:val="0"/>
        <w:kinsoku/>
        <w:wordWrap/>
        <w:overflowPunct/>
        <w:topLinePunct w:val="0"/>
        <w:autoSpaceDE/>
        <w:autoSpaceDN/>
        <w:bidi w:val="0"/>
        <w:adjustRightInd/>
        <w:snapToGrid/>
        <w:spacing w:before="2" w:line="480" w:lineRule="exact"/>
        <w:ind w:left="0"/>
        <w:textAlignment w:val="auto"/>
        <w:rPr>
          <w:rFonts w:hint="eastAsia" w:ascii="宋体" w:hAnsi="宋体" w:eastAsia="宋体" w:cs="宋体"/>
          <w:b/>
          <w:sz w:val="24"/>
          <w:szCs w:val="24"/>
        </w:rPr>
      </w:pP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u w:val="none"/>
          <w:lang w:val="en-US" w:eastAsia="zh-CN" w:bidi="zh-CN"/>
        </w:rPr>
      </w:pPr>
      <w:r>
        <w:rPr>
          <w:rFonts w:hint="eastAsia" w:ascii="宋体" w:hAnsi="宋体" w:eastAsia="宋体" w:cs="宋体"/>
          <w:spacing w:val="5"/>
          <w:w w:val="95"/>
          <w:sz w:val="24"/>
          <w:szCs w:val="24"/>
          <w:u w:val="none"/>
          <w:lang w:val="en-US" w:eastAsia="zh-CN" w:bidi="zh-CN"/>
        </w:rPr>
        <w:t>本公司（联合体）郑重声明，根据《政府采购促进中小企业发展管理办法》（财库﹝2020﹞46号）的规定，本公司（联合体）参加</w:t>
      </w:r>
      <w:r>
        <w:rPr>
          <w:rFonts w:hint="eastAsia" w:ascii="宋体" w:hAnsi="宋体" w:eastAsia="宋体" w:cs="宋体"/>
          <w:spacing w:val="5"/>
          <w:w w:val="95"/>
          <w:sz w:val="24"/>
          <w:szCs w:val="24"/>
          <w:u w:val="single"/>
          <w:lang w:val="zh-CN" w:eastAsia="zh-CN" w:bidi="zh-CN"/>
        </w:rPr>
        <w:t>（单位名称）</w:t>
      </w:r>
      <w:r>
        <w:rPr>
          <w:rFonts w:hint="eastAsia" w:ascii="宋体" w:hAnsi="宋体" w:eastAsia="宋体" w:cs="宋体"/>
          <w:spacing w:val="5"/>
          <w:w w:val="95"/>
          <w:sz w:val="24"/>
          <w:szCs w:val="24"/>
          <w:u w:val="none"/>
          <w:lang w:val="en-US" w:eastAsia="zh-CN" w:bidi="zh-CN"/>
        </w:rPr>
        <w:t>的</w:t>
      </w:r>
      <w:r>
        <w:rPr>
          <w:rFonts w:hint="eastAsia" w:ascii="宋体" w:hAnsi="宋体" w:eastAsia="宋体" w:cs="宋体"/>
          <w:spacing w:val="5"/>
          <w:w w:val="95"/>
          <w:sz w:val="24"/>
          <w:szCs w:val="24"/>
          <w:u w:val="single"/>
          <w:lang w:val="zh-CN" w:eastAsia="zh-CN" w:bidi="zh-CN"/>
        </w:rPr>
        <w:t>（项目名称）</w:t>
      </w:r>
      <w:r>
        <w:rPr>
          <w:rFonts w:hint="eastAsia" w:ascii="宋体" w:hAnsi="宋体" w:eastAsia="宋体" w:cs="宋体"/>
          <w:spacing w:val="5"/>
          <w:w w:val="95"/>
          <w:sz w:val="24"/>
          <w:szCs w:val="24"/>
          <w:u w:val="none"/>
          <w:lang w:val="en-US" w:eastAsia="zh-CN" w:bidi="zh-CN"/>
        </w:rPr>
        <w:t>采购活动，提供的货物全部由符合政策要求的中小企业制造。相关企业（含联合体中的中小企业、签订分包意向协议的中小企业）的具体情况如下：</w:t>
      </w: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z w:val="24"/>
          <w:szCs w:val="24"/>
          <w:u w:val="none"/>
        </w:rPr>
      </w:pPr>
      <w:r>
        <w:rPr>
          <w:rFonts w:hint="eastAsia" w:ascii="宋体" w:hAnsi="宋体" w:eastAsia="宋体" w:cs="宋体"/>
          <w:spacing w:val="5"/>
          <w:w w:val="95"/>
          <w:sz w:val="24"/>
          <w:szCs w:val="24"/>
          <w:u w:val="none"/>
          <w:lang w:val="en-US" w:eastAsia="zh-CN" w:bidi="zh-CN"/>
        </w:rPr>
        <w:t>1.</w:t>
      </w:r>
      <w:r>
        <w:rPr>
          <w:rFonts w:hint="eastAsia" w:ascii="宋体" w:hAnsi="宋体" w:eastAsia="宋体" w:cs="宋体"/>
          <w:spacing w:val="5"/>
          <w:w w:val="95"/>
          <w:sz w:val="24"/>
          <w:szCs w:val="24"/>
          <w:u w:val="single"/>
          <w:lang w:val="zh-CN" w:eastAsia="zh-CN" w:bidi="zh-CN"/>
        </w:rPr>
        <w:t>（标的名称）</w:t>
      </w:r>
      <w:r>
        <w:rPr>
          <w:rFonts w:hint="eastAsia" w:ascii="宋体" w:hAnsi="宋体" w:eastAsia="宋体" w:cs="宋体"/>
          <w:i/>
          <w:sz w:val="24"/>
          <w:szCs w:val="24"/>
          <w:u w:val="none"/>
        </w:rPr>
        <w:t xml:space="preserve"> </w:t>
      </w:r>
      <w:r>
        <w:rPr>
          <w:rFonts w:hint="eastAsia" w:ascii="宋体" w:hAnsi="宋体" w:eastAsia="宋体" w:cs="宋体"/>
          <w:spacing w:val="-43"/>
          <w:sz w:val="24"/>
          <w:szCs w:val="24"/>
          <w:u w:val="none"/>
        </w:rPr>
        <w:t xml:space="preserve">， </w:t>
      </w:r>
      <w:r>
        <w:rPr>
          <w:rFonts w:hint="eastAsia" w:ascii="宋体" w:hAnsi="宋体" w:eastAsia="宋体" w:cs="宋体"/>
          <w:spacing w:val="7"/>
          <w:w w:val="99"/>
          <w:sz w:val="24"/>
          <w:szCs w:val="24"/>
          <w:u w:val="none"/>
          <w:lang w:val="zh-CN" w:eastAsia="zh-CN"/>
        </w:rPr>
        <w:t>属于</w:t>
      </w:r>
      <w:r>
        <w:rPr>
          <w:rFonts w:hint="eastAsia" w:ascii="宋体" w:hAnsi="宋体" w:eastAsia="宋体" w:cs="宋体"/>
          <w:spacing w:val="5"/>
          <w:w w:val="95"/>
          <w:sz w:val="24"/>
          <w:szCs w:val="24"/>
          <w:u w:val="single"/>
          <w:lang w:val="zh-CN" w:eastAsia="zh-CN" w:bidi="zh-CN"/>
        </w:rPr>
        <w:t>（采购文件中明确的所属行业）行业</w:t>
      </w:r>
      <w:r>
        <w:rPr>
          <w:rFonts w:hint="eastAsia" w:ascii="宋体" w:hAnsi="宋体" w:eastAsia="宋体" w:cs="宋体"/>
          <w:spacing w:val="7"/>
          <w:w w:val="99"/>
          <w:sz w:val="24"/>
          <w:szCs w:val="24"/>
          <w:u w:val="none"/>
        </w:rPr>
        <w:t>；</w:t>
      </w:r>
      <w:r>
        <w:rPr>
          <w:rFonts w:hint="eastAsia" w:ascii="宋体" w:hAnsi="宋体" w:eastAsia="宋体" w:cs="宋体"/>
          <w:spacing w:val="5"/>
          <w:w w:val="99"/>
          <w:sz w:val="24"/>
          <w:szCs w:val="24"/>
          <w:u w:val="none"/>
        </w:rPr>
        <w:t>制</w:t>
      </w:r>
      <w:r>
        <w:rPr>
          <w:rFonts w:hint="eastAsia" w:ascii="宋体" w:hAnsi="宋体" w:eastAsia="宋体" w:cs="宋体"/>
          <w:spacing w:val="7"/>
          <w:w w:val="99"/>
          <w:sz w:val="24"/>
          <w:szCs w:val="24"/>
          <w:u w:val="none"/>
        </w:rPr>
        <w:t>造</w:t>
      </w:r>
      <w:r>
        <w:rPr>
          <w:rFonts w:hint="eastAsia" w:ascii="宋体" w:hAnsi="宋体" w:eastAsia="宋体" w:cs="宋体"/>
          <w:spacing w:val="5"/>
          <w:w w:val="99"/>
          <w:sz w:val="24"/>
          <w:szCs w:val="24"/>
          <w:u w:val="none"/>
        </w:rPr>
        <w:t>商</w:t>
      </w:r>
      <w:r>
        <w:rPr>
          <w:rFonts w:hint="eastAsia" w:ascii="宋体" w:hAnsi="宋体" w:eastAsia="宋体" w:cs="宋体"/>
          <w:spacing w:val="-10"/>
          <w:w w:val="99"/>
          <w:sz w:val="24"/>
          <w:szCs w:val="24"/>
          <w:u w:val="none"/>
        </w:rPr>
        <w:t>为</w:t>
      </w:r>
      <w:r>
        <w:rPr>
          <w:rFonts w:hint="eastAsia" w:ascii="宋体" w:hAnsi="宋体" w:eastAsia="宋体" w:cs="宋体"/>
          <w:spacing w:val="5"/>
          <w:w w:val="95"/>
          <w:sz w:val="24"/>
          <w:szCs w:val="24"/>
          <w:u w:val="single"/>
          <w:lang w:val="zh-CN" w:eastAsia="zh-CN" w:bidi="zh-CN"/>
        </w:rPr>
        <w:t>（企业名称）</w:t>
      </w:r>
      <w:r>
        <w:rPr>
          <w:rFonts w:hint="eastAsia" w:ascii="宋体" w:hAnsi="宋体" w:eastAsia="宋体" w:cs="宋体"/>
          <w:spacing w:val="5"/>
          <w:w w:val="95"/>
          <w:sz w:val="24"/>
          <w:szCs w:val="24"/>
          <w:u w:val="none" w:color="auto"/>
          <w:lang w:val="zh-CN" w:eastAsia="zh-CN" w:bidi="zh-CN"/>
        </w:rPr>
        <w:t>，</w:t>
      </w:r>
      <w:r>
        <w:rPr>
          <w:rFonts w:hint="eastAsia" w:ascii="宋体" w:hAnsi="宋体" w:eastAsia="宋体" w:cs="宋体"/>
          <w:spacing w:val="5"/>
          <w:w w:val="99"/>
          <w:sz w:val="24"/>
          <w:szCs w:val="24"/>
          <w:u w:val="none"/>
        </w:rPr>
        <w:t>从</w:t>
      </w:r>
      <w:r>
        <w:rPr>
          <w:rFonts w:hint="eastAsia" w:ascii="宋体" w:hAnsi="宋体" w:eastAsia="宋体" w:cs="宋体"/>
          <w:spacing w:val="7"/>
          <w:w w:val="99"/>
          <w:sz w:val="24"/>
          <w:szCs w:val="24"/>
          <w:u w:val="none"/>
        </w:rPr>
        <w:t>业</w:t>
      </w:r>
      <w:r>
        <w:rPr>
          <w:rFonts w:hint="eastAsia" w:ascii="宋体" w:hAnsi="宋体" w:eastAsia="宋体" w:cs="宋体"/>
          <w:spacing w:val="5"/>
          <w:w w:val="99"/>
          <w:sz w:val="24"/>
          <w:szCs w:val="24"/>
          <w:u w:val="none"/>
        </w:rPr>
        <w:t>人</w:t>
      </w:r>
      <w:r>
        <w:rPr>
          <w:rFonts w:hint="eastAsia" w:ascii="宋体" w:hAnsi="宋体" w:eastAsia="宋体" w:cs="宋体"/>
          <w:spacing w:val="4"/>
          <w:w w:val="99"/>
          <w:sz w:val="24"/>
          <w:szCs w:val="24"/>
          <w:u w:val="none"/>
        </w:rPr>
        <w:t>员</w:t>
      </w:r>
      <w:r>
        <w:rPr>
          <w:rFonts w:hint="eastAsia" w:ascii="宋体" w:hAnsi="宋体" w:eastAsia="宋体" w:cs="宋体"/>
          <w:spacing w:val="4"/>
          <w:w w:val="99"/>
          <w:sz w:val="24"/>
          <w:szCs w:val="24"/>
          <w:u w:val="single"/>
          <w:lang w:val="en-US" w:eastAsia="zh-CN"/>
        </w:rPr>
        <w:t xml:space="preserve">      </w:t>
      </w:r>
      <w:r>
        <w:rPr>
          <w:rFonts w:hint="eastAsia" w:ascii="宋体" w:hAnsi="宋体" w:eastAsia="宋体" w:cs="宋体"/>
          <w:spacing w:val="7"/>
          <w:w w:val="99"/>
          <w:sz w:val="24"/>
          <w:szCs w:val="24"/>
          <w:u w:val="none"/>
        </w:rPr>
        <w:t>人</w:t>
      </w:r>
      <w:r>
        <w:rPr>
          <w:rFonts w:hint="eastAsia" w:ascii="宋体" w:hAnsi="宋体" w:eastAsia="宋体" w:cs="宋体"/>
          <w:spacing w:val="5"/>
          <w:w w:val="99"/>
          <w:sz w:val="24"/>
          <w:szCs w:val="24"/>
          <w:u w:val="none"/>
        </w:rPr>
        <w:t>，</w:t>
      </w:r>
      <w:r>
        <w:rPr>
          <w:rFonts w:hint="eastAsia" w:ascii="宋体" w:hAnsi="宋体" w:eastAsia="宋体" w:cs="宋体"/>
          <w:spacing w:val="7"/>
          <w:w w:val="99"/>
          <w:sz w:val="24"/>
          <w:szCs w:val="24"/>
          <w:u w:val="none"/>
        </w:rPr>
        <w:t>营</w:t>
      </w:r>
      <w:r>
        <w:rPr>
          <w:rFonts w:hint="eastAsia" w:ascii="宋体" w:hAnsi="宋体" w:eastAsia="宋体" w:cs="宋体"/>
          <w:spacing w:val="5"/>
          <w:w w:val="99"/>
          <w:sz w:val="24"/>
          <w:szCs w:val="24"/>
          <w:u w:val="none"/>
        </w:rPr>
        <w:t>业</w:t>
      </w:r>
      <w:r>
        <w:rPr>
          <w:rFonts w:hint="eastAsia" w:ascii="宋体" w:hAnsi="宋体" w:eastAsia="宋体" w:cs="宋体"/>
          <w:spacing w:val="7"/>
          <w:w w:val="99"/>
          <w:sz w:val="24"/>
          <w:szCs w:val="24"/>
          <w:u w:val="none"/>
        </w:rPr>
        <w:t>收入为</w:t>
      </w:r>
      <w:r>
        <w:rPr>
          <w:rFonts w:hint="eastAsia" w:ascii="宋体" w:hAnsi="宋体" w:eastAsia="宋体" w:cs="宋体"/>
          <w:spacing w:val="4"/>
          <w:w w:val="99"/>
          <w:sz w:val="24"/>
          <w:szCs w:val="24"/>
          <w:u w:val="single"/>
          <w:lang w:val="en-US" w:eastAsia="zh-CN"/>
        </w:rPr>
        <w:t xml:space="preserve">      </w:t>
      </w:r>
      <w:r>
        <w:rPr>
          <w:rFonts w:hint="eastAsia" w:ascii="宋体" w:hAnsi="宋体" w:eastAsia="宋体" w:cs="宋体"/>
          <w:sz w:val="24"/>
          <w:szCs w:val="24"/>
          <w:u w:val="none"/>
        </w:rPr>
        <w:t>万元</w:t>
      </w:r>
      <w:r>
        <w:rPr>
          <w:rFonts w:hint="eastAsia" w:ascii="宋体" w:hAnsi="宋体" w:eastAsia="宋体" w:cs="宋体"/>
          <w:spacing w:val="-22"/>
          <w:sz w:val="24"/>
          <w:szCs w:val="24"/>
          <w:u w:val="none"/>
        </w:rPr>
        <w:t>，</w:t>
      </w:r>
      <w:r>
        <w:rPr>
          <w:rFonts w:hint="eastAsia" w:ascii="宋体" w:hAnsi="宋体" w:eastAsia="宋体" w:cs="宋体"/>
          <w:sz w:val="24"/>
          <w:szCs w:val="24"/>
          <w:u w:val="none"/>
        </w:rPr>
        <w:t>资产总额为</w:t>
      </w:r>
      <w:r>
        <w:rPr>
          <w:rFonts w:hint="eastAsia" w:ascii="宋体" w:hAnsi="宋体" w:eastAsia="宋体" w:cs="宋体"/>
          <w:spacing w:val="4"/>
          <w:w w:val="99"/>
          <w:sz w:val="24"/>
          <w:szCs w:val="24"/>
          <w:u w:val="single"/>
          <w:lang w:val="en-US" w:eastAsia="zh-CN"/>
        </w:rPr>
        <w:t xml:space="preserve">      </w:t>
      </w:r>
      <w:r>
        <w:rPr>
          <w:rFonts w:hint="eastAsia" w:ascii="宋体" w:hAnsi="宋体" w:eastAsia="宋体" w:cs="宋体"/>
          <w:w w:val="95"/>
          <w:sz w:val="24"/>
          <w:szCs w:val="24"/>
          <w:u w:val="none"/>
        </w:rPr>
        <w:t>万元</w:t>
      </w:r>
      <w:r>
        <w:rPr>
          <w:rFonts w:hint="eastAsia" w:ascii="宋体" w:hAnsi="宋体" w:eastAsia="宋体" w:cs="宋体"/>
          <w:spacing w:val="-12"/>
          <w:w w:val="95"/>
          <w:sz w:val="24"/>
          <w:szCs w:val="24"/>
          <w:u w:val="none"/>
        </w:rPr>
        <w:t>，</w:t>
      </w:r>
      <w:r>
        <w:rPr>
          <w:rFonts w:hint="eastAsia" w:ascii="宋体" w:hAnsi="宋体" w:eastAsia="宋体" w:cs="宋体"/>
          <w:spacing w:val="5"/>
          <w:w w:val="95"/>
          <w:sz w:val="24"/>
          <w:szCs w:val="24"/>
          <w:u w:val="none"/>
          <w:lang w:val="zh-CN" w:eastAsia="zh-CN" w:bidi="zh-CN"/>
        </w:rPr>
        <w:t>属于</w:t>
      </w:r>
      <w:r>
        <w:rPr>
          <w:rFonts w:hint="eastAsia" w:ascii="宋体" w:hAnsi="宋体" w:eastAsia="宋体" w:cs="宋体"/>
          <w:spacing w:val="5"/>
          <w:w w:val="95"/>
          <w:sz w:val="24"/>
          <w:szCs w:val="24"/>
          <w:u w:val="single"/>
          <w:lang w:val="zh-CN" w:eastAsia="zh-CN" w:bidi="zh-CN"/>
        </w:rPr>
        <w:t>（中型企业、小型企业、微型企业）</w:t>
      </w:r>
      <w:r>
        <w:rPr>
          <w:rFonts w:hint="eastAsia" w:ascii="宋体" w:hAnsi="宋体" w:eastAsia="宋体" w:cs="宋体"/>
          <w:spacing w:val="5"/>
          <w:w w:val="95"/>
          <w:sz w:val="24"/>
          <w:szCs w:val="24"/>
          <w:u w:val="none" w:color="auto"/>
          <w:lang w:val="zh-CN" w:eastAsia="zh-CN" w:bidi="zh-CN"/>
        </w:rPr>
        <w:t>；</w:t>
      </w: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u w:val="none"/>
          <w:lang w:val="en-US" w:eastAsia="zh-CN" w:bidi="zh-CN"/>
        </w:rPr>
      </w:pPr>
      <w:r>
        <w:rPr>
          <w:rFonts w:hint="eastAsia" w:ascii="宋体" w:hAnsi="宋体" w:eastAsia="宋体" w:cs="宋体"/>
          <w:spacing w:val="5"/>
          <w:w w:val="95"/>
          <w:sz w:val="24"/>
          <w:szCs w:val="24"/>
          <w:u w:val="none"/>
          <w:lang w:val="en-US" w:eastAsia="zh-CN" w:bidi="zh-CN"/>
        </w:rPr>
        <w:t>2.</w:t>
      </w:r>
      <w:r>
        <w:rPr>
          <w:rFonts w:hint="eastAsia" w:ascii="宋体" w:hAnsi="宋体" w:eastAsia="宋体" w:cs="宋体"/>
          <w:spacing w:val="5"/>
          <w:w w:val="95"/>
          <w:sz w:val="24"/>
          <w:szCs w:val="24"/>
          <w:u w:val="none"/>
          <w:lang w:val="zh-CN" w:eastAsia="zh-CN" w:bidi="zh-CN"/>
        </w:rPr>
        <w:t xml:space="preserve"> </w:t>
      </w:r>
      <w:r>
        <w:rPr>
          <w:rFonts w:hint="eastAsia" w:ascii="宋体" w:hAnsi="宋体" w:eastAsia="宋体" w:cs="宋体"/>
          <w:spacing w:val="5"/>
          <w:w w:val="95"/>
          <w:sz w:val="24"/>
          <w:szCs w:val="24"/>
          <w:u w:val="single"/>
          <w:lang w:val="zh-CN" w:eastAsia="zh-CN" w:bidi="zh-CN"/>
        </w:rPr>
        <w:t>（标的名称）</w:t>
      </w:r>
      <w:r>
        <w:rPr>
          <w:rFonts w:hint="eastAsia" w:ascii="宋体" w:hAnsi="宋体" w:eastAsia="宋体" w:cs="宋体"/>
          <w:i/>
          <w:sz w:val="24"/>
          <w:szCs w:val="24"/>
          <w:u w:val="none"/>
        </w:rPr>
        <w:t xml:space="preserve"> </w:t>
      </w:r>
      <w:r>
        <w:rPr>
          <w:rFonts w:hint="eastAsia" w:ascii="宋体" w:hAnsi="宋体" w:eastAsia="宋体" w:cs="宋体"/>
          <w:spacing w:val="-43"/>
          <w:sz w:val="24"/>
          <w:szCs w:val="24"/>
          <w:u w:val="none"/>
        </w:rPr>
        <w:t xml:space="preserve">， </w:t>
      </w:r>
      <w:r>
        <w:rPr>
          <w:rFonts w:hint="eastAsia" w:ascii="宋体" w:hAnsi="宋体" w:eastAsia="宋体" w:cs="宋体"/>
          <w:spacing w:val="7"/>
          <w:w w:val="99"/>
          <w:sz w:val="24"/>
          <w:szCs w:val="24"/>
          <w:u w:val="none"/>
          <w:lang w:val="zh-CN" w:eastAsia="zh-CN"/>
        </w:rPr>
        <w:t>属于</w:t>
      </w:r>
      <w:r>
        <w:rPr>
          <w:rFonts w:hint="eastAsia" w:ascii="宋体" w:hAnsi="宋体" w:eastAsia="宋体" w:cs="宋体"/>
          <w:spacing w:val="5"/>
          <w:w w:val="95"/>
          <w:sz w:val="24"/>
          <w:szCs w:val="24"/>
          <w:u w:val="single"/>
          <w:lang w:val="zh-CN" w:eastAsia="zh-CN" w:bidi="zh-CN"/>
        </w:rPr>
        <w:t>（采购文件中明确的所属行业）行业</w:t>
      </w:r>
      <w:r>
        <w:rPr>
          <w:rFonts w:hint="eastAsia" w:ascii="宋体" w:hAnsi="宋体" w:eastAsia="宋体" w:cs="宋体"/>
          <w:spacing w:val="7"/>
          <w:w w:val="99"/>
          <w:sz w:val="24"/>
          <w:szCs w:val="24"/>
          <w:u w:val="none"/>
        </w:rPr>
        <w:t>；</w:t>
      </w:r>
      <w:r>
        <w:rPr>
          <w:rFonts w:hint="eastAsia" w:ascii="宋体" w:hAnsi="宋体" w:eastAsia="宋体" w:cs="宋体"/>
          <w:spacing w:val="5"/>
          <w:w w:val="99"/>
          <w:sz w:val="24"/>
          <w:szCs w:val="24"/>
          <w:u w:val="none"/>
        </w:rPr>
        <w:t>制</w:t>
      </w:r>
      <w:r>
        <w:rPr>
          <w:rFonts w:hint="eastAsia" w:ascii="宋体" w:hAnsi="宋体" w:eastAsia="宋体" w:cs="宋体"/>
          <w:spacing w:val="7"/>
          <w:w w:val="99"/>
          <w:sz w:val="24"/>
          <w:szCs w:val="24"/>
          <w:u w:val="none"/>
        </w:rPr>
        <w:t>造</w:t>
      </w:r>
      <w:r>
        <w:rPr>
          <w:rFonts w:hint="eastAsia" w:ascii="宋体" w:hAnsi="宋体" w:eastAsia="宋体" w:cs="宋体"/>
          <w:spacing w:val="5"/>
          <w:w w:val="99"/>
          <w:sz w:val="24"/>
          <w:szCs w:val="24"/>
          <w:u w:val="none"/>
        </w:rPr>
        <w:t>商</w:t>
      </w:r>
      <w:r>
        <w:rPr>
          <w:rFonts w:hint="eastAsia" w:ascii="宋体" w:hAnsi="宋体" w:eastAsia="宋体" w:cs="宋体"/>
          <w:spacing w:val="-10"/>
          <w:w w:val="99"/>
          <w:sz w:val="24"/>
          <w:szCs w:val="24"/>
          <w:u w:val="none"/>
        </w:rPr>
        <w:t>为</w:t>
      </w:r>
      <w:r>
        <w:rPr>
          <w:rFonts w:hint="eastAsia" w:ascii="宋体" w:hAnsi="宋体" w:eastAsia="宋体" w:cs="宋体"/>
          <w:spacing w:val="5"/>
          <w:w w:val="95"/>
          <w:sz w:val="24"/>
          <w:szCs w:val="24"/>
          <w:u w:val="single"/>
          <w:lang w:val="zh-CN" w:eastAsia="zh-CN" w:bidi="zh-CN"/>
        </w:rPr>
        <w:t>（企业名称）</w:t>
      </w:r>
      <w:r>
        <w:rPr>
          <w:rFonts w:hint="eastAsia" w:ascii="宋体" w:hAnsi="宋体" w:eastAsia="宋体" w:cs="宋体"/>
          <w:spacing w:val="5"/>
          <w:w w:val="95"/>
          <w:sz w:val="24"/>
          <w:szCs w:val="24"/>
          <w:u w:val="none" w:color="auto"/>
          <w:lang w:val="zh-CN" w:eastAsia="zh-CN" w:bidi="zh-CN"/>
        </w:rPr>
        <w:t>，</w:t>
      </w:r>
      <w:r>
        <w:rPr>
          <w:rFonts w:hint="eastAsia" w:ascii="宋体" w:hAnsi="宋体" w:eastAsia="宋体" w:cs="宋体"/>
          <w:spacing w:val="5"/>
          <w:w w:val="99"/>
          <w:sz w:val="24"/>
          <w:szCs w:val="24"/>
          <w:u w:val="none"/>
        </w:rPr>
        <w:t>从</w:t>
      </w:r>
      <w:r>
        <w:rPr>
          <w:rFonts w:hint="eastAsia" w:ascii="宋体" w:hAnsi="宋体" w:eastAsia="宋体" w:cs="宋体"/>
          <w:spacing w:val="7"/>
          <w:w w:val="99"/>
          <w:sz w:val="24"/>
          <w:szCs w:val="24"/>
          <w:u w:val="none"/>
        </w:rPr>
        <w:t>业</w:t>
      </w:r>
      <w:r>
        <w:rPr>
          <w:rFonts w:hint="eastAsia" w:ascii="宋体" w:hAnsi="宋体" w:eastAsia="宋体" w:cs="宋体"/>
          <w:spacing w:val="5"/>
          <w:w w:val="99"/>
          <w:sz w:val="24"/>
          <w:szCs w:val="24"/>
          <w:u w:val="none"/>
        </w:rPr>
        <w:t>人</w:t>
      </w:r>
      <w:r>
        <w:rPr>
          <w:rFonts w:hint="eastAsia" w:ascii="宋体" w:hAnsi="宋体" w:eastAsia="宋体" w:cs="宋体"/>
          <w:spacing w:val="4"/>
          <w:w w:val="99"/>
          <w:sz w:val="24"/>
          <w:szCs w:val="24"/>
          <w:u w:val="none"/>
        </w:rPr>
        <w:t>员</w:t>
      </w:r>
      <w:r>
        <w:rPr>
          <w:rFonts w:hint="eastAsia" w:ascii="宋体" w:hAnsi="宋体" w:eastAsia="宋体" w:cs="宋体"/>
          <w:spacing w:val="4"/>
          <w:w w:val="99"/>
          <w:sz w:val="24"/>
          <w:szCs w:val="24"/>
          <w:u w:val="single"/>
          <w:lang w:val="en-US" w:eastAsia="zh-CN"/>
        </w:rPr>
        <w:t xml:space="preserve">      </w:t>
      </w:r>
      <w:r>
        <w:rPr>
          <w:rFonts w:hint="eastAsia" w:ascii="宋体" w:hAnsi="宋体" w:eastAsia="宋体" w:cs="宋体"/>
          <w:spacing w:val="7"/>
          <w:w w:val="99"/>
          <w:sz w:val="24"/>
          <w:szCs w:val="24"/>
          <w:u w:val="none"/>
        </w:rPr>
        <w:t>人</w:t>
      </w:r>
      <w:r>
        <w:rPr>
          <w:rFonts w:hint="eastAsia" w:ascii="宋体" w:hAnsi="宋体" w:eastAsia="宋体" w:cs="宋体"/>
          <w:spacing w:val="5"/>
          <w:w w:val="99"/>
          <w:sz w:val="24"/>
          <w:szCs w:val="24"/>
          <w:u w:val="none"/>
        </w:rPr>
        <w:t>，</w:t>
      </w:r>
      <w:r>
        <w:rPr>
          <w:rFonts w:hint="eastAsia" w:ascii="宋体" w:hAnsi="宋体" w:eastAsia="宋体" w:cs="宋体"/>
          <w:spacing w:val="7"/>
          <w:w w:val="99"/>
          <w:sz w:val="24"/>
          <w:szCs w:val="24"/>
          <w:u w:val="none"/>
        </w:rPr>
        <w:t>营</w:t>
      </w:r>
      <w:r>
        <w:rPr>
          <w:rFonts w:hint="eastAsia" w:ascii="宋体" w:hAnsi="宋体" w:eastAsia="宋体" w:cs="宋体"/>
          <w:spacing w:val="5"/>
          <w:w w:val="99"/>
          <w:sz w:val="24"/>
          <w:szCs w:val="24"/>
          <w:u w:val="none"/>
        </w:rPr>
        <w:t>业</w:t>
      </w:r>
      <w:r>
        <w:rPr>
          <w:rFonts w:hint="eastAsia" w:ascii="宋体" w:hAnsi="宋体" w:eastAsia="宋体" w:cs="宋体"/>
          <w:spacing w:val="7"/>
          <w:w w:val="99"/>
          <w:sz w:val="24"/>
          <w:szCs w:val="24"/>
          <w:u w:val="none"/>
        </w:rPr>
        <w:t>收入为</w:t>
      </w:r>
      <w:r>
        <w:rPr>
          <w:rFonts w:hint="eastAsia" w:ascii="宋体" w:hAnsi="宋体" w:eastAsia="宋体" w:cs="宋体"/>
          <w:spacing w:val="4"/>
          <w:w w:val="99"/>
          <w:sz w:val="24"/>
          <w:szCs w:val="24"/>
          <w:u w:val="single"/>
          <w:lang w:val="en-US" w:eastAsia="zh-CN"/>
        </w:rPr>
        <w:t xml:space="preserve">      </w:t>
      </w:r>
      <w:r>
        <w:rPr>
          <w:rFonts w:hint="eastAsia" w:ascii="宋体" w:hAnsi="宋体" w:eastAsia="宋体" w:cs="宋体"/>
          <w:sz w:val="24"/>
          <w:szCs w:val="24"/>
          <w:u w:val="none"/>
        </w:rPr>
        <w:t>万元</w:t>
      </w:r>
      <w:r>
        <w:rPr>
          <w:rFonts w:hint="eastAsia" w:ascii="宋体" w:hAnsi="宋体" w:eastAsia="宋体" w:cs="宋体"/>
          <w:spacing w:val="-22"/>
          <w:sz w:val="24"/>
          <w:szCs w:val="24"/>
          <w:u w:val="none"/>
        </w:rPr>
        <w:t>，</w:t>
      </w:r>
      <w:r>
        <w:rPr>
          <w:rFonts w:hint="eastAsia" w:ascii="宋体" w:hAnsi="宋体" w:eastAsia="宋体" w:cs="宋体"/>
          <w:sz w:val="24"/>
          <w:szCs w:val="24"/>
          <w:u w:val="none"/>
        </w:rPr>
        <w:t>资产总额为</w:t>
      </w:r>
      <w:r>
        <w:rPr>
          <w:rFonts w:hint="eastAsia" w:ascii="宋体" w:hAnsi="宋体" w:eastAsia="宋体" w:cs="宋体"/>
          <w:spacing w:val="4"/>
          <w:w w:val="99"/>
          <w:sz w:val="24"/>
          <w:szCs w:val="24"/>
          <w:u w:val="single"/>
          <w:lang w:val="en-US" w:eastAsia="zh-CN"/>
        </w:rPr>
        <w:t xml:space="preserve">      </w:t>
      </w:r>
      <w:r>
        <w:rPr>
          <w:rFonts w:hint="eastAsia" w:ascii="宋体" w:hAnsi="宋体" w:eastAsia="宋体" w:cs="宋体"/>
          <w:w w:val="95"/>
          <w:sz w:val="24"/>
          <w:szCs w:val="24"/>
          <w:u w:val="none"/>
        </w:rPr>
        <w:t>万元</w:t>
      </w:r>
      <w:r>
        <w:rPr>
          <w:rFonts w:hint="eastAsia" w:ascii="宋体" w:hAnsi="宋体" w:eastAsia="宋体" w:cs="宋体"/>
          <w:spacing w:val="-12"/>
          <w:w w:val="95"/>
          <w:sz w:val="24"/>
          <w:szCs w:val="24"/>
          <w:u w:val="none"/>
        </w:rPr>
        <w:t>，</w:t>
      </w:r>
      <w:r>
        <w:rPr>
          <w:rFonts w:hint="eastAsia" w:ascii="宋体" w:hAnsi="宋体" w:eastAsia="宋体" w:cs="宋体"/>
          <w:spacing w:val="5"/>
          <w:w w:val="95"/>
          <w:sz w:val="24"/>
          <w:szCs w:val="24"/>
          <w:u w:val="none"/>
          <w:lang w:val="zh-CN" w:eastAsia="zh-CN" w:bidi="zh-CN"/>
        </w:rPr>
        <w:t>属于</w:t>
      </w:r>
      <w:r>
        <w:rPr>
          <w:rFonts w:hint="eastAsia" w:ascii="宋体" w:hAnsi="宋体" w:eastAsia="宋体" w:cs="宋体"/>
          <w:spacing w:val="5"/>
          <w:w w:val="95"/>
          <w:sz w:val="24"/>
          <w:szCs w:val="24"/>
          <w:u w:val="single"/>
          <w:lang w:val="zh-CN" w:eastAsia="zh-CN" w:bidi="zh-CN"/>
        </w:rPr>
        <w:t>（中型企业、小型企业、微型企业）</w:t>
      </w:r>
      <w:r>
        <w:rPr>
          <w:rFonts w:hint="eastAsia" w:ascii="宋体" w:hAnsi="宋体" w:eastAsia="宋体" w:cs="宋体"/>
          <w:spacing w:val="5"/>
          <w:w w:val="95"/>
          <w:sz w:val="24"/>
          <w:szCs w:val="24"/>
          <w:u w:val="none"/>
          <w:lang w:val="zh-CN" w:eastAsia="zh-CN" w:bidi="zh-CN"/>
        </w:rPr>
        <w:t>；</w:t>
      </w: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u w:val="none"/>
          <w:lang w:val="en-US" w:eastAsia="zh-CN" w:bidi="zh-CN"/>
        </w:rPr>
      </w:pPr>
      <w:r>
        <w:rPr>
          <w:rFonts w:hint="eastAsia" w:ascii="宋体" w:hAnsi="宋体" w:eastAsia="宋体" w:cs="宋体"/>
          <w:spacing w:val="5"/>
          <w:w w:val="95"/>
          <w:sz w:val="24"/>
          <w:szCs w:val="24"/>
          <w:u w:val="none"/>
          <w:lang w:val="en-US" w:eastAsia="zh-CN" w:bidi="zh-CN"/>
        </w:rPr>
        <w:t>……</w:t>
      </w: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u w:val="none"/>
          <w:lang w:val="en-US" w:eastAsia="zh-CN" w:bidi="zh-CN"/>
        </w:rPr>
      </w:pPr>
      <w:r>
        <w:rPr>
          <w:rFonts w:hint="eastAsia" w:ascii="宋体" w:hAnsi="宋体" w:eastAsia="宋体" w:cs="宋体"/>
          <w:spacing w:val="5"/>
          <w:w w:val="95"/>
          <w:sz w:val="24"/>
          <w:szCs w:val="24"/>
          <w:u w:val="none"/>
          <w:lang w:val="en-US" w:eastAsia="zh-CN" w:bidi="zh-CN"/>
        </w:rPr>
        <w:t>以上企业，不属于大企业的分支机构，不存在控股股东为大企业的情形，也不存在与大企业的负责人为同一人的情形。</w:t>
      </w: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u w:val="none"/>
          <w:lang w:val="en-US" w:eastAsia="zh-CN" w:bidi="zh-CN"/>
        </w:rPr>
      </w:pPr>
      <w:r>
        <w:rPr>
          <w:rFonts w:hint="eastAsia" w:ascii="宋体" w:hAnsi="宋体" w:eastAsia="宋体" w:cs="宋体"/>
          <w:spacing w:val="5"/>
          <w:w w:val="95"/>
          <w:sz w:val="24"/>
          <w:szCs w:val="24"/>
          <w:u w:val="none"/>
          <w:lang w:val="en-US" w:eastAsia="zh-CN" w:bidi="zh-CN"/>
        </w:rPr>
        <w:t>本企业对上述声明内容的真实性负责。如有虚假，将依法承担相应责任。</w:t>
      </w: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u w:val="none"/>
          <w:lang w:val="en-US" w:eastAsia="zh-CN" w:bidi="zh-CN"/>
        </w:rPr>
      </w:pP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u w:val="none"/>
          <w:lang w:val="en-US" w:eastAsia="zh-CN" w:bidi="zh-CN"/>
        </w:rPr>
      </w:pPr>
    </w:p>
    <w:p>
      <w:pPr>
        <w:pStyle w:val="39"/>
        <w:keepNext w:val="0"/>
        <w:keepLines w:val="0"/>
        <w:pageBreakBefore w:val="0"/>
        <w:widowControl w:val="0"/>
        <w:numPr>
          <w:ilvl w:val="0"/>
          <w:numId w:val="0"/>
        </w:numPr>
        <w:tabs>
          <w:tab w:val="left" w:pos="1183"/>
          <w:tab w:val="left" w:pos="1484"/>
          <w:tab w:val="left" w:pos="4662"/>
          <w:tab w:val="left" w:pos="6903"/>
        </w:tabs>
        <w:kinsoku/>
        <w:wordWrap w:val="0"/>
        <w:overflowPunct/>
        <w:topLinePunct w:val="0"/>
        <w:autoSpaceDE/>
        <w:autoSpaceDN/>
        <w:bidi w:val="0"/>
        <w:adjustRightInd/>
        <w:snapToGrid/>
        <w:spacing w:before="0" w:after="0" w:line="480" w:lineRule="exact"/>
        <w:ind w:leftChars="0" w:right="0" w:rightChars="0" w:firstLine="476" w:firstLineChars="200"/>
        <w:jc w:val="right"/>
        <w:textAlignment w:val="auto"/>
        <w:rPr>
          <w:rFonts w:hint="default" w:ascii="宋体" w:hAnsi="宋体" w:eastAsia="宋体" w:cs="宋体"/>
          <w:spacing w:val="5"/>
          <w:w w:val="95"/>
          <w:sz w:val="24"/>
          <w:szCs w:val="24"/>
          <w:u w:val="none"/>
          <w:lang w:val="en-US" w:eastAsia="zh-CN" w:bidi="zh-CN"/>
        </w:rPr>
      </w:pPr>
      <w:r>
        <w:rPr>
          <w:rFonts w:hint="eastAsia" w:ascii="宋体" w:hAnsi="宋体" w:eastAsia="宋体" w:cs="宋体"/>
          <w:spacing w:val="5"/>
          <w:w w:val="95"/>
          <w:sz w:val="24"/>
          <w:szCs w:val="24"/>
          <w:u w:val="none"/>
          <w:lang w:val="en-US" w:eastAsia="zh-CN" w:bidi="zh-CN"/>
        </w:rPr>
        <w:t>企业名称（盖章）：</w:t>
      </w:r>
      <w:r>
        <w:rPr>
          <w:rFonts w:hint="eastAsia" w:ascii="宋体" w:hAnsi="宋体" w:cs="宋体"/>
          <w:spacing w:val="5"/>
          <w:w w:val="95"/>
          <w:sz w:val="24"/>
          <w:szCs w:val="24"/>
          <w:u w:val="none"/>
          <w:lang w:val="en-US" w:eastAsia="zh-CN" w:bidi="zh-CN"/>
        </w:rPr>
        <w:t xml:space="preserve">        </w:t>
      </w:r>
    </w:p>
    <w:p>
      <w:pPr>
        <w:ind w:firstLine="5236" w:firstLineChars="2200"/>
        <w:rPr>
          <w:rFonts w:hint="eastAsia" w:ascii="宋体" w:hAnsi="宋体" w:eastAsia="宋体" w:cs="宋体"/>
          <w:color w:val="auto"/>
          <w:highlight w:val="none"/>
          <w:lang w:val="en-US" w:eastAsia="zh-CN"/>
        </w:rPr>
      </w:pPr>
      <w:r>
        <w:rPr>
          <w:rFonts w:hint="eastAsia" w:ascii="宋体" w:hAnsi="宋体" w:eastAsia="宋体" w:cs="宋体"/>
          <w:spacing w:val="5"/>
          <w:w w:val="95"/>
          <w:sz w:val="24"/>
          <w:szCs w:val="24"/>
          <w:u w:val="none"/>
          <w:lang w:val="en-US" w:eastAsia="zh-CN" w:bidi="zh-CN"/>
        </w:rPr>
        <w:t>日期：</w:t>
      </w:r>
      <w:r>
        <w:rPr>
          <w:rFonts w:hint="eastAsia" w:ascii="宋体" w:hAnsi="宋体" w:cs="宋体"/>
          <w:spacing w:val="5"/>
          <w:w w:val="95"/>
          <w:sz w:val="24"/>
          <w:szCs w:val="24"/>
          <w:u w:val="none"/>
          <w:lang w:val="en-US" w:eastAsia="zh-CN" w:bidi="zh-CN"/>
        </w:rPr>
        <w:t xml:space="preserve">  </w:t>
      </w:r>
    </w:p>
    <w:p>
      <w:pPr>
        <w:pStyle w:val="8"/>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color w:val="auto"/>
          <w:spacing w:val="11"/>
          <w:w w:val="95"/>
          <w:kern w:val="2"/>
          <w:sz w:val="21"/>
          <w:szCs w:val="21"/>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b/>
          <w:bCs/>
          <w:color w:val="auto"/>
          <w:spacing w:val="11"/>
          <w:w w:val="95"/>
          <w:kern w:val="2"/>
          <w:sz w:val="21"/>
          <w:szCs w:val="21"/>
          <w:highlight w:val="none"/>
          <w:lang w:val="en-US" w:eastAsia="zh-CN" w:bidi="ar-SA"/>
        </w:rPr>
      </w:pPr>
      <w:r>
        <w:rPr>
          <w:rFonts w:hint="eastAsia" w:ascii="宋体" w:hAnsi="宋体" w:eastAsia="宋体" w:cs="宋体"/>
          <w:b/>
          <w:bCs/>
          <w:color w:val="auto"/>
          <w:spacing w:val="11"/>
          <w:w w:val="95"/>
          <w:kern w:val="2"/>
          <w:sz w:val="21"/>
          <w:szCs w:val="21"/>
          <w:highlight w:val="none"/>
          <w:lang w:val="en-US" w:eastAsia="zh-CN" w:bidi="ar-SA"/>
        </w:rPr>
        <w:t>注：潜在投标企业属于中小微企业的，请在投标文件中提供“中小企业声明函”，如果未提供或提供虚假的“中小企业声明函”，投标企业将承担由此造成的一切不利后果。</w:t>
      </w:r>
    </w:p>
    <w:p>
      <w:pPr>
        <w:rPr>
          <w:rFonts w:hint="eastAsia" w:ascii="宋体" w:hAnsi="宋体" w:eastAsia="宋体" w:cs="宋体"/>
          <w:color w:val="auto"/>
          <w:sz w:val="22"/>
          <w:szCs w:val="22"/>
          <w:highlight w:val="none"/>
        </w:rPr>
      </w:pPr>
    </w:p>
    <w:p>
      <w:pPr>
        <w:widowControl/>
        <w:spacing w:before="100" w:beforeAutospacing="1" w:after="100" w:afterAutospacing="1" w:line="330" w:lineRule="atLeast"/>
        <w:ind w:firstLine="2730" w:firstLineChars="130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pPr>
        <w:pStyle w:val="6"/>
        <w:spacing w:before="0" w:line="240" w:lineRule="atLeast"/>
        <w:jc w:val="both"/>
        <w:rPr>
          <w:rFonts w:hint="eastAsia" w:ascii="宋体" w:hAnsi="宋体" w:eastAsia="宋体" w:cs="宋体"/>
          <w:b/>
          <w:bCs/>
          <w:color w:val="auto"/>
          <w:kern w:val="2"/>
          <w:sz w:val="22"/>
          <w:szCs w:val="22"/>
          <w:highlight w:val="none"/>
        </w:rPr>
      </w:pPr>
      <w:bookmarkStart w:id="361" w:name="_Toc12060"/>
      <w:bookmarkStart w:id="362" w:name="_Toc752"/>
      <w:bookmarkStart w:id="363" w:name="_Toc18860"/>
      <w:bookmarkStart w:id="364" w:name="_Toc4543"/>
      <w:bookmarkStart w:id="365" w:name="_Toc10977"/>
      <w:bookmarkStart w:id="366" w:name="_Toc7018"/>
      <w:bookmarkStart w:id="367" w:name="_Toc11803"/>
      <w:bookmarkStart w:id="368" w:name="_Toc515647824"/>
      <w:bookmarkStart w:id="369" w:name="_Toc2709"/>
      <w:bookmarkStart w:id="370" w:name="_Toc26643"/>
      <w:bookmarkStart w:id="371" w:name="_Toc12692"/>
      <w:bookmarkStart w:id="372" w:name="_Toc29115"/>
      <w:bookmarkStart w:id="373" w:name="_Toc5609"/>
      <w:bookmarkStart w:id="374" w:name="_Toc28055"/>
      <w:bookmarkStart w:id="375" w:name="_Toc22307"/>
      <w:bookmarkStart w:id="376" w:name="_Toc15006"/>
      <w:r>
        <w:rPr>
          <w:rFonts w:hint="eastAsia" w:ascii="宋体" w:hAnsi="宋体" w:eastAsia="宋体" w:cs="宋体"/>
          <w:b/>
          <w:bCs/>
          <w:color w:val="auto"/>
          <w:kern w:val="2"/>
          <w:sz w:val="22"/>
          <w:szCs w:val="22"/>
          <w:highlight w:val="none"/>
        </w:rPr>
        <w:t xml:space="preserve">6-2   </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7" w:name="_Toc515647825"/>
      <w:bookmarkStart w:id="378" w:name="_Toc13947"/>
      <w:bookmarkStart w:id="379" w:name="_Toc732"/>
      <w:bookmarkStart w:id="380" w:name="_Toc26931"/>
      <w:bookmarkStart w:id="381" w:name="_Toc15294"/>
      <w:bookmarkStart w:id="382" w:name="_Toc19284"/>
      <w:bookmarkStart w:id="383" w:name="_Toc23068"/>
      <w:bookmarkStart w:id="384" w:name="_Toc14454"/>
      <w:bookmarkStart w:id="385" w:name="_Toc3420"/>
      <w:bookmarkStart w:id="386" w:name="_Toc4244"/>
      <w:bookmarkStart w:id="387" w:name="_Toc24860"/>
      <w:bookmarkStart w:id="388" w:name="_Toc2621"/>
      <w:bookmarkStart w:id="389" w:name="_Toc30849"/>
      <w:bookmarkStart w:id="390" w:name="_Toc32586"/>
      <w:bookmarkStart w:id="391" w:name="OLE_LINK14"/>
      <w:bookmarkStart w:id="392" w:name="OLE_LINK13"/>
      <w:r>
        <w:rPr>
          <w:rFonts w:hint="eastAsia" w:ascii="宋体" w:hAnsi="宋体" w:eastAsia="宋体" w:cs="宋体"/>
          <w:b/>
          <w:bCs/>
          <w:color w:val="auto"/>
          <w:kern w:val="2"/>
          <w:sz w:val="22"/>
          <w:szCs w:val="22"/>
          <w:highlight w:val="none"/>
        </w:rPr>
        <w:t>残疾人福利性单位声明函</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bookmarkEnd w:id="392"/>
    <w:p>
      <w:pPr>
        <w:spacing w:line="240" w:lineRule="atLeast"/>
        <w:ind w:left="1080" w:leftChars="257" w:hanging="540"/>
        <w:jc w:val="center"/>
        <w:rPr>
          <w:rFonts w:hint="eastAsia" w:ascii="宋体" w:hAnsi="宋体" w:eastAsia="宋体" w:cs="宋体"/>
          <w:color w:val="auto"/>
          <w:sz w:val="24"/>
          <w:szCs w:val="24"/>
          <w:highlight w:val="none"/>
        </w:rPr>
      </w:pPr>
    </w:p>
    <w:p>
      <w:pPr>
        <w:spacing w:line="400" w:lineRule="exact"/>
        <w:ind w:firstLine="56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kern w:val="0"/>
          <w:sz w:val="24"/>
          <w:highlight w:val="none"/>
        </w:rPr>
        <w:t>，或者提供其他残疾人福利性单位制造的</w:t>
      </w:r>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kern w:val="0"/>
          <w:sz w:val="24"/>
          <w:highlight w:val="none"/>
        </w:rPr>
        <w:t>（不包括使用非残疾人福利性单位注册商标的</w:t>
      </w:r>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kern w:val="0"/>
          <w:sz w:val="24"/>
          <w:highlight w:val="none"/>
        </w:rPr>
        <w:t>）。</w:t>
      </w:r>
    </w:p>
    <w:p>
      <w:pPr>
        <w:spacing w:line="400" w:lineRule="exact"/>
        <w:ind w:left="1080" w:leftChars="257" w:hanging="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pPr>
        <w:spacing w:line="400" w:lineRule="exact"/>
        <w:ind w:left="1080" w:leftChars="257" w:hanging="5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残疾人福利性单位名称（公章）：______________</w:t>
      </w:r>
    </w:p>
    <w:p>
      <w:pPr>
        <w:spacing w:line="240" w:lineRule="atLeast"/>
        <w:ind w:left="1080" w:leftChars="257" w:hanging="54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color="FFFFFF"/>
        </w:rPr>
        <w:t xml:space="preserve">       </w:t>
      </w:r>
      <w:r>
        <w:rPr>
          <w:rFonts w:hint="eastAsia" w:ascii="宋体" w:hAnsi="宋体" w:eastAsia="宋体" w:cs="宋体"/>
          <w:color w:val="auto"/>
          <w:kern w:val="0"/>
          <w:sz w:val="24"/>
          <w:highlight w:val="none"/>
        </w:rPr>
        <w:t>日  期：_____________________________________________</w:t>
      </w:r>
    </w:p>
    <w:p>
      <w:pPr>
        <w:spacing w:line="240" w:lineRule="atLeast"/>
        <w:ind w:left="1080" w:leftChars="257" w:hanging="540"/>
        <w:jc w:val="center"/>
        <w:rPr>
          <w:rFonts w:hint="eastAsia" w:ascii="宋体" w:hAnsi="宋体" w:eastAsia="宋体" w:cs="宋体"/>
          <w:color w:val="auto"/>
          <w:sz w:val="24"/>
          <w:szCs w:val="24"/>
          <w:highlight w:val="none"/>
        </w:rPr>
      </w:pPr>
    </w:p>
    <w:p>
      <w:pPr>
        <w:spacing w:line="240" w:lineRule="atLeast"/>
        <w:ind w:left="1080" w:leftChars="257" w:hanging="540"/>
        <w:jc w:val="center"/>
        <w:rPr>
          <w:rFonts w:hint="eastAsia" w:ascii="宋体" w:hAnsi="宋体" w:eastAsia="宋体" w:cs="宋体"/>
          <w:color w:val="auto"/>
          <w:sz w:val="24"/>
          <w:szCs w:val="24"/>
          <w:highlight w:val="none"/>
        </w:rPr>
      </w:pPr>
    </w:p>
    <w:p>
      <w:pPr>
        <w:pStyle w:val="3"/>
        <w:rPr>
          <w:rFonts w:hint="eastAsia" w:ascii="宋体" w:hAnsi="宋体" w:eastAsia="宋体" w:cs="宋体"/>
          <w:color w:val="auto"/>
          <w:kern w:val="2"/>
          <w:highlight w:val="none"/>
        </w:rPr>
      </w:pPr>
    </w:p>
    <w:p>
      <w:pPr>
        <w:spacing w:line="240" w:lineRule="atLeast"/>
        <w:ind w:left="1080" w:leftChars="257" w:hanging="540"/>
        <w:jc w:val="center"/>
        <w:rPr>
          <w:rFonts w:hint="eastAsia" w:ascii="宋体" w:hAnsi="宋体" w:eastAsia="宋体" w:cs="宋体"/>
          <w:color w:val="auto"/>
          <w:sz w:val="24"/>
          <w:szCs w:val="24"/>
          <w:highlight w:val="none"/>
        </w:rPr>
      </w:pPr>
    </w:p>
    <w:p>
      <w:pPr>
        <w:pStyle w:val="6"/>
        <w:spacing w:before="0" w:line="240" w:lineRule="atLeast"/>
        <w:ind w:left="1080" w:leftChars="257" w:hanging="540"/>
        <w:jc w:val="left"/>
        <w:rPr>
          <w:rFonts w:hint="eastAsia" w:ascii="宋体" w:hAnsi="宋体" w:eastAsia="宋体" w:cs="宋体"/>
          <w:b/>
          <w:bCs/>
          <w:color w:val="auto"/>
          <w:kern w:val="2"/>
          <w:sz w:val="24"/>
          <w:szCs w:val="24"/>
          <w:highlight w:val="none"/>
        </w:rPr>
      </w:pPr>
      <w:bookmarkStart w:id="393" w:name="_Toc19223"/>
      <w:bookmarkStart w:id="394" w:name="_Toc515647827"/>
      <w:bookmarkStart w:id="395" w:name="_Toc12038"/>
      <w:bookmarkStart w:id="396" w:name="_Toc11868"/>
      <w:bookmarkStart w:id="397" w:name="_Toc6009"/>
      <w:bookmarkStart w:id="398" w:name="_Toc5568"/>
      <w:bookmarkStart w:id="399" w:name="_Toc5813"/>
      <w:bookmarkStart w:id="400" w:name="_Toc5527"/>
      <w:bookmarkStart w:id="401" w:name="_Toc2304"/>
      <w:bookmarkStart w:id="402" w:name="_Toc6004"/>
      <w:bookmarkStart w:id="403" w:name="_Toc22378"/>
      <w:bookmarkStart w:id="404" w:name="_Toc30795"/>
      <w:bookmarkStart w:id="405" w:name="_Toc30946"/>
      <w:bookmarkStart w:id="406" w:name="_Toc26133"/>
      <w:bookmarkStart w:id="407" w:name="_Toc22561"/>
      <w:bookmarkStart w:id="408" w:name="_Toc28099"/>
      <w:r>
        <w:rPr>
          <w:rFonts w:hint="eastAsia" w:ascii="宋体" w:hAnsi="宋体" w:eastAsia="宋体" w:cs="宋体"/>
          <w:b/>
          <w:bCs/>
          <w:color w:val="auto"/>
          <w:kern w:val="2"/>
          <w:sz w:val="24"/>
          <w:szCs w:val="24"/>
          <w:highlight w:val="none"/>
        </w:rPr>
        <w:t>7</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供应商关联单位的说明</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3"/>
        <w:jc w:val="center"/>
        <w:rPr>
          <w:rFonts w:hint="eastAsia" w:ascii="宋体" w:hAnsi="宋体" w:eastAsia="宋体" w:cs="宋体"/>
          <w:color w:val="auto"/>
          <w:kern w:val="2"/>
          <w:highlight w:val="none"/>
        </w:rPr>
      </w:pPr>
    </w:p>
    <w:p>
      <w:pPr>
        <w:pStyle w:val="3"/>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说明：供应商应当如实披露与本单位存在下列关联关系的单位名称：</w:t>
      </w:r>
    </w:p>
    <w:p>
      <w:pPr>
        <w:pStyle w:val="3"/>
        <w:spacing w:line="400" w:lineRule="exact"/>
        <w:ind w:firstLine="960" w:firstLineChars="4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（1）与供应商单位负责人为同一人的其他单位；</w:t>
      </w:r>
    </w:p>
    <w:p>
      <w:pPr>
        <w:pStyle w:val="3"/>
        <w:ind w:firstLine="480" w:firstLineChars="200"/>
        <w:rPr>
          <w:rFonts w:hint="eastAsia" w:ascii="宋体" w:hAnsi="宋体" w:eastAsia="宋体" w:cs="宋体"/>
          <w:color w:val="auto"/>
          <w:kern w:val="2"/>
          <w:highlight w:val="none"/>
        </w:rPr>
      </w:pPr>
      <w:r>
        <w:rPr>
          <w:rFonts w:hint="eastAsia" w:ascii="宋体" w:hAnsi="宋体" w:eastAsia="宋体" w:cs="宋体"/>
          <w:color w:val="auto"/>
          <w:szCs w:val="24"/>
          <w:highlight w:val="none"/>
        </w:rPr>
        <w:t xml:space="preserve">    （2）与供应商存在直接控股、管理关系的其他单位。</w:t>
      </w:r>
    </w:p>
    <w:p>
      <w:pPr>
        <w:pStyle w:val="3"/>
        <w:ind w:firstLineChars="200"/>
        <w:rPr>
          <w:rFonts w:hint="eastAsia" w:ascii="宋体" w:hAnsi="宋体" w:eastAsia="宋体" w:cs="宋体"/>
          <w:color w:val="auto"/>
          <w:kern w:val="2"/>
          <w:sz w:val="21"/>
          <w:szCs w:val="21"/>
          <w:highlight w:val="none"/>
          <w:lang w:val="en-US" w:eastAsia="zh-CN" w:bidi="ar-SA"/>
        </w:rPr>
      </w:pPr>
    </w:p>
    <w:p>
      <w:pPr>
        <w:pStyle w:val="3"/>
        <w:rPr>
          <w:rFonts w:hint="eastAsia" w:ascii="宋体" w:hAnsi="宋体" w:eastAsia="宋体" w:cs="宋体"/>
          <w:color w:val="auto"/>
          <w:kern w:val="2"/>
          <w:sz w:val="21"/>
          <w:szCs w:val="21"/>
          <w:highlight w:val="none"/>
          <w:lang w:val="en-US" w:eastAsia="zh-CN" w:bidi="ar-SA"/>
        </w:rPr>
      </w:pPr>
    </w:p>
    <w:p>
      <w:pPr>
        <w:pStyle w:val="3"/>
        <w:rPr>
          <w:rFonts w:hint="eastAsia" w:ascii="宋体" w:hAnsi="宋体" w:eastAsia="宋体" w:cs="宋体"/>
          <w:color w:val="auto"/>
          <w:kern w:val="2"/>
          <w:sz w:val="21"/>
          <w:szCs w:val="21"/>
          <w:highlight w:val="none"/>
          <w:lang w:val="en-US" w:eastAsia="zh-CN" w:bidi="ar-SA"/>
        </w:rPr>
      </w:pPr>
    </w:p>
    <w:p>
      <w:pPr>
        <w:pStyle w:val="3"/>
        <w:rPr>
          <w:rFonts w:hint="eastAsia" w:ascii="宋体" w:hAnsi="宋体" w:eastAsia="宋体" w:cs="宋体"/>
          <w:color w:val="auto"/>
          <w:kern w:val="2"/>
          <w:sz w:val="21"/>
          <w:szCs w:val="21"/>
          <w:highlight w:val="none"/>
          <w:lang w:val="en-US" w:eastAsia="zh-CN" w:bidi="ar-SA"/>
        </w:rPr>
      </w:pPr>
    </w:p>
    <w:p>
      <w:pPr>
        <w:spacing w:before="0" w:line="240" w:lineRule="atLeast"/>
        <w:ind w:left="1080" w:leftChars="257" w:hanging="540"/>
        <w:jc w:val="left"/>
        <w:outlineLvl w:val="9"/>
        <w:rPr>
          <w:rFonts w:hint="eastAsia" w:ascii="宋体" w:hAnsi="宋体" w:eastAsia="宋体" w:cs="宋体"/>
          <w:b/>
          <w:bCs/>
          <w:color w:val="auto"/>
          <w:kern w:val="2"/>
          <w:sz w:val="24"/>
          <w:szCs w:val="24"/>
          <w:highlight w:val="none"/>
          <w:lang w:val="en-US" w:eastAsia="zh-CN"/>
        </w:rPr>
      </w:pPr>
    </w:p>
    <w:p>
      <w:pPr>
        <w:pStyle w:val="6"/>
        <w:spacing w:before="0" w:line="240" w:lineRule="atLeast"/>
        <w:ind w:left="1080" w:leftChars="257" w:hanging="540"/>
        <w:jc w:val="left"/>
        <w:rPr>
          <w:rFonts w:hint="eastAsia" w:ascii="宋体" w:hAnsi="宋体" w:eastAsia="宋体" w:cs="宋体"/>
          <w:b/>
          <w:bCs/>
          <w:color w:val="auto"/>
          <w:kern w:val="2"/>
          <w:sz w:val="24"/>
          <w:szCs w:val="24"/>
          <w:highlight w:val="none"/>
          <w:lang w:val="en-US" w:eastAsia="zh-CN"/>
        </w:rPr>
      </w:pPr>
      <w:bookmarkStart w:id="409" w:name="_Toc10352"/>
      <w:bookmarkStart w:id="410" w:name="_Toc29367"/>
      <w:bookmarkStart w:id="411" w:name="_Toc7414"/>
      <w:bookmarkStart w:id="412" w:name="_Toc17333"/>
      <w:bookmarkStart w:id="413" w:name="_Toc515647828"/>
      <w:bookmarkStart w:id="414" w:name="_Toc23897"/>
      <w:bookmarkStart w:id="415" w:name="_Toc7966"/>
      <w:bookmarkStart w:id="416" w:name="_Toc17843"/>
      <w:bookmarkStart w:id="417" w:name="_Toc25126"/>
      <w:bookmarkStart w:id="418" w:name="_Toc6932"/>
      <w:bookmarkStart w:id="419" w:name="_Toc8903"/>
      <w:bookmarkStart w:id="420" w:name="_Toc8658"/>
      <w:bookmarkStart w:id="421" w:name="_Toc20015"/>
      <w:bookmarkStart w:id="422" w:name="_Toc12486"/>
      <w:bookmarkStart w:id="423" w:name="_Toc31226"/>
      <w:bookmarkStart w:id="424" w:name="_Toc15535"/>
      <w:bookmarkStart w:id="425" w:name="_Toc28185"/>
      <w:r>
        <w:rPr>
          <w:rFonts w:hint="eastAsia" w:ascii="宋体" w:hAnsi="宋体" w:eastAsia="宋体" w:cs="宋体"/>
          <w:b/>
          <w:bCs/>
          <w:color w:val="auto"/>
          <w:kern w:val="2"/>
          <w:sz w:val="24"/>
          <w:szCs w:val="24"/>
          <w:highlight w:val="none"/>
          <w:lang w:val="en-US" w:eastAsia="zh-CN"/>
        </w:rPr>
        <w:t>8</w:t>
      </w:r>
      <w:bookmarkEnd w:id="409"/>
      <w:bookmarkEnd w:id="410"/>
      <w:bookmarkEnd w:id="411"/>
      <w:bookmarkEnd w:id="412"/>
      <w:bookmarkEnd w:id="413"/>
      <w:bookmarkStart w:id="426" w:name="_Toc27058"/>
      <w:r>
        <w:rPr>
          <w:rFonts w:hint="eastAsia" w:ascii="宋体" w:hAnsi="宋体" w:eastAsia="宋体" w:cs="宋体"/>
          <w:b/>
          <w:bCs/>
          <w:color w:val="auto"/>
          <w:kern w:val="2"/>
          <w:sz w:val="24"/>
          <w:szCs w:val="24"/>
          <w:highlight w:val="none"/>
          <w:lang w:val="en-US" w:eastAsia="zh-CN"/>
        </w:rPr>
        <w:t>.</w:t>
      </w:r>
      <w:bookmarkEnd w:id="414"/>
      <w:bookmarkEnd w:id="415"/>
      <w:bookmarkEnd w:id="416"/>
      <w:bookmarkEnd w:id="417"/>
      <w:bookmarkEnd w:id="418"/>
      <w:bookmarkEnd w:id="419"/>
      <w:bookmarkEnd w:id="420"/>
      <w:bookmarkEnd w:id="421"/>
      <w:bookmarkEnd w:id="422"/>
      <w:bookmarkEnd w:id="423"/>
      <w:bookmarkEnd w:id="424"/>
      <w:bookmarkEnd w:id="426"/>
      <w:r>
        <w:rPr>
          <w:rFonts w:hint="eastAsia" w:ascii="宋体" w:hAnsi="宋体" w:eastAsia="宋体" w:cs="宋体"/>
          <w:b/>
          <w:bCs/>
          <w:color w:val="auto"/>
          <w:kern w:val="2"/>
          <w:sz w:val="24"/>
          <w:szCs w:val="24"/>
          <w:highlight w:val="none"/>
          <w:lang w:val="en-US" w:eastAsia="zh-CN"/>
        </w:rPr>
        <w:t>供应商可提供有利于投标的其他资格证明材料（具体要求详见项目要求和综合评分表中的技术部分）</w:t>
      </w:r>
      <w:bookmarkEnd w:id="425"/>
    </w:p>
    <w:p>
      <w:pPr>
        <w:spacing w:line="240" w:lineRule="atLeast"/>
        <w:jc w:val="left"/>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spacing w:line="240" w:lineRule="atLeast"/>
        <w:ind w:left="1080" w:leftChars="257" w:hanging="540"/>
        <w:outlineLvl w:val="1"/>
        <w:rPr>
          <w:rFonts w:hint="eastAsia" w:ascii="宋体" w:hAnsi="宋体" w:eastAsia="宋体" w:cs="宋体"/>
          <w:b/>
          <w:color w:val="auto"/>
          <w:kern w:val="0"/>
          <w:sz w:val="24"/>
          <w:szCs w:val="20"/>
          <w:highlight w:val="none"/>
        </w:rPr>
      </w:pPr>
      <w:bookmarkStart w:id="427" w:name="_Toc19009"/>
      <w:bookmarkStart w:id="428" w:name="_Toc16684"/>
      <w:bookmarkStart w:id="429" w:name="_Toc5533"/>
      <w:bookmarkStart w:id="430" w:name="_Toc25807"/>
      <w:bookmarkStart w:id="431" w:name="_Toc23424"/>
      <w:bookmarkStart w:id="432" w:name="_Toc17701"/>
      <w:bookmarkStart w:id="433" w:name="_Toc16628"/>
      <w:bookmarkStart w:id="434" w:name="_Toc31381"/>
      <w:bookmarkStart w:id="435" w:name="_Toc21996"/>
      <w:bookmarkStart w:id="436" w:name="_Toc2969"/>
      <w:r>
        <w:rPr>
          <w:rFonts w:hint="eastAsia" w:ascii="宋体" w:hAnsi="宋体" w:eastAsia="宋体" w:cs="宋体"/>
          <w:b/>
          <w:color w:val="auto"/>
          <w:kern w:val="0"/>
          <w:sz w:val="24"/>
          <w:szCs w:val="20"/>
          <w:highlight w:val="none"/>
          <w:lang w:val="en-US" w:eastAsia="zh-CN"/>
        </w:rPr>
        <w:t>9.</w:t>
      </w:r>
      <w:r>
        <w:rPr>
          <w:rFonts w:hint="eastAsia" w:ascii="宋体" w:hAnsi="宋体" w:eastAsia="宋体" w:cs="宋体"/>
          <w:b/>
          <w:color w:val="auto"/>
          <w:kern w:val="0"/>
          <w:sz w:val="24"/>
          <w:szCs w:val="20"/>
          <w:highlight w:val="none"/>
        </w:rPr>
        <w:t>投标文件格式范本</w:t>
      </w:r>
      <w:bookmarkEnd w:id="427"/>
      <w:bookmarkEnd w:id="428"/>
      <w:bookmarkEnd w:id="429"/>
      <w:bookmarkEnd w:id="430"/>
      <w:bookmarkEnd w:id="431"/>
      <w:bookmarkEnd w:id="432"/>
      <w:bookmarkEnd w:id="433"/>
      <w:bookmarkEnd w:id="434"/>
      <w:bookmarkEnd w:id="435"/>
      <w:bookmarkEnd w:id="436"/>
    </w:p>
    <w:tbl>
      <w:tblPr>
        <w:tblStyle w:val="20"/>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335" w:hRule="atLeast"/>
        </w:trPr>
        <w:tc>
          <w:tcPr>
            <w:tcW w:w="9520" w:type="dxa"/>
            <w:shd w:val="clear" w:color="auto" w:fill="FCFEEA"/>
          </w:tcPr>
          <w:p>
            <w:pPr>
              <w:pStyle w:val="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（正本</w:t>
            </w:r>
            <w:r>
              <w:rPr>
                <w:rFonts w:hint="eastAsia" w:cs="宋体"/>
                <w:b/>
                <w:bCs/>
                <w:color w:val="auto"/>
                <w:sz w:val="28"/>
                <w:szCs w:val="28"/>
                <w:highlight w:val="none"/>
                <w:lang w:val="en-US" w:eastAsia="zh-CN"/>
              </w:rPr>
              <w:t>/</w:t>
            </w:r>
            <w:r>
              <w:rPr>
                <w:rFonts w:hint="eastAsia" w:ascii="宋体" w:hAnsi="宋体" w:eastAsia="宋体" w:cs="宋体"/>
                <w:b/>
                <w:bCs/>
                <w:color w:val="auto"/>
                <w:sz w:val="28"/>
                <w:szCs w:val="28"/>
                <w:highlight w:val="none"/>
              </w:rPr>
              <w:t>副本）</w:t>
            </w:r>
          </w:p>
          <w:p>
            <w:pPr>
              <w:pStyle w:val="8"/>
              <w:ind w:firstLine="4216" w:firstLineChars="1500"/>
              <w:rPr>
                <w:rFonts w:hint="eastAsia" w:ascii="宋体" w:hAnsi="宋体" w:eastAsia="宋体" w:cs="宋体"/>
                <w:b/>
                <w:bCs/>
                <w:color w:val="auto"/>
                <w:sz w:val="28"/>
                <w:szCs w:val="28"/>
                <w:highlight w:val="none"/>
              </w:rPr>
            </w:pPr>
          </w:p>
          <w:p>
            <w:pPr>
              <w:pStyle w:val="8"/>
              <w:ind w:firstLine="4216" w:firstLineChars="1500"/>
              <w:rPr>
                <w:rFonts w:hint="eastAsia" w:ascii="宋体" w:hAnsi="宋体" w:eastAsia="宋体" w:cs="宋体"/>
                <w:b/>
                <w:bCs/>
                <w:color w:val="auto"/>
                <w:sz w:val="28"/>
                <w:szCs w:val="28"/>
                <w:highlight w:val="none"/>
              </w:rPr>
            </w:pPr>
          </w:p>
          <w:p>
            <w:pPr>
              <w:pStyle w:val="8"/>
              <w:rPr>
                <w:rFonts w:hint="eastAsia" w:ascii="宋体" w:hAnsi="宋体" w:eastAsia="宋体" w:cs="宋体"/>
                <w:b/>
                <w:bCs/>
                <w:color w:val="auto"/>
                <w:sz w:val="28"/>
                <w:szCs w:val="28"/>
                <w:highlight w:val="none"/>
              </w:rPr>
            </w:pPr>
          </w:p>
          <w:p>
            <w:pPr>
              <w:pStyle w:val="8"/>
              <w:ind w:firstLine="1897"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8"/>
                <w:szCs w:val="28"/>
                <w:highlight w:val="none"/>
              </w:rPr>
              <w:t xml:space="preserve">   项目</w:t>
            </w:r>
          </w:p>
          <w:p>
            <w:pPr>
              <w:pStyle w:val="8"/>
              <w:jc w:val="center"/>
              <w:rPr>
                <w:rFonts w:hint="eastAsia" w:ascii="宋体" w:hAnsi="宋体" w:eastAsia="宋体" w:cs="宋体"/>
                <w:b/>
                <w:bCs/>
                <w:color w:val="auto"/>
                <w:sz w:val="21"/>
                <w:szCs w:val="21"/>
                <w:highlight w:val="none"/>
              </w:rPr>
            </w:pPr>
          </w:p>
          <w:p>
            <w:pPr>
              <w:pStyle w:val="8"/>
              <w:ind w:firstLine="3162" w:firstLineChars="15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   包号＊＊＊＊＊</w:t>
            </w:r>
          </w:p>
          <w:p>
            <w:pPr>
              <w:pStyle w:val="8"/>
              <w:jc w:val="center"/>
              <w:rPr>
                <w:rFonts w:hint="eastAsia" w:ascii="宋体" w:hAnsi="宋体" w:eastAsia="宋体" w:cs="宋体"/>
                <w:b/>
                <w:bCs/>
                <w:color w:val="auto"/>
                <w:sz w:val="48"/>
                <w:highlight w:val="none"/>
              </w:rPr>
            </w:pPr>
          </w:p>
          <w:p>
            <w:pPr>
              <w:pStyle w:val="8"/>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rPr>
              <w:t>投 标 文 件</w:t>
            </w:r>
          </w:p>
          <w:p>
            <w:pPr>
              <w:jc w:val="center"/>
              <w:rPr>
                <w:rFonts w:hint="eastAsia" w:ascii="宋体" w:hAnsi="宋体" w:eastAsia="宋体" w:cs="宋体"/>
                <w:b/>
                <w:color w:val="auto"/>
                <w:sz w:val="32"/>
                <w:highlight w:val="none"/>
              </w:rPr>
            </w:pPr>
          </w:p>
          <w:p>
            <w:pPr>
              <w:pStyle w:val="3"/>
              <w:rPr>
                <w:rFonts w:hint="eastAsia" w:ascii="宋体" w:hAnsi="宋体" w:eastAsia="宋体" w:cs="宋体"/>
                <w:b/>
                <w:color w:val="auto"/>
                <w:sz w:val="32"/>
                <w:highlight w:val="none"/>
              </w:rPr>
            </w:pPr>
          </w:p>
          <w:p>
            <w:pPr>
              <w:pStyle w:val="3"/>
              <w:rPr>
                <w:rFonts w:hint="eastAsia" w:ascii="宋体" w:hAnsi="宋体" w:eastAsia="宋体" w:cs="宋体"/>
                <w:b/>
                <w:color w:val="auto"/>
                <w:sz w:val="32"/>
                <w:highlight w:val="none"/>
              </w:rPr>
            </w:pPr>
          </w:p>
          <w:p>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供 应 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    址  ： </w:t>
            </w:r>
            <w:r>
              <w:rPr>
                <w:rFonts w:hint="eastAsia" w:ascii="宋体" w:hAnsi="宋体" w:eastAsia="宋体" w:cs="宋体"/>
                <w:color w:val="auto"/>
                <w:szCs w:val="21"/>
                <w:highlight w:val="none"/>
                <w:u w:val="single"/>
              </w:rPr>
              <w:t xml:space="preserve">                                    </w:t>
            </w:r>
          </w:p>
          <w:p>
            <w:pPr>
              <w:spacing w:line="360" w:lineRule="auto"/>
              <w:ind w:left="176" w:leftChars="84" w:firstLine="960" w:firstLineChars="400"/>
              <w:rPr>
                <w:rFonts w:hint="eastAsia" w:ascii="宋体" w:hAnsi="宋体" w:eastAsia="宋体" w:cs="宋体"/>
                <w:color w:val="auto"/>
                <w:sz w:val="24"/>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   在202</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月</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 xml:space="preserve">日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午</w:t>
            </w:r>
            <w:r>
              <w:rPr>
                <w:rFonts w:hint="eastAsia" w:ascii="宋体" w:hAnsi="宋体" w:eastAsia="宋体" w:cs="宋体"/>
                <w:b/>
                <w:bCs/>
                <w:color w:val="auto"/>
                <w:sz w:val="21"/>
                <w:szCs w:val="21"/>
                <w:highlight w:val="none"/>
              </w:rPr>
              <w:t xml:space="preserve">＊ </w:t>
            </w:r>
            <w:r>
              <w:rPr>
                <w:rFonts w:hint="eastAsia" w:ascii="宋体" w:hAnsi="宋体" w:cs="宋体"/>
                <w:b/>
                <w:bCs/>
                <w:color w:val="auto"/>
                <w:highlight w:val="none"/>
                <w:lang w:eastAsia="zh-CN"/>
              </w:rPr>
              <w:t>点</w:t>
            </w:r>
            <w:r>
              <w:rPr>
                <w:rFonts w:hint="eastAsia" w:ascii="宋体" w:hAnsi="宋体" w:eastAsia="宋体" w:cs="宋体"/>
                <w:b/>
                <w:bCs/>
                <w:color w:val="auto"/>
                <w:sz w:val="21"/>
                <w:szCs w:val="21"/>
                <w:highlight w:val="none"/>
              </w:rPr>
              <w:t xml:space="preserve">＊ </w:t>
            </w:r>
            <w:r>
              <w:rPr>
                <w:rFonts w:hint="eastAsia" w:ascii="宋体" w:hAnsi="宋体" w:cs="宋体"/>
                <w:b/>
                <w:bCs/>
                <w:color w:val="auto"/>
                <w:highlight w:val="none"/>
                <w:lang w:eastAsia="zh-CN"/>
              </w:rPr>
              <w:t>分</w:t>
            </w:r>
            <w:r>
              <w:rPr>
                <w:rFonts w:hint="eastAsia" w:ascii="宋体" w:hAnsi="宋体" w:eastAsia="宋体" w:cs="宋体"/>
                <w:b/>
                <w:bCs/>
                <w:color w:val="auto"/>
                <w:highlight w:val="none"/>
              </w:rPr>
              <w:t>之前不得启封</w:t>
            </w:r>
          </w:p>
          <w:p>
            <w:pPr>
              <w:jc w:val="center"/>
              <w:rPr>
                <w:rFonts w:hint="eastAsia" w:ascii="宋体" w:hAnsi="宋体" w:eastAsia="宋体" w:cs="宋体"/>
                <w:b/>
                <w:bCs/>
                <w:color w:val="auto"/>
                <w:highlight w:val="none"/>
              </w:rPr>
            </w:pPr>
          </w:p>
        </w:tc>
      </w:tr>
    </w:tbl>
    <w:p>
      <w:pPr>
        <w:spacing w:line="240" w:lineRule="atLeas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br w:type="page"/>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pStyle w:val="3"/>
        <w:rPr>
          <w:rFonts w:hint="eastAsia"/>
        </w:rPr>
      </w:pPr>
    </w:p>
    <w:p>
      <w:pPr>
        <w:spacing w:line="240" w:lineRule="atLeast"/>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spacing w:line="240" w:lineRule="atLeast"/>
        <w:jc w:val="center"/>
        <w:rPr>
          <w:rFonts w:hint="eastAsia" w:ascii="宋体" w:hAnsi="宋体" w:eastAsia="宋体" w:cs="宋体"/>
          <w:b/>
          <w:color w:val="auto"/>
          <w:sz w:val="40"/>
          <w:szCs w:val="40"/>
          <w:highlight w:val="none"/>
        </w:rPr>
      </w:pPr>
    </w:p>
    <w:p>
      <w:pPr>
        <w:spacing w:line="240" w:lineRule="atLeast"/>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ZPDL(2022)043</w:t>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第 二 册</w:t>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pPr>
        <w:spacing w:line="240" w:lineRule="atLeast"/>
        <w:ind w:left="1080" w:leftChars="257" w:hanging="540"/>
        <w:rPr>
          <w:rFonts w:hint="eastAsia" w:ascii="宋体" w:hAnsi="宋体" w:eastAsia="宋体" w:cs="宋体"/>
          <w:b/>
          <w:color w:val="auto"/>
          <w:sz w:val="28"/>
          <w:highlight w:val="none"/>
        </w:rPr>
      </w:pPr>
    </w:p>
    <w:p>
      <w:pPr>
        <w:spacing w:line="240" w:lineRule="atLeast"/>
        <w:ind w:left="1080" w:leftChars="257" w:hanging="540"/>
        <w:rPr>
          <w:rFonts w:hint="eastAsia" w:ascii="宋体" w:hAnsi="宋体" w:eastAsia="宋体" w:cs="宋体"/>
          <w:b/>
          <w:color w:val="auto"/>
          <w:sz w:val="28"/>
          <w:highlight w:val="none"/>
        </w:rPr>
      </w:pPr>
    </w:p>
    <w:p>
      <w:pPr>
        <w:spacing w:line="240" w:lineRule="atLeast"/>
        <w:ind w:left="1080" w:leftChars="257" w:hanging="540"/>
        <w:rPr>
          <w:rFonts w:hint="eastAsia" w:ascii="宋体" w:hAnsi="宋体" w:eastAsia="宋体" w:cs="宋体"/>
          <w:b/>
          <w:color w:val="auto"/>
          <w:sz w:val="28"/>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pStyle w:val="5"/>
        <w:jc w:val="both"/>
        <w:rPr>
          <w:rFonts w:hint="eastAsia" w:ascii="宋体" w:hAnsi="宋体" w:eastAsia="宋体" w:cs="宋体"/>
          <w:color w:val="auto"/>
          <w:highlight w:val="none"/>
        </w:rPr>
        <w:sectPr>
          <w:pgSz w:w="11906" w:h="16838"/>
          <w:pgMar w:top="1440" w:right="1797" w:bottom="1440" w:left="1797" w:header="851" w:footer="992" w:gutter="0"/>
          <w:pgNumType w:fmt="decimal"/>
          <w:cols w:space="720" w:num="1"/>
          <w:docGrid w:linePitch="312" w:charSpace="0"/>
        </w:sectPr>
      </w:pPr>
    </w:p>
    <w:bookmarkEnd w:id="177"/>
    <w:bookmarkEnd w:id="178"/>
    <w:bookmarkEnd w:id="179"/>
    <w:bookmarkEnd w:id="180"/>
    <w:p>
      <w:pPr>
        <w:pStyle w:val="5"/>
        <w:tabs>
          <w:tab w:val="left" w:pos="0"/>
        </w:tabs>
        <w:spacing w:before="0" w:after="0" w:line="240" w:lineRule="atLeast"/>
        <w:jc w:val="center"/>
        <w:rPr>
          <w:rFonts w:hint="eastAsia" w:ascii="宋体" w:hAnsi="宋体" w:eastAsia="宋体" w:cs="宋体"/>
          <w:color w:val="auto"/>
          <w:highlight w:val="none"/>
        </w:rPr>
      </w:pPr>
      <w:bookmarkStart w:id="437" w:name="_Toc29715"/>
      <w:bookmarkStart w:id="438" w:name="_Toc218935350"/>
      <w:bookmarkStart w:id="439" w:name="_Toc219175634"/>
      <w:bookmarkStart w:id="440" w:name="_Toc216582822"/>
      <w:bookmarkStart w:id="441" w:name="_Toc515647829"/>
      <w:bookmarkStart w:id="442" w:name="_Toc507399902"/>
      <w:bookmarkStart w:id="443" w:name="_Toc18561"/>
      <w:bookmarkStart w:id="444" w:name="_Toc28765"/>
      <w:bookmarkStart w:id="445" w:name="_Toc16370"/>
      <w:r>
        <w:rPr>
          <w:rFonts w:hint="eastAsia" w:hAnsi="宋体" w:cs="宋体"/>
          <w:color w:val="auto"/>
          <w:highlight w:val="none"/>
          <w:lang w:val="en-US" w:eastAsia="zh-CN"/>
        </w:rPr>
        <w:t>第3章</w:t>
      </w:r>
      <w:r>
        <w:rPr>
          <w:rFonts w:hint="eastAsia" w:ascii="宋体" w:hAnsi="宋体" w:eastAsia="宋体" w:cs="宋体"/>
          <w:color w:val="auto"/>
          <w:highlight w:val="none"/>
        </w:rPr>
        <w:t xml:space="preserve"> 投标邀请</w:t>
      </w:r>
      <w:bookmarkEnd w:id="437"/>
      <w:bookmarkEnd w:id="438"/>
      <w:bookmarkEnd w:id="439"/>
      <w:bookmarkEnd w:id="440"/>
      <w:bookmarkEnd w:id="441"/>
      <w:bookmarkEnd w:id="442"/>
      <w:bookmarkEnd w:id="443"/>
      <w:bookmarkEnd w:id="444"/>
      <w:bookmarkEnd w:id="445"/>
      <w:bookmarkStart w:id="446" w:name="_Toc216582823"/>
      <w:bookmarkStart w:id="447" w:name="_Toc512937850"/>
      <w:bookmarkStart w:id="448" w:name="_Toc507399903"/>
      <w:bookmarkStart w:id="449" w:name="_Toc31583"/>
      <w:bookmarkStart w:id="450" w:name="_Toc515647830"/>
      <w:bookmarkStart w:id="451" w:name="_Toc10488"/>
      <w:bookmarkStart w:id="452" w:name="_Toc5272"/>
    </w:p>
    <w:p>
      <w:pPr>
        <w:pStyle w:val="5"/>
        <w:keepNext/>
        <w:keepLines/>
        <w:pageBreakBefore w:val="0"/>
        <w:widowControl w:val="0"/>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ascii="宋体" w:hAnsi="宋体" w:eastAsia="宋体" w:cs="宋体"/>
          <w:color w:val="auto"/>
          <w:sz w:val="30"/>
          <w:szCs w:val="30"/>
          <w:highlight w:val="none"/>
          <w:lang w:val="en-US" w:eastAsia="zh-CN"/>
        </w:rPr>
      </w:pPr>
      <w:bookmarkStart w:id="453" w:name="_Toc11591"/>
      <w:bookmarkStart w:id="454" w:name="_Toc8815"/>
      <w:r>
        <w:rPr>
          <w:rFonts w:hint="eastAsia" w:hAnsi="宋体" w:cs="宋体"/>
          <w:color w:val="auto"/>
          <w:sz w:val="30"/>
          <w:szCs w:val="30"/>
          <w:highlight w:val="none"/>
          <w:lang w:val="en-US" w:eastAsia="zh-CN"/>
        </w:rPr>
        <w:t>泽普县人民医院购置数字减影血管造影X光机(DSA)项目</w:t>
      </w:r>
      <w:bookmarkEnd w:id="453"/>
    </w:p>
    <w:p>
      <w:pPr>
        <w:pStyle w:val="5"/>
        <w:keepNext/>
        <w:keepLines/>
        <w:pageBreakBefore w:val="0"/>
        <w:widowControl w:val="0"/>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ascii="宋体" w:hAnsi="宋体" w:eastAsia="宋体" w:cs="宋体"/>
          <w:color w:val="auto"/>
          <w:sz w:val="30"/>
          <w:szCs w:val="30"/>
          <w:highlight w:val="none"/>
        </w:rPr>
      </w:pPr>
      <w:bookmarkStart w:id="455" w:name="_Toc22875"/>
      <w:bookmarkStart w:id="456" w:name="_Toc18911"/>
      <w:r>
        <w:rPr>
          <w:rFonts w:hint="eastAsia" w:hAnsi="宋体" w:cs="宋体"/>
          <w:color w:val="auto"/>
          <w:sz w:val="30"/>
          <w:szCs w:val="30"/>
          <w:highlight w:val="none"/>
          <w:lang w:val="en-US" w:eastAsia="zh-CN"/>
        </w:rPr>
        <w:t>公开招标</w:t>
      </w:r>
      <w:r>
        <w:rPr>
          <w:rFonts w:hint="eastAsia" w:ascii="宋体" w:hAnsi="宋体" w:eastAsia="宋体" w:cs="宋体"/>
          <w:color w:val="auto"/>
          <w:sz w:val="30"/>
          <w:szCs w:val="30"/>
          <w:highlight w:val="none"/>
        </w:rPr>
        <w:t>公告</w:t>
      </w:r>
      <w:bookmarkEnd w:id="454"/>
      <w:bookmarkEnd w:id="455"/>
      <w:bookmarkEnd w:id="456"/>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泽普县人民医院购置数字减影血管造影X光机(DSA)项目</w:t>
      </w:r>
      <w:r>
        <w:rPr>
          <w:rFonts w:hint="eastAsia" w:ascii="宋体" w:hAnsi="宋体" w:eastAsia="宋体" w:cs="宋体"/>
          <w:color w:val="auto"/>
          <w:sz w:val="24"/>
          <w:szCs w:val="24"/>
          <w:highlight w:val="none"/>
        </w:rPr>
        <w:t>的潜在供应商</w:t>
      </w:r>
      <w:r>
        <w:rPr>
          <w:rFonts w:hint="eastAsia" w:ascii="宋体" w:hAnsi="宋体" w:eastAsia="宋体" w:cs="宋体"/>
          <w:color w:val="auto"/>
          <w:sz w:val="24"/>
          <w:szCs w:val="24"/>
          <w:highlight w:val="none"/>
          <w:lang w:val="en-US" w:eastAsia="zh-CN"/>
        </w:rPr>
        <w:t>应在</w:t>
      </w:r>
      <w:r>
        <w:rPr>
          <w:rFonts w:hint="eastAsia" w:ascii="宋体" w:hAnsi="宋体" w:eastAsia="宋体" w:cs="宋体"/>
          <w:color w:val="auto"/>
          <w:sz w:val="24"/>
          <w:szCs w:val="24"/>
          <w:highlight w:val="none"/>
          <w:u w:val="single"/>
          <w:lang w:val="en-US" w:eastAsia="zh-CN"/>
        </w:rPr>
        <w:t>政采云平台</w:t>
      </w:r>
      <w:r>
        <w:rPr>
          <w:rFonts w:hint="eastAsia" w:ascii="宋体" w:hAnsi="宋体" w:eastAsia="宋体" w:cs="宋体"/>
          <w:color w:val="auto"/>
          <w:sz w:val="24"/>
          <w:szCs w:val="24"/>
          <w:highlight w:val="none"/>
          <w:lang w:val="en-US" w:eastAsia="zh-CN"/>
        </w:rPr>
        <w:t>线上下载（供应商登陆政采云平台http://www.zcygov.cn/，在线申请获取采购文件（登录政府采购云平台 → 项目采购 → 获取采购文件 → 申请，审核通过后可下载招标文件，如有操作性问题，可与政采云在线客服进行咨询，咨询电话：400-881-7190））获取招标文件，并于</w:t>
      </w:r>
      <w:r>
        <w:rPr>
          <w:rFonts w:hint="eastAsia" w:ascii="宋体" w:hAnsi="宋体" w:eastAsia="宋体" w:cs="宋体"/>
          <w:color w:val="auto"/>
          <w:sz w:val="24"/>
          <w:szCs w:val="24"/>
          <w:highlight w:val="none"/>
          <w:u w:val="single"/>
          <w:lang w:val="en-US" w:eastAsia="zh-CN"/>
        </w:rPr>
        <w:t>2022年09月21日下午16点00分（北京时间）</w:t>
      </w:r>
      <w:r>
        <w:rPr>
          <w:rFonts w:hint="eastAsia" w:ascii="宋体" w:hAnsi="宋体" w:eastAsia="宋体" w:cs="宋体"/>
          <w:color w:val="auto"/>
          <w:sz w:val="24"/>
          <w:szCs w:val="24"/>
          <w:highlight w:val="none"/>
          <w:lang w:val="en-US" w:eastAsia="zh-CN"/>
        </w:rPr>
        <w:t>前递交投标文件</w:t>
      </w:r>
      <w:r>
        <w:rPr>
          <w:rFonts w:hint="eastAsia" w:ascii="宋体" w:hAnsi="宋体" w:eastAsia="宋体" w:cs="宋体"/>
          <w:color w:val="auto"/>
          <w:sz w:val="24"/>
          <w:szCs w:val="24"/>
          <w:highlight w:val="none"/>
        </w:rPr>
        <w:t>。</w:t>
      </w:r>
    </w:p>
    <w:p>
      <w:pPr>
        <w:pStyle w:val="6"/>
        <w:pageBreakBefore w:val="0"/>
        <w:widowControl w:val="0"/>
        <w:kinsoku/>
        <w:wordWrap/>
        <w:overflowPunct/>
        <w:topLinePunct w:val="0"/>
        <w:bidi w:val="0"/>
        <w:snapToGrid/>
        <w:spacing w:before="0" w:line="440" w:lineRule="exact"/>
        <w:jc w:val="both"/>
        <w:textAlignment w:val="auto"/>
        <w:rPr>
          <w:rFonts w:hint="eastAsia" w:ascii="宋体" w:hAnsi="宋体" w:eastAsia="宋体" w:cs="宋体"/>
          <w:b/>
          <w:bCs/>
          <w:color w:val="auto"/>
          <w:sz w:val="24"/>
          <w:szCs w:val="24"/>
          <w:highlight w:val="none"/>
        </w:rPr>
      </w:pPr>
      <w:bookmarkStart w:id="457" w:name="_Toc35393629"/>
      <w:bookmarkStart w:id="458" w:name="_Toc28359012"/>
      <w:bookmarkStart w:id="459" w:name="_Toc28359089"/>
      <w:bookmarkStart w:id="460" w:name="_Toc22043"/>
      <w:bookmarkStart w:id="461" w:name="_Toc29182"/>
      <w:bookmarkStart w:id="462" w:name="_Toc35393798"/>
      <w:bookmarkStart w:id="463" w:name="_Toc19723"/>
      <w:bookmarkStart w:id="464" w:name="_Toc8264"/>
      <w:r>
        <w:rPr>
          <w:rFonts w:hint="eastAsia" w:ascii="宋体" w:hAnsi="宋体" w:eastAsia="宋体" w:cs="宋体"/>
          <w:b/>
          <w:bCs/>
          <w:color w:val="auto"/>
          <w:sz w:val="24"/>
          <w:szCs w:val="24"/>
          <w:highlight w:val="none"/>
        </w:rPr>
        <w:t>一、项目基本情况</w:t>
      </w:r>
      <w:bookmarkEnd w:id="457"/>
      <w:bookmarkEnd w:id="458"/>
      <w:bookmarkEnd w:id="459"/>
      <w:bookmarkEnd w:id="460"/>
      <w:bookmarkEnd w:id="461"/>
      <w:bookmarkEnd w:id="462"/>
      <w:bookmarkEnd w:id="463"/>
      <w:bookmarkEnd w:id="464"/>
    </w:p>
    <w:p>
      <w:pPr>
        <w:pageBreakBefore w:val="0"/>
        <w:widowControl w:val="0"/>
        <w:kinsoku/>
        <w:wordWrap/>
        <w:overflowPunct/>
        <w:topLinePunct w:val="0"/>
        <w:bidi w:val="0"/>
        <w:snapToGrid/>
        <w:spacing w:line="44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ZPDL(2022)0</w:t>
      </w:r>
      <w:r>
        <w:rPr>
          <w:rFonts w:hint="eastAsia" w:ascii="宋体" w:hAnsi="宋体" w:cs="宋体"/>
          <w:color w:val="auto"/>
          <w:sz w:val="24"/>
          <w:szCs w:val="24"/>
          <w:highlight w:val="none"/>
          <w:lang w:val="en-US" w:eastAsia="zh-CN"/>
        </w:rPr>
        <w:t>43</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泽普县人民医院购置数字减影血管造影X光机(DSA)项目</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采购方式：</w:t>
      </w:r>
      <w:r>
        <w:rPr>
          <w:rFonts w:hint="eastAsia" w:ascii="宋体" w:hAnsi="宋体" w:eastAsia="宋体" w:cs="宋体"/>
          <w:color w:val="auto"/>
          <w:sz w:val="24"/>
          <w:szCs w:val="24"/>
          <w:highlight w:val="none"/>
          <w:u w:val="none"/>
          <w:lang w:val="en-US" w:eastAsia="zh-CN"/>
        </w:rPr>
        <w:t>公开招标</w:t>
      </w:r>
      <w:r>
        <w:rPr>
          <w:rFonts w:hint="eastAsia" w:ascii="宋体" w:hAnsi="宋体" w:eastAsia="宋体" w:cs="宋体"/>
          <w:color w:val="auto"/>
          <w:sz w:val="24"/>
          <w:szCs w:val="24"/>
          <w:highlight w:val="none"/>
          <w:u w:val="none"/>
        </w:rPr>
        <w:t xml:space="preserve"> </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6000000</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最高限价（元）：6000000</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采购需求：数字减影血管造影X光机(DSA)一套。（数量规格参数详见招标文件）</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.本项目（否）接受联合体。</w:t>
      </w:r>
    </w:p>
    <w:p>
      <w:pPr>
        <w:pStyle w:val="6"/>
        <w:pageBreakBefore w:val="0"/>
        <w:widowControl w:val="0"/>
        <w:shd w:val="clear" w:color="auto" w:fill="auto"/>
        <w:kinsoku/>
        <w:wordWrap/>
        <w:overflowPunct/>
        <w:topLinePunct w:val="0"/>
        <w:bidi w:val="0"/>
        <w:snapToGrid/>
        <w:spacing w:before="0" w:after="0" w:line="440" w:lineRule="exact"/>
        <w:jc w:val="left"/>
        <w:textAlignment w:val="auto"/>
        <w:rPr>
          <w:rFonts w:hint="eastAsia" w:ascii="宋体" w:hAnsi="宋体" w:eastAsia="宋体" w:cs="宋体"/>
          <w:color w:val="auto"/>
          <w:kern w:val="0"/>
          <w:sz w:val="24"/>
          <w:szCs w:val="24"/>
          <w:highlight w:val="none"/>
        </w:rPr>
      </w:pPr>
      <w:bookmarkStart w:id="465" w:name="_Toc27733"/>
      <w:bookmarkStart w:id="466" w:name="_Toc28359013"/>
      <w:bookmarkStart w:id="467" w:name="_Toc35393630"/>
      <w:bookmarkStart w:id="468" w:name="_Toc12963"/>
      <w:bookmarkStart w:id="469" w:name="_Toc28359090"/>
      <w:bookmarkStart w:id="470" w:name="_Toc13080"/>
      <w:bookmarkStart w:id="471" w:name="_Toc35393799"/>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en-US" w:eastAsia="zh-CN"/>
        </w:rPr>
        <w:t>申请人</w:t>
      </w:r>
      <w:r>
        <w:rPr>
          <w:rFonts w:hint="eastAsia" w:ascii="宋体" w:hAnsi="宋体" w:eastAsia="宋体" w:cs="宋体"/>
          <w:color w:val="auto"/>
          <w:kern w:val="0"/>
          <w:sz w:val="24"/>
          <w:szCs w:val="24"/>
          <w:highlight w:val="none"/>
        </w:rPr>
        <w:t>的资格要求：</w:t>
      </w:r>
      <w:bookmarkEnd w:id="465"/>
      <w:bookmarkEnd w:id="466"/>
      <w:bookmarkEnd w:id="467"/>
      <w:bookmarkEnd w:id="468"/>
      <w:bookmarkEnd w:id="469"/>
      <w:bookmarkEnd w:id="470"/>
      <w:bookmarkEnd w:id="471"/>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bookmarkStart w:id="472" w:name="_Toc35393800"/>
      <w:bookmarkStart w:id="473" w:name="_Toc35393631"/>
      <w:bookmarkStart w:id="474" w:name="_Toc28359014"/>
      <w:bookmarkStart w:id="475" w:name="_Toc28359091"/>
      <w:r>
        <w:rPr>
          <w:rFonts w:hint="eastAsia" w:ascii="宋体" w:hAnsi="宋体" w:eastAsia="宋体" w:cs="宋体"/>
          <w:color w:val="auto"/>
          <w:sz w:val="24"/>
          <w:szCs w:val="24"/>
          <w:highlight w:val="none"/>
        </w:rPr>
        <w:t>1.满足《中华人民共和国政府采购法》第二十二条规定；</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无；</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具有有效的独立法人营业执照；</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（2）提供《医疗器械生产许可证》或《医疗器械经营许可证》及医疗器械注册证（所投产品为二类医疗器械的须提供二类医疗器械备案凭证）；</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（3）法定代表人资格证明及授权书、被授权人身份证；(法定代表人投标需提供法定代表人身份证)；</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（4）依法缴纳近六个月内任意一个月社会保险的凭据；</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（5）税务部门出具的近六个月内任意一个月的完税证明；</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（6）近两年内任意一年的财务审计报告（新成立的公司提供近三个月内任意一个月的银行资信证明）；</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（8）参与政府采购活动前3年内未被列入失信、重大税收违法案件、财政部门禁止参加政府采购活动的承诺书；</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（9）提供针对本次项目的《反商业贿赂承诺书》。</w:t>
      </w:r>
    </w:p>
    <w:p>
      <w:pPr>
        <w:pStyle w:val="6"/>
        <w:pageBreakBefore w:val="0"/>
        <w:widowControl w:val="0"/>
        <w:kinsoku/>
        <w:wordWrap/>
        <w:overflowPunct/>
        <w:topLinePunct w:val="0"/>
        <w:bidi w:val="0"/>
        <w:snapToGrid/>
        <w:spacing w:before="0" w:line="440" w:lineRule="exact"/>
        <w:jc w:val="both"/>
        <w:textAlignment w:val="auto"/>
        <w:rPr>
          <w:rFonts w:hint="eastAsia" w:ascii="宋体" w:hAnsi="宋体" w:eastAsia="宋体" w:cs="宋体"/>
          <w:b/>
          <w:bCs/>
          <w:color w:val="auto"/>
          <w:sz w:val="24"/>
          <w:szCs w:val="24"/>
          <w:highlight w:val="none"/>
        </w:rPr>
      </w:pPr>
      <w:bookmarkStart w:id="476" w:name="_Toc5613"/>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w:t>
      </w:r>
      <w:bookmarkEnd w:id="476"/>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时间：2022年08月31日至2022年09月07日</w:t>
      </w:r>
      <w:bookmarkStart w:id="1725" w:name="_GoBack"/>
      <w:bookmarkEnd w:id="1725"/>
      <w:r>
        <w:rPr>
          <w:rFonts w:hint="eastAsia" w:ascii="宋体" w:hAnsi="宋体" w:eastAsia="宋体" w:cs="宋体"/>
          <w:color w:val="auto"/>
          <w:sz w:val="24"/>
          <w:szCs w:val="24"/>
          <w:highlight w:val="none"/>
          <w:lang w:val="en-US" w:eastAsia="zh-CN"/>
        </w:rPr>
        <w:t>，每天上午10:00至14:00，下午16:00至20:00（北京时间，法定节假日除外）</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地点：政采云平台（https://login.zcygov.cn/user-login/#/login）</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售价（元）：0</w:t>
      </w:r>
    </w:p>
    <w:bookmarkEnd w:id="472"/>
    <w:bookmarkEnd w:id="473"/>
    <w:bookmarkEnd w:id="474"/>
    <w:bookmarkEnd w:id="475"/>
    <w:p>
      <w:pPr>
        <w:pStyle w:val="6"/>
        <w:pageBreakBefore w:val="0"/>
        <w:widowControl w:val="0"/>
        <w:shd w:val="clear" w:color="auto" w:fill="auto"/>
        <w:kinsoku/>
        <w:wordWrap/>
        <w:overflowPunct/>
        <w:topLinePunct w:val="0"/>
        <w:bidi w:val="0"/>
        <w:snapToGrid/>
        <w:spacing w:before="0" w:after="0" w:line="440" w:lineRule="exact"/>
        <w:jc w:val="left"/>
        <w:textAlignment w:val="auto"/>
        <w:rPr>
          <w:rFonts w:hint="eastAsia" w:ascii="宋体" w:hAnsi="宋体" w:eastAsia="宋体" w:cs="宋体"/>
          <w:b/>
          <w:bCs/>
          <w:color w:val="auto"/>
          <w:kern w:val="0"/>
          <w:sz w:val="24"/>
          <w:szCs w:val="24"/>
          <w:highlight w:val="none"/>
        </w:rPr>
      </w:pPr>
      <w:bookmarkStart w:id="477" w:name="_Toc24387"/>
      <w:bookmarkStart w:id="478" w:name="_Toc28359016"/>
      <w:bookmarkStart w:id="479" w:name="_Toc35393633"/>
      <w:bookmarkStart w:id="480" w:name="_Toc21935"/>
      <w:bookmarkStart w:id="481" w:name="_Toc35393802"/>
      <w:bookmarkStart w:id="482" w:name="_Toc28593"/>
      <w:bookmarkStart w:id="483" w:name="_Toc28359093"/>
      <w:r>
        <w:rPr>
          <w:rFonts w:hint="eastAsia" w:ascii="宋体" w:hAnsi="宋体" w:eastAsia="宋体" w:cs="宋体"/>
          <w:b/>
          <w:bCs/>
          <w:color w:val="auto"/>
          <w:kern w:val="0"/>
          <w:sz w:val="24"/>
          <w:szCs w:val="24"/>
          <w:highlight w:val="none"/>
        </w:rPr>
        <w:t>四、提交投标文件截止时间、开标时间和地点</w:t>
      </w:r>
      <w:bookmarkEnd w:id="477"/>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提交投标文件截止时间：2022年09月21日下午16点00分（北京时间）</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投标地点：喀什经济开发区深圳城3号楼12层1204</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开标时间：2022年09月21日下午16点00分（北京时间）</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开标地点：喀什经济开发区深圳城3号楼12层1204</w:t>
      </w:r>
    </w:p>
    <w:p>
      <w:pPr>
        <w:pStyle w:val="6"/>
        <w:pageBreakBefore w:val="0"/>
        <w:widowControl w:val="0"/>
        <w:shd w:val="clear" w:color="auto" w:fill="auto"/>
        <w:kinsoku/>
        <w:wordWrap/>
        <w:overflowPunct/>
        <w:topLinePunct w:val="0"/>
        <w:bidi w:val="0"/>
        <w:snapToGrid/>
        <w:spacing w:before="0" w:after="0" w:line="440" w:lineRule="exact"/>
        <w:jc w:val="left"/>
        <w:textAlignment w:val="auto"/>
        <w:rPr>
          <w:rFonts w:hint="eastAsia" w:ascii="宋体" w:hAnsi="宋体" w:eastAsia="宋体" w:cs="宋体"/>
          <w:b/>
          <w:bCs/>
          <w:color w:val="auto"/>
          <w:kern w:val="0"/>
          <w:sz w:val="24"/>
          <w:szCs w:val="24"/>
          <w:highlight w:val="none"/>
          <w:lang w:val="en-US" w:eastAsia="zh-CN"/>
        </w:rPr>
      </w:pPr>
      <w:bookmarkStart w:id="484" w:name="_Toc20502"/>
      <w:r>
        <w:rPr>
          <w:rFonts w:hint="eastAsia" w:ascii="宋体" w:hAnsi="宋体" w:eastAsia="宋体" w:cs="宋体"/>
          <w:b/>
          <w:bCs/>
          <w:color w:val="auto"/>
          <w:kern w:val="0"/>
          <w:sz w:val="24"/>
          <w:szCs w:val="24"/>
          <w:highlight w:val="none"/>
          <w:lang w:val="en-US" w:eastAsia="zh-CN"/>
        </w:rPr>
        <w:t>五、公告期限</w:t>
      </w:r>
      <w:bookmarkEnd w:id="484"/>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自本公告发布之日起5个工作日。</w:t>
      </w:r>
    </w:p>
    <w:p>
      <w:pPr>
        <w:pStyle w:val="6"/>
        <w:pageBreakBefore w:val="0"/>
        <w:widowControl w:val="0"/>
        <w:shd w:val="clear" w:color="auto" w:fill="auto"/>
        <w:kinsoku/>
        <w:wordWrap/>
        <w:overflowPunct/>
        <w:topLinePunct w:val="0"/>
        <w:bidi w:val="0"/>
        <w:snapToGrid/>
        <w:spacing w:before="0" w:after="0" w:line="440" w:lineRule="exact"/>
        <w:jc w:val="left"/>
        <w:textAlignment w:val="auto"/>
        <w:rPr>
          <w:rFonts w:hint="eastAsia" w:ascii="宋体" w:hAnsi="宋体" w:eastAsia="宋体" w:cs="宋体"/>
          <w:b/>
          <w:bCs/>
          <w:color w:val="auto"/>
          <w:kern w:val="0"/>
          <w:sz w:val="24"/>
          <w:szCs w:val="24"/>
          <w:highlight w:val="none"/>
          <w:lang w:val="en-US" w:eastAsia="zh-CN"/>
        </w:rPr>
      </w:pPr>
      <w:bookmarkStart w:id="485" w:name="_Toc31114"/>
      <w:r>
        <w:rPr>
          <w:rFonts w:hint="eastAsia" w:ascii="宋体" w:hAnsi="宋体" w:eastAsia="宋体" w:cs="宋体"/>
          <w:b/>
          <w:bCs/>
          <w:color w:val="auto"/>
          <w:kern w:val="0"/>
          <w:sz w:val="24"/>
          <w:szCs w:val="24"/>
          <w:highlight w:val="none"/>
          <w:lang w:val="en-US" w:eastAsia="zh-CN"/>
        </w:rPr>
        <w:t>六、公告发布媒体</w:t>
      </w:r>
      <w:bookmarkEnd w:id="485"/>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本项目公告发布媒体为新疆政府采购网。</w:t>
      </w:r>
      <w:bookmarkEnd w:id="478"/>
      <w:bookmarkEnd w:id="479"/>
      <w:bookmarkEnd w:id="480"/>
      <w:bookmarkEnd w:id="481"/>
      <w:bookmarkEnd w:id="482"/>
      <w:bookmarkEnd w:id="483"/>
    </w:p>
    <w:p>
      <w:pPr>
        <w:pStyle w:val="6"/>
        <w:pageBreakBefore w:val="0"/>
        <w:widowControl w:val="0"/>
        <w:shd w:val="clear" w:color="auto" w:fill="auto"/>
        <w:kinsoku/>
        <w:wordWrap/>
        <w:overflowPunct/>
        <w:topLinePunct w:val="0"/>
        <w:bidi w:val="0"/>
        <w:snapToGrid/>
        <w:spacing w:before="0" w:after="0" w:line="440" w:lineRule="exact"/>
        <w:jc w:val="left"/>
        <w:textAlignment w:val="auto"/>
        <w:rPr>
          <w:rFonts w:hint="eastAsia" w:ascii="宋体" w:hAnsi="宋体" w:eastAsia="宋体" w:cs="宋体"/>
          <w:b/>
          <w:bCs/>
          <w:color w:val="auto"/>
          <w:kern w:val="0"/>
          <w:sz w:val="24"/>
          <w:szCs w:val="24"/>
          <w:highlight w:val="none"/>
          <w:lang w:val="en-US" w:eastAsia="zh-CN"/>
        </w:rPr>
      </w:pPr>
      <w:bookmarkStart w:id="486" w:name="_Toc8723"/>
      <w:r>
        <w:rPr>
          <w:rFonts w:hint="eastAsia" w:ascii="宋体" w:hAnsi="宋体" w:eastAsia="宋体" w:cs="宋体"/>
          <w:b/>
          <w:bCs/>
          <w:color w:val="auto"/>
          <w:kern w:val="0"/>
          <w:sz w:val="24"/>
          <w:szCs w:val="24"/>
          <w:highlight w:val="none"/>
          <w:lang w:val="en-US" w:eastAsia="zh-CN"/>
        </w:rPr>
        <w:t>七、其它补充事宜</w:t>
      </w:r>
      <w:bookmarkEnd w:id="486"/>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p>
      <w:pPr>
        <w:pStyle w:val="6"/>
        <w:pageBreakBefore w:val="0"/>
        <w:widowControl w:val="0"/>
        <w:shd w:val="clear" w:color="auto" w:fill="auto"/>
        <w:kinsoku/>
        <w:wordWrap/>
        <w:overflowPunct/>
        <w:topLinePunct w:val="0"/>
        <w:bidi w:val="0"/>
        <w:snapToGrid/>
        <w:spacing w:before="0" w:after="0" w:line="440" w:lineRule="exact"/>
        <w:jc w:val="left"/>
        <w:textAlignment w:val="auto"/>
        <w:rPr>
          <w:rFonts w:hint="eastAsia" w:ascii="宋体" w:hAnsi="宋体" w:eastAsia="宋体" w:cs="宋体"/>
          <w:b/>
          <w:bCs/>
          <w:color w:val="auto"/>
          <w:kern w:val="0"/>
          <w:sz w:val="24"/>
          <w:szCs w:val="24"/>
          <w:highlight w:val="none"/>
          <w:lang w:val="en-US" w:eastAsia="zh-CN"/>
        </w:rPr>
      </w:pPr>
      <w:bookmarkStart w:id="487" w:name="_Toc20268"/>
      <w:bookmarkStart w:id="488" w:name="_Toc23276"/>
      <w:r>
        <w:rPr>
          <w:rFonts w:hint="eastAsia" w:ascii="宋体" w:hAnsi="宋体" w:eastAsia="宋体" w:cs="宋体"/>
          <w:b/>
          <w:bCs/>
          <w:color w:val="auto"/>
          <w:kern w:val="0"/>
          <w:sz w:val="24"/>
          <w:szCs w:val="24"/>
          <w:highlight w:val="none"/>
          <w:lang w:val="en-US" w:eastAsia="zh-CN"/>
        </w:rPr>
        <w:t>八、</w:t>
      </w:r>
      <w:bookmarkStart w:id="489" w:name="_Toc23916"/>
      <w:bookmarkStart w:id="490" w:name="_Toc5483"/>
      <w:bookmarkStart w:id="491" w:name="_Toc28359095"/>
      <w:bookmarkStart w:id="492" w:name="_Toc18510"/>
      <w:bookmarkStart w:id="493" w:name="_Toc21330"/>
      <w:bookmarkStart w:id="494" w:name="_Toc28359018"/>
      <w:bookmarkStart w:id="495" w:name="_Toc35393636"/>
      <w:bookmarkStart w:id="496" w:name="_Toc35393805"/>
      <w:r>
        <w:rPr>
          <w:rFonts w:hint="eastAsia" w:ascii="宋体" w:hAnsi="宋体" w:eastAsia="宋体" w:cs="宋体"/>
          <w:b/>
          <w:bCs/>
          <w:color w:val="auto"/>
          <w:kern w:val="0"/>
          <w:sz w:val="24"/>
          <w:szCs w:val="24"/>
          <w:highlight w:val="none"/>
          <w:lang w:val="en-US" w:eastAsia="zh-CN"/>
        </w:rPr>
        <w:t>凡对本次采购提出询问，请按以下方式联系。</w:t>
      </w:r>
      <w:bookmarkEnd w:id="487"/>
      <w:bookmarkEnd w:id="488"/>
      <w:bookmarkEnd w:id="489"/>
      <w:bookmarkEnd w:id="490"/>
      <w:bookmarkEnd w:id="491"/>
      <w:bookmarkEnd w:id="492"/>
      <w:bookmarkEnd w:id="493"/>
      <w:bookmarkEnd w:id="494"/>
      <w:bookmarkEnd w:id="495"/>
      <w:bookmarkEnd w:id="496"/>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bookmarkStart w:id="497" w:name="_Toc35393806"/>
      <w:bookmarkStart w:id="498" w:name="_Toc28359019"/>
      <w:bookmarkStart w:id="499" w:name="_Toc28359096"/>
      <w:bookmarkStart w:id="500" w:name="_Toc35393637"/>
      <w:bookmarkStart w:id="501" w:name="_Toc28359020"/>
      <w:bookmarkStart w:id="502" w:name="_Toc28359097"/>
      <w:bookmarkStart w:id="503" w:name="_Toc35393807"/>
      <w:bookmarkStart w:id="504" w:name="_Toc35393638"/>
      <w:r>
        <w:rPr>
          <w:rFonts w:hint="eastAsia" w:ascii="宋体" w:hAnsi="宋体" w:eastAsia="宋体" w:cs="宋体"/>
          <w:color w:val="auto"/>
          <w:sz w:val="24"/>
          <w:szCs w:val="24"/>
          <w:highlight w:val="none"/>
        </w:rPr>
        <w:t>1.采购人信息</w:t>
      </w:r>
      <w:bookmarkEnd w:id="497"/>
      <w:bookmarkEnd w:id="498"/>
      <w:bookmarkEnd w:id="499"/>
      <w:bookmarkEnd w:id="500"/>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称：泽普县人民医院</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址：泽普县团结西路13号</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人：西仁阿依</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联系电话：18699875091</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2.代理机构信息</w:t>
      </w:r>
      <w:bookmarkEnd w:id="501"/>
      <w:bookmarkEnd w:id="502"/>
      <w:bookmarkEnd w:id="503"/>
      <w:bookmarkEnd w:id="504"/>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称：中经国际招标集团有限公司　</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址：喀什经济开发区深圳城3号楼12层1204  </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 系 人：王丽娟        </w:t>
      </w:r>
    </w:p>
    <w:p>
      <w:pPr>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联系电话：15099650569</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outlineLvl w:val="9"/>
        <w:rPr>
          <w:rFonts w:hint="eastAsia" w:ascii="宋体" w:hAnsi="宋体" w:eastAsia="宋体" w:cs="宋体"/>
          <w:color w:val="auto"/>
          <w:sz w:val="24"/>
          <w:szCs w:val="24"/>
          <w:highlight w:val="none"/>
        </w:rPr>
      </w:pPr>
    </w:p>
    <w:p>
      <w:pPr>
        <w:pStyle w:val="3"/>
        <w:outlineLvl w:val="9"/>
        <w:rPr>
          <w:rFonts w:hint="eastAsia" w:ascii="宋体" w:hAnsi="宋体" w:eastAsia="宋体" w:cs="宋体"/>
          <w:color w:val="auto"/>
          <w:sz w:val="24"/>
          <w:szCs w:val="24"/>
          <w:highlight w:val="none"/>
        </w:rPr>
      </w:pPr>
    </w:p>
    <w:p>
      <w:pPr>
        <w:pStyle w:val="4"/>
        <w:outlineLvl w:val="9"/>
        <w:rPr>
          <w:rFonts w:hint="eastAsia"/>
        </w:rPr>
      </w:pPr>
    </w:p>
    <w:p>
      <w:pPr>
        <w:pageBreakBefore w:val="0"/>
        <w:widowControl w:val="0"/>
        <w:shd w:val="clear" w:color="auto" w:fill="auto"/>
        <w:kinsoku/>
        <w:wordWrap/>
        <w:overflowPunct/>
        <w:topLinePunct w:val="0"/>
        <w:bidi w:val="0"/>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p>
    <w:p>
      <w:pPr>
        <w:pageBreakBefore w:val="0"/>
        <w:widowControl w:val="0"/>
        <w:kinsoku/>
        <w:wordWrap/>
        <w:overflowPunct/>
        <w:topLinePunct w:val="0"/>
        <w:bidi w:val="0"/>
        <w:snapToGrid/>
        <w:spacing w:line="440" w:lineRule="exact"/>
        <w:ind w:left="0" w:leftChars="0" w:firstLine="480" w:firstLineChars="200"/>
        <w:jc w:val="righ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中经国际招标集团有限公司</w:t>
      </w:r>
    </w:p>
    <w:p>
      <w:pPr>
        <w:jc w:val="right"/>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yellow"/>
        </w:rPr>
        <w:br w:type="page"/>
      </w:r>
    </w:p>
    <w:p>
      <w:pPr>
        <w:pStyle w:val="15"/>
        <w:rPr>
          <w:rFonts w:hint="eastAsia"/>
        </w:rPr>
      </w:pPr>
    </w:p>
    <w:p>
      <w:pPr>
        <w:bidi w:val="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公告截图</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46"/>
    <w:bookmarkEnd w:id="447"/>
    <w:bookmarkEnd w:id="448"/>
    <w:bookmarkEnd w:id="449"/>
    <w:bookmarkEnd w:id="450"/>
    <w:bookmarkEnd w:id="451"/>
    <w:bookmarkEnd w:id="452"/>
    <w:p>
      <w:pPr>
        <w:pStyle w:val="5"/>
        <w:tabs>
          <w:tab w:val="left" w:pos="0"/>
        </w:tabs>
        <w:spacing w:before="0" w:after="0" w:line="240" w:lineRule="atLeast"/>
        <w:jc w:val="center"/>
        <w:rPr>
          <w:rFonts w:hint="eastAsia" w:ascii="宋体" w:hAnsi="宋体" w:eastAsia="宋体" w:cs="宋体"/>
          <w:color w:val="auto"/>
          <w:highlight w:val="none"/>
        </w:rPr>
      </w:pPr>
      <w:bookmarkStart w:id="505" w:name="_Toc15625"/>
      <w:bookmarkStart w:id="506" w:name="_Toc16036"/>
      <w:bookmarkStart w:id="507" w:name="_Toc26226"/>
      <w:bookmarkStart w:id="508" w:name="_Toc28539"/>
      <w:bookmarkStart w:id="509" w:name="_Toc13655"/>
      <w:bookmarkStart w:id="510" w:name="_Toc13846"/>
      <w:bookmarkStart w:id="511" w:name="_Toc22216"/>
      <w:bookmarkStart w:id="512" w:name="_Toc28803"/>
      <w:bookmarkStart w:id="513" w:name="_Toc25737"/>
      <w:bookmarkStart w:id="514" w:name="_Toc21806"/>
      <w:bookmarkStart w:id="515" w:name="_Toc23395"/>
      <w:bookmarkStart w:id="516" w:name="_Toc216582826"/>
      <w:bookmarkStart w:id="517" w:name="_Toc219175639"/>
      <w:bookmarkStart w:id="518" w:name="_Toc32647"/>
      <w:bookmarkStart w:id="519" w:name="_Toc507399907"/>
      <w:bookmarkStart w:id="520" w:name="_Toc7971"/>
      <w:bookmarkStart w:id="521" w:name="_Toc218935355"/>
      <w:bookmarkStart w:id="522" w:name="_Toc515647832"/>
      <w:r>
        <w:rPr>
          <w:rFonts w:hint="eastAsia" w:hAnsi="宋体" w:cs="宋体"/>
          <w:color w:val="auto"/>
          <w:highlight w:val="none"/>
          <w:lang w:val="en-US" w:eastAsia="zh-CN"/>
        </w:rPr>
        <w:t xml:space="preserve">第4章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须知资料表</w:t>
      </w:r>
      <w:bookmarkEnd w:id="505"/>
    </w:p>
    <w:p>
      <w:pPr>
        <w:spacing w:line="240" w:lineRule="atLeas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须知的具体补充和修改，如有矛盾，应以本资料表为准。</w:t>
      </w:r>
    </w:p>
    <w:tbl>
      <w:tblPr>
        <w:tblStyle w:val="20"/>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73"/>
        <w:gridCol w:w="75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4537" w:type="pct"/>
            <w:vAlign w:val="center"/>
          </w:tcPr>
          <w:p>
            <w:pPr>
              <w:spacing w:line="360" w:lineRule="auto"/>
              <w:ind w:left="1080" w:leftChars="257" w:hanging="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462"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4537"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u w:val="single"/>
                <w:lang w:val="en-US" w:eastAsia="zh-CN"/>
              </w:rPr>
              <w:t>泽普县人民医院</w:t>
            </w:r>
            <w:r>
              <w:rPr>
                <w:rFonts w:hint="eastAsia" w:ascii="宋体" w:hAnsi="宋体" w:eastAsia="宋体" w:cs="宋体"/>
                <w:color w:val="auto"/>
                <w:sz w:val="2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联系人：</w:t>
            </w:r>
            <w:r>
              <w:rPr>
                <w:rFonts w:hint="eastAsia" w:ascii="宋体" w:hAnsi="宋体" w:eastAsia="宋体" w:cs="宋体"/>
                <w:color w:val="auto"/>
                <w:sz w:val="24"/>
                <w:highlight w:val="none"/>
                <w:u w:val="single"/>
                <w:lang w:val="en-US" w:eastAsia="zh-CN"/>
              </w:rPr>
              <w:t xml:space="preserve">西仁阿依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18699875091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6" w:hRule="atLeast"/>
        </w:trPr>
        <w:tc>
          <w:tcPr>
            <w:tcW w:w="462"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4537"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u w:val="single"/>
                <w:lang w:eastAsia="zh-CN"/>
              </w:rPr>
              <w:t>中经国际招标集团有限公司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b w:val="0"/>
                <w:bCs w:val="0"/>
                <w:color w:val="auto"/>
                <w:kern w:val="2"/>
                <w:sz w:val="24"/>
                <w:szCs w:val="24"/>
                <w:highlight w:val="none"/>
                <w:u w:val="single"/>
                <w:lang w:val="en-US" w:eastAsia="zh-CN" w:bidi="ar-SA"/>
              </w:rPr>
              <w:t>喀什经济开发区深圳城3号楼12层1204</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业务联系人：</w:t>
            </w:r>
            <w:r>
              <w:rPr>
                <w:rFonts w:hint="eastAsia" w:ascii="宋体" w:hAnsi="宋体" w:eastAsia="宋体" w:cs="宋体"/>
                <w:color w:val="auto"/>
                <w:sz w:val="24"/>
                <w:highlight w:val="none"/>
                <w:u w:val="single"/>
                <w:lang w:eastAsia="zh-CN"/>
              </w:rPr>
              <w:t>王丽娟</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xml:space="preserve">   联系电话： </w:t>
            </w:r>
            <w:r>
              <w:rPr>
                <w:rFonts w:hint="eastAsia" w:ascii="宋体" w:hAnsi="宋体" w:eastAsia="宋体" w:cs="宋体"/>
                <w:color w:val="auto"/>
                <w:sz w:val="24"/>
                <w:highlight w:val="none"/>
                <w:u w:val="single"/>
              </w:rPr>
              <w:t>15099650569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4" w:hRule="atLeast"/>
        </w:trPr>
        <w:tc>
          <w:tcPr>
            <w:tcW w:w="462" w:type="pct"/>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4537" w:type="pct"/>
            <w:vAlign w:val="center"/>
          </w:tcPr>
          <w:p>
            <w:pPr>
              <w:spacing w:line="4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合格供应商的其他资格要求（开标现场须携带</w:t>
            </w:r>
            <w:r>
              <w:rPr>
                <w:rFonts w:hint="eastAsia" w:ascii="宋体" w:hAnsi="宋体" w:eastAsia="宋体" w:cs="宋体"/>
                <w:b/>
                <w:bCs/>
                <w:color w:val="auto"/>
                <w:kern w:val="0"/>
                <w:sz w:val="24"/>
                <w:szCs w:val="24"/>
                <w:highlight w:val="none"/>
                <w:lang w:val="en-US" w:eastAsia="zh-CN"/>
              </w:rPr>
              <w:t>以下资料证明原件或加盖公章的复印件，复印件必须清晰</w:t>
            </w:r>
            <w:r>
              <w:rPr>
                <w:rFonts w:hint="eastAsia" w:ascii="宋体" w:hAnsi="宋体" w:eastAsia="宋体" w:cs="宋体"/>
                <w:b/>
                <w:bCs/>
                <w:color w:val="auto"/>
                <w:kern w:val="0"/>
                <w:sz w:val="24"/>
                <w:szCs w:val="24"/>
                <w:highlight w:val="none"/>
              </w:rPr>
              <w:t>）：</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.具有有效的独立法人营业执照；</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2.提供《医疗器械生产许可证》或《医疗器械经营许可证》及医疗器械注册证（所投产品为二类医疗器械的须提供二类医疗器械备案凭证）；</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3.法定代表人资格证明及授权书、被授权人身份证；(法定代表人投标需提供法定代表人身份证)；</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4.依法缴纳近六个月内任意一个月社会保险的凭据；</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5.税务部门出具的近六个月内任意一个月的完税证明；</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6.近两年内任意一年的财务审计报告（新成立的公司提供近三个月内任意一个月的银行资信证明）；</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8.参与政府采购活动前3年内未被列入失信、重大税收违法案件、财政部门禁止参加政府采购活动的承诺书；</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9.提供针对本次项目的《反商业贿赂承诺书》;</w:t>
            </w:r>
          </w:p>
          <w:p>
            <w:pPr>
              <w:pStyle w:val="3"/>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10.提供缴纳投标保证金的有效凭证</w:t>
            </w:r>
            <w:r>
              <w:rPr>
                <w:rFonts w:hint="eastAsia" w:ascii="宋体" w:hAnsi="宋体" w:eastAsia="宋体" w:cs="宋体"/>
                <w:b/>
                <w:bCs/>
                <w:color w:val="auto"/>
                <w:kern w:val="2"/>
                <w:szCs w:val="24"/>
                <w:highlight w:val="none"/>
                <w:lang w:val="en-US" w:eastAsia="zh-CN"/>
              </w:rPr>
              <w:t>。</w:t>
            </w:r>
          </w:p>
          <w:p>
            <w:pPr>
              <w:widowControl/>
              <w:snapToGrid w:val="0"/>
              <w:spacing w:line="44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各供应商应注意以下事项：</w:t>
            </w:r>
          </w:p>
          <w:p>
            <w:pPr>
              <w:widowControl/>
              <w:snapToGrid w:val="0"/>
              <w:spacing w:line="44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本项目要求各投标供应商提供“税务部门出具的近六个月内任意一个月的完税证明”，若供应商某月税收为零申报，须提供加盖税务局公章的无欠税证明或申报成功网页截图（供应商可自主登录“国家税务总局电子税务局”12366.chinatax.gov.cn/bsfw/onlinetaxation/main——税费申报及缴纳——申报结果查询）。</w:t>
            </w:r>
          </w:p>
          <w:p>
            <w:pPr>
              <w:widowControl/>
              <w:snapToGrid w:val="0"/>
              <w:spacing w:line="4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 w:val="24"/>
                <w:szCs w:val="24"/>
                <w:highlight w:val="none"/>
              </w:rPr>
              <w:t>B：税务局代收的社保缴费证明不可作为本项目的完税证明（“税种”不可为养老保险、医疗保险、失业保险、工伤保险和生育保险）。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2"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1.3.5   </w:t>
            </w:r>
          </w:p>
        </w:tc>
        <w:tc>
          <w:tcPr>
            <w:tcW w:w="4537"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是否允许采购进口产品：</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否</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462"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1.3.6</w:t>
            </w:r>
          </w:p>
        </w:tc>
        <w:tc>
          <w:tcPr>
            <w:tcW w:w="4537"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b/>
                <w:bCs/>
                <w:i w:val="0"/>
                <w:iCs w:val="0"/>
                <w:color w:val="auto"/>
                <w:sz w:val="24"/>
                <w:highlight w:val="none"/>
              </w:rPr>
              <w:t>是否为专门面向中小企业采购：</w:t>
            </w:r>
            <w:r>
              <w:rPr>
                <w:rFonts w:hint="eastAsia" w:ascii="宋体" w:hAnsi="宋体" w:eastAsia="宋体" w:cs="宋体"/>
                <w:b/>
                <w:bCs/>
                <w:i w:val="0"/>
                <w:iCs w:val="0"/>
                <w:color w:val="auto"/>
                <w:sz w:val="24"/>
                <w:highlight w:val="none"/>
                <w:u w:val="single"/>
              </w:rPr>
              <w:t xml:space="preserve">  否  </w:t>
            </w:r>
            <w:r>
              <w:rPr>
                <w:rFonts w:hint="eastAsia" w:ascii="宋体" w:hAnsi="宋体" w:eastAsia="宋体" w:cs="宋体"/>
                <w:b/>
                <w:bCs/>
                <w:i w:val="0"/>
                <w:iCs w:val="0"/>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2"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4537"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是否允许联合体投标：</w:t>
            </w:r>
            <w:r>
              <w:rPr>
                <w:rFonts w:hint="eastAsia" w:ascii="宋体" w:hAnsi="宋体" w:eastAsia="宋体" w:cs="宋体"/>
                <w:color w:val="auto"/>
                <w:sz w:val="24"/>
                <w:highlight w:val="none"/>
                <w:u w:val="single"/>
              </w:rPr>
              <w:t xml:space="preserve">  否  </w:t>
            </w:r>
            <w:r>
              <w:rPr>
                <w:rFonts w:hint="eastAsia" w:ascii="宋体" w:hAnsi="宋体" w:eastAsia="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462"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w:t>
            </w:r>
          </w:p>
        </w:tc>
        <w:tc>
          <w:tcPr>
            <w:tcW w:w="4537"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4537"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rPr>
            </w:pPr>
            <w:r>
              <w:rPr>
                <w:rFonts w:hint="eastAsia" w:ascii="宋体" w:hAnsi="宋体" w:eastAsia="宋体" w:cs="宋体"/>
                <w:b/>
                <w:bCs/>
                <w:color w:val="auto"/>
                <w:sz w:val="24"/>
                <w:highlight w:val="none"/>
                <w:lang w:val="en-US" w:eastAsia="zh-CN"/>
              </w:rPr>
              <w:t>项目总预算金额：</w:t>
            </w:r>
            <w:r>
              <w:rPr>
                <w:rFonts w:hint="eastAsia" w:ascii="宋体" w:hAnsi="宋体" w:cs="宋体"/>
                <w:b/>
                <w:bCs/>
                <w:color w:val="auto"/>
                <w:sz w:val="24"/>
                <w:highlight w:val="none"/>
                <w:lang w:val="en-US" w:eastAsia="zh-CN"/>
              </w:rPr>
              <w:t>600</w:t>
            </w:r>
            <w:r>
              <w:rPr>
                <w:rFonts w:hint="eastAsia" w:ascii="宋体" w:hAnsi="宋体" w:eastAsia="宋体" w:cs="宋体"/>
                <w:b/>
                <w:bCs/>
                <w:color w:val="auto"/>
                <w:sz w:val="24"/>
                <w:highlight w:val="none"/>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462" w:type="pct"/>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4537" w:type="pct"/>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投标保证金形式：</w:t>
            </w:r>
            <w:r>
              <w:rPr>
                <w:rFonts w:hint="eastAsia" w:ascii="宋体" w:hAnsi="宋体" w:cs="宋体"/>
                <w:color w:val="auto"/>
                <w:sz w:val="24"/>
                <w:highlight w:val="none"/>
                <w:lang w:eastAsia="zh-CN"/>
              </w:rPr>
              <w:sym w:font="Wingdings 2" w:char="0052"/>
            </w:r>
            <w:r>
              <w:rPr>
                <w:rFonts w:hint="eastAsia" w:ascii="宋体" w:hAnsi="宋体" w:eastAsia="宋体" w:cs="宋体"/>
                <w:color w:val="auto"/>
                <w:sz w:val="24"/>
                <w:highlight w:val="none"/>
              </w:rPr>
              <w:t xml:space="preserve">保函  </w:t>
            </w:r>
            <w:r>
              <w:rPr>
                <w:rFonts w:hint="eastAsia" w:ascii="宋体" w:hAnsi="宋体" w:cs="宋体"/>
                <w:color w:val="auto"/>
                <w:sz w:val="24"/>
                <w:highlight w:val="none"/>
                <w:lang w:eastAsia="zh-CN"/>
              </w:rPr>
              <w:sym w:font="Wingdings 2" w:char="0052"/>
            </w:r>
            <w:r>
              <w:rPr>
                <w:rFonts w:hint="eastAsia" w:ascii="宋体" w:hAnsi="宋体" w:eastAsia="宋体" w:cs="宋体"/>
                <w:color w:val="auto"/>
                <w:sz w:val="24"/>
                <w:highlight w:val="none"/>
              </w:rPr>
              <w:t xml:space="preserve">电汇  □支票   ☑对公转账 </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保函”形式提交投标保证金的，“保函”必须是供应商基本存款账户开户行银行出具，并须在开标前携带“保函原件”和“加盖公章的基本存款账户信息”到我公司换取“投标保证金保函”收据，投标文件须同时放保函和收据复印件。否则按无效投标保证金处理）</w:t>
            </w:r>
            <w:r>
              <w:rPr>
                <w:rFonts w:hint="eastAsia" w:ascii="宋体" w:hAnsi="宋体" w:eastAsia="宋体" w:cs="宋体"/>
                <w:color w:val="auto"/>
                <w:sz w:val="24"/>
                <w:highlight w:val="none"/>
              </w:rPr>
              <w:t xml:space="preserve">  </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保证金金额：小写：¥</w:t>
            </w:r>
            <w:r>
              <w:rPr>
                <w:rFonts w:hint="eastAsia" w:ascii="宋体" w:hAnsi="宋体" w:cs="宋体"/>
                <w:b/>
                <w:bCs/>
                <w:color w:val="auto"/>
                <w:sz w:val="24"/>
                <w:highlight w:val="none"/>
                <w:lang w:val="en-US" w:eastAsia="zh-CN"/>
              </w:rPr>
              <w:t>120000</w:t>
            </w:r>
            <w:r>
              <w:rPr>
                <w:rFonts w:hint="eastAsia" w:ascii="宋体" w:hAnsi="宋体" w:eastAsia="宋体" w:cs="宋体"/>
                <w:b/>
                <w:bCs/>
                <w:color w:val="auto"/>
                <w:sz w:val="24"/>
                <w:highlight w:val="none"/>
              </w:rPr>
              <w:t>元（人民币</w:t>
            </w:r>
            <w:r>
              <w:rPr>
                <w:rFonts w:hint="eastAsia" w:ascii="宋体" w:hAnsi="宋体" w:cs="宋体"/>
                <w:b/>
                <w:bCs/>
                <w:color w:val="auto"/>
                <w:sz w:val="24"/>
                <w:highlight w:val="none"/>
                <w:lang w:val="en-US" w:eastAsia="zh-CN"/>
              </w:rPr>
              <w:t>壹拾贰万元整</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金额2%以内的整数计算）</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保证金收款人：</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单位名称：中经国际招标集团有限公司喀什分公司</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 户 行：乌鲁木齐银行喀什分行营业部</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账  </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号：0000020070110051349823（电汇时请在汇款备注栏注明项目名称及包号（如有），并注明是投标保证金</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否则视为无效投标保证金</w:t>
            </w:r>
            <w:r>
              <w:rPr>
                <w:rFonts w:hint="eastAsia" w:ascii="宋体" w:hAnsi="宋体" w:eastAsia="宋体" w:cs="宋体"/>
                <w:b/>
                <w:bCs/>
                <w:color w:val="auto"/>
                <w:sz w:val="24"/>
                <w:highlight w:val="none"/>
              </w:rPr>
              <w:t>）     </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行  </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号：313894000405</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财务室联系人及联系方式：15099650569</w:t>
            </w:r>
          </w:p>
          <w:p>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A:缴纳</w:t>
            </w:r>
            <w:r>
              <w:rPr>
                <w:rFonts w:hint="eastAsia" w:ascii="宋体" w:hAnsi="宋体" w:cs="宋体"/>
                <w:b w:val="0"/>
                <w:bCs w:val="0"/>
                <w:color w:val="auto"/>
                <w:sz w:val="24"/>
                <w:szCs w:val="24"/>
                <w:highlight w:val="none"/>
                <w:lang w:val="en-US" w:eastAsia="zh-CN"/>
              </w:rPr>
              <w:t>投标保证金</w:t>
            </w:r>
            <w:r>
              <w:rPr>
                <w:rFonts w:hint="eastAsia" w:ascii="宋体" w:hAnsi="宋体" w:eastAsia="宋体" w:cs="宋体"/>
                <w:b w:val="0"/>
                <w:bCs w:val="0"/>
                <w:color w:val="auto"/>
                <w:sz w:val="24"/>
                <w:szCs w:val="24"/>
                <w:highlight w:val="none"/>
              </w:rPr>
              <w:t>保证金要求：投标保证金必须在开标前交到</w:t>
            </w:r>
            <w:r>
              <w:rPr>
                <w:rFonts w:hint="eastAsia" w:ascii="宋体" w:hAnsi="宋体" w:cs="宋体"/>
                <w:b w:val="0"/>
                <w:bCs w:val="0"/>
                <w:color w:val="auto"/>
                <w:sz w:val="24"/>
                <w:szCs w:val="24"/>
                <w:highlight w:val="none"/>
                <w:lang w:eastAsia="zh-CN"/>
              </w:rPr>
              <w:t>中经国际招标集团有限公司喀什分公司</w:t>
            </w:r>
            <w:r>
              <w:rPr>
                <w:rFonts w:hint="eastAsia" w:ascii="宋体" w:hAnsi="宋体" w:eastAsia="宋体" w:cs="宋体"/>
                <w:b w:val="0"/>
                <w:bCs w:val="0"/>
                <w:color w:val="auto"/>
                <w:sz w:val="24"/>
                <w:szCs w:val="24"/>
                <w:highlight w:val="none"/>
              </w:rPr>
              <w:t>账户中。不接受现金、支票及任何个人、分公司汇款</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pPr>
              <w:spacing w:line="4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B：退</w:t>
            </w:r>
            <w:r>
              <w:rPr>
                <w:rFonts w:hint="eastAsia" w:ascii="宋体" w:hAnsi="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保证金：（1）根据《中华人民共和国财政部令第87号--政府采购货物和货物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（2）中标供应商的投标保证金在与采购单位签订合同后，把合同扫描件发送至邮箱2783389030@qq.com后，当日或次日即原账户退回。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4537" w:type="pct"/>
            <w:vAlign w:val="center"/>
          </w:tcPr>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u w:val="single"/>
              </w:rPr>
              <w:t>　60　</w:t>
            </w:r>
            <w:r>
              <w:rPr>
                <w:rFonts w:hint="eastAsia" w:ascii="宋体" w:hAnsi="宋体" w:eastAsia="宋体" w:cs="宋体"/>
                <w:color w:val="auto"/>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4537" w:type="pct"/>
            <w:vAlign w:val="center"/>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投标文件包括“开标一览表及资格证明文件”和“商务及技术文件”两部分，两部分合订成一册密封递交。</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b/>
                <w:bCs/>
                <w:color w:val="auto"/>
                <w:sz w:val="24"/>
                <w:szCs w:val="24"/>
                <w:highlight w:val="none"/>
              </w:rPr>
              <w:t>正本：壹份、副本：</w:t>
            </w:r>
            <w:r>
              <w:rPr>
                <w:rFonts w:hint="eastAsia" w:ascii="宋体" w:hAnsi="宋体" w:eastAsia="宋体" w:cs="宋体"/>
                <w:b/>
                <w:bCs/>
                <w:color w:val="auto"/>
                <w:sz w:val="24"/>
                <w:szCs w:val="24"/>
                <w:highlight w:val="none"/>
                <w:lang w:val="en-US" w:eastAsia="zh-CN"/>
              </w:rPr>
              <w:t>肆</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；（正、副本密封在同一个密封袋中提交，密封袋封面右上角标明“正本和副本”字样）</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供应商必须制作“开标一览表”并单独密封提交，并在密封袋上标明“开标一览表”的字样。不按要求标注或不单独提交开标一览表，其投标将被拒绝。</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文件外，还须密封递交投标文件电子文档1份。供应商必须制作“电子版U盘”并单独密封提交。电子版U盘必须是正本扫描件，并制作成与正本完全一致PDF格式文本及Word文档两个格式。并在密封袋上标明“电子版U盘”字样。不按要求提交电子版U盘，其投标无效。</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投标文件使用A4，胶装，每册装订应牢固、不易拆散和换页，不得采用活页装订。</w:t>
            </w:r>
          </w:p>
          <w:p>
            <w:pPr>
              <w:pStyle w:val="2"/>
              <w:spacing w:before="0" w:after="0" w:line="360" w:lineRule="exact"/>
              <w:jc w:val="both"/>
              <w:rPr>
                <w:rFonts w:hint="eastAsia" w:ascii="宋体" w:hAnsi="宋体" w:eastAsia="宋体" w:cs="宋体"/>
                <w:color w:val="auto"/>
                <w:highlight w:val="none"/>
                <w:u w:val="none"/>
              </w:rPr>
            </w:pPr>
            <w:r>
              <w:rPr>
                <w:rFonts w:hint="eastAsia" w:ascii="宋体" w:hAnsi="宋体" w:eastAsia="宋体" w:cs="宋体"/>
                <w:color w:val="auto"/>
                <w:highlight w:val="none"/>
                <w:u w:val="none"/>
              </w:rPr>
              <w:t>投标文件的签署及规定：</w:t>
            </w:r>
          </w:p>
          <w:p>
            <w:pPr>
              <w:spacing w:line="3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供应商应按供应商须知资料表中的规定，准备和递交投标文件正本、副本、开标一览表和电子U盘，</w:t>
            </w:r>
            <w:r>
              <w:rPr>
                <w:rFonts w:hint="eastAsia" w:ascii="宋体" w:hAnsi="宋体" w:eastAsia="宋体" w:cs="宋体"/>
                <w:b/>
                <w:bCs/>
                <w:color w:val="auto"/>
                <w:sz w:val="24"/>
                <w:szCs w:val="24"/>
                <w:highlight w:val="none"/>
              </w:rPr>
              <w:t>每份投标文件封皮须清楚地标明“正本”或“副本”</w:t>
            </w:r>
            <w:r>
              <w:rPr>
                <w:rFonts w:hint="eastAsia" w:ascii="宋体" w:hAnsi="宋体" w:eastAsia="宋体" w:cs="宋体"/>
                <w:color w:val="auto"/>
                <w:sz w:val="24"/>
                <w:szCs w:val="24"/>
                <w:highlight w:val="none"/>
              </w:rPr>
              <w:t>。若正本和副本不符，以正本为准。</w:t>
            </w:r>
          </w:p>
          <w:p>
            <w:pPr>
              <w:spacing w:line="3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投标文件的正本需打印或用不褪色墨水书写，并由供应商的法定代表人或经其正式委托代理人按招标文件规定在投标文件上签字或盖章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并加盖单位</w:t>
            </w:r>
            <w:r>
              <w:rPr>
                <w:rFonts w:hint="eastAsia" w:ascii="宋体" w:hAnsi="宋体" w:eastAsia="宋体" w:cs="宋体"/>
                <w:color w:val="auto"/>
                <w:sz w:val="24"/>
                <w:szCs w:val="24"/>
                <w:highlight w:val="none"/>
                <w:lang w:val="en-US" w:eastAsia="zh-CN"/>
              </w:rPr>
              <w:t>鲜</w:t>
            </w:r>
            <w:r>
              <w:rPr>
                <w:rFonts w:hint="eastAsia" w:ascii="宋体" w:hAnsi="宋体" w:eastAsia="宋体" w:cs="宋体"/>
                <w:color w:val="auto"/>
                <w:sz w:val="24"/>
                <w:szCs w:val="24"/>
                <w:highlight w:val="none"/>
              </w:rPr>
              <w:t>印章。委托代理人须持有书面的“法定代表人授权委托书”，并将其附在投标文件中。如对投标文件进行了修改，则应由供应商的法定代表人或其委托代理人在每一修改处签字。投标文件的副本可采用正本的复印件。</w:t>
            </w:r>
          </w:p>
          <w:p>
            <w:pPr>
              <w:spacing w:line="3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所有包装封皮和信封上均应：</w:t>
            </w:r>
          </w:p>
          <w:p>
            <w:pPr>
              <w:spacing w:line="3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注明招标公告或投标邀请书中指明的项目名称、项目编号、供应商名称和“在（开标时间）之前不得启封”的字样。</w:t>
            </w:r>
          </w:p>
          <w:p>
            <w:pPr>
              <w:pStyle w:val="3"/>
              <w:rPr>
                <w:rFonts w:hint="eastAsia" w:ascii="宋体" w:hAnsi="宋体" w:eastAsia="宋体" w:cs="宋体"/>
                <w:color w:val="auto"/>
                <w:highlight w:val="none"/>
                <w:lang w:eastAsia="zh-CN"/>
              </w:rPr>
            </w:pPr>
            <w:r>
              <w:rPr>
                <w:rFonts w:hint="eastAsia" w:ascii="宋体" w:hAnsi="宋体" w:eastAsia="宋体" w:cs="宋体"/>
                <w:color w:val="auto"/>
                <w:highlight w:val="none"/>
              </w:rPr>
              <w:t>在封口处加盖供应商单位章。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p>
        </w:tc>
        <w:tc>
          <w:tcPr>
            <w:tcW w:w="4537" w:type="pct"/>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r>
              <w:rPr>
                <w:rFonts w:hint="eastAsia" w:ascii="宋体" w:hAnsi="宋体" w:cs="宋体"/>
                <w:color w:val="auto"/>
                <w:sz w:val="24"/>
                <w:szCs w:val="24"/>
                <w:highlight w:val="none"/>
                <w:u w:val="single"/>
                <w:lang w:eastAsia="zh-CN"/>
              </w:rPr>
              <w:t>2022年09月21日下午16点00分</w:t>
            </w:r>
            <w:r>
              <w:rPr>
                <w:rFonts w:hint="eastAsia" w:ascii="宋体" w:hAnsi="宋体" w:eastAsia="宋体" w:cs="宋体"/>
                <w:color w:val="auto"/>
                <w:sz w:val="24"/>
                <w:szCs w:val="24"/>
                <w:highlight w:val="none"/>
                <w:u w:val="singl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p>
        </w:tc>
        <w:tc>
          <w:tcPr>
            <w:tcW w:w="4537" w:type="pct"/>
            <w:vAlign w:val="center"/>
          </w:tcPr>
          <w:p>
            <w:pPr>
              <w:spacing w:line="360" w:lineRule="exac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szCs w:val="24"/>
                <w:highlight w:val="none"/>
                <w:u w:val="single"/>
                <w:lang w:eastAsia="zh-CN"/>
              </w:rPr>
              <w:t>2022年09月21日下午16点00分</w:t>
            </w:r>
            <w:r>
              <w:rPr>
                <w:rFonts w:hint="eastAsia" w:ascii="宋体" w:hAnsi="宋体" w:eastAsia="宋体" w:cs="宋体"/>
                <w:color w:val="auto"/>
                <w:sz w:val="24"/>
                <w:szCs w:val="24"/>
                <w:highlight w:val="none"/>
                <w:u w:val="single"/>
              </w:rPr>
              <w:t>（北京时间）</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r>
              <w:rPr>
                <w:rFonts w:hint="eastAsia" w:ascii="宋体" w:hAnsi="宋体" w:eastAsia="宋体" w:cs="宋体"/>
                <w:b w:val="0"/>
                <w:bCs w:val="0"/>
                <w:color w:val="auto"/>
                <w:kern w:val="2"/>
                <w:sz w:val="24"/>
                <w:szCs w:val="24"/>
                <w:highlight w:val="none"/>
                <w:u w:val="single"/>
                <w:lang w:val="en-US" w:eastAsia="zh-CN" w:bidi="ar-SA"/>
              </w:rPr>
              <w:t>喀什经济开发区深圳城3号楼12层1204</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7" w:type="pct"/>
            <w:vAlign w:val="center"/>
          </w:tcPr>
          <w:p>
            <w:pPr>
              <w:spacing w:line="360" w:lineRule="auto"/>
              <w:rPr>
                <w:rFonts w:hint="eastAsia" w:ascii="宋体" w:hAnsi="宋体" w:eastAsia="宋体" w:cs="宋体"/>
                <w:i/>
                <w:color w:val="auto"/>
                <w:sz w:val="24"/>
                <w:highlight w:val="none"/>
              </w:rPr>
            </w:pPr>
            <w:r>
              <w:rPr>
                <w:rFonts w:hint="eastAsia" w:ascii="宋体" w:hAnsi="宋体" w:eastAsia="宋体" w:cs="宋体"/>
                <w:color w:val="auto"/>
                <w:sz w:val="24"/>
                <w:highlight w:val="none"/>
              </w:rPr>
              <w:t>评标方法：适用</w:t>
            </w:r>
            <w:r>
              <w:rPr>
                <w:rFonts w:hint="eastAsia" w:ascii="宋体" w:hAnsi="宋体" w:eastAsia="宋体" w:cs="宋体"/>
                <w:color w:val="auto"/>
                <w:sz w:val="24"/>
                <w:highlight w:val="none"/>
                <w:u w:val="single"/>
              </w:rPr>
              <w:t>　综合评分法　</w:t>
            </w:r>
            <w:r>
              <w:rPr>
                <w:rFonts w:hint="eastAsia" w:ascii="宋体" w:hAnsi="宋体" w:eastAsia="宋体" w:cs="宋体"/>
                <w:color w:val="auto"/>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4537"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推荐中标候选供应商的数量：</w:t>
            </w:r>
            <w:r>
              <w:rPr>
                <w:rFonts w:hint="eastAsia" w:ascii="宋体" w:hAnsi="宋体" w:eastAsia="宋体" w:cs="宋体"/>
                <w:color w:val="auto"/>
                <w:sz w:val="24"/>
                <w:highlight w:val="none"/>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4537" w:type="pct"/>
            <w:vAlign w:val="center"/>
          </w:tcPr>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是否委托评标委员会直接确定中标人：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p>
        </w:tc>
        <w:tc>
          <w:tcPr>
            <w:tcW w:w="4537" w:type="pct"/>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履约保证金金额：合同总价的</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（不得超过政府采购合同金额的10%）</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履约保证金形式：☑保函  ☑电汇  □支票   ☑对公转账</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提交履约保证金的时间：签订合同前打入甲方指定账户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注：双方可以通过协商另行约定其他退还时间和方式及用途。</w:t>
            </w:r>
            <w:r>
              <w:rPr>
                <w:rFonts w:hint="eastAsia" w:ascii="宋体" w:hAnsi="宋体" w:cs="宋体"/>
                <w:color w:val="auto"/>
                <w:sz w:val="24"/>
                <w:highlight w:val="none"/>
                <w:lang w:eastAsia="zh-CN"/>
              </w:rPr>
              <w:t>）</w:t>
            </w:r>
          </w:p>
          <w:p>
            <w:pPr>
              <w:spacing w:line="360" w:lineRule="exact"/>
              <w:rPr>
                <w:rFonts w:hint="eastAsia"/>
              </w:rPr>
            </w:pPr>
            <w:r>
              <w:rPr>
                <w:rFonts w:hint="eastAsia" w:ascii="宋体" w:hAnsi="宋体" w:eastAsia="宋体" w:cs="宋体"/>
                <w:color w:val="auto"/>
                <w:sz w:val="24"/>
                <w:highlight w:val="none"/>
                <w:lang w:val="en-US" w:eastAsia="zh-CN"/>
              </w:rPr>
              <w:t>退履约保证金：根据《中华人民共和国财政部令第87号--政府采购货物和货物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4537" w:type="pct"/>
            <w:vAlign w:val="center"/>
          </w:tcPr>
          <w:p>
            <w:pPr>
              <w:ind w:left="900" w:hanging="900" w:hangingChars="37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中标服务费：根据发改价格[2015]299</w:t>
            </w:r>
            <w:r>
              <w:rPr>
                <w:rFonts w:hint="eastAsia" w:ascii="宋体" w:hAnsi="宋体" w:cs="宋体"/>
                <w:color w:val="auto"/>
                <w:sz w:val="24"/>
                <w:szCs w:val="24"/>
                <w:highlight w:val="none"/>
                <w:lang w:eastAsia="zh-CN"/>
              </w:rPr>
              <w:t>号文</w:t>
            </w:r>
            <w:r>
              <w:rPr>
                <w:rFonts w:hint="eastAsia" w:ascii="宋体" w:hAnsi="宋体" w:eastAsia="宋体" w:cs="宋体"/>
                <w:color w:val="auto"/>
                <w:sz w:val="24"/>
                <w:szCs w:val="24"/>
                <w:highlight w:val="none"/>
              </w:rPr>
              <w:t>：确定代理服务费按照中标</w:t>
            </w:r>
            <w:r>
              <w:rPr>
                <w:rFonts w:hint="eastAsia" w:ascii="宋体" w:hAnsi="宋体" w:cs="宋体"/>
                <w:color w:val="auto"/>
                <w:sz w:val="24"/>
                <w:szCs w:val="24"/>
                <w:highlight w:val="none"/>
                <w:lang w:val="en-US" w:eastAsia="zh-CN"/>
              </w:rPr>
              <w:t>金额</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%收取。（由中标供应商支付）</w:t>
            </w:r>
            <w:r>
              <w:rPr>
                <w:rFonts w:hint="eastAsia" w:ascii="宋体" w:hAnsi="宋体" w:cs="宋体"/>
                <w:color w:val="auto"/>
                <w:sz w:val="24"/>
                <w:szCs w:val="24"/>
                <w:highlight w:val="none"/>
                <w:lang w:val="en-US" w:eastAsia="zh-CN"/>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支付形式：</w:t>
            </w:r>
            <w:r>
              <w:rPr>
                <w:rFonts w:hint="eastAsia" w:ascii="宋体" w:hAnsi="宋体" w:eastAsia="宋体" w:cs="宋体"/>
                <w:color w:val="auto"/>
                <w:sz w:val="24"/>
                <w:szCs w:val="24"/>
                <w:highlight w:val="none"/>
                <w:u w:val="single"/>
              </w:rPr>
              <w:t xml:space="preserve">  对公转账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支付时间：</w:t>
            </w:r>
            <w:r>
              <w:rPr>
                <w:rFonts w:hint="eastAsia" w:ascii="宋体" w:hAnsi="宋体" w:eastAsia="宋体" w:cs="宋体"/>
                <w:color w:val="auto"/>
                <w:sz w:val="24"/>
                <w:szCs w:val="24"/>
                <w:highlight w:val="none"/>
                <w:u w:val="single"/>
              </w:rPr>
              <w:t xml:space="preserve">  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462"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4537"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本项目是否属于信用担保试点范围：</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bl>
    <w:p>
      <w:pPr>
        <w:pStyle w:val="3"/>
        <w:keepNext w:val="0"/>
        <w:keepLines w:val="0"/>
        <w:pageBreakBefore w:val="0"/>
        <w:widowControl w:val="0"/>
        <w:kinsoku/>
        <w:wordWrap/>
        <w:overflowPunct/>
        <w:topLinePunct w:val="0"/>
        <w:autoSpaceDE w:val="0"/>
        <w:autoSpaceDN w:val="0"/>
        <w:bidi w:val="0"/>
        <w:adjustRightInd w:val="0"/>
        <w:snapToGrid/>
        <w:spacing w:line="240" w:lineRule="exact"/>
        <w:ind w:firstLine="0"/>
        <w:textAlignment w:val="auto"/>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00" w:lineRule="exact"/>
        <w:rPr>
          <w:rFonts w:hint="eastAsia" w:ascii="宋体" w:hAnsi="宋体" w:eastAsia="宋体" w:cs="宋体"/>
          <w:color w:val="auto"/>
          <w:sz w:val="13"/>
          <w:szCs w:val="13"/>
          <w:highlight w:val="none"/>
        </w:rPr>
        <w:sectPr>
          <w:pgSz w:w="11905" w:h="16838"/>
          <w:pgMar w:top="1440" w:right="1797" w:bottom="1440" w:left="1797" w:header="851" w:footer="992" w:gutter="0"/>
          <w:pgNumType w:fmt="decimal"/>
          <w:cols w:space="0" w:num="1"/>
          <w:docGrid w:linePitch="312" w:charSpace="0"/>
        </w:sectPr>
      </w:pPr>
      <w:bookmarkStart w:id="523" w:name="_Toc219175635"/>
      <w:bookmarkStart w:id="524" w:name="_Toc216513787"/>
      <w:bookmarkStart w:id="525" w:name="_Toc218935351"/>
      <w:bookmarkStart w:id="526" w:name="_Toc216582811"/>
    </w:p>
    <w:tbl>
      <w:tblPr>
        <w:tblStyle w:val="20"/>
        <w:tblpPr w:leftFromText="180" w:rightFromText="180" w:vertAnchor="text" w:horzAnchor="page" w:tblpX="690" w:tblpY="491"/>
        <w:tblOverlap w:val="never"/>
        <w:tblW w:w="0" w:type="auto"/>
        <w:tblInd w:w="0" w:type="dxa"/>
        <w:tblLayout w:type="autofit"/>
        <w:tblCellMar>
          <w:top w:w="0" w:type="dxa"/>
          <w:left w:w="108" w:type="dxa"/>
          <w:bottom w:w="0" w:type="dxa"/>
          <w:right w:w="108" w:type="dxa"/>
        </w:tblCellMar>
      </w:tblPr>
      <w:tblGrid>
        <w:gridCol w:w="395"/>
        <w:gridCol w:w="625"/>
        <w:gridCol w:w="1325"/>
        <w:gridCol w:w="1030"/>
        <w:gridCol w:w="724"/>
        <w:gridCol w:w="736"/>
        <w:gridCol w:w="1102"/>
        <w:gridCol w:w="5391"/>
        <w:gridCol w:w="1034"/>
        <w:gridCol w:w="817"/>
        <w:gridCol w:w="637"/>
        <w:gridCol w:w="358"/>
      </w:tblGrid>
      <w:tr>
        <w:tblPrEx>
          <w:tblCellMar>
            <w:top w:w="0" w:type="dxa"/>
            <w:left w:w="108" w:type="dxa"/>
            <w:bottom w:w="0" w:type="dxa"/>
            <w:right w:w="108" w:type="dxa"/>
          </w:tblCellMar>
        </w:tblPrEx>
        <w:trPr>
          <w:trHeight w:val="794"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供应商名称</w:t>
            </w:r>
          </w:p>
        </w:tc>
        <w:tc>
          <w:tcPr>
            <w:tcW w:w="0" w:type="auto"/>
            <w:gridSpan w:val="10"/>
            <w:tcBorders>
              <w:top w:val="single" w:color="auto" w:sz="4" w:space="0"/>
              <w:left w:val="nil"/>
              <w:bottom w:val="single" w:color="auto" w:sz="4" w:space="0"/>
              <w:right w:val="single" w:color="auto" w:sz="4" w:space="0"/>
            </w:tcBorders>
            <w:vAlign w:val="center"/>
          </w:tcPr>
          <w:p>
            <w:pPr>
              <w:widowControl/>
              <w:snapToGrid w:val="0"/>
              <w:spacing w:line="470" w:lineRule="exact"/>
              <w:jc w:val="center"/>
              <w:textAlignment w:val="baseline"/>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审查项目</w:t>
            </w:r>
          </w:p>
        </w:tc>
        <w:tc>
          <w:tcPr>
            <w:tcW w:w="0" w:type="auto"/>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结论</w:t>
            </w:r>
          </w:p>
        </w:tc>
      </w:tr>
      <w:tr>
        <w:tblPrEx>
          <w:tblCellMar>
            <w:top w:w="0" w:type="dxa"/>
            <w:left w:w="108" w:type="dxa"/>
            <w:bottom w:w="0" w:type="dxa"/>
            <w:right w:w="108" w:type="dxa"/>
          </w:tblCellMar>
        </w:tblPrEx>
        <w:trPr>
          <w:trHeight w:val="358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具有有效的独立法人营业执照；</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提供《医疗器械生产许可证》或《医疗器械经营许可证》及医疗器械注册证（所投产品为二类医疗器械的须提供二类医疗器械备案凭证）；</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法定代表人资格证明及授权书、被授权人身份证；(法定代表人投标需提供法定代表人身份证)；</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cs="宋体"/>
                <w:color w:val="auto"/>
                <w:sz w:val="13"/>
                <w:szCs w:val="13"/>
                <w:highlight w:val="none"/>
                <w:lang w:eastAsia="zh-CN"/>
              </w:rPr>
              <w:t>依法缴纳近六个月内任意一个月社会保险的凭据；</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税务部门出具的近六个月内任意一个月的完税证明；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近两年内任意一年的财务审计报告（新成立的公司提供近三个月内任意一个月的银行资信证明）；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参与政府采购活动前3年内未被列入失信、重大税收违法案件、财政部门禁止参加政府采购活动的承诺书；</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lang w:eastAsia="zh-CN"/>
              </w:rPr>
            </w:pPr>
            <w:r>
              <w:rPr>
                <w:rFonts w:hint="eastAsia" w:ascii="宋体" w:hAnsi="宋体" w:eastAsia="宋体" w:cs="宋体"/>
                <w:color w:val="auto"/>
                <w:sz w:val="13"/>
                <w:szCs w:val="13"/>
                <w:highlight w:val="none"/>
                <w:lang w:val="en-US" w:eastAsia="zh-CN"/>
              </w:rPr>
              <w:t>提供针对本次项目的《反商业贿赂承诺书》</w:t>
            </w:r>
            <w:r>
              <w:rPr>
                <w:rFonts w:hint="eastAsia" w:ascii="宋体" w:hAnsi="宋体" w:eastAsia="宋体" w:cs="宋体"/>
                <w:color w:val="auto"/>
                <w:sz w:val="13"/>
                <w:szCs w:val="13"/>
                <w:highlight w:val="none"/>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lang w:eastAsia="zh-CN"/>
              </w:rPr>
            </w:pPr>
            <w:r>
              <w:rPr>
                <w:rFonts w:hint="eastAsia" w:ascii="宋体" w:hAnsi="宋体" w:cs="宋体"/>
                <w:color w:val="auto"/>
                <w:sz w:val="13"/>
                <w:szCs w:val="13"/>
                <w:highlight w:val="none"/>
                <w:lang w:eastAsia="zh-CN"/>
              </w:rPr>
              <w:t>提供缴纳投标保证金的有效凭证；</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r>
      <w:tr>
        <w:tblPrEx>
          <w:tblCellMar>
            <w:top w:w="0" w:type="dxa"/>
            <w:left w:w="108" w:type="dxa"/>
            <w:bottom w:w="0" w:type="dxa"/>
            <w:right w:w="108" w:type="dxa"/>
          </w:tblCellMar>
        </w:tblPrEx>
        <w:trPr>
          <w:trHeight w:val="865" w:hRule="atLeast"/>
        </w:trPr>
        <w:tc>
          <w:tcPr>
            <w:tcW w:w="0" w:type="auto"/>
            <w:tcBorders>
              <w:top w:val="nil"/>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0" w:type="auto"/>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r>
      <w:tr>
        <w:tblPrEx>
          <w:tblCellMar>
            <w:top w:w="0" w:type="dxa"/>
            <w:left w:w="108" w:type="dxa"/>
            <w:bottom w:w="0" w:type="dxa"/>
            <w:right w:w="108" w:type="dxa"/>
          </w:tblCellMar>
        </w:tblPrEx>
        <w:trPr>
          <w:trHeight w:val="65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r>
      <w:bookmarkEnd w:id="523"/>
      <w:bookmarkEnd w:id="524"/>
      <w:bookmarkEnd w:id="525"/>
      <w:bookmarkEnd w:id="526"/>
    </w:tbl>
    <w:p>
      <w:pPr>
        <w:pStyle w:val="4"/>
        <w:jc w:val="cente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资格审查表</w:t>
      </w:r>
    </w:p>
    <w:p>
      <w:pPr>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sectPr>
          <w:pgSz w:w="16838" w:h="11905" w:orient="landscape"/>
          <w:pgMar w:top="1797" w:right="1440" w:bottom="1797" w:left="1440" w:header="851" w:footer="992" w:gutter="0"/>
          <w:pgNumType w:fmt="decimal"/>
          <w:cols w:space="0" w:num="1"/>
          <w:rtlGutter w:val="0"/>
          <w:docGrid w:linePitch="312" w:charSpace="0"/>
        </w:sectPr>
      </w:pPr>
    </w:p>
    <w:p>
      <w:pPr>
        <w:pStyle w:val="5"/>
        <w:tabs>
          <w:tab w:val="left" w:pos="0"/>
        </w:tabs>
        <w:spacing w:before="0" w:after="0" w:line="240" w:lineRule="atLeast"/>
        <w:jc w:val="center"/>
        <w:rPr>
          <w:rFonts w:hint="eastAsia" w:ascii="宋体" w:hAnsi="宋体" w:cs="宋体"/>
          <w:b/>
          <w:color w:val="auto"/>
          <w:sz w:val="32"/>
          <w:szCs w:val="32"/>
          <w:highlight w:val="none"/>
          <w:lang w:val="en-US" w:eastAsia="zh-CN"/>
        </w:rPr>
      </w:pPr>
      <w:bookmarkStart w:id="527" w:name="_Toc24210"/>
      <w:r>
        <w:rPr>
          <w:rFonts w:hint="eastAsia" w:ascii="宋体" w:hAnsi="宋体" w:cs="宋体"/>
          <w:b/>
          <w:color w:val="auto"/>
          <w:sz w:val="32"/>
          <w:szCs w:val="32"/>
          <w:highlight w:val="none"/>
          <w:lang w:val="en-US" w:eastAsia="zh-CN"/>
        </w:rPr>
        <w:t>第5章</w:t>
      </w:r>
      <w:r>
        <w:rPr>
          <w:rFonts w:hint="eastAsia" w:hAnsi="宋体" w:cs="宋体"/>
          <w:b/>
          <w:color w:val="auto"/>
          <w:sz w:val="32"/>
          <w:szCs w:val="32"/>
          <w:highlight w:val="none"/>
          <w:lang w:val="en-US" w:eastAsia="zh-CN"/>
        </w:rPr>
        <w:t xml:space="preserve"> </w:t>
      </w:r>
      <w:r>
        <w:rPr>
          <w:rFonts w:hint="eastAsia" w:ascii="宋体" w:hAnsi="宋体" w:eastAsia="宋体" w:cs="宋体"/>
          <w:color w:val="auto"/>
          <w:highlight w:val="none"/>
          <w:lang w:val="en-US" w:eastAsia="zh-CN"/>
        </w:rPr>
        <w:t>货物需求一览表及</w:t>
      </w:r>
      <w:r>
        <w:rPr>
          <w:rFonts w:hint="eastAsia" w:hAnsi="宋体" w:cs="宋体"/>
          <w:color w:val="auto"/>
          <w:highlight w:val="none"/>
          <w:lang w:val="en-US" w:eastAsia="zh-CN"/>
        </w:rPr>
        <w:t>项目要求</w:t>
      </w:r>
      <w:bookmarkEnd w:id="527"/>
    </w:p>
    <w:p>
      <w:pPr>
        <w:keepNext w:val="0"/>
        <w:keepLines w:val="0"/>
        <w:pageBreakBefore w:val="0"/>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bCs/>
          <w:i w:val="0"/>
          <w:caps w:val="0"/>
          <w:color w:val="auto"/>
          <w:spacing w:val="0"/>
          <w:w w:val="100"/>
          <w:kern w:val="0"/>
          <w:sz w:val="24"/>
          <w:szCs w:val="24"/>
          <w:highlight w:val="none"/>
          <w:lang w:val="en-US" w:eastAsia="zh-CN" w:bidi="ar-SA"/>
        </w:rPr>
      </w:pPr>
      <w:bookmarkStart w:id="528" w:name="_Toc2441"/>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eastAsia="zh-CN"/>
        </w:rPr>
        <w:t>货物需求：</w:t>
      </w:r>
      <w:bookmarkEnd w:id="506"/>
      <w:bookmarkEnd w:id="507"/>
      <w:bookmarkEnd w:id="508"/>
      <w:bookmarkEnd w:id="509"/>
      <w:bookmarkEnd w:id="510"/>
      <w:bookmarkEnd w:id="511"/>
      <w:bookmarkEnd w:id="512"/>
      <w:bookmarkEnd w:id="513"/>
      <w:bookmarkEnd w:id="514"/>
      <w:bookmarkEnd w:id="515"/>
      <w:bookmarkEnd w:id="528"/>
      <w:bookmarkStart w:id="529" w:name="_Toc9878"/>
      <w:bookmarkStart w:id="530" w:name="_Toc16777"/>
      <w:bookmarkStart w:id="531" w:name="_Toc23422"/>
      <w:bookmarkStart w:id="532" w:name="_Toc7738"/>
      <w:bookmarkStart w:id="533" w:name="_Toc8915"/>
      <w:bookmarkStart w:id="534" w:name="_Toc8664"/>
      <w:bookmarkStart w:id="535" w:name="_Toc11259"/>
    </w:p>
    <w:tbl>
      <w:tblPr>
        <w:tblStyle w:val="20"/>
        <w:tblW w:w="0" w:type="auto"/>
        <w:tblInd w:w="0" w:type="dxa"/>
        <w:shd w:val="clear" w:color="auto" w:fill="auto"/>
        <w:tblLayout w:type="autofit"/>
        <w:tblCellMar>
          <w:top w:w="0" w:type="dxa"/>
          <w:left w:w="10" w:type="dxa"/>
          <w:bottom w:w="0" w:type="dxa"/>
          <w:right w:w="10" w:type="dxa"/>
        </w:tblCellMar>
      </w:tblPr>
      <w:tblGrid>
        <w:gridCol w:w="1046"/>
        <w:gridCol w:w="7449"/>
      </w:tblGrid>
      <w:tr>
        <w:tblPrEx>
          <w:shd w:val="clear" w:color="auto" w:fill="auto"/>
          <w:tblCellMar>
            <w:top w:w="0" w:type="dxa"/>
            <w:left w:w="10" w:type="dxa"/>
            <w:bottom w:w="0" w:type="dxa"/>
            <w:right w:w="1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招标要求</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7" w:rightChars="-51"/>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条目号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招标规格</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医用血管造影X射线机</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套</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三.用途</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通用型设备，适用于对血管及非血管进行造影检查和介入治疗提供X射线透视、摄影和数字减影血管图像，满足心脏、神经、胸腹部、四肢等多领域临床需求。</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四.主要组成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产品由落地式机架、导管床、高压发生器、X线球管组件、限束器、X线球管组件冷却器、非晶硅数字平板探测器、控制柜（含图像采集及处理工作站）、脚踏开关、控制器、选件及附件组成。</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五.投标资质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napToGrid w:val="0"/>
                <w:sz w:val="24"/>
                <w:szCs w:val="24"/>
              </w:rPr>
              <w:t>需提供投标机型的中国“</w:t>
            </w:r>
            <w:r>
              <w:rPr>
                <w:rFonts w:hint="eastAsia" w:ascii="宋体" w:hAnsi="宋体" w:eastAsia="宋体" w:cs="宋体"/>
                <w:b w:val="0"/>
                <w:bCs w:val="0"/>
                <w:sz w:val="24"/>
                <w:szCs w:val="24"/>
              </w:rPr>
              <w:t>国家</w:t>
            </w:r>
            <w:r>
              <w:rPr>
                <w:rFonts w:hint="eastAsia" w:ascii="宋体" w:hAnsi="宋体" w:eastAsia="宋体" w:cs="宋体"/>
                <w:b w:val="0"/>
                <w:bCs w:val="0"/>
                <w:snapToGrid w:val="0"/>
                <w:sz w:val="24"/>
                <w:szCs w:val="24"/>
              </w:rPr>
              <w:t>医疗器械注册证”，即NMPA认证</w:t>
            </w:r>
            <w:r>
              <w:rPr>
                <w:rFonts w:hint="eastAsia" w:ascii="宋体" w:hAnsi="宋体" w:eastAsia="宋体" w:cs="宋体"/>
                <w:b w:val="0"/>
                <w:bCs w:val="0"/>
                <w:sz w:val="24"/>
                <w:szCs w:val="24"/>
              </w:rPr>
              <w:t xml:space="preserve">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六.技术规格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机架系统</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落地式机架，能覆盖全身功能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机架运动符合心脏、神经、外周血管介入等要求</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机架多轴运动，轴个数≥6轴</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机架多预设位，用户自定义存储位置≥9</w:t>
            </w:r>
            <w:r>
              <w:rPr>
                <w:rFonts w:hint="eastAsia" w:ascii="宋体" w:hAnsi="宋体" w:eastAsia="宋体" w:cs="宋体"/>
                <w:sz w:val="24"/>
                <w:szCs w:val="24"/>
                <w:lang w:val="en-US" w:eastAsia="zh-CN"/>
              </w:rPr>
              <w:t>0</w:t>
            </w:r>
            <w:r>
              <w:rPr>
                <w:rFonts w:hint="eastAsia" w:ascii="宋体" w:hAnsi="宋体" w:eastAsia="宋体" w:cs="宋体"/>
                <w:sz w:val="24"/>
                <w:szCs w:val="24"/>
              </w:rPr>
              <w:t>种</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机架可通过与导管床的协调预设位快速移动至抢救位或外科手术位，即机架可与导管床完全分离，便于开展抢救、特殊治疗或外科手术</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C臂旋转速度（非旋转采集）LAO/RAO≥ 27°/秒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C臂环内滑动速度（非旋转采集）CRAN/CAU ≥27°/秒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机架可分别在导管床的头位、左侧位、右侧位及中间任意位置进行透视和采集，且保持图像无偏转。</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RAO≥135°</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LAO≥135°</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CRA≥90°</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CAU≥90°</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SID范围可调，最小范围≤90cm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SID范围可调，最大范围≥120cm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C臂弧深≥95cm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床旁可以单手柄控制、操作C臂机架的运动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C臂的旋转角度：血管检查摆位无死角，C臂旋转至任何角度均可投照</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数字显示所有C臂旋转角度信息</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导管床</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满足全身检查、治疗的要求</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床板为碳纤维材料</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纵向运动范围 ≥12</w:t>
            </w:r>
            <w:r>
              <w:rPr>
                <w:rFonts w:hint="eastAsia" w:ascii="宋体" w:hAnsi="宋体" w:eastAsia="宋体" w:cs="宋体"/>
                <w:sz w:val="24"/>
                <w:szCs w:val="24"/>
                <w:lang w:val="en-US" w:eastAsia="zh-CN"/>
              </w:rPr>
              <w:t>5</w:t>
            </w:r>
            <w:r>
              <w:rPr>
                <w:rFonts w:hint="eastAsia" w:ascii="宋体" w:hAnsi="宋体" w:eastAsia="宋体" w:cs="宋体"/>
                <w:sz w:val="24"/>
                <w:szCs w:val="24"/>
              </w:rPr>
              <w:t>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导管床横向运动≥3</w:t>
            </w:r>
            <w:r>
              <w:rPr>
                <w:rFonts w:hint="eastAsia" w:ascii="宋体" w:hAnsi="宋体" w:eastAsia="宋体" w:cs="宋体"/>
                <w:sz w:val="24"/>
                <w:szCs w:val="24"/>
                <w:lang w:val="en-US" w:eastAsia="zh-CN"/>
              </w:rPr>
              <w:t>5</w:t>
            </w:r>
            <w:r>
              <w:rPr>
                <w:rFonts w:hint="eastAsia" w:ascii="宋体" w:hAnsi="宋体" w:eastAsia="宋体" w:cs="宋体"/>
                <w:sz w:val="24"/>
                <w:szCs w:val="24"/>
              </w:rPr>
              <w:t>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床面升降范围≥28cm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床面最低高度 ≤</w:t>
            </w:r>
            <w:r>
              <w:rPr>
                <w:rFonts w:hint="eastAsia" w:ascii="宋体" w:hAnsi="宋体" w:eastAsia="宋体" w:cs="宋体"/>
                <w:sz w:val="24"/>
                <w:szCs w:val="24"/>
                <w:lang w:val="en-US" w:eastAsia="zh-CN"/>
              </w:rPr>
              <w:t>80</w:t>
            </w:r>
            <w:r>
              <w:rPr>
                <w:rFonts w:hint="eastAsia" w:ascii="宋体" w:hAnsi="宋体" w:eastAsia="宋体" w:cs="宋体"/>
                <w:sz w:val="24"/>
                <w:szCs w:val="24"/>
              </w:rPr>
              <w:t>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导管床总承重≥400kg</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床长度 ≥30</w:t>
            </w:r>
            <w:r>
              <w:rPr>
                <w:rFonts w:hint="eastAsia" w:ascii="宋体" w:hAnsi="宋体" w:eastAsia="宋体" w:cs="宋体"/>
                <w:sz w:val="24"/>
                <w:szCs w:val="24"/>
                <w:lang w:val="en-US" w:eastAsia="zh-CN"/>
              </w:rPr>
              <w:t>5</w:t>
            </w:r>
            <w:r>
              <w:rPr>
                <w:rFonts w:hint="eastAsia" w:ascii="宋体" w:hAnsi="宋体" w:eastAsia="宋体" w:cs="宋体"/>
                <w:sz w:val="24"/>
                <w:szCs w:val="24"/>
              </w:rPr>
              <w:t>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床板最宽处宽度≥58cm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床面旋转角度≥270度</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导管床床垫、头托、轨道夹及输液架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床旁控制系统</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床旁控制模块具备防尘、防水功能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控制模块可置于导管床3边，便于医生操作</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可进行自动图像采集条件控制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可进行图像后处理及量化分析控制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床旁控制器具备抬头显示功能，方便在床旁对设备进行操作</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控制模块数量≥3个</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高压发生器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高频逆变发生器，功率≥100KW</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高频逆变发生器频率：≥100KHz</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最小管电流≤0.5mA</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最大管电流≥1000mA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最小管电压≤40kV</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最大管电压≥125kV</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最短曝光时间≤0.5ms</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X线球管与组件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液态金属轴承静音球管，非滚珠轴承球管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金属陶瓷管芯</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球管阳极热容量≥3.0Mhu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球管阳极最大连续散热速率≥405000 Hu/min</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最大阳极转速≥10</w:t>
            </w:r>
            <w:r>
              <w:rPr>
                <w:rFonts w:hint="eastAsia" w:ascii="宋体" w:hAnsi="宋体" w:eastAsia="宋体" w:cs="宋体"/>
                <w:sz w:val="24"/>
                <w:szCs w:val="24"/>
                <w:lang w:val="en-US" w:eastAsia="zh-CN"/>
              </w:rPr>
              <w:t>0</w:t>
            </w:r>
            <w:r>
              <w:rPr>
                <w:rFonts w:hint="eastAsia" w:ascii="宋体" w:hAnsi="宋体" w:eastAsia="宋体" w:cs="宋体"/>
                <w:sz w:val="24"/>
                <w:szCs w:val="24"/>
              </w:rPr>
              <w:t>00 rpm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球管焦点数≥3个</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小焦点≤0.3mm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中焦点≤0.6mm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大焦点≥1.0mm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小焦点功率≥18kW</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中焦点功率≥52kW</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大焦点功率≥100kW</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最大透视电流≥250mA</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球管采用油冷+水冷的冷却方式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球管总重量≤36kg</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自动实时调节铜滤片≥5档</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配备楔形、指形两种滤光器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平板探测器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探测器类型：非晶硅数字化平板探测器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平板外壳大小：≤38cm x 38cm</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最大有效成像视野(边长) ≥30cm X 30cm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提供≥5种物理成像视野</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最大图像矩阵灰阶输出≥1956 x 1956 @ 16 bit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图像空间分辨率≥3.25LP／mm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像素尺寸≤154μm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DQE≥77%（包括透视和曝光）</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平板可≥±90度旋转，且可在任意位置停止</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限束器与平板探测器同步伺服，确保显示器上的临床影像始终直立。</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平板三侧均有智能调节按键</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平板探测器无需水冷装置</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图像显示器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医用高分辨率LCD显示器，显示矩阵1280 x 1024</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手术室提供≥19英寸高亮医用高分辨率LCD黑白显示器≥2台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手术室提供≥19英寸高亮医用高分辨率LCD彩色显示器≥</w:t>
            </w: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控制室提供≥23英寸高亮医用高分辨率彩色LCD显示器≥1台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手术室</w:t>
            </w:r>
            <w:r>
              <w:rPr>
                <w:rFonts w:hint="eastAsia" w:ascii="宋体" w:hAnsi="宋体" w:eastAsia="宋体" w:cs="宋体"/>
                <w:sz w:val="24"/>
                <w:szCs w:val="24"/>
                <w:lang w:val="en-US" w:eastAsia="zh-CN"/>
              </w:rPr>
              <w:t>黑白</w:t>
            </w:r>
            <w:r>
              <w:rPr>
                <w:rFonts w:hint="eastAsia" w:ascii="宋体" w:hAnsi="宋体" w:eastAsia="宋体" w:cs="宋体"/>
                <w:sz w:val="24"/>
                <w:szCs w:val="24"/>
              </w:rPr>
              <w:t>显示器最大亮度≥1400 cd/m</w:t>
            </w:r>
            <w:r>
              <w:rPr>
                <w:rFonts w:hint="eastAsia" w:ascii="宋体" w:hAnsi="宋体" w:eastAsia="宋体" w:cs="宋体"/>
                <w:sz w:val="24"/>
                <w:szCs w:val="24"/>
                <w:vertAlign w:val="superscript"/>
              </w:rPr>
              <w:t>2</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手术室图像观察视角≥170°，控制室图像观察视角≥178°</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≥4架位显示器吊架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显示器吊架可置于床旁三侧位置</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显示器吊架可进行任意位置悬停</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显示器吊架旋转范围≥330°</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图像系统</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DSA采集、处理、存储≥7种帧率，最高帧率≥30帧 /秒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心脏采集、处理、存储≥3种帧率，最高帧率≥30帧 /秒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床旁可直接选择透视剂量≥3档，最小档 ≤5伦琴/分钟</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床旁控制器和控制室内系统控制器上配有一键式透视存储按键，用于术中实时存储透视图像。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允许存储连续透视图像≥1024辐</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支持末帧图像存储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支持参考图像存储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最大脉冲透视速度≥30帧/秒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最小脉冲透视速度≤3.75帧/秒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具有透视末帧图像保持功能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硬盘图像存储量1024 矩阵≥100,000幅，2048矩阵≥25,000幅</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图像显示功能：采集时间，日期显示，图像冻结，灰阶反转，图像标注，左／右标识，文字注释，解剖背景。</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支持术中事件记录并存储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具备路径图功能，造影剂自动峰值保持。</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具备减影叠加功能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可将记录采集序列中任意一帧图像生成路图叠加在实时透视图像上</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可对诸如弹簧圈、胶等特定材料进行增强显示</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具有自动位置匹配功能，使机架自动返回至选定的参考屏图像的最佳位置</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具备支架精确显示</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术中支架释放导管、球囊仍在血管内时，采集含支架的血管造影序列，支架可清晰显影</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可自动探测释放支架、导管、球囊的标记点，并对扩张支架增强显示</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可显示支架和血管内腔之间的关系</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可回放处理前后支架图像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可在控制室内的用户界面上选择支架精显功能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实时多角度DSA/DR采集</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C臂旋转采集速度 ≥65度/秒， 有效覆盖范围≥200度</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最快采集速度≥30帧/秒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可实时减影</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冠脉多轴联动记录采集</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旋转速度≥50度/秒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所得序列的每一幅图像均标注采集时的C臂角度</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按照体位顺序，可选左冠或右冠扫描，左冠全景采集≥6个轨迹点，右冠全景采集≥5个轨迹点</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高速数字减影采集</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DSA采集速度多档可调</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DSA采集速度最高可达≥30帧 /秒</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具有图像优化平台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在DR和DSA模式下，支持2K图像采集，分辨率≥1956*1956</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个性化调节窗宽和窗位</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血管边缘增强功能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多重去噪技术：最大化降低噪声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自动消除由于呼吸、运动等形成的伪影。</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具有剂量管理平台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无射线限束器及半透膜调整：将辐射区域限制于感兴趣区（器官），避免非目标区域曝光。</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无射线机架及床调整：在调整机架和床的位置时，观察视野能够以LIH为基准，在不追加透视的情况下随时被重新定位。</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脉冲曝光：与连续曝光相比，相同时间内降低更多辐射剂量。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自动曝光控制：针对不同体厚或部位，自动为球管匹配最佳的kV、mA、pw、focus、filter五大参数，使剂量降低的情况下，更加快速地输出最优图像。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具备低剂量采集专用踏板</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具备高、中、低三档透视模式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一键式可插拔滤线栅</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剂量报告：将每次系统运行得到的完整剂量信息连同图像一并发送和存储，方便日后分析。</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手术室实时显示器与控制室的屏幕上持续显示并更新对患者产生的总剂量值</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针对不同的器官程序，设置不同累计剂量阈值，当达到阈值时，系统发出脉冲声响报警。</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具有智能流程平台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DSA蒙片替换：对于数字减影采集序列，选择指定的最优图像作为蒙片。</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像素位移回放减影序列时，能够在水平和垂直方向上自由移动蒙片。</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在急诊情况下，最快速的进入系统内，无需输入患者信息即可实施检查。</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手术过程中，手术室与控制室用户界面的不同位置，实时显示操作相关提示信息</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具有多方向碰撞保护系统</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实时显示屏与参考显示屏同时显示路径图与实时透视图</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实时显示屏与参考显示屏同时显示减影图像与非减影图像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具备器官程序图形化选择功能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提供人性化的中文用户界面</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原厂高级后处理工作站硬件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嵌入式的操作系统</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处理器型号高于Intel Xeon E5专业工作站处理器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处理器单核心主频≥3.6GHz</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处理器核心数 ≥六核</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具有≥16GB的内存</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提供≥256GB SATA SSD，3.5 英寸 1TB SATA的硬盘</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提供≥19英寸的显示器</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具有≥1920X1200的显示器分辨率</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图形处理单元浮点运算速度≥4.4TFLOPs</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原厂高级后处理工作站软件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左心室分析软件，可测量舒张末期和收缩末期容积、射血分数、心输出量与导管定标</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血管定量分析软件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支持图像的三维双容积重建功能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支持显示VR图像、MPR图像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支持多种绘制模式显示图像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支持MPR、VR立方体显示、CV机械臂显示、Cube模式、Slab模式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支持管理VR图像协议</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支持书签功能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支持图像切割功能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支持组织列表管理</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支持VR图像批处理功能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支持比较模式</w:t>
            </w:r>
          </w:p>
        </w:tc>
      </w:tr>
      <w:tr>
        <w:tblPrEx>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支持通用图像操作，包括标注、保存、复位等</w:t>
            </w:r>
          </w:p>
        </w:tc>
      </w:tr>
      <w:tr>
        <w:tblPrEx>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具有手术报告模板</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网络与接口</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具有DICOM 连通性检测功能 </w:t>
            </w:r>
          </w:p>
        </w:tc>
      </w:tr>
      <w:tr>
        <w:tblPrEx>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具有DICOM 获取病人信息列表功能 </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具有DICOM 存储功能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具有DICOM 存储确认功能</w:t>
            </w:r>
          </w:p>
        </w:tc>
      </w:tr>
      <w:tr>
        <w:tblPrEx>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具有DICOM 设备操作过程步骤功能 </w:t>
            </w:r>
          </w:p>
        </w:tc>
      </w:tr>
      <w:tr>
        <w:tblPrEx>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具有DICOM 辐射剂量报告功能</w:t>
            </w:r>
          </w:p>
        </w:tc>
      </w:tr>
      <w:tr>
        <w:tblPrEx>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具有DICOM 图像无损压缩功能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具有DICOM 打印功能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具有DICOM CD/DVD刻录功能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具有DICOM USB导出功能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高压注射器接口</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标准视频输出接口</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附件</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具备整个系统的升级能力</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具有双向对讲系统</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具有图像处理操作面板</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具有悬吊式射线防护屏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具有床旁射线防护帘</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具有悬吊式手术灯</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具有中文操作界面</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w:t>
            </w:r>
            <w:r>
              <w:rPr>
                <w:rFonts w:hint="eastAsia" w:ascii="宋体" w:hAnsi="宋体" w:eastAsia="宋体" w:cs="宋体"/>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具有中文操作手册</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其他要求：</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配备DSA专用高压注射器一套，具有“直接压力传感器”功能，机头LED显示，并可具备120个预案，每个预案可设置1～6阶段。含3年全机原厂质保，</w:t>
            </w:r>
            <w:r>
              <w:rPr>
                <w:rFonts w:hint="eastAsia" w:ascii="宋体" w:hAnsi="宋体" w:eastAsia="宋体" w:cs="宋体"/>
                <w:color w:val="000000"/>
                <w:sz w:val="24"/>
                <w:szCs w:val="24"/>
                <w:lang w:val="en-US" w:eastAsia="zh-CN"/>
              </w:rPr>
              <w:t>并提供制造商保修不少于3年的承诺函。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配备医用相机一台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提供6套放射防护用品：铅围脖、铅衣、铅方巾、铅帽、铅眼镜5件套（≥四个铅当量）；提供1套儿童防护用品（≥五个铅当量）。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不少于3年的原厂机器全保（含所有软、硬件，并提供制造商保修不少于3年的承诺函）</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配置一台为该机器供电的</w:t>
            </w:r>
            <w:r>
              <w:rPr>
                <w:rFonts w:hint="eastAsia" w:ascii="宋体" w:hAnsi="宋体" w:eastAsia="宋体" w:cs="宋体"/>
                <w:color w:val="auto"/>
                <w:sz w:val="24"/>
                <w:szCs w:val="24"/>
                <w:highlight w:val="none"/>
                <w:lang w:val="en-US"/>
              </w:rPr>
              <w:t>医疗设备专用稳压</w:t>
            </w:r>
            <w:r>
              <w:rPr>
                <w:rFonts w:hint="eastAsia" w:ascii="宋体" w:hAnsi="宋体" w:eastAsia="宋体" w:cs="宋体"/>
                <w:color w:val="auto"/>
                <w:sz w:val="24"/>
                <w:szCs w:val="24"/>
                <w:highlight w:val="none"/>
                <w:lang w:val="en-US" w:eastAsia="zh-CN"/>
              </w:rPr>
              <w:t>电源</w:t>
            </w:r>
            <w:r>
              <w:rPr>
                <w:rFonts w:hint="eastAsia" w:ascii="宋体" w:hAnsi="宋体" w:eastAsia="宋体" w:cs="宋体"/>
                <w:color w:val="000000"/>
                <w:sz w:val="24"/>
                <w:szCs w:val="24"/>
                <w:highlight w:val="none"/>
                <w:lang w:val="en-US" w:eastAsia="zh-CN"/>
              </w:rPr>
              <w:t>≥100kVA（需匹配DSA整机）</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为手术室和控制室配备相适应的空调各一台</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配置2块不小于3M的专业竖屏</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免费接入医院PACS</w:t>
            </w:r>
          </w:p>
        </w:tc>
      </w:tr>
      <w:tr>
        <w:tblPrEx>
          <w:shd w:val="clear" w:color="auto" w:fill="auto"/>
          <w:tblCellMar>
            <w:top w:w="0" w:type="dxa"/>
            <w:left w:w="10" w:type="dxa"/>
            <w:bottom w:w="0" w:type="dxa"/>
            <w:right w:w="1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提供UPS一台供主控台电脑使用</w:t>
            </w:r>
          </w:p>
        </w:tc>
      </w:tr>
    </w:tbl>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80" w:firstLineChars="100"/>
        <w:jc w:val="left"/>
        <w:textAlignment w:val="baseline"/>
        <w:rPr>
          <w:rFonts w:hint="default" w:ascii="宋体" w:hAnsi="宋体" w:eastAsia="宋体" w:cs="宋体"/>
          <w:sz w:val="28"/>
          <w:szCs w:val="28"/>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color w:val="auto"/>
          <w:sz w:val="32"/>
          <w:szCs w:val="32"/>
          <w:highlight w:val="none"/>
          <w:lang w:val="en-US" w:eastAsia="zh-CN"/>
        </w:rPr>
      </w:pPr>
      <w:bookmarkStart w:id="536" w:name="_Toc10015"/>
      <w:r>
        <w:rPr>
          <w:rFonts w:hint="eastAsia" w:ascii="宋体" w:hAnsi="宋体" w:eastAsia="宋体" w:cs="宋体"/>
          <w:b/>
          <w:color w:val="auto"/>
          <w:sz w:val="32"/>
          <w:szCs w:val="32"/>
          <w:highlight w:val="none"/>
          <w:lang w:val="en-US" w:eastAsia="zh-CN"/>
        </w:rPr>
        <w:t>二、项目要求</w:t>
      </w:r>
      <w:bookmarkEnd w:id="529"/>
      <w:bookmarkEnd w:id="530"/>
      <w:bookmarkEnd w:id="531"/>
      <w:bookmarkEnd w:id="532"/>
      <w:bookmarkEnd w:id="533"/>
      <w:bookmarkEnd w:id="534"/>
      <w:r>
        <w:rPr>
          <w:rFonts w:hint="eastAsia" w:ascii="宋体" w:hAnsi="宋体" w:cs="宋体"/>
          <w:b/>
          <w:color w:val="auto"/>
          <w:sz w:val="32"/>
          <w:szCs w:val="32"/>
          <w:highlight w:val="none"/>
          <w:lang w:val="en-US" w:eastAsia="zh-CN"/>
        </w:rPr>
        <w:t>：</w:t>
      </w:r>
      <w:bookmarkEnd w:id="536"/>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（一）设备性能要求</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本项目技术参数均为公共参数，无指向性，技术参数中若指向某品牌</w:t>
      </w:r>
      <w:r>
        <w:rPr>
          <w:rFonts w:hint="eastAsia" w:ascii="宋体" w:hAnsi="宋体" w:eastAsia="宋体" w:cs="宋体"/>
          <w:b w:val="0"/>
          <w:i w:val="0"/>
          <w:caps w:val="0"/>
          <w:color w:val="auto"/>
          <w:spacing w:val="0"/>
          <w:w w:val="100"/>
          <w:sz w:val="24"/>
          <w:szCs w:val="24"/>
          <w:highlight w:val="none"/>
          <w:lang w:val="en-US" w:eastAsia="zh-CN"/>
        </w:rPr>
        <w:t>均为参考指标。</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r>
        <w:rPr>
          <w:rFonts w:hint="eastAsia" w:ascii="宋体" w:hAnsi="宋体" w:eastAsia="宋体" w:cs="宋体"/>
          <w:b/>
          <w:bCs/>
          <w:i w:val="0"/>
          <w:caps w:val="0"/>
          <w:color w:val="auto"/>
          <w:spacing w:val="0"/>
          <w:w w:val="100"/>
          <w:sz w:val="24"/>
          <w:szCs w:val="24"/>
          <w:highlight w:val="none"/>
          <w:lang w:val="en-US" w:eastAsia="zh-CN"/>
        </w:rPr>
        <w:t>对于技术规格中标注“</w:t>
      </w:r>
      <w:r>
        <w:rPr>
          <w:rFonts w:hint="eastAsia" w:ascii="宋体" w:hAnsi="宋体" w:cs="宋体"/>
          <w:b/>
          <w:bCs/>
          <w:i w:val="0"/>
          <w:caps w:val="0"/>
          <w:color w:val="auto"/>
          <w:spacing w:val="0"/>
          <w:w w:val="100"/>
          <w:sz w:val="24"/>
          <w:szCs w:val="24"/>
          <w:highlight w:val="none"/>
          <w:lang w:val="en-US" w:eastAsia="zh-CN"/>
        </w:rPr>
        <w:t>*</w:t>
      </w:r>
      <w:r>
        <w:rPr>
          <w:rFonts w:hint="eastAsia" w:ascii="宋体" w:hAnsi="宋体" w:eastAsia="宋体" w:cs="宋体"/>
          <w:b/>
          <w:bCs/>
          <w:i w:val="0"/>
          <w:caps w:val="0"/>
          <w:color w:val="auto"/>
          <w:spacing w:val="0"/>
          <w:w w:val="100"/>
          <w:sz w:val="24"/>
          <w:szCs w:val="24"/>
          <w:highlight w:val="none"/>
          <w:lang w:val="en-US" w:eastAsia="zh-CN"/>
        </w:rPr>
        <w:t>”号的技术参数为重要参数，</w:t>
      </w:r>
      <w:r>
        <w:rPr>
          <w:rFonts w:hint="eastAsia" w:ascii="宋体" w:hAnsi="宋体" w:cs="宋体"/>
          <w:b/>
          <w:bCs/>
          <w:i w:val="0"/>
          <w:caps w:val="0"/>
          <w:color w:val="auto"/>
          <w:spacing w:val="0"/>
          <w:w w:val="100"/>
          <w:sz w:val="24"/>
          <w:szCs w:val="24"/>
          <w:highlight w:val="none"/>
          <w:lang w:val="en-US" w:eastAsia="zh-CN"/>
        </w:rPr>
        <w:t>投标供应商</w:t>
      </w:r>
      <w:r>
        <w:rPr>
          <w:rFonts w:hint="eastAsia" w:ascii="宋体" w:hAnsi="宋体" w:eastAsia="宋体" w:cs="宋体"/>
          <w:b/>
          <w:bCs/>
          <w:i w:val="0"/>
          <w:caps w:val="0"/>
          <w:color w:val="auto"/>
          <w:spacing w:val="0"/>
          <w:w w:val="100"/>
          <w:sz w:val="24"/>
          <w:szCs w:val="24"/>
          <w:highlight w:val="none"/>
          <w:lang w:val="en-US" w:eastAsia="zh-CN"/>
        </w:rPr>
        <w:t>须在投标文件中按照招标文件技术规格的要求提供技术应答的证明材料，如技术规格中无特殊要求则应提交本条款规定的技术支持资料。对于</w:t>
      </w:r>
      <w:r>
        <w:rPr>
          <w:rFonts w:hint="eastAsia" w:ascii="宋体" w:hAnsi="宋体" w:cs="宋体"/>
          <w:b/>
          <w:bCs/>
          <w:i w:val="0"/>
          <w:caps w:val="0"/>
          <w:color w:val="auto"/>
          <w:spacing w:val="0"/>
          <w:w w:val="100"/>
          <w:sz w:val="24"/>
          <w:szCs w:val="24"/>
          <w:highlight w:val="none"/>
          <w:lang w:val="en-US" w:eastAsia="zh-CN"/>
        </w:rPr>
        <w:t>投标供应商</w:t>
      </w:r>
      <w:r>
        <w:rPr>
          <w:rFonts w:hint="eastAsia" w:ascii="宋体" w:hAnsi="宋体" w:eastAsia="宋体" w:cs="宋体"/>
          <w:b/>
          <w:bCs/>
          <w:i w:val="0"/>
          <w:caps w:val="0"/>
          <w:color w:val="auto"/>
          <w:spacing w:val="0"/>
          <w:w w:val="100"/>
          <w:sz w:val="24"/>
          <w:szCs w:val="24"/>
          <w:highlight w:val="none"/>
          <w:lang w:val="en-US" w:eastAsia="zh-CN"/>
        </w:rPr>
        <w:t>提供的投标文件技术应答未按本条款要求提供投标产品技术支持资料（或证明材料）的，或提供的投标产品技术支持资料（或证明材料），则以负偏离处理。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sz w:val="24"/>
          <w:szCs w:val="24"/>
          <w:highlight w:val="none"/>
          <w:lang w:val="en-US" w:eastAsia="zh-CN"/>
        </w:rPr>
        <w:t>3、技术参数中存</w:t>
      </w:r>
      <w:r>
        <w:rPr>
          <w:rFonts w:hint="eastAsia" w:ascii="宋体" w:hAnsi="宋体" w:eastAsia="宋体" w:cs="宋体"/>
          <w:b w:val="0"/>
          <w:i w:val="0"/>
          <w:caps w:val="0"/>
          <w:color w:val="auto"/>
          <w:spacing w:val="0"/>
          <w:w w:val="100"/>
          <w:kern w:val="2"/>
          <w:sz w:val="24"/>
          <w:szCs w:val="24"/>
          <w:highlight w:val="none"/>
          <w:lang w:val="en-US" w:eastAsia="zh-CN" w:bidi="ar-SA"/>
        </w:rPr>
        <w:t>在“正偏离”需设备真实技术支持资料（或证明材料）。未提供的不得作为正偏离。</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（二）项目的交货期和质保期</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1、交货期：</w:t>
      </w:r>
      <w:r>
        <w:rPr>
          <w:rFonts w:hint="eastAsia" w:ascii="宋体" w:hAnsi="宋体" w:eastAsia="宋体" w:cs="宋体"/>
          <w:b w:val="0"/>
          <w:i w:val="0"/>
          <w:caps w:val="0"/>
          <w:color w:val="auto"/>
          <w:spacing w:val="0"/>
          <w:w w:val="100"/>
          <w:sz w:val="24"/>
          <w:szCs w:val="24"/>
          <w:highlight w:val="yellow"/>
          <w:lang w:val="en-US" w:eastAsia="zh-CN"/>
        </w:rPr>
        <w:t>中标后</w:t>
      </w:r>
      <w:r>
        <w:rPr>
          <w:rFonts w:hint="eastAsia" w:ascii="宋体" w:hAnsi="宋体" w:cs="宋体"/>
          <w:b w:val="0"/>
          <w:i w:val="0"/>
          <w:caps w:val="0"/>
          <w:color w:val="auto"/>
          <w:spacing w:val="0"/>
          <w:w w:val="100"/>
          <w:sz w:val="24"/>
          <w:szCs w:val="24"/>
          <w:highlight w:val="yellow"/>
          <w:lang w:val="en-US" w:eastAsia="zh-CN"/>
        </w:rPr>
        <w:t>30</w:t>
      </w:r>
      <w:r>
        <w:rPr>
          <w:rFonts w:hint="eastAsia" w:ascii="宋体" w:hAnsi="宋体" w:eastAsia="宋体" w:cs="宋体"/>
          <w:b w:val="0"/>
          <w:i w:val="0"/>
          <w:caps w:val="0"/>
          <w:color w:val="auto"/>
          <w:spacing w:val="0"/>
          <w:w w:val="100"/>
          <w:sz w:val="24"/>
          <w:szCs w:val="24"/>
          <w:highlight w:val="yellow"/>
          <w:lang w:val="en-US" w:eastAsia="zh-CN"/>
        </w:rPr>
        <w:t>天内送货安装调试完毕。</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2、质保期：</w:t>
      </w:r>
      <w:r>
        <w:rPr>
          <w:rFonts w:hint="eastAsia" w:ascii="宋体" w:hAnsi="宋体" w:cs="宋体"/>
          <w:b w:val="0"/>
          <w:i w:val="0"/>
          <w:caps w:val="0"/>
          <w:color w:val="auto"/>
          <w:spacing w:val="0"/>
          <w:w w:val="100"/>
          <w:sz w:val="24"/>
          <w:szCs w:val="24"/>
          <w:highlight w:val="yellow"/>
          <w:lang w:val="en-US" w:eastAsia="zh-CN"/>
        </w:rPr>
        <w:t>不少于3年的原厂机器全保（含所有软、硬件，并提供制造商保修不少于3年的承诺函）。</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val="en-US" w:eastAsia="zh-CN"/>
        </w:rPr>
        <w:t>供应商</w:t>
      </w:r>
      <w:r>
        <w:rPr>
          <w:rFonts w:hint="eastAsia" w:ascii="宋体" w:hAnsi="宋体" w:eastAsia="宋体" w:cs="宋体"/>
          <w:b w:val="0"/>
          <w:i w:val="0"/>
          <w:caps w:val="0"/>
          <w:color w:val="auto"/>
          <w:spacing w:val="0"/>
          <w:w w:val="100"/>
          <w:sz w:val="24"/>
          <w:szCs w:val="24"/>
          <w:highlight w:val="none"/>
          <w:lang w:val="en-US" w:eastAsia="zh-CN"/>
        </w:rPr>
        <w:t>在制作</w:t>
      </w:r>
      <w:r>
        <w:rPr>
          <w:rFonts w:hint="eastAsia" w:ascii="宋体" w:hAnsi="宋体" w:cs="宋体"/>
          <w:b w:val="0"/>
          <w:i w:val="0"/>
          <w:caps w:val="0"/>
          <w:color w:val="auto"/>
          <w:spacing w:val="0"/>
          <w:w w:val="100"/>
          <w:sz w:val="24"/>
          <w:szCs w:val="24"/>
          <w:highlight w:val="none"/>
          <w:lang w:val="en-US" w:eastAsia="zh-CN"/>
        </w:rPr>
        <w:t>投标文件</w:t>
      </w:r>
      <w:r>
        <w:rPr>
          <w:rFonts w:hint="eastAsia" w:ascii="宋体" w:hAnsi="宋体" w:eastAsia="宋体" w:cs="宋体"/>
          <w:b w:val="0"/>
          <w:i w:val="0"/>
          <w:caps w:val="0"/>
          <w:color w:val="auto"/>
          <w:spacing w:val="0"/>
          <w:w w:val="100"/>
          <w:sz w:val="24"/>
          <w:szCs w:val="24"/>
          <w:highlight w:val="none"/>
          <w:lang w:val="en-US" w:eastAsia="zh-CN"/>
        </w:rPr>
        <w:t>时，根据自己所投</w:t>
      </w:r>
      <w:r>
        <w:rPr>
          <w:rFonts w:hint="eastAsia" w:ascii="宋体" w:hAnsi="宋体" w:cs="宋体"/>
          <w:b w:val="0"/>
          <w:i w:val="0"/>
          <w:caps w:val="0"/>
          <w:color w:val="auto"/>
          <w:spacing w:val="0"/>
          <w:w w:val="100"/>
          <w:sz w:val="24"/>
          <w:szCs w:val="24"/>
          <w:highlight w:val="none"/>
          <w:lang w:val="en-US" w:eastAsia="zh-CN"/>
        </w:rPr>
        <w:t>货物</w:t>
      </w:r>
      <w:r>
        <w:rPr>
          <w:rFonts w:hint="eastAsia" w:ascii="宋体" w:hAnsi="宋体" w:eastAsia="宋体" w:cs="宋体"/>
          <w:b w:val="0"/>
          <w:i w:val="0"/>
          <w:caps w:val="0"/>
          <w:color w:val="auto"/>
          <w:spacing w:val="0"/>
          <w:w w:val="100"/>
          <w:sz w:val="24"/>
          <w:szCs w:val="24"/>
          <w:highlight w:val="none"/>
          <w:lang w:val="en-US" w:eastAsia="zh-CN"/>
        </w:rPr>
        <w:t>实际指标来撰写响应于招标文件要求的指标。</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（三）付款方式和交货地点</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yellow"/>
          <w:lang w:val="en-US" w:eastAsia="zh-CN"/>
        </w:rPr>
      </w:pPr>
      <w:r>
        <w:rPr>
          <w:rFonts w:hint="eastAsia" w:ascii="宋体" w:hAnsi="宋体" w:eastAsia="宋体" w:cs="宋体"/>
          <w:b w:val="0"/>
          <w:i w:val="0"/>
          <w:caps w:val="0"/>
          <w:color w:val="auto"/>
          <w:spacing w:val="0"/>
          <w:w w:val="100"/>
          <w:sz w:val="24"/>
          <w:szCs w:val="24"/>
          <w:highlight w:val="none"/>
          <w:lang w:val="en-US" w:eastAsia="zh-CN"/>
        </w:rPr>
        <w:t>1、付款方式：</w:t>
      </w:r>
      <w:r>
        <w:rPr>
          <w:rFonts w:hint="eastAsia" w:ascii="宋体" w:hAnsi="宋体" w:eastAsia="宋体" w:cs="宋体"/>
          <w:b w:val="0"/>
          <w:i w:val="0"/>
          <w:caps w:val="0"/>
          <w:color w:val="auto"/>
          <w:spacing w:val="0"/>
          <w:w w:val="100"/>
          <w:sz w:val="24"/>
          <w:szCs w:val="24"/>
          <w:highlight w:val="yellow"/>
          <w:lang w:val="en-US" w:eastAsia="zh-CN"/>
        </w:rPr>
        <w:t>设备安装调试验收合格后付50%</w:t>
      </w:r>
      <w:r>
        <w:rPr>
          <w:rFonts w:hint="eastAsia" w:ascii="宋体" w:hAnsi="宋体" w:cs="宋体"/>
          <w:b w:val="0"/>
          <w:i w:val="0"/>
          <w:caps w:val="0"/>
          <w:color w:val="auto"/>
          <w:spacing w:val="0"/>
          <w:w w:val="100"/>
          <w:sz w:val="24"/>
          <w:szCs w:val="24"/>
          <w:highlight w:val="yellow"/>
          <w:lang w:val="en-US" w:eastAsia="zh-CN"/>
        </w:rPr>
        <w:t>，</w:t>
      </w:r>
      <w:r>
        <w:rPr>
          <w:rFonts w:hint="eastAsia" w:ascii="宋体" w:hAnsi="宋体" w:eastAsia="宋体" w:cs="宋体"/>
          <w:b w:val="0"/>
          <w:i w:val="0"/>
          <w:caps w:val="0"/>
          <w:color w:val="auto"/>
          <w:spacing w:val="0"/>
          <w:w w:val="100"/>
          <w:sz w:val="24"/>
          <w:szCs w:val="24"/>
          <w:highlight w:val="yellow"/>
          <w:lang w:val="en-US" w:eastAsia="zh-CN"/>
        </w:rPr>
        <w:t>一年以后付</w:t>
      </w:r>
      <w:r>
        <w:rPr>
          <w:rFonts w:hint="default" w:ascii="宋体" w:hAnsi="宋体" w:eastAsia="宋体" w:cs="宋体"/>
          <w:b w:val="0"/>
          <w:i w:val="0"/>
          <w:caps w:val="0"/>
          <w:color w:val="auto"/>
          <w:spacing w:val="0"/>
          <w:w w:val="100"/>
          <w:sz w:val="24"/>
          <w:szCs w:val="24"/>
          <w:highlight w:val="yellow"/>
          <w:lang w:val="en-US" w:eastAsia="zh-CN"/>
        </w:rPr>
        <w:t>50</w:t>
      </w:r>
      <w:r>
        <w:rPr>
          <w:rFonts w:hint="eastAsia" w:ascii="宋体" w:hAnsi="宋体" w:eastAsia="宋体" w:cs="宋体"/>
          <w:b w:val="0"/>
          <w:i w:val="0"/>
          <w:caps w:val="0"/>
          <w:color w:val="auto"/>
          <w:spacing w:val="0"/>
          <w:w w:val="100"/>
          <w:sz w:val="24"/>
          <w:szCs w:val="24"/>
          <w:highlight w:val="yellow"/>
          <w:lang w:val="en-US" w:eastAsia="zh-CN"/>
        </w:rPr>
        <w:t>%。</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2、交货地点：采购人指定地点</w:t>
      </w:r>
      <w:r>
        <w:rPr>
          <w:rFonts w:hint="eastAsia" w:ascii="宋体" w:hAnsi="宋体" w:cs="宋体"/>
          <w:b w:val="0"/>
          <w:i w:val="0"/>
          <w:caps w:val="0"/>
          <w:color w:val="auto"/>
          <w:spacing w:val="0"/>
          <w:w w:val="100"/>
          <w:sz w:val="24"/>
          <w:szCs w:val="24"/>
          <w:highlight w:val="none"/>
          <w:lang w:val="en-US" w:eastAsia="zh-CN"/>
        </w:rPr>
        <w:t>。</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（四）售后服务</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卖方须到买方提供的现场免费安装、调试设备，进行操作试验，直至运行正常，为仪器操作人员提供免费的操作及维护培训。维修响应4小时响应，在质保期内出现故障中标单位在接到故障报修电话后，48小时内必须赶到现场解决故障，如当日无法修复，安装备品备件供甲方使用（具体服务可参考各设备技术参数的相关要求）。</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2、为保证项目的正常运行，</w:t>
      </w:r>
      <w:r>
        <w:rPr>
          <w:rFonts w:hint="eastAsia" w:ascii="宋体" w:hAnsi="宋体" w:cs="宋体"/>
          <w:b w:val="0"/>
          <w:i w:val="0"/>
          <w:caps w:val="0"/>
          <w:color w:val="auto"/>
          <w:spacing w:val="0"/>
          <w:w w:val="100"/>
          <w:sz w:val="24"/>
          <w:szCs w:val="24"/>
          <w:highlight w:val="none"/>
          <w:lang w:val="en-US" w:eastAsia="zh-CN"/>
        </w:rPr>
        <w:t>须在疆内有固定</w:t>
      </w:r>
      <w:r>
        <w:rPr>
          <w:rFonts w:hint="eastAsia" w:ascii="宋体" w:hAnsi="宋体" w:eastAsia="宋体" w:cs="宋体"/>
          <w:b w:val="0"/>
          <w:i w:val="0"/>
          <w:caps w:val="0"/>
          <w:color w:val="auto"/>
          <w:spacing w:val="0"/>
          <w:w w:val="100"/>
          <w:sz w:val="24"/>
          <w:szCs w:val="24"/>
          <w:highlight w:val="none"/>
          <w:lang w:val="en-US" w:eastAsia="zh-CN"/>
        </w:rPr>
        <w:t>CT维修工程师，随时排除设备故障</w:t>
      </w:r>
      <w:r>
        <w:rPr>
          <w:rFonts w:hint="eastAsia" w:ascii="宋体" w:hAnsi="宋体" w:cs="宋体"/>
          <w:b w:val="0"/>
          <w:i w:val="0"/>
          <w:caps w:val="0"/>
          <w:color w:val="auto"/>
          <w:spacing w:val="0"/>
          <w:w w:val="100"/>
          <w:sz w:val="24"/>
          <w:szCs w:val="24"/>
          <w:highlight w:val="none"/>
          <w:lang w:val="en-US" w:eastAsia="zh-CN"/>
        </w:rPr>
        <w:t>。</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3、在质保期内，派遣维修或技术人员巡访设备使用单位，协助并指导运维人员进行日常维护保养工作，并与直接使用人交流设备使用相关事宜。</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4、供应商必须积极配合采购人共同参与项目验收。主动向采购方有关技术人员在使用现场提供全套技术指导及培训。</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cs="宋体"/>
          <w:b w:val="0"/>
          <w:i w:val="0"/>
          <w:caps w:val="0"/>
          <w:color w:val="auto"/>
          <w:spacing w:val="0"/>
          <w:w w:val="100"/>
          <w:sz w:val="24"/>
          <w:szCs w:val="24"/>
          <w:highlight w:val="yellow"/>
          <w:lang w:val="en-US" w:eastAsia="zh-CN"/>
        </w:rPr>
      </w:pPr>
      <w:r>
        <w:rPr>
          <w:rFonts w:hint="eastAsia" w:ascii="宋体" w:hAnsi="宋体" w:eastAsia="宋体" w:cs="宋体"/>
          <w:b w:val="0"/>
          <w:i w:val="0"/>
          <w:caps w:val="0"/>
          <w:color w:val="auto"/>
          <w:spacing w:val="0"/>
          <w:w w:val="100"/>
          <w:sz w:val="24"/>
          <w:szCs w:val="24"/>
          <w:highlight w:val="none"/>
          <w:lang w:val="en-US" w:eastAsia="zh-CN"/>
        </w:rPr>
        <w:t>5、售后服务承诺：供应商应对质保期内及其以后的服务做出承诺，并具有切实可行的措施,不能及时兑现服务承诺内容而影响使用方使用，供应商应</w:t>
      </w:r>
      <w:r>
        <w:rPr>
          <w:rFonts w:hint="eastAsia" w:ascii="宋体" w:hAnsi="宋体" w:cs="宋体"/>
          <w:b w:val="0"/>
          <w:i w:val="0"/>
          <w:caps w:val="0"/>
          <w:color w:val="auto"/>
          <w:spacing w:val="0"/>
          <w:w w:val="100"/>
          <w:sz w:val="24"/>
          <w:szCs w:val="24"/>
          <w:highlight w:val="none"/>
          <w:lang w:val="en-US" w:eastAsia="zh-CN"/>
        </w:rPr>
        <w:t>当</w:t>
      </w:r>
      <w:r>
        <w:rPr>
          <w:rFonts w:hint="eastAsia" w:ascii="宋体" w:hAnsi="宋体" w:eastAsia="宋体" w:cs="宋体"/>
          <w:b w:val="0"/>
          <w:i w:val="0"/>
          <w:caps w:val="0"/>
          <w:color w:val="auto"/>
          <w:spacing w:val="0"/>
          <w:w w:val="100"/>
          <w:sz w:val="24"/>
          <w:szCs w:val="24"/>
          <w:highlight w:val="none"/>
          <w:lang w:val="en-US" w:eastAsia="zh-CN"/>
        </w:rPr>
        <w:t>给予补偿；供应商在疆内应设有或指派的售后服务机构，维修人员应是供应商派出的具有一定专业技术水平的人员，并具有供应商的法人授权委托，并在投标书中均应明确说明。</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、备品备件：</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根据自身所投产品提供相对应的部件之间及设备之间的连线或接插件等，均视为备品备件的种类。</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、如有未尽事宜或收到货物需求不合要求情况，可双方协商决定，但决定权在购买方，购买方有权利退回所购买产品。</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8、在质保期内三年的年检费用及出具检测报告都由投标供应商承担。</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（五）实施方案及培训方案</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应保证供货设备在项目实施过程中的实施方案、设备质量、供货安装、项目安全措施、应急处理、进度安排等五方面进行拓展，本包属于医疗设备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处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2、该项目属于医疗设备，须提供培训，培训是指涉及产品基本原理、安装、调试、操作使用和保养维修等有关内容的学习。在质保期内常驻 2 名工程师，并为采购人提供至少三人的培训服务，确保用户方至少两名操作人员可熟悉使用，</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应保证在采购人指定交货地点对每包（品目）最终用户设备操作人员提供不少于 1 天的免费培训。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投标时应提供详细的培训方案。培训教员的差旅费、食宿费、培训教材等费用，应计入投标报价， 随时排除所有设备故障进行明确的计划阐述，并对所有设备保修期过后维保进行阐述。</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（六）验收</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1、项目业主按标准、技术要求在现场验收，货物验收按照国家最新标准及招标文件中所提出的要求，如供方实际执行的标准高于国家标准和机械行业标准则按买方标准验收。</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2、项目业主在货物抵达交货地点之日起3日内完成初步验收，这种验收只是数量上的和外观感觉上的，最终验收依据国家标准。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3、项目所有内容实施并完工后，双方共同派员参加验收，如承包方在接到项目业主通知之日起三日内无法派员抵达现场，则视为同意买方自行验收的结果。</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4、上述检验和验收不能代替质保期内设备制造性能质量考核。</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（七）其他要求</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1、提供近三年内类似业绩证明材料中标通知书或合同。</w:t>
      </w:r>
    </w:p>
    <w:p>
      <w:pPr>
        <w:pStyle w:val="15"/>
        <w:keepNext w:val="0"/>
        <w:keepLines w:val="0"/>
        <w:pageBreakBefore w:val="0"/>
        <w:kinsoku/>
        <w:wordWrap/>
        <w:overflowPunct/>
        <w:topLinePunct w:val="0"/>
        <w:autoSpaceDE/>
        <w:autoSpaceDN/>
        <w:bidi w:val="0"/>
        <w:adjustRightInd/>
        <w:snapToGrid w:val="0"/>
        <w:spacing w:line="480" w:lineRule="exact"/>
        <w:ind w:firstLine="240" w:firstLineChars="100"/>
        <w:outlineLvl w:val="9"/>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2、为保证质量须提供国家认可的检测报告。</w:t>
      </w:r>
    </w:p>
    <w:p>
      <w:pPr>
        <w:keepNext w:val="0"/>
        <w:keepLines w:val="0"/>
        <w:pageBreakBefore w:val="0"/>
        <w:kinsoku/>
        <w:wordWrap/>
        <w:overflowPunct/>
        <w:topLinePunct w:val="0"/>
        <w:autoSpaceDE/>
        <w:autoSpaceDN/>
        <w:bidi w:val="0"/>
        <w:adjustRightInd/>
        <w:spacing w:line="48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、投标文件目录清晰、页码连续、目录与页码对应准确，评审内容便于查找，正副本内容一样清晰可辨。</w:t>
      </w:r>
    </w:p>
    <w:p>
      <w:pPr>
        <w:pStyle w:val="15"/>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jc w:val="center"/>
        <w:outlineLvl w:val="0"/>
        <w:rPr>
          <w:rFonts w:hint="eastAsia" w:ascii="宋体" w:hAnsi="宋体" w:eastAsia="宋体" w:cs="宋体"/>
          <w:color w:val="auto"/>
          <w:highlight w:val="none"/>
        </w:rPr>
      </w:pPr>
      <w:bookmarkStart w:id="537" w:name="_Toc19292"/>
      <w:r>
        <w:rPr>
          <w:rStyle w:val="27"/>
          <w:rFonts w:hint="eastAsia" w:ascii="宋体" w:hAnsi="宋体" w:eastAsia="宋体" w:cs="宋体"/>
          <w:color w:val="auto"/>
          <w:highlight w:val="none"/>
        </w:rPr>
        <w:t>第6章  评标方法和标准</w:t>
      </w:r>
      <w:bookmarkEnd w:id="516"/>
      <w:bookmarkEnd w:id="517"/>
      <w:bookmarkEnd w:id="518"/>
      <w:bookmarkEnd w:id="519"/>
      <w:bookmarkEnd w:id="520"/>
      <w:bookmarkEnd w:id="521"/>
      <w:bookmarkEnd w:id="522"/>
      <w:bookmarkEnd w:id="535"/>
      <w:bookmarkEnd w:id="537"/>
    </w:p>
    <w:p>
      <w:pPr>
        <w:pStyle w:val="8"/>
        <w:keepNext w:val="0"/>
        <w:keepLines w:val="0"/>
        <w:pageBreakBefore w:val="0"/>
        <w:widowControl w:val="0"/>
        <w:tabs>
          <w:tab w:val="clear" w:pos="567"/>
        </w:tabs>
        <w:kinsoku/>
        <w:wordWrap/>
        <w:overflowPunct/>
        <w:topLinePunct w:val="0"/>
        <w:bidi w:val="0"/>
        <w:snapToGrid/>
        <w:spacing w:before="0" w:line="400" w:lineRule="exac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本项目将按照招标文件第一章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须知中“五 开标及评标”、“六 确定中标”及本章的规定评标。</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注：1.投标无效的情形：</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（1）单位负责人为同一人或者存在直接控股、管理关系的不同供应商，其相关投标将被认定为投标无效。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（2）若供应商须知资料表中未写明允许采购进口产品，如供应商所投产品为进口产品，其投标将被认定为投标无效。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（3）为本项目提供过整体设计、规范编制或者项目管理、监理、检测等服务的供应商，不得再参加本项目上述服务以外的其他采购活动。否则其投标将被认定为投标无效。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供应商在投标过程中不得向采购人提供、给予任何有价值的物品，影响其正常决策行为。一经发现，其将被认定为投标无效。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（4）供应商报价超过招标文件规定的预算金额或者分项、分包最高限价的，其投标将被认定为投标无效。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（6）供应商应当对所投分包招标文件中“货物需求”所列的所有内容进行投标，如仅响应某一包中的部分内容，其该包投标将被认定为投标无效。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（7）供应商未按本须知第12.1和12.3条规定提交投标保证金的，其投标将被认定为投标无效。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（9）供应商所报的各分项投标单价在合同履行过程中是固定不变的，不得以任何理由予以变更。任何包含价格调整要求的投标，其投标将被认定为投标无效。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（10）投标应在供应商须知资料表中规定时间内保持有效。投标有效期不满足要求的投标，其投标将被认定为投标无效。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（11）所有投标文件采用不可拆装的胶订方式装订，否则其投标将被认定为投标无效。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（12）采购人或采购代理机构将在开标前1个工作日至投标截止后1小时的期间内查询供应商的信用记录。供应商存在不良信用记录的，其投标将被认定为投标无效。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（15）如发现下列情况之一的，其投标将被认定为投标无效：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未按招标文件规定的形式和金额提交投标保证金的；未按照招标文件规定要求签署、盖章的；未满足招标文件中技术条款的实质性要求；与其他供应商串通投标，或者与</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pStyle w:val="8"/>
        <w:tabs>
          <w:tab w:val="clear" w:pos="567"/>
        </w:tabs>
        <w:spacing w:before="0" w:line="400" w:lineRule="exact"/>
        <w:ind w:firstLine="542" w:firstLineChars="225"/>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本项目不专门面向中小企业采购，</w:t>
      </w:r>
      <w:r>
        <w:rPr>
          <w:rFonts w:hint="eastAsia" w:ascii="宋体" w:hAnsi="宋体" w:eastAsia="宋体" w:cs="宋体"/>
          <w:b/>
          <w:bCs/>
          <w:color w:val="auto"/>
          <w:highlight w:val="none"/>
        </w:rPr>
        <w:t>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供应商，其投标报价扣除</w:t>
      </w:r>
      <w:r>
        <w:rPr>
          <w:rFonts w:hint="eastAsia" w:cs="宋体"/>
          <w:b/>
          <w:bCs/>
          <w:color w:val="auto"/>
          <w:highlight w:val="none"/>
          <w:u w:val="single"/>
          <w:lang w:val="en-US" w:eastAsia="zh-CN"/>
        </w:rPr>
        <w:t xml:space="preserve"> 10</w:t>
      </w:r>
      <w:r>
        <w:rPr>
          <w:rFonts w:hint="eastAsia" w:ascii="宋体" w:hAnsi="宋体" w:eastAsia="宋体" w:cs="宋体"/>
          <w:b/>
          <w:bCs/>
          <w:color w:val="auto"/>
          <w:highlight w:val="none"/>
          <w:u w:val="single"/>
        </w:rPr>
        <w:t>%</w:t>
      </w:r>
      <w:r>
        <w:rPr>
          <w:rFonts w:hint="eastAsia" w:cs="宋体"/>
          <w:b/>
          <w:bCs/>
          <w:color w:val="auto"/>
          <w:highlight w:val="none"/>
          <w:u w:val="single"/>
          <w:lang w:val="en-US" w:eastAsia="zh-CN"/>
        </w:rPr>
        <w:t xml:space="preserve"> </w:t>
      </w:r>
      <w:r>
        <w:rPr>
          <w:rFonts w:hint="eastAsia" w:ascii="宋体" w:hAnsi="宋体" w:eastAsia="宋体" w:cs="宋体"/>
          <w:b/>
          <w:bCs/>
          <w:color w:val="auto"/>
          <w:highlight w:val="none"/>
        </w:rPr>
        <w:t>后参与评审。对于同时属于小微企业、监狱企业或残疾人福利性单位的，不重复进行投标报价扣除。</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3.联合协议中约定，小型、微型企业和监狱企业的协议合同金额占到联合体协议合同总金额30%以上的，可给予联合体2-3%的价格扣除。（本项目不适用）</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联合体各方均为小型、微型企业和监狱企业的，联合体视同为小型、微型企业和监狱企业。</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4.供应商所投产品如被列入财政部与国家主管部门颁发的节能产品目录或环境标志产品目录或无线局域网产品目录，应提供相关证明，在评标时予以优先采购，具体优惠措施为：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5.如采购人所采购产品为政府强制采购的节能产品，供应商所投产品的品牌及型号必须为清单中有效期内产品并提供证明文件，否则其投标将被认定为投标无效。</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 xml:space="preserve">6.对创新产品或创新性企业的优惠措施为：    /       </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7.开标：</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（1）采购人和采购代理机构将按</w:t>
      </w:r>
      <w:r>
        <w:rPr>
          <w:rFonts w:hint="eastAsia" w:cs="宋体"/>
          <w:color w:val="auto"/>
          <w:highlight w:val="none"/>
          <w:lang w:eastAsia="zh-CN"/>
        </w:rPr>
        <w:t>供应商</w:t>
      </w:r>
      <w:r>
        <w:rPr>
          <w:rFonts w:hint="eastAsia" w:ascii="宋体" w:hAnsi="宋体" w:eastAsia="宋体" w:cs="宋体"/>
          <w:color w:val="auto"/>
          <w:highlight w:val="none"/>
        </w:rPr>
        <w:t>须知资料表中规定的开标时间和地点组织公开开标并邀请所有</w:t>
      </w:r>
      <w:r>
        <w:rPr>
          <w:rFonts w:hint="eastAsia" w:cs="宋体"/>
          <w:color w:val="auto"/>
          <w:highlight w:val="none"/>
          <w:lang w:eastAsia="zh-CN"/>
        </w:rPr>
        <w:t>供应商</w:t>
      </w:r>
      <w:r>
        <w:rPr>
          <w:rFonts w:hint="eastAsia" w:ascii="宋体" w:hAnsi="宋体" w:eastAsia="宋体" w:cs="宋体"/>
          <w:color w:val="auto"/>
          <w:highlight w:val="none"/>
        </w:rPr>
        <w:t>代表参加。</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（2）开标前，工作人员收走所有参会人员的手机，主持人宣布开标纪律.</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（3）开标时，由采购人或采购代理机构依据法律法规和招标文件中规定的内容，对</w:t>
      </w:r>
      <w:r>
        <w:rPr>
          <w:rFonts w:hint="eastAsia" w:cs="宋体"/>
          <w:color w:val="auto"/>
          <w:highlight w:val="none"/>
          <w:lang w:eastAsia="zh-CN"/>
        </w:rPr>
        <w:t>供应商</w:t>
      </w:r>
      <w:r>
        <w:rPr>
          <w:rFonts w:hint="eastAsia" w:ascii="宋体" w:hAnsi="宋体" w:eastAsia="宋体" w:cs="宋体"/>
          <w:color w:val="auto"/>
          <w:highlight w:val="none"/>
        </w:rPr>
        <w:t>的资格进行审查，并让</w:t>
      </w:r>
      <w:r>
        <w:rPr>
          <w:rFonts w:hint="eastAsia" w:cs="宋体"/>
          <w:color w:val="auto"/>
          <w:highlight w:val="none"/>
          <w:lang w:eastAsia="zh-CN"/>
        </w:rPr>
        <w:t>供应商</w:t>
      </w:r>
      <w:r>
        <w:rPr>
          <w:rFonts w:hint="eastAsia" w:ascii="宋体" w:hAnsi="宋体" w:eastAsia="宋体" w:cs="宋体"/>
          <w:color w:val="auto"/>
          <w:highlight w:val="none"/>
        </w:rPr>
        <w:t>对资格审查结果签字确认。</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cs="宋体"/>
          <w:color w:val="auto"/>
          <w:highlight w:val="none"/>
          <w:lang w:eastAsia="zh-CN"/>
        </w:rPr>
        <w:t>供应商</w:t>
      </w:r>
      <w:r>
        <w:rPr>
          <w:rFonts w:hint="eastAsia" w:ascii="宋体" w:hAnsi="宋体" w:eastAsia="宋体" w:cs="宋体"/>
          <w:color w:val="auto"/>
          <w:highlight w:val="none"/>
        </w:rPr>
        <w:t>或其推选的代表检查自己或所有投标供应商的投标文件的密封情况，并对密封情况签字确认。经记录后，由采购人或采购代理机构当众拆封投标文件第一部分，宣读</w:t>
      </w:r>
      <w:r>
        <w:rPr>
          <w:rFonts w:hint="eastAsia" w:cs="宋体"/>
          <w:color w:val="auto"/>
          <w:highlight w:val="none"/>
          <w:lang w:eastAsia="zh-CN"/>
        </w:rPr>
        <w:t>供应商</w:t>
      </w:r>
      <w:r>
        <w:rPr>
          <w:rFonts w:hint="eastAsia" w:ascii="宋体" w:hAnsi="宋体" w:eastAsia="宋体" w:cs="宋体"/>
          <w:color w:val="auto"/>
          <w:highlight w:val="none"/>
        </w:rPr>
        <w:t>名称、投标价格及招标文件规定的内容。对于</w:t>
      </w:r>
      <w:r>
        <w:rPr>
          <w:rFonts w:hint="eastAsia" w:cs="宋体"/>
          <w:color w:val="auto"/>
          <w:highlight w:val="none"/>
          <w:lang w:eastAsia="zh-CN"/>
        </w:rPr>
        <w:t>供应商</w:t>
      </w:r>
      <w:r>
        <w:rPr>
          <w:rFonts w:hint="eastAsia" w:ascii="宋体" w:hAnsi="宋体" w:eastAsia="宋体" w:cs="宋体"/>
          <w:color w:val="auto"/>
          <w:highlight w:val="none"/>
        </w:rPr>
        <w:t>在投标截止期前递交的投标声明，在开标时当众宣读，评标时有效。</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（5）未宣读投标价格、价格折扣等实质内容，评标时不予承认。</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（6）采购人或采购代理机构将对开标过程进行记录，由参加开标的各</w:t>
      </w:r>
      <w:r>
        <w:rPr>
          <w:rFonts w:hint="eastAsia" w:cs="宋体"/>
          <w:color w:val="auto"/>
          <w:highlight w:val="none"/>
          <w:lang w:eastAsia="zh-CN"/>
        </w:rPr>
        <w:t>供应商</w:t>
      </w:r>
      <w:r>
        <w:rPr>
          <w:rFonts w:hint="eastAsia" w:ascii="宋体" w:hAnsi="宋体" w:eastAsia="宋体" w:cs="宋体"/>
          <w:color w:val="auto"/>
          <w:highlight w:val="none"/>
        </w:rPr>
        <w:t>代表和相关工作人员签字确认，并存档备查。</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cs="宋体"/>
          <w:color w:val="auto"/>
          <w:highlight w:val="none"/>
          <w:lang w:eastAsia="zh-CN"/>
        </w:rPr>
        <w:t>供应商</w:t>
      </w:r>
      <w:r>
        <w:rPr>
          <w:rFonts w:hint="eastAsia" w:ascii="宋体" w:hAnsi="宋体" w:eastAsia="宋体" w:cs="宋体"/>
          <w:color w:val="auto"/>
          <w:highlight w:val="none"/>
        </w:rPr>
        <w:t>代表对开标过程和开标记录有疑义，以及认为采购人、采购代理机构相关工作人员有需要回避的情形的，应当场提出询问或者回避申请。</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8.评标：</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（1）采购人或采购代理机构依据法律法规和招标文件中规定的内容，对</w:t>
      </w:r>
      <w:r>
        <w:rPr>
          <w:rFonts w:hint="eastAsia" w:cs="宋体"/>
          <w:color w:val="auto"/>
          <w:highlight w:val="none"/>
          <w:lang w:eastAsia="zh-CN"/>
        </w:rPr>
        <w:t>供应商</w:t>
      </w:r>
      <w:r>
        <w:rPr>
          <w:rFonts w:hint="eastAsia" w:ascii="宋体" w:hAnsi="宋体" w:eastAsia="宋体" w:cs="宋体"/>
          <w:color w:val="auto"/>
          <w:highlight w:val="none"/>
        </w:rPr>
        <w:t>的投标文件进行资格性审查。</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（2）未通过资格审查的</w:t>
      </w:r>
      <w:r>
        <w:rPr>
          <w:rFonts w:hint="eastAsia" w:cs="宋体"/>
          <w:color w:val="auto"/>
          <w:highlight w:val="none"/>
          <w:lang w:eastAsia="zh-CN"/>
        </w:rPr>
        <w:t>供应商</w:t>
      </w:r>
      <w:r>
        <w:rPr>
          <w:rFonts w:hint="eastAsia" w:ascii="宋体" w:hAnsi="宋体" w:eastAsia="宋体" w:cs="宋体"/>
          <w:color w:val="auto"/>
          <w:highlight w:val="none"/>
        </w:rPr>
        <w:t>不进入评标；通过资格审查的</w:t>
      </w:r>
      <w:r>
        <w:rPr>
          <w:rFonts w:hint="eastAsia" w:cs="宋体"/>
          <w:color w:val="auto"/>
          <w:highlight w:val="none"/>
          <w:lang w:eastAsia="zh-CN"/>
        </w:rPr>
        <w:t>供应商</w:t>
      </w:r>
      <w:r>
        <w:rPr>
          <w:rFonts w:hint="eastAsia" w:ascii="宋体" w:hAnsi="宋体" w:eastAsia="宋体" w:cs="宋体"/>
          <w:color w:val="auto"/>
          <w:highlight w:val="none"/>
        </w:rPr>
        <w:t>少于不足三家的，不得评标。</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（3）符合性审查是指依据招标文件的规定，从投标文件的有效性和完整性对招标文件的响应程度进行审查，以确定是否对招标文件的实质性要求做出响应。</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（4）经符合性审查合格的投标文件，评标委员会将根据招标文件确定的评标方法和标准，对其技术部分和商务部分作进一步的比较和评价。</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（5）评标严格按照招标文件的要求和条件进行：综合评分法，是指投标文件满足招标文件全部实质性要求，且按照评审因素的量化指标评审得分最高的</w:t>
      </w:r>
      <w:r>
        <w:rPr>
          <w:rFonts w:hint="eastAsia" w:cs="宋体"/>
          <w:color w:val="auto"/>
          <w:highlight w:val="none"/>
          <w:lang w:eastAsia="zh-CN"/>
        </w:rPr>
        <w:t>供应商</w:t>
      </w:r>
      <w:r>
        <w:rPr>
          <w:rFonts w:hint="eastAsia" w:ascii="宋体" w:hAnsi="宋体" w:eastAsia="宋体" w:cs="宋体"/>
          <w:color w:val="auto"/>
          <w:highlight w:val="none"/>
        </w:rPr>
        <w:t>为中标候选人的评标方法。</w:t>
      </w:r>
    </w:p>
    <w:p>
      <w:pPr>
        <w:pStyle w:val="8"/>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同品牌处理办法：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8"/>
        <w:tabs>
          <w:tab w:val="clear" w:pos="567"/>
        </w:tabs>
        <w:spacing w:before="0" w:line="400" w:lineRule="exact"/>
        <w:ind w:firstLine="540" w:firstLineChars="22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8"/>
        <w:tabs>
          <w:tab w:val="clear" w:pos="567"/>
        </w:tabs>
        <w:spacing w:before="0" w:line="400" w:lineRule="exact"/>
        <w:rPr>
          <w:rFonts w:hint="eastAsia" w:ascii="宋体" w:hAnsi="宋体" w:eastAsia="宋体" w:cs="宋体"/>
          <w:color w:val="auto"/>
          <w:highlight w:val="none"/>
        </w:rPr>
      </w:pPr>
    </w:p>
    <w:p>
      <w:pPr>
        <w:spacing w:line="300" w:lineRule="auto"/>
        <w:jc w:val="center"/>
        <w:outlineLvl w:val="9"/>
        <w:rPr>
          <w:rFonts w:hint="eastAsia" w:ascii="宋体" w:hAnsi="宋体" w:eastAsia="宋体" w:cs="宋体"/>
          <w:b/>
          <w:bCs/>
          <w:color w:val="auto"/>
          <w:szCs w:val="21"/>
          <w:highlight w:val="none"/>
        </w:rPr>
      </w:pPr>
      <w:bookmarkStart w:id="538" w:name="_Toc26572"/>
      <w:bookmarkStart w:id="539" w:name="_Toc1545"/>
      <w:bookmarkStart w:id="540" w:name="_Toc13647"/>
      <w:bookmarkStart w:id="541" w:name="_Toc7781"/>
      <w:bookmarkStart w:id="542" w:name="_Toc27829"/>
      <w:bookmarkStart w:id="543" w:name="_Toc1126"/>
      <w:bookmarkStart w:id="544" w:name="_Toc8137"/>
      <w:bookmarkStart w:id="545" w:name="_Toc3470"/>
      <w:bookmarkStart w:id="546" w:name="_Toc12716"/>
      <w:bookmarkStart w:id="547" w:name="_Toc19540"/>
      <w:bookmarkStart w:id="548" w:name="_Toc19633"/>
      <w:bookmarkStart w:id="549" w:name="_Toc18687"/>
      <w:bookmarkStart w:id="550" w:name="_Toc32167"/>
      <w:bookmarkStart w:id="551" w:name="_Toc12438"/>
      <w:bookmarkStart w:id="552" w:name="_Toc13711"/>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spacing w:line="300" w:lineRule="auto"/>
        <w:jc w:val="center"/>
        <w:outlineLvl w:val="0"/>
        <w:rPr>
          <w:rFonts w:hint="eastAsia" w:ascii="宋体" w:hAnsi="宋体" w:eastAsia="宋体" w:cs="宋体"/>
          <w:b/>
          <w:bCs/>
          <w:color w:val="auto"/>
          <w:szCs w:val="21"/>
          <w:highlight w:val="none"/>
        </w:rPr>
      </w:pPr>
      <w:bookmarkStart w:id="553" w:name="_Toc7770"/>
      <w:r>
        <w:rPr>
          <w:rFonts w:hint="eastAsia" w:ascii="宋体" w:hAnsi="宋体" w:eastAsia="宋体" w:cs="宋体"/>
          <w:b/>
          <w:bCs/>
          <w:color w:val="auto"/>
          <w:szCs w:val="21"/>
          <w:highlight w:val="none"/>
        </w:rPr>
        <w:t>初步评审—资格性审查表</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tbl>
      <w:tblPr>
        <w:tblStyle w:val="20"/>
        <w:tblpPr w:leftFromText="180" w:rightFromText="180" w:vertAnchor="text" w:horzAnchor="page" w:tblpXSpec="center" w:tblpY="234"/>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136"/>
        <w:gridCol w:w="1125"/>
        <w:gridCol w:w="114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9" w:type="dxa"/>
            <w:vMerge w:val="restart"/>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136" w:type="dxa"/>
            <w:vMerge w:val="restart"/>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3355" w:type="dxa"/>
            <w:gridSpan w:val="3"/>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9" w:type="dxa"/>
            <w:vMerge w:val="continue"/>
            <w:vAlign w:val="center"/>
          </w:tcPr>
          <w:p>
            <w:pPr>
              <w:spacing w:line="400" w:lineRule="exact"/>
              <w:rPr>
                <w:rFonts w:hint="eastAsia" w:ascii="宋体" w:hAnsi="宋体" w:eastAsia="宋体" w:cs="宋体"/>
                <w:b/>
                <w:bCs/>
                <w:color w:val="auto"/>
                <w:szCs w:val="21"/>
                <w:highlight w:val="none"/>
              </w:rPr>
            </w:pPr>
          </w:p>
        </w:tc>
        <w:tc>
          <w:tcPr>
            <w:tcW w:w="6136" w:type="dxa"/>
            <w:vMerge w:val="continue"/>
            <w:vAlign w:val="center"/>
          </w:tcPr>
          <w:p>
            <w:pPr>
              <w:spacing w:line="400" w:lineRule="exact"/>
              <w:rPr>
                <w:rFonts w:hint="eastAsia" w:ascii="宋体" w:hAnsi="宋体" w:eastAsia="宋体" w:cs="宋体"/>
                <w:b/>
                <w:bCs/>
                <w:color w:val="auto"/>
                <w:szCs w:val="21"/>
                <w:highlight w:val="none"/>
              </w:rPr>
            </w:pPr>
          </w:p>
        </w:tc>
        <w:tc>
          <w:tcPr>
            <w:tcW w:w="1125"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140"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090"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具有有效的独立法人营业执照；</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提供《医疗器械生产许可证》或《医疗器械经营许可证》及医疗器械注册证（所投产品为二类医疗器械的须提供二类医疗器械备案凭证）；</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法定代表人资格证明及授权书、被授权人身份证；(法定代表人投标需提供法定代表人身份证)；</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4.依法缴纳近六个月内任意一个月社会保险的凭据；</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税务部门出具的近六个月内任意一个月的完税证明；</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近两年内任意一年的财务审计报告（新成立的公司提供近三个月内任意一个月的银行资信证明）；</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参与政府采购活动前3年内未被列入失信、重大税收违法案件、财政部门禁止参加政府采购活动的承诺书；</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提供针对本次项目的《反商业贿赂承诺书》;</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6136" w:type="dxa"/>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提供缴纳投标保证金的有效凭证</w:t>
            </w:r>
            <w:r>
              <w:rPr>
                <w:rFonts w:hint="eastAsia" w:ascii="宋体" w:hAnsi="宋体" w:cs="宋体"/>
                <w:color w:val="auto"/>
                <w:szCs w:val="21"/>
                <w:highlight w:val="none"/>
                <w:lang w:val="en-US" w:eastAsia="zh-CN"/>
              </w:rPr>
              <w:t>。</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400" w:lineRule="exact"/>
              <w:rPr>
                <w:rFonts w:hint="eastAsia" w:ascii="宋体" w:hAnsi="宋体" w:eastAsia="宋体" w:cs="宋体"/>
                <w:color w:val="auto"/>
                <w:szCs w:val="21"/>
                <w:highlight w:val="none"/>
              </w:rPr>
            </w:pPr>
          </w:p>
        </w:tc>
        <w:tc>
          <w:tcPr>
            <w:tcW w:w="6136"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bl>
    <w:p>
      <w:pPr>
        <w:pStyle w:val="3"/>
        <w:ind w:firstLine="0"/>
        <w:rPr>
          <w:rFonts w:hint="eastAsia" w:ascii="宋体" w:hAnsi="宋体" w:eastAsia="宋体" w:cs="宋体"/>
          <w:b/>
          <w:bCs/>
          <w:color w:val="auto"/>
          <w:sz w:val="21"/>
          <w:szCs w:val="21"/>
          <w:highlight w:val="none"/>
        </w:rPr>
      </w:pP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说明：（1）上述各项中用“√”表示通过，“×”表示不通过；</w:t>
      </w: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（3）投标文件最终合格与否，以所有评委的评审意见中少数服从多数为原则定论。</w:t>
      </w:r>
    </w:p>
    <w:p>
      <w:pPr>
        <w:spacing w:line="24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不进入评标；通过资格审查的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少于不足三家的，不得评标。</w:t>
      </w:r>
    </w:p>
    <w:p>
      <w:pPr>
        <w:pStyle w:val="3"/>
        <w:spacing w:line="300" w:lineRule="auto"/>
        <w:ind w:firstLine="0"/>
        <w:jc w:val="both"/>
        <w:rPr>
          <w:rFonts w:hint="eastAsia" w:ascii="宋体" w:hAnsi="宋体" w:eastAsia="宋体" w:cs="宋体"/>
          <w:b/>
          <w:bCs/>
          <w:color w:val="auto"/>
          <w:sz w:val="21"/>
          <w:szCs w:val="21"/>
          <w:highlight w:val="none"/>
        </w:rPr>
      </w:pPr>
    </w:p>
    <w:p>
      <w:pPr>
        <w:pStyle w:val="3"/>
        <w:spacing w:line="300" w:lineRule="auto"/>
        <w:ind w:firstLine="0"/>
        <w:jc w:val="center"/>
        <w:outlineLvl w:val="0"/>
        <w:rPr>
          <w:rFonts w:hint="eastAsia" w:ascii="宋体" w:hAnsi="宋体" w:eastAsia="宋体" w:cs="宋体"/>
          <w:b/>
          <w:bCs/>
          <w:color w:val="auto"/>
          <w:sz w:val="21"/>
          <w:szCs w:val="21"/>
          <w:highlight w:val="none"/>
        </w:rPr>
      </w:pPr>
      <w:bookmarkStart w:id="554" w:name="_Toc7343"/>
      <w:bookmarkStart w:id="555" w:name="_Toc8771"/>
      <w:bookmarkStart w:id="556" w:name="_Toc11241"/>
      <w:bookmarkStart w:id="557" w:name="_Toc70"/>
      <w:bookmarkStart w:id="558" w:name="_Toc22718"/>
      <w:bookmarkStart w:id="559" w:name="_Toc12276"/>
      <w:bookmarkStart w:id="560" w:name="_Toc28345"/>
      <w:bookmarkStart w:id="561" w:name="_Toc19523"/>
      <w:bookmarkStart w:id="562" w:name="_Toc12096"/>
      <w:bookmarkStart w:id="563" w:name="_Toc29061"/>
      <w:bookmarkStart w:id="564" w:name="_Toc8628"/>
      <w:bookmarkStart w:id="565" w:name="_Toc946"/>
      <w:bookmarkStart w:id="566" w:name="_Toc559"/>
      <w:bookmarkStart w:id="567" w:name="_Toc2556"/>
      <w:bookmarkStart w:id="568" w:name="_Toc23770"/>
      <w:bookmarkStart w:id="569" w:name="_Toc20613"/>
      <w:r>
        <w:rPr>
          <w:rFonts w:hint="eastAsia" w:ascii="宋体" w:hAnsi="宋体" w:eastAsia="宋体" w:cs="宋体"/>
          <w:b/>
          <w:bCs/>
          <w:color w:val="auto"/>
          <w:sz w:val="21"/>
          <w:szCs w:val="21"/>
          <w:highlight w:val="none"/>
        </w:rPr>
        <w:t>初步评审—符合性审查表</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Style w:val="20"/>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51" w:type="dxa"/>
            <w:gridSpan w:val="2"/>
            <w:vAlign w:val="center"/>
          </w:tcPr>
          <w:p>
            <w:pPr>
              <w:spacing w:line="300" w:lineRule="auto"/>
              <w:jc w:val="center"/>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评审内容</w:t>
            </w:r>
          </w:p>
        </w:tc>
        <w:tc>
          <w:tcPr>
            <w:tcW w:w="1668" w:type="dxa"/>
            <w:vAlign w:val="center"/>
          </w:tcPr>
          <w:p>
            <w:pPr>
              <w:spacing w:line="300" w:lineRule="auto"/>
              <w:jc w:val="center"/>
              <w:rPr>
                <w:rFonts w:hint="eastAsia" w:ascii="宋体" w:hAnsi="宋体" w:eastAsia="宋体" w:cs="宋体"/>
                <w:color w:val="auto"/>
                <w:spacing w:val="-2"/>
                <w:sz w:val="24"/>
                <w:highlight w:val="none"/>
              </w:rPr>
            </w:pPr>
            <w:r>
              <w:rPr>
                <w:rFonts w:hint="eastAsia" w:ascii="宋体" w:hAnsi="宋体" w:eastAsia="宋体" w:cs="宋体"/>
                <w:b/>
                <w:color w:val="auto"/>
                <w:sz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pPr>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887" w:type="dxa"/>
            <w:vAlign w:val="center"/>
          </w:tcPr>
          <w:p>
            <w:pPr>
              <w:spacing w:line="300" w:lineRule="auto"/>
              <w:rPr>
                <w:rFonts w:hint="eastAsia" w:ascii="宋体" w:hAnsi="宋体" w:eastAsia="宋体" w:cs="宋体"/>
                <w:color w:val="auto"/>
                <w:spacing w:val="-2"/>
                <w:sz w:val="24"/>
                <w:highlight w:val="none"/>
              </w:rPr>
            </w:pPr>
          </w:p>
        </w:tc>
        <w:tc>
          <w:tcPr>
            <w:tcW w:w="1668" w:type="dxa"/>
            <w:vAlign w:val="center"/>
          </w:tcPr>
          <w:p>
            <w:pPr>
              <w:spacing w:line="300" w:lineRule="auto"/>
              <w:jc w:val="center"/>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各</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投标报价未高于预算金额</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评标委员会认为</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的报价无明显低于其他通过</w:t>
            </w:r>
            <w:r>
              <w:rPr>
                <w:rFonts w:hint="eastAsia" w:ascii="宋体" w:hAnsi="宋体" w:eastAsia="宋体" w:cs="宋体"/>
                <w:color w:val="auto"/>
                <w:spacing w:val="-2"/>
                <w:sz w:val="24"/>
                <w:highlight w:val="none"/>
                <w:lang w:val="en-US" w:eastAsia="zh-CN"/>
              </w:rPr>
              <w:t>资格性</w:t>
            </w:r>
            <w:r>
              <w:rPr>
                <w:rFonts w:hint="eastAsia" w:ascii="宋体" w:hAnsi="宋体" w:eastAsia="宋体" w:cs="宋体"/>
                <w:color w:val="auto"/>
                <w:spacing w:val="-2"/>
                <w:sz w:val="24"/>
                <w:highlight w:val="none"/>
              </w:rPr>
              <w:t>审查</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的报价的，</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的报价不存在异常一致并成规律性的，其报价合理</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投标文件按照招标文件的规定编制、标记及签署盖章的，法定代表人或其授权代表签字（章）和加盖</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公章的（投标文件正本的印章和签字不能为复印件）</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6887" w:type="dxa"/>
            <w:vAlign w:val="center"/>
          </w:tcPr>
          <w:p>
            <w:pPr>
              <w:spacing w:line="300" w:lineRule="auto"/>
              <w:jc w:val="left"/>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按招标文件规定的格式填写，内容全或关键字迹清晰、数量等齐全的；</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符合招标文件中规定的实质性要求</w:t>
            </w:r>
            <w:r>
              <w:rPr>
                <w:rFonts w:hint="eastAsia" w:ascii="宋体" w:hAnsi="宋体" w:eastAsia="宋体" w:cs="宋体"/>
                <w:b/>
                <w:bCs/>
                <w:color w:val="auto"/>
                <w:spacing w:val="-2"/>
                <w:sz w:val="24"/>
                <w:highlight w:val="none"/>
                <w:lang w:eastAsia="zh-CN"/>
              </w:rPr>
              <w:t>（</w:t>
            </w:r>
            <w:r>
              <w:rPr>
                <w:rFonts w:hint="eastAsia" w:ascii="宋体" w:hAnsi="宋体" w:eastAsia="宋体" w:cs="宋体"/>
                <w:b/>
                <w:bCs/>
                <w:color w:val="auto"/>
                <w:spacing w:val="-2"/>
                <w:sz w:val="24"/>
                <w:highlight w:val="none"/>
                <w:lang w:val="en-US" w:eastAsia="zh-CN"/>
              </w:rPr>
              <w:t>交货期、质保期</w:t>
            </w:r>
            <w:r>
              <w:rPr>
                <w:rFonts w:hint="eastAsia" w:ascii="宋体" w:hAnsi="宋体" w:eastAsia="宋体" w:cs="宋体"/>
                <w:b/>
                <w:bCs/>
                <w:color w:val="auto"/>
                <w:spacing w:val="-2"/>
                <w:sz w:val="24"/>
                <w:highlight w:val="none"/>
                <w:lang w:eastAsia="zh-CN"/>
              </w:rPr>
              <w:t>）</w:t>
            </w:r>
            <w:r>
              <w:rPr>
                <w:rFonts w:hint="eastAsia" w:ascii="宋体" w:hAnsi="宋体" w:cs="宋体"/>
                <w:b/>
                <w:bCs/>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没有采购人不能接受的附加条件的</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不同</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的投标文件没有错漏一致的情况</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6887" w:type="dxa"/>
            <w:vAlign w:val="center"/>
          </w:tcPr>
          <w:p>
            <w:pPr>
              <w:spacing w:line="300" w:lineRule="auto"/>
              <w:jc w:val="lef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附有详细地址、联系人、电话标明的。</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pPr>
              <w:spacing w:line="300" w:lineRule="auto"/>
              <w:ind w:firstLine="424" w:firstLineChars="18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结论：通过评审打“√”，未通过评审打“×”</w:t>
            </w:r>
          </w:p>
        </w:tc>
        <w:tc>
          <w:tcPr>
            <w:tcW w:w="1668" w:type="dxa"/>
            <w:vAlign w:val="center"/>
          </w:tcPr>
          <w:p>
            <w:pPr>
              <w:spacing w:line="300" w:lineRule="auto"/>
              <w:ind w:firstLine="424" w:firstLineChars="180"/>
              <w:rPr>
                <w:rFonts w:hint="eastAsia" w:ascii="宋体" w:hAnsi="宋体" w:eastAsia="宋体" w:cs="宋体"/>
                <w:color w:val="auto"/>
                <w:spacing w:val="-2"/>
                <w:sz w:val="24"/>
                <w:highlight w:val="none"/>
              </w:rPr>
            </w:pPr>
          </w:p>
        </w:tc>
      </w:tr>
    </w:tbl>
    <w:p>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pPr>
        <w:spacing w:line="300" w:lineRule="auto"/>
        <w:ind w:left="689" w:leftChars="28"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pPr>
        <w:pStyle w:val="3"/>
        <w:spacing w:line="30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（3）投标文件最终合格与否，以所有评委的评审意见中少数服从多数为原则定论。</w:t>
      </w:r>
    </w:p>
    <w:p>
      <w:pPr>
        <w:spacing w:line="24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w:t>
      </w:r>
      <w:r>
        <w:rPr>
          <w:rFonts w:hint="eastAsia" w:ascii="宋体" w:hAnsi="宋体" w:eastAsia="宋体" w:cs="宋体"/>
          <w:b/>
          <w:bCs/>
          <w:color w:val="auto"/>
          <w:sz w:val="21"/>
          <w:szCs w:val="21"/>
          <w:highlight w:val="none"/>
        </w:rPr>
        <w:t>符合性审查</w:t>
      </w:r>
      <w:r>
        <w:rPr>
          <w:rFonts w:hint="eastAsia" w:ascii="宋体" w:hAnsi="宋体" w:eastAsia="宋体" w:cs="宋体"/>
          <w:b/>
          <w:bCs/>
          <w:color w:val="auto"/>
          <w:szCs w:val="21"/>
          <w:highlight w:val="none"/>
        </w:rPr>
        <w:t>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不进入评标；通过</w:t>
      </w:r>
      <w:r>
        <w:rPr>
          <w:rFonts w:hint="eastAsia" w:ascii="宋体" w:hAnsi="宋体" w:eastAsia="宋体" w:cs="宋体"/>
          <w:b/>
          <w:bCs/>
          <w:color w:val="auto"/>
          <w:sz w:val="21"/>
          <w:szCs w:val="21"/>
          <w:highlight w:val="none"/>
        </w:rPr>
        <w:t>符合性审查</w:t>
      </w:r>
      <w:r>
        <w:rPr>
          <w:rFonts w:hint="eastAsia" w:ascii="宋体" w:hAnsi="宋体" w:eastAsia="宋体" w:cs="宋体"/>
          <w:b/>
          <w:bCs/>
          <w:color w:val="auto"/>
          <w:szCs w:val="21"/>
          <w:highlight w:val="none"/>
        </w:rPr>
        <w:t>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少于不足三家的，不得评标。</w:t>
      </w: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p>
      <w:pPr>
        <w:pStyle w:val="15"/>
        <w:rPr>
          <w:rFonts w:hint="eastAsia" w:ascii="宋体" w:hAnsi="宋体" w:eastAsia="宋体" w:cs="宋体"/>
          <w:b/>
          <w:bCs/>
          <w:color w:val="auto"/>
          <w:szCs w:val="21"/>
          <w:highlight w:val="none"/>
        </w:rPr>
      </w:pPr>
    </w:p>
    <w:tbl>
      <w:tblPr>
        <w:tblStyle w:val="20"/>
        <w:tblW w:w="8700" w:type="dxa"/>
        <w:tblInd w:w="108" w:type="dxa"/>
        <w:tblLayout w:type="fixed"/>
        <w:tblCellMar>
          <w:top w:w="0" w:type="dxa"/>
          <w:left w:w="108" w:type="dxa"/>
          <w:bottom w:w="0" w:type="dxa"/>
          <w:right w:w="108" w:type="dxa"/>
        </w:tblCellMar>
      </w:tblPr>
      <w:tblGrid>
        <w:gridCol w:w="2126"/>
        <w:gridCol w:w="4137"/>
        <w:gridCol w:w="765"/>
        <w:gridCol w:w="855"/>
        <w:gridCol w:w="817"/>
      </w:tblGrid>
      <w:tr>
        <w:trPr>
          <w:trHeight w:val="585" w:hRule="atLeast"/>
        </w:trPr>
        <w:tc>
          <w:tcPr>
            <w:tcW w:w="8700" w:type="dxa"/>
            <w:gridSpan w:val="5"/>
            <w:tcBorders>
              <w:top w:val="nil"/>
              <w:left w:val="nil"/>
              <w:bottom w:val="single" w:color="auto" w:sz="4" w:space="0"/>
              <w:right w:val="nil"/>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一、商务符合性审查表</w:t>
            </w:r>
          </w:p>
        </w:tc>
      </w:tr>
      <w:tr>
        <w:tblPrEx>
          <w:tblCellMar>
            <w:top w:w="0" w:type="dxa"/>
            <w:left w:w="108" w:type="dxa"/>
            <w:bottom w:w="0" w:type="dxa"/>
            <w:right w:w="108" w:type="dxa"/>
          </w:tblCellMar>
        </w:tblPrEx>
        <w:trPr>
          <w:trHeight w:val="754" w:hRule="atLeast"/>
        </w:trPr>
        <w:tc>
          <w:tcPr>
            <w:tcW w:w="6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审查事项</w:t>
            </w:r>
          </w:p>
        </w:tc>
        <w:tc>
          <w:tcPr>
            <w:tcW w:w="243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招标文件条款（</w:t>
            </w: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须知、</w:t>
            </w: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须知资料表条款号）</w:t>
            </w:r>
          </w:p>
        </w:tc>
        <w:tc>
          <w:tcPr>
            <w:tcW w:w="41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本项目要求</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中小企业投标要求（1.3.6）</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i/>
                <w:iCs/>
                <w:color w:val="auto"/>
                <w:kern w:val="0"/>
                <w:sz w:val="24"/>
                <w:szCs w:val="24"/>
                <w:highlight w:val="none"/>
                <w:u w:val="single"/>
              </w:rPr>
              <w:t>适用</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联合体投标规定</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i/>
                <w:iCs/>
                <w:color w:val="auto"/>
                <w:kern w:val="0"/>
                <w:sz w:val="24"/>
                <w:szCs w:val="24"/>
                <w:highlight w:val="none"/>
                <w:u w:val="single"/>
              </w:rPr>
              <w:t>不接受</w:t>
            </w:r>
            <w:r>
              <w:rPr>
                <w:rFonts w:hint="eastAsia" w:ascii="宋体" w:hAnsi="宋体" w:eastAsia="宋体" w:cs="宋体"/>
                <w:color w:val="auto"/>
                <w:kern w:val="0"/>
                <w:sz w:val="24"/>
                <w:szCs w:val="24"/>
                <w:highlight w:val="none"/>
              </w:rPr>
              <w:t>联合体投标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的关联性</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在同一标包内，单位负责人为非同一人或者不存在直接控股、管理关系的不同供应商。</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未发现影响采购人决策行为（1.5）</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在投标过程中未向采购人提供、给予任何有价值的物品，影响其正常决策行为。</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满足投标范围的完整性要求（8.1）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对所投分包招标文件中所列的所有内容进行投标。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未包含价格调整要求（11.4）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所报的各分项投标报价在合同履行过程中是固定不变的，不得以任何理由予以变更。</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投标保证金（12.1）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投标有效期满足要求（13.1）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自提交投标文件截止之日起</w:t>
            </w:r>
            <w:r>
              <w:rPr>
                <w:rFonts w:hint="eastAsia" w:ascii="宋体" w:hAnsi="宋体" w:eastAsia="宋体" w:cs="宋体"/>
                <w:color w:val="auto"/>
                <w:sz w:val="24"/>
                <w:szCs w:val="24"/>
                <w:highlight w:val="none"/>
                <w:u w:val="single"/>
              </w:rPr>
              <w:t xml:space="preserve"> 60  日</w:t>
            </w:r>
            <w:r>
              <w:rPr>
                <w:rFonts w:hint="eastAsia" w:ascii="宋体" w:hAnsi="宋体" w:eastAsia="宋体" w:cs="宋体"/>
                <w:color w:val="auto"/>
                <w:sz w:val="24"/>
                <w:szCs w:val="24"/>
                <w:highlight w:val="none"/>
              </w:rPr>
              <w:t>历日内</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投标文件的装订方式（14.3）</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所有投标文件采用不可拆装的胶订方式装订</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投标文件的签署和盖章符合要求</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（14.2、14.4）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按照招标文件规定要求签署、盖章。</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接受价格的算术修正（20.3）</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投标文件报价出现前后不一致的，应按照招标文件规定的顺序修正。修正后的报价经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符合强制采购节能产品要求（20.6）</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i/>
                <w:iCs/>
                <w:color w:val="auto"/>
                <w:kern w:val="0"/>
                <w:sz w:val="24"/>
                <w:szCs w:val="24"/>
                <w:highlight w:val="none"/>
                <w:u w:val="single"/>
              </w:rPr>
              <w:t>适用</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未发现串通投标（22.2）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未与其他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串通投标，或者与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报价说明可以接受（22.2）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的报价明显低于其他通过符合性检查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的报价，有可能影响履约的，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能按照规定证明其报价合理性。</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无采购人不能接受的附加条件（22.2）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投标文件未含有采购人不能接受的附加条件。</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774" w:hRule="atLeast"/>
        </w:trPr>
        <w:tc>
          <w:tcPr>
            <w:tcW w:w="6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结论</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p>
        </w:tc>
      </w:tr>
    </w:tbl>
    <w:p>
      <w:pPr>
        <w:pStyle w:val="8"/>
        <w:tabs>
          <w:tab w:val="clear" w:pos="567"/>
        </w:tabs>
        <w:spacing w:before="0" w:line="360" w:lineRule="auto"/>
        <w:ind w:left="-181" w:leftChars="-86" w:firstLine="577" w:firstLineChars="2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20"/>
        <w:tblW w:w="8700" w:type="dxa"/>
        <w:tblInd w:w="108" w:type="dxa"/>
        <w:tblLayout w:type="fixed"/>
        <w:tblCellMar>
          <w:top w:w="0" w:type="dxa"/>
          <w:left w:w="108" w:type="dxa"/>
          <w:bottom w:w="0" w:type="dxa"/>
          <w:right w:w="108" w:type="dxa"/>
        </w:tblCellMar>
      </w:tblPr>
      <w:tblGrid>
        <w:gridCol w:w="2820"/>
        <w:gridCol w:w="920"/>
        <w:gridCol w:w="1505"/>
        <w:gridCol w:w="1843"/>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技术符合性审查表</w:t>
            </w:r>
          </w:p>
        </w:tc>
      </w:tr>
      <w:tr>
        <w:tblPrEx>
          <w:tblCellMar>
            <w:top w:w="0" w:type="dxa"/>
            <w:left w:w="108" w:type="dxa"/>
            <w:bottom w:w="0" w:type="dxa"/>
            <w:right w:w="108" w:type="dxa"/>
          </w:tblCellMar>
        </w:tblPrEx>
        <w:trPr>
          <w:trHeight w:val="390"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审查事项</w:t>
            </w:r>
          </w:p>
        </w:tc>
        <w:tc>
          <w:tcPr>
            <w:tcW w:w="15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16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r>
      <w:tr>
        <w:tblPrEx>
          <w:tblCellMar>
            <w:top w:w="0" w:type="dxa"/>
            <w:left w:w="108" w:type="dxa"/>
            <w:bottom w:w="0" w:type="dxa"/>
            <w:right w:w="108" w:type="dxa"/>
          </w:tblCellMar>
        </w:tblPrEx>
        <w:trPr>
          <w:trHeight w:val="57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货物需求一览表</w:t>
            </w: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第5章</w:t>
            </w: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nil"/>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结论</w:t>
            </w:r>
          </w:p>
        </w:tc>
        <w:tc>
          <w:tcPr>
            <w:tcW w:w="15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pPr>
        <w:spacing w:line="300" w:lineRule="auto"/>
        <w:jc w:val="center"/>
        <w:rPr>
          <w:rFonts w:hint="eastAsia" w:ascii="宋体" w:hAnsi="宋体" w:eastAsia="宋体" w:cs="宋体"/>
          <w:b/>
          <w:bCs/>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ind w:firstLine="0"/>
        <w:jc w:val="center"/>
        <w:outlineLvl w:val="1"/>
        <w:rPr>
          <w:rFonts w:hint="eastAsia" w:ascii="宋体" w:hAnsi="宋体" w:eastAsia="宋体" w:cs="宋体"/>
          <w:b/>
          <w:bCs/>
          <w:color w:val="auto"/>
          <w:sz w:val="21"/>
          <w:szCs w:val="21"/>
          <w:highlight w:val="none"/>
        </w:rPr>
      </w:pPr>
      <w:bookmarkStart w:id="570" w:name="_Toc31042"/>
      <w:bookmarkStart w:id="571" w:name="_Toc4748"/>
      <w:bookmarkStart w:id="572" w:name="_Toc26924"/>
      <w:bookmarkStart w:id="573" w:name="_Toc31737"/>
      <w:bookmarkStart w:id="574" w:name="_Toc11383"/>
      <w:bookmarkStart w:id="575" w:name="_Toc359"/>
      <w:bookmarkStart w:id="576" w:name="_Toc4034"/>
      <w:bookmarkStart w:id="577" w:name="_Toc20505"/>
      <w:bookmarkStart w:id="578" w:name="_Toc5375"/>
      <w:bookmarkStart w:id="579" w:name="_Toc17586"/>
      <w:bookmarkStart w:id="580" w:name="_Toc29006"/>
      <w:bookmarkStart w:id="581" w:name="_Toc21350"/>
      <w:bookmarkStart w:id="582" w:name="_Toc3812"/>
      <w:bookmarkStart w:id="583" w:name="_Toc21392"/>
      <w:bookmarkStart w:id="584" w:name="_Toc19967"/>
      <w:bookmarkStart w:id="585" w:name="_Toc11449"/>
      <w:r>
        <w:rPr>
          <w:rFonts w:hint="eastAsia" w:ascii="宋体" w:hAnsi="宋体" w:eastAsia="宋体" w:cs="宋体"/>
          <w:b/>
          <w:color w:val="auto"/>
          <w:sz w:val="32"/>
          <w:highlight w:val="none"/>
        </w:rPr>
        <w:t>综合评分表</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Start w:id="586" w:name="_Toc507399904"/>
    </w:p>
    <w:tbl>
      <w:tblPr>
        <w:tblStyle w:val="20"/>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80"/>
        <w:gridCol w:w="752"/>
        <w:gridCol w:w="607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46" w:type="dxa"/>
            <w:vAlign w:val="center"/>
          </w:tcPr>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80" w:type="dxa"/>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评分因素及权重</w:t>
            </w:r>
          </w:p>
        </w:tc>
        <w:tc>
          <w:tcPr>
            <w:tcW w:w="752" w:type="dxa"/>
            <w:vAlign w:val="center"/>
          </w:tcPr>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6077" w:type="dxa"/>
            <w:vAlign w:val="center"/>
          </w:tcPr>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价   格：30分  商   务：</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   技   术：</w:t>
            </w: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分              </w:t>
            </w:r>
          </w:p>
        </w:tc>
        <w:tc>
          <w:tcPr>
            <w:tcW w:w="1343" w:type="dxa"/>
            <w:vAlign w:val="center"/>
          </w:tcPr>
          <w:p>
            <w:pPr>
              <w:pStyle w:val="34"/>
              <w:spacing w:before="0" w:after="0"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846"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价格评分标准</w:t>
            </w:r>
          </w:p>
        </w:tc>
        <w:tc>
          <w:tcPr>
            <w:tcW w:w="108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75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6077"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完全满足招标文件参数的投标报价中的最低价为评标基准价，按照下列公式计算每个</w:t>
            </w:r>
            <w:r>
              <w:rPr>
                <w:rFonts w:hint="eastAsia" w:ascii="宋体" w:hAnsi="宋体" w:cs="宋体"/>
                <w:color w:val="auto"/>
                <w:szCs w:val="21"/>
                <w:highlight w:val="none"/>
                <w:lang w:eastAsia="zh-CN"/>
              </w:rPr>
              <w:t>投标供应商</w:t>
            </w:r>
            <w:r>
              <w:rPr>
                <w:rFonts w:hint="eastAsia" w:ascii="宋体" w:hAnsi="宋体" w:eastAsia="宋体" w:cs="宋体"/>
                <w:color w:val="auto"/>
                <w:szCs w:val="21"/>
                <w:highlight w:val="none"/>
              </w:rPr>
              <w:t>的投标价格得分。投标报价得分＝（基准价/投标报价）×价格权重×100。</w:t>
            </w:r>
            <w:r>
              <w:rPr>
                <w:rFonts w:hint="eastAsia" w:ascii="宋体" w:hAnsi="宋体" w:eastAsia="宋体" w:cs="宋体"/>
                <w:b/>
                <w:bCs/>
                <w:color w:val="auto"/>
                <w:szCs w:val="21"/>
                <w:highlight w:val="none"/>
                <w:lang w:val="en-US" w:eastAsia="zh-CN"/>
              </w:rPr>
              <w:t>（注：若为</w:t>
            </w:r>
            <w:r>
              <w:rPr>
                <w:rFonts w:hint="eastAsia" w:ascii="宋体" w:hAnsi="宋体" w:eastAsia="宋体" w:cs="宋体"/>
                <w:b/>
                <w:bCs/>
                <w:color w:val="auto"/>
                <w:szCs w:val="21"/>
                <w:highlight w:val="none"/>
                <w:lang w:val="en-US" w:eastAsia="zh-CN"/>
              </w:rPr>
              <w:t>小型</w:t>
            </w:r>
            <w:r>
              <w:rPr>
                <w:rFonts w:hint="eastAsia" w:ascii="宋体" w:hAnsi="宋体" w:eastAsia="宋体" w:cs="宋体"/>
                <w:b/>
                <w:bCs/>
                <w:color w:val="auto"/>
                <w:szCs w:val="21"/>
                <w:highlight w:val="none"/>
                <w:lang w:val="en-US" w:eastAsia="zh-CN"/>
              </w:rPr>
              <w:t>、微型</w:t>
            </w:r>
            <w:r>
              <w:rPr>
                <w:rFonts w:hint="eastAsia" w:ascii="宋体" w:hAnsi="宋体" w:eastAsia="宋体" w:cs="宋体"/>
                <w:b/>
                <w:bCs/>
                <w:color w:val="auto"/>
                <w:szCs w:val="21"/>
                <w:highlight w:val="none"/>
              </w:rPr>
              <w:t>企业</w:t>
            </w:r>
            <w:r>
              <w:rPr>
                <w:rFonts w:hint="eastAsia" w:ascii="宋体" w:hAnsi="宋体" w:eastAsia="宋体" w:cs="宋体"/>
                <w:b/>
                <w:bCs/>
                <w:color w:val="auto"/>
                <w:szCs w:val="21"/>
                <w:highlight w:val="none"/>
                <w:lang w:val="en-US" w:eastAsia="zh-CN"/>
              </w:rPr>
              <w:t>，其投标报价扣除 10 %后参与评审，提供相关证明资料，否则无效。）</w:t>
            </w:r>
          </w:p>
        </w:tc>
        <w:tc>
          <w:tcPr>
            <w:tcW w:w="1343"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846"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商务评分标准</w:t>
            </w:r>
          </w:p>
        </w:tc>
        <w:tc>
          <w:tcPr>
            <w:tcW w:w="108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752" w:type="dxa"/>
            <w:vAlign w:val="center"/>
          </w:tcPr>
          <w:p>
            <w:pPr>
              <w:spacing w:line="3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077" w:type="dxa"/>
            <w:vAlign w:val="center"/>
          </w:tcPr>
          <w:p>
            <w:pPr>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提供近三年相关设备类似业绩证明材料中标</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cs="宋体"/>
                <w:color w:val="auto"/>
                <w:szCs w:val="21"/>
                <w:highlight w:val="none"/>
                <w:lang w:val="en-US" w:eastAsia="zh-CN"/>
              </w:rPr>
              <w:t>和</w:t>
            </w:r>
            <w:r>
              <w:rPr>
                <w:rFonts w:hint="eastAsia" w:ascii="宋体" w:hAnsi="宋体" w:eastAsia="宋体" w:cs="宋体"/>
                <w:color w:val="auto"/>
                <w:szCs w:val="21"/>
                <w:highlight w:val="none"/>
              </w:rPr>
              <w:t>合同，每提供一个得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分，共</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rPr>
              <w:t>此项不得分</w:t>
            </w:r>
            <w:r>
              <w:rPr>
                <w:rFonts w:hint="eastAsia" w:ascii="宋体" w:hAnsi="宋体" w:eastAsia="宋体" w:cs="宋体"/>
                <w:color w:val="auto"/>
                <w:szCs w:val="21"/>
                <w:highlight w:val="none"/>
                <w:lang w:eastAsia="zh-CN"/>
              </w:rPr>
              <w:t>。</w:t>
            </w:r>
          </w:p>
        </w:tc>
        <w:tc>
          <w:tcPr>
            <w:tcW w:w="1343"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846" w:type="dxa"/>
            <w:vMerge w:val="restart"/>
            <w:vAlign w:val="center"/>
          </w:tcPr>
          <w:p>
            <w:pPr>
              <w:spacing w:line="300" w:lineRule="exact"/>
              <w:rPr>
                <w:rFonts w:hint="eastAsia" w:ascii="宋体" w:hAnsi="宋体" w:eastAsia="宋体" w:cs="宋体"/>
                <w:color w:val="auto"/>
                <w:szCs w:val="21"/>
                <w:highlight w:val="none"/>
              </w:rPr>
            </w:pPr>
          </w:p>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技术评分标准</w:t>
            </w:r>
          </w:p>
        </w:tc>
        <w:tc>
          <w:tcPr>
            <w:tcW w:w="1080"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配置及性能指标</w:t>
            </w:r>
          </w:p>
        </w:tc>
        <w:tc>
          <w:tcPr>
            <w:tcW w:w="752" w:type="dxa"/>
            <w:vAlign w:val="center"/>
          </w:tcPr>
          <w:p>
            <w:pPr>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6077"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根据所投产品的技术参数配置与性能指标的响应程度打分，全部响应招标文件的得</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分。每有一项</w:t>
            </w:r>
            <w:r>
              <w:rPr>
                <w:rFonts w:hint="eastAsia" w:ascii="宋体" w:hAnsi="宋体" w:eastAsia="宋体" w:cs="宋体"/>
                <w:color w:val="auto"/>
                <w:szCs w:val="21"/>
                <w:highlight w:val="none"/>
                <w:lang w:eastAsia="zh-CN"/>
              </w:rPr>
              <w:t>带“</w:t>
            </w:r>
            <w:r>
              <w:rPr>
                <w:rFonts w:hint="eastAsia" w:ascii="宋体" w:hAnsi="宋体" w:eastAsia="微软雅黑" w:cs="宋体"/>
                <w:color w:val="auto"/>
                <w:sz w:val="24"/>
                <w:highlight w:val="none"/>
                <w:lang w:eastAsia="zh-CN"/>
              </w:rPr>
              <w:t>*</w:t>
            </w:r>
            <w:r>
              <w:rPr>
                <w:rFonts w:hint="eastAsia" w:ascii="宋体" w:hAnsi="宋体" w:eastAsia="宋体" w:cs="宋体"/>
                <w:color w:val="auto"/>
                <w:szCs w:val="21"/>
                <w:highlight w:val="none"/>
                <w:lang w:eastAsia="zh-CN"/>
              </w:rPr>
              <w:t>”参数</w:t>
            </w:r>
            <w:r>
              <w:rPr>
                <w:rFonts w:hint="eastAsia" w:ascii="宋体" w:hAnsi="宋体" w:eastAsia="宋体" w:cs="宋体"/>
                <w:color w:val="auto"/>
                <w:szCs w:val="21"/>
                <w:highlight w:val="none"/>
              </w:rPr>
              <w:t>指标未满足招标参数的扣5分；</w:t>
            </w:r>
            <w:r>
              <w:rPr>
                <w:rFonts w:hint="eastAsia" w:ascii="宋体" w:hAnsi="宋体" w:eastAsia="宋体" w:cs="宋体"/>
                <w:color w:val="auto"/>
                <w:szCs w:val="21"/>
                <w:highlight w:val="none"/>
                <w:lang w:eastAsia="zh-CN"/>
              </w:rPr>
              <w:t>其余</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eastAsia="zh-CN"/>
              </w:rPr>
              <w:t>指标</w:t>
            </w:r>
            <w:r>
              <w:rPr>
                <w:rFonts w:hint="eastAsia" w:ascii="宋体" w:hAnsi="宋体" w:eastAsia="宋体" w:cs="宋体"/>
                <w:color w:val="auto"/>
                <w:szCs w:val="21"/>
                <w:highlight w:val="none"/>
              </w:rPr>
              <w:t>每</w:t>
            </w:r>
            <w:r>
              <w:rPr>
                <w:rFonts w:hint="eastAsia" w:ascii="宋体" w:hAnsi="宋体" w:eastAsia="宋体" w:cs="宋体"/>
                <w:color w:val="auto"/>
                <w:szCs w:val="21"/>
                <w:highlight w:val="none"/>
                <w:lang w:eastAsia="zh-CN"/>
              </w:rPr>
              <w:t>有一</w:t>
            </w:r>
            <w:r>
              <w:rPr>
                <w:rFonts w:hint="eastAsia" w:ascii="宋体" w:hAnsi="宋体" w:eastAsia="宋体" w:cs="宋体"/>
                <w:color w:val="auto"/>
                <w:szCs w:val="21"/>
                <w:highlight w:val="none"/>
              </w:rPr>
              <w:t>项负偏离扣3分，直至扣完为止。</w:t>
            </w:r>
          </w:p>
        </w:tc>
        <w:tc>
          <w:tcPr>
            <w:tcW w:w="1343" w:type="dxa"/>
            <w:vMerge w:val="restart"/>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46" w:type="dxa"/>
            <w:vMerge w:val="continue"/>
            <w:vAlign w:val="center"/>
          </w:tcPr>
          <w:p>
            <w:pPr>
              <w:spacing w:line="300" w:lineRule="exact"/>
              <w:rPr>
                <w:rFonts w:hint="eastAsia" w:ascii="宋体" w:hAnsi="宋体" w:eastAsia="宋体" w:cs="宋体"/>
                <w:color w:val="auto"/>
                <w:szCs w:val="21"/>
                <w:highlight w:val="none"/>
              </w:rPr>
            </w:pPr>
          </w:p>
        </w:tc>
        <w:tc>
          <w:tcPr>
            <w:tcW w:w="1080"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检测报告</w:t>
            </w:r>
          </w:p>
        </w:tc>
        <w:tc>
          <w:tcPr>
            <w:tcW w:w="752" w:type="dxa"/>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077" w:type="dxa"/>
            <w:vAlign w:val="center"/>
          </w:tcPr>
          <w:p>
            <w:pPr>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提供所有所投设备的国家</w:t>
            </w:r>
            <w:r>
              <w:rPr>
                <w:rFonts w:hint="eastAsia" w:ascii="宋体" w:hAnsi="宋体" w:cs="宋体"/>
                <w:color w:val="auto"/>
                <w:szCs w:val="21"/>
                <w:highlight w:val="none"/>
                <w:lang w:val="en-US"/>
              </w:rPr>
              <w:t>质检部门</w:t>
            </w:r>
            <w:r>
              <w:rPr>
                <w:rFonts w:hint="eastAsia" w:ascii="宋体" w:hAnsi="宋体" w:eastAsia="宋体" w:cs="宋体"/>
                <w:color w:val="auto"/>
                <w:szCs w:val="21"/>
                <w:highlight w:val="none"/>
              </w:rPr>
              <w:t>出具</w:t>
            </w:r>
            <w:r>
              <w:rPr>
                <w:rFonts w:hint="eastAsia" w:ascii="宋体" w:hAnsi="宋体" w:cs="宋体"/>
                <w:color w:val="auto"/>
                <w:szCs w:val="21"/>
                <w:highlight w:val="none"/>
                <w:lang w:val="en-US" w:eastAsia="zh-CN"/>
              </w:rPr>
              <w:t>完整</w:t>
            </w:r>
            <w:r>
              <w:rPr>
                <w:rFonts w:hint="eastAsia" w:ascii="宋体" w:hAnsi="宋体" w:eastAsia="宋体" w:cs="宋体"/>
                <w:color w:val="auto"/>
                <w:szCs w:val="21"/>
                <w:highlight w:val="none"/>
              </w:rPr>
              <w:t>的检验检测报告得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分，不提供或提供不全不得分。</w:t>
            </w:r>
          </w:p>
        </w:tc>
        <w:tc>
          <w:tcPr>
            <w:tcW w:w="1343" w:type="dxa"/>
            <w:vMerge w:val="continue"/>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trPr>
        <w:tc>
          <w:tcPr>
            <w:tcW w:w="846" w:type="dxa"/>
            <w:vMerge w:val="continue"/>
            <w:vAlign w:val="center"/>
          </w:tcPr>
          <w:p>
            <w:pPr>
              <w:spacing w:line="300" w:lineRule="exact"/>
              <w:rPr>
                <w:rFonts w:hint="eastAsia" w:ascii="宋体" w:hAnsi="宋体" w:eastAsia="宋体" w:cs="宋体"/>
                <w:color w:val="auto"/>
                <w:szCs w:val="21"/>
                <w:highlight w:val="none"/>
              </w:rPr>
            </w:pPr>
          </w:p>
        </w:tc>
        <w:tc>
          <w:tcPr>
            <w:tcW w:w="1080" w:type="dxa"/>
            <w:vMerge w:val="restart"/>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实施方案</w:t>
            </w:r>
          </w:p>
        </w:tc>
        <w:tc>
          <w:tcPr>
            <w:tcW w:w="752" w:type="dxa"/>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077"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根据供应商针对本项目的设备质量保证措施、项目实施安全措施、突发事件处理措施、各个阶段时间安排进行评议并打分，</w:t>
            </w:r>
            <w:r>
              <w:rPr>
                <w:rFonts w:hint="eastAsia" w:ascii="宋体" w:hAnsi="宋体" w:eastAsia="宋体" w:cs="宋体"/>
                <w:color w:val="auto"/>
                <w:szCs w:val="21"/>
                <w:highlight w:val="none"/>
                <w:lang w:eastAsia="zh-CN"/>
              </w:rPr>
              <w:t>完全满足招标要求</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基本满足招标要求</w:t>
            </w:r>
            <w:r>
              <w:rPr>
                <w:rFonts w:hint="eastAsia" w:ascii="宋体" w:hAnsi="宋体" w:eastAsia="宋体" w:cs="宋体"/>
                <w:color w:val="auto"/>
                <w:szCs w:val="21"/>
                <w:highlight w:val="none"/>
              </w:rPr>
              <w:t>得6分，</w:t>
            </w:r>
            <w:r>
              <w:rPr>
                <w:rFonts w:hint="eastAsia" w:ascii="宋体" w:hAnsi="宋体" w:eastAsia="宋体" w:cs="宋体"/>
                <w:color w:val="auto"/>
                <w:szCs w:val="21"/>
                <w:highlight w:val="none"/>
                <w:lang w:eastAsia="zh-CN"/>
              </w:rPr>
              <w:t>提供方案不全面不能满足招标要求</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不提供不得分</w:t>
            </w:r>
            <w:r>
              <w:rPr>
                <w:rFonts w:hint="eastAsia" w:ascii="宋体" w:hAnsi="宋体" w:eastAsia="宋体" w:cs="宋体"/>
                <w:color w:val="auto"/>
                <w:szCs w:val="21"/>
                <w:highlight w:val="none"/>
              </w:rPr>
              <w:t>。</w:t>
            </w:r>
          </w:p>
        </w:tc>
        <w:tc>
          <w:tcPr>
            <w:tcW w:w="1343" w:type="dxa"/>
            <w:vMerge w:val="continue"/>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846" w:type="dxa"/>
            <w:vMerge w:val="continue"/>
            <w:vAlign w:val="center"/>
          </w:tcPr>
          <w:p>
            <w:pPr>
              <w:spacing w:line="300" w:lineRule="exact"/>
              <w:rPr>
                <w:rFonts w:hint="eastAsia" w:ascii="宋体" w:hAnsi="宋体" w:eastAsia="宋体" w:cs="宋体"/>
                <w:color w:val="auto"/>
                <w:szCs w:val="21"/>
                <w:highlight w:val="none"/>
              </w:rPr>
            </w:pPr>
          </w:p>
        </w:tc>
        <w:tc>
          <w:tcPr>
            <w:tcW w:w="1080" w:type="dxa"/>
            <w:vMerge w:val="continue"/>
            <w:vAlign w:val="center"/>
          </w:tcPr>
          <w:p>
            <w:pPr>
              <w:spacing w:line="300" w:lineRule="exact"/>
              <w:rPr>
                <w:rFonts w:hint="eastAsia" w:ascii="宋体" w:hAnsi="宋体" w:eastAsia="宋体" w:cs="宋体"/>
                <w:color w:val="auto"/>
                <w:szCs w:val="21"/>
                <w:highlight w:val="none"/>
              </w:rPr>
            </w:pPr>
          </w:p>
        </w:tc>
        <w:tc>
          <w:tcPr>
            <w:tcW w:w="752" w:type="dxa"/>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077"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根据供应商提供的人员培训计划</w:t>
            </w:r>
            <w:r>
              <w:rPr>
                <w:rFonts w:hint="eastAsia" w:ascii="宋体" w:hAnsi="宋体" w:eastAsia="宋体" w:cs="宋体"/>
                <w:color w:val="auto"/>
                <w:szCs w:val="21"/>
                <w:highlight w:val="none"/>
                <w:lang w:eastAsia="zh-CN"/>
              </w:rPr>
              <w:t>、培训讲师、培训内容</w:t>
            </w:r>
            <w:r>
              <w:rPr>
                <w:rFonts w:hint="eastAsia" w:ascii="宋体" w:hAnsi="宋体" w:eastAsia="宋体" w:cs="宋体"/>
                <w:color w:val="auto"/>
                <w:szCs w:val="21"/>
                <w:highlight w:val="none"/>
              </w:rPr>
              <w:t>及方案进行评议并打分，</w:t>
            </w:r>
            <w:r>
              <w:rPr>
                <w:rFonts w:hint="eastAsia" w:ascii="宋体" w:hAnsi="宋体" w:eastAsia="宋体" w:cs="宋体"/>
                <w:color w:val="auto"/>
                <w:szCs w:val="21"/>
                <w:highlight w:val="none"/>
                <w:lang w:eastAsia="zh-CN"/>
              </w:rPr>
              <w:t>完全满足招标要求得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基本满足招标要求</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提供方案不全面不能满足招标要求</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不提供不得分</w:t>
            </w:r>
            <w:r>
              <w:rPr>
                <w:rFonts w:hint="eastAsia" w:ascii="宋体" w:hAnsi="宋体" w:eastAsia="宋体" w:cs="宋体"/>
                <w:color w:val="auto"/>
                <w:szCs w:val="21"/>
                <w:highlight w:val="none"/>
              </w:rPr>
              <w:t>。</w:t>
            </w:r>
          </w:p>
        </w:tc>
        <w:tc>
          <w:tcPr>
            <w:tcW w:w="1343" w:type="dxa"/>
            <w:vMerge w:val="continue"/>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846" w:type="dxa"/>
            <w:vMerge w:val="continue"/>
            <w:vAlign w:val="center"/>
          </w:tcPr>
          <w:p>
            <w:pPr>
              <w:spacing w:line="300" w:lineRule="exact"/>
              <w:rPr>
                <w:rFonts w:hint="eastAsia" w:ascii="宋体" w:hAnsi="宋体" w:eastAsia="宋体" w:cs="宋体"/>
                <w:color w:val="auto"/>
                <w:szCs w:val="21"/>
                <w:highlight w:val="none"/>
              </w:rPr>
            </w:pPr>
          </w:p>
        </w:tc>
        <w:tc>
          <w:tcPr>
            <w:tcW w:w="1080" w:type="dxa"/>
            <w:vMerge w:val="restart"/>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质量保证及售后服务</w:t>
            </w:r>
          </w:p>
        </w:tc>
        <w:tc>
          <w:tcPr>
            <w:tcW w:w="752" w:type="dxa"/>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6077"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根据供应商提供的服务要求承诺（含设备维修）、质保期限、故障响应时间情况进行横向对比：优于其他方案的得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分，方案满足招标文件要求</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分，服务方案不全面、不具体、可行性低得2分，无内容不得分。</w:t>
            </w:r>
          </w:p>
        </w:tc>
        <w:tc>
          <w:tcPr>
            <w:tcW w:w="1343" w:type="dxa"/>
            <w:vMerge w:val="continue"/>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846" w:type="dxa"/>
            <w:vMerge w:val="continue"/>
            <w:vAlign w:val="center"/>
          </w:tcPr>
          <w:p>
            <w:pPr>
              <w:spacing w:line="300" w:lineRule="exact"/>
              <w:rPr>
                <w:rFonts w:hint="eastAsia" w:ascii="宋体" w:hAnsi="宋体" w:eastAsia="宋体" w:cs="宋体"/>
                <w:color w:val="auto"/>
                <w:szCs w:val="21"/>
                <w:highlight w:val="none"/>
              </w:rPr>
            </w:pPr>
          </w:p>
        </w:tc>
        <w:tc>
          <w:tcPr>
            <w:tcW w:w="1080" w:type="dxa"/>
            <w:vMerge w:val="continue"/>
            <w:vAlign w:val="center"/>
          </w:tcPr>
          <w:p>
            <w:pPr>
              <w:spacing w:line="300" w:lineRule="exact"/>
              <w:rPr>
                <w:rFonts w:hint="eastAsia" w:ascii="宋体" w:hAnsi="宋体" w:eastAsia="宋体" w:cs="宋体"/>
                <w:color w:val="auto"/>
                <w:szCs w:val="21"/>
                <w:highlight w:val="none"/>
              </w:rPr>
            </w:pPr>
          </w:p>
        </w:tc>
        <w:tc>
          <w:tcPr>
            <w:tcW w:w="75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77"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根据供应商在项目实施地点所提供的易损零部件配备的种类、数量、价格进行评议及打分，</w:t>
            </w:r>
            <w:r>
              <w:rPr>
                <w:rFonts w:hint="eastAsia" w:ascii="宋体" w:hAnsi="宋体" w:cs="宋体"/>
                <w:color w:val="auto"/>
                <w:szCs w:val="21"/>
                <w:highlight w:val="none"/>
                <w:lang w:eastAsia="zh-CN"/>
              </w:rPr>
              <w:t>种类多且价格优惠力度大</w:t>
            </w:r>
            <w:r>
              <w:rPr>
                <w:rFonts w:hint="eastAsia" w:ascii="宋体" w:hAnsi="宋体" w:eastAsia="宋体" w:cs="宋体"/>
                <w:color w:val="auto"/>
                <w:szCs w:val="21"/>
                <w:highlight w:val="none"/>
              </w:rPr>
              <w:t>得3分，</w:t>
            </w:r>
            <w:r>
              <w:rPr>
                <w:rFonts w:hint="eastAsia" w:ascii="宋体" w:hAnsi="宋体" w:cs="宋体"/>
                <w:color w:val="auto"/>
                <w:szCs w:val="21"/>
                <w:highlight w:val="none"/>
                <w:lang w:eastAsia="zh-CN"/>
              </w:rPr>
              <w:t>种类能满足采购需求价格</w:t>
            </w:r>
            <w:r>
              <w:rPr>
                <w:rFonts w:hint="eastAsia" w:ascii="宋体" w:hAnsi="宋体" w:eastAsia="宋体" w:cs="宋体"/>
                <w:color w:val="auto"/>
                <w:szCs w:val="21"/>
                <w:highlight w:val="none"/>
              </w:rPr>
              <w:t>2分，</w:t>
            </w:r>
            <w:r>
              <w:rPr>
                <w:rFonts w:hint="eastAsia" w:ascii="宋体" w:hAnsi="宋体" w:cs="宋体"/>
                <w:color w:val="auto"/>
                <w:szCs w:val="21"/>
                <w:highlight w:val="none"/>
                <w:lang w:eastAsia="zh-CN"/>
              </w:rPr>
              <w:t>不提供不</w:t>
            </w:r>
            <w:r>
              <w:rPr>
                <w:rFonts w:hint="eastAsia" w:ascii="宋体" w:hAnsi="宋体" w:eastAsia="宋体" w:cs="宋体"/>
                <w:color w:val="auto"/>
                <w:szCs w:val="21"/>
                <w:highlight w:val="none"/>
              </w:rPr>
              <w:t>得分。</w:t>
            </w:r>
          </w:p>
        </w:tc>
        <w:tc>
          <w:tcPr>
            <w:tcW w:w="1343" w:type="dxa"/>
            <w:vMerge w:val="continue"/>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846" w:type="dxa"/>
            <w:vMerge w:val="continue"/>
            <w:vAlign w:val="center"/>
          </w:tcPr>
          <w:p>
            <w:pPr>
              <w:spacing w:line="300" w:lineRule="exact"/>
              <w:rPr>
                <w:rFonts w:hint="eastAsia" w:ascii="宋体" w:hAnsi="宋体" w:eastAsia="宋体" w:cs="宋体"/>
                <w:color w:val="auto"/>
                <w:szCs w:val="21"/>
                <w:highlight w:val="none"/>
              </w:rPr>
            </w:pPr>
          </w:p>
        </w:tc>
        <w:tc>
          <w:tcPr>
            <w:tcW w:w="1080" w:type="dxa"/>
            <w:vMerge w:val="continue"/>
            <w:vAlign w:val="center"/>
          </w:tcPr>
          <w:p>
            <w:pPr>
              <w:spacing w:line="300" w:lineRule="exact"/>
              <w:rPr>
                <w:rFonts w:hint="eastAsia" w:ascii="宋体" w:hAnsi="宋体" w:eastAsia="宋体" w:cs="宋体"/>
                <w:color w:val="auto"/>
                <w:szCs w:val="21"/>
                <w:highlight w:val="none"/>
              </w:rPr>
            </w:pPr>
          </w:p>
        </w:tc>
        <w:tc>
          <w:tcPr>
            <w:tcW w:w="75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77" w:type="dxa"/>
            <w:vAlign w:val="center"/>
          </w:tcPr>
          <w:p>
            <w:pPr>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承诺中标后</w:t>
            </w:r>
            <w:r>
              <w:rPr>
                <w:rFonts w:hint="eastAsia" w:ascii="宋体" w:hAnsi="宋体" w:eastAsia="宋体" w:cs="宋体"/>
                <w:color w:val="auto"/>
                <w:szCs w:val="21"/>
                <w:highlight w:val="none"/>
                <w:lang w:val="en-US" w:eastAsia="zh-CN"/>
              </w:rPr>
              <w:t>在疆内有固定的X光机维修工程师，</w:t>
            </w:r>
            <w:r>
              <w:rPr>
                <w:rFonts w:hint="eastAsia" w:ascii="宋体" w:hAnsi="宋体" w:eastAsia="宋体" w:cs="宋体"/>
                <w:color w:val="auto"/>
                <w:szCs w:val="21"/>
                <w:highlight w:val="none"/>
              </w:rPr>
              <w:t>随时排除设备故障得3分（如不按承诺兑现，每有一次未按要求及时排除故障扣除3%</w:t>
            </w:r>
            <w:r>
              <w:rPr>
                <w:rFonts w:hint="eastAsia" w:ascii="宋体" w:hAnsi="宋体" w:cs="宋体"/>
                <w:color w:val="auto"/>
                <w:szCs w:val="21"/>
                <w:highlight w:val="none"/>
                <w:lang w:val="en-US" w:eastAsia="zh-CN"/>
              </w:rPr>
              <w:t>履约保证金</w:t>
            </w:r>
            <w:r>
              <w:rPr>
                <w:rFonts w:hint="eastAsia" w:ascii="宋体" w:hAnsi="宋体" w:eastAsia="宋体" w:cs="宋体"/>
                <w:color w:val="auto"/>
                <w:szCs w:val="21"/>
                <w:highlight w:val="none"/>
              </w:rPr>
              <w:t>，扣完为止）。</w:t>
            </w:r>
          </w:p>
        </w:tc>
        <w:tc>
          <w:tcPr>
            <w:tcW w:w="1343" w:type="dxa"/>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pPr>
              <w:spacing w:line="300" w:lineRule="exact"/>
              <w:rPr>
                <w:rFonts w:hint="eastAsia" w:ascii="宋体" w:hAnsi="宋体" w:eastAsia="宋体" w:cs="宋体"/>
                <w:color w:val="auto"/>
                <w:szCs w:val="21"/>
                <w:highlight w:val="none"/>
              </w:rPr>
            </w:pPr>
          </w:p>
        </w:tc>
        <w:tc>
          <w:tcPr>
            <w:tcW w:w="1080"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标书制作</w:t>
            </w:r>
          </w:p>
        </w:tc>
        <w:tc>
          <w:tcPr>
            <w:tcW w:w="75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077" w:type="dxa"/>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投标文件目录清晰、页码连续、目录与页码对应准确，评审内容便于查找，正副本内容一样清晰可辨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没有与评审内容无关的资料及文件</w:t>
            </w:r>
            <w:r>
              <w:rPr>
                <w:rFonts w:hint="eastAsia" w:ascii="宋体" w:hAnsi="宋体" w:eastAsia="宋体" w:cs="宋体"/>
                <w:color w:val="auto"/>
                <w:szCs w:val="21"/>
                <w:highlight w:val="none"/>
              </w:rPr>
              <w:t>得2分，否则不得分。</w:t>
            </w:r>
          </w:p>
        </w:tc>
        <w:tc>
          <w:tcPr>
            <w:tcW w:w="1343" w:type="dxa"/>
            <w:vAlign w:val="center"/>
          </w:tcPr>
          <w:p>
            <w:pPr>
              <w:spacing w:line="300" w:lineRule="exact"/>
              <w:rPr>
                <w:rFonts w:hint="eastAsia" w:ascii="宋体" w:hAnsi="宋体" w:eastAsia="宋体" w:cs="宋体"/>
                <w:color w:val="auto"/>
                <w:szCs w:val="21"/>
                <w:highlight w:val="none"/>
              </w:rPr>
            </w:pPr>
          </w:p>
        </w:tc>
      </w:tr>
    </w:tbl>
    <w:p>
      <w:pPr>
        <w:pStyle w:val="3"/>
        <w:ind w:left="0" w:leftChars="0" w:firstLine="0" w:firstLineChars="0"/>
        <w:rPr>
          <w:rFonts w:hint="eastAsia" w:ascii="宋体" w:hAnsi="宋体" w:eastAsia="宋体" w:cs="宋体"/>
          <w:b/>
          <w:color w:val="auto"/>
          <w:sz w:val="32"/>
          <w:highlight w:val="none"/>
        </w:rPr>
      </w:pPr>
    </w:p>
    <w:p>
      <w:pPr>
        <w:rPr>
          <w:rFonts w:hint="eastAsia" w:ascii="宋体" w:hAnsi="宋体" w:eastAsia="宋体" w:cs="宋体"/>
          <w:color w:val="auto"/>
          <w:highlight w:val="none"/>
        </w:rPr>
      </w:pPr>
    </w:p>
    <w:p>
      <w:pPr>
        <w:pStyle w:val="3"/>
        <w:ind w:firstLine="0"/>
        <w:rPr>
          <w:rFonts w:hint="eastAsia" w:ascii="宋体" w:hAnsi="宋体" w:eastAsia="宋体" w:cs="宋体"/>
          <w:b/>
          <w:color w:val="auto"/>
          <w:sz w:val="32"/>
          <w:highlight w:val="none"/>
        </w:rPr>
      </w:pPr>
    </w:p>
    <w:p>
      <w:pPr>
        <w:pStyle w:val="3"/>
        <w:rPr>
          <w:rFonts w:hint="eastAsia" w:ascii="宋体" w:hAnsi="宋体" w:eastAsia="宋体" w:cs="宋体"/>
          <w:b/>
          <w:color w:val="auto"/>
          <w:sz w:val="32"/>
          <w:highlight w:val="none"/>
        </w:rPr>
      </w:pPr>
    </w:p>
    <w:p>
      <w:pPr>
        <w:pStyle w:val="3"/>
        <w:rPr>
          <w:rFonts w:hint="eastAsia" w:ascii="宋体" w:hAnsi="宋体" w:eastAsia="宋体" w:cs="宋体"/>
          <w:b/>
          <w:color w:val="auto"/>
          <w:sz w:val="32"/>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spacing w:line="240" w:lineRule="atLeast"/>
        <w:jc w:val="center"/>
        <w:rPr>
          <w:rFonts w:hint="eastAsia" w:ascii="宋体" w:hAnsi="宋体" w:eastAsia="宋体" w:cs="宋体"/>
          <w:b/>
          <w:color w:val="auto"/>
          <w:sz w:val="40"/>
          <w:szCs w:val="40"/>
          <w:highlight w:val="none"/>
        </w:rPr>
      </w:pPr>
    </w:p>
    <w:p>
      <w:pPr>
        <w:spacing w:line="240" w:lineRule="atLeast"/>
        <w:jc w:val="center"/>
        <w:rPr>
          <w:rFonts w:hint="eastAsia"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ZPDL(2022)043</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spacing w:line="240" w:lineRule="atLeast"/>
        <w:jc w:val="center"/>
        <w:outlineLvl w:val="9"/>
        <w:rPr>
          <w:rFonts w:hint="eastAsia" w:ascii="宋体" w:hAnsi="宋体" w:eastAsia="宋体" w:cs="宋体"/>
          <w:b/>
          <w:color w:val="auto"/>
          <w:sz w:val="40"/>
          <w:szCs w:val="40"/>
          <w:highlight w:val="none"/>
        </w:rPr>
      </w:pPr>
      <w:bookmarkStart w:id="587" w:name="_Toc25236"/>
      <w:bookmarkStart w:id="588" w:name="_Toc17537"/>
      <w:bookmarkStart w:id="589" w:name="_Toc5580"/>
      <w:bookmarkStart w:id="590" w:name="_Toc8381"/>
      <w:bookmarkStart w:id="591" w:name="_Toc16427"/>
      <w:bookmarkStart w:id="592" w:name="_Toc997"/>
      <w:bookmarkStart w:id="593" w:name="_Toc30135"/>
      <w:bookmarkStart w:id="594" w:name="_Toc29605"/>
      <w:bookmarkStart w:id="595" w:name="_Toc8709"/>
      <w:bookmarkStart w:id="596" w:name="_Toc20854"/>
      <w:bookmarkStart w:id="597" w:name="_Toc11428"/>
      <w:bookmarkStart w:id="598" w:name="_Toc10296"/>
      <w:bookmarkStart w:id="599" w:name="_Toc7062"/>
      <w:bookmarkStart w:id="600" w:name="_Toc25543"/>
      <w:r>
        <w:rPr>
          <w:rFonts w:hint="eastAsia" w:ascii="宋体" w:hAnsi="宋体" w:eastAsia="宋体" w:cs="宋体"/>
          <w:b/>
          <w:color w:val="auto"/>
          <w:sz w:val="40"/>
          <w:szCs w:val="40"/>
          <w:highlight w:val="none"/>
        </w:rPr>
        <w:t>第 三 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spacing w:line="240" w:lineRule="atLeast"/>
        <w:jc w:val="center"/>
        <w:rPr>
          <w:rFonts w:hint="eastAsia" w:ascii="宋体" w:hAnsi="宋体" w:eastAsia="宋体" w:cs="宋体"/>
          <w:b/>
          <w:color w:val="auto"/>
          <w:sz w:val="3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pStyle w:val="3"/>
        <w:rPr>
          <w:rFonts w:hint="eastAsia" w:ascii="宋体" w:hAnsi="宋体" w:eastAsia="宋体" w:cs="宋体"/>
          <w:b/>
          <w:color w:val="auto"/>
          <w:sz w:val="52"/>
          <w:highlight w:val="none"/>
        </w:rPr>
      </w:pPr>
    </w:p>
    <w:p>
      <w:pPr>
        <w:pStyle w:val="3"/>
        <w:rPr>
          <w:rFonts w:hint="eastAsia" w:ascii="宋体" w:hAnsi="宋体" w:eastAsia="宋体" w:cs="宋体"/>
          <w:b/>
          <w:color w:val="auto"/>
          <w:sz w:val="52"/>
          <w:highlight w:val="none"/>
        </w:rPr>
      </w:pPr>
    </w:p>
    <w:p>
      <w:pPr>
        <w:pStyle w:val="3"/>
        <w:rPr>
          <w:rFonts w:hint="eastAsia" w:ascii="宋体" w:hAnsi="宋体" w:eastAsia="宋体" w:cs="宋体"/>
          <w:b/>
          <w:color w:val="auto"/>
          <w:sz w:val="52"/>
          <w:highlight w:val="none"/>
        </w:rPr>
      </w:pPr>
    </w:p>
    <w:p>
      <w:pPr>
        <w:spacing w:line="240" w:lineRule="atLeast"/>
        <w:jc w:val="both"/>
        <w:rPr>
          <w:rFonts w:hint="eastAsia" w:ascii="宋体" w:hAnsi="宋体" w:eastAsia="宋体" w:cs="宋体"/>
          <w:b/>
          <w:color w:val="auto"/>
          <w:sz w:val="52"/>
          <w:highlight w:val="none"/>
        </w:rPr>
        <w:sectPr>
          <w:headerReference r:id="rId8" w:type="default"/>
          <w:pgSz w:w="11907" w:h="16840"/>
          <w:pgMar w:top="1474" w:right="1814" w:bottom="1474" w:left="1814" w:header="851" w:footer="851" w:gutter="0"/>
          <w:pgNumType w:fmt="decimal"/>
          <w:cols w:space="720" w:num="1"/>
          <w:docGrid w:linePitch="462" w:charSpace="0"/>
        </w:sectPr>
      </w:pPr>
    </w:p>
    <w:bookmarkEnd w:id="586"/>
    <w:p>
      <w:pPr>
        <w:pStyle w:val="5"/>
        <w:rPr>
          <w:rFonts w:hint="eastAsia" w:ascii="宋体" w:hAnsi="宋体" w:eastAsia="宋体" w:cs="宋体"/>
          <w:color w:val="auto"/>
          <w:highlight w:val="none"/>
        </w:rPr>
      </w:pPr>
      <w:bookmarkStart w:id="601" w:name="_Toc515647833"/>
      <w:bookmarkStart w:id="602" w:name="_Toc32068"/>
      <w:bookmarkStart w:id="603" w:name="_Toc6865"/>
      <w:bookmarkStart w:id="604" w:name="_Toc10166"/>
      <w:bookmarkStart w:id="605" w:name="_Toc4796"/>
      <w:bookmarkStart w:id="606" w:name="_Toc12089"/>
      <w:r>
        <w:rPr>
          <w:rFonts w:hint="eastAsia" w:ascii="宋体" w:hAnsi="宋体" w:eastAsia="宋体" w:cs="宋体"/>
          <w:color w:val="auto"/>
          <w:highlight w:val="none"/>
        </w:rPr>
        <w:t>第7章 政府采购合同</w:t>
      </w:r>
      <w:bookmarkEnd w:id="601"/>
      <w:bookmarkEnd w:id="602"/>
      <w:bookmarkEnd w:id="603"/>
      <w:bookmarkEnd w:id="604"/>
      <w:bookmarkEnd w:id="605"/>
      <w:bookmarkEnd w:id="606"/>
      <w:bookmarkStart w:id="607" w:name="_Hlt487972895"/>
      <w:bookmarkEnd w:id="607"/>
      <w:bookmarkStart w:id="608" w:name="_Toc487900382"/>
      <w:bookmarkStart w:id="609" w:name="_Toc216513788"/>
    </w:p>
    <w:bookmarkEnd w:id="608"/>
    <w:bookmarkEnd w:id="609"/>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合同编号：   </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政府采购合同参考范本</w:t>
      </w:r>
    </w:p>
    <w:p>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（货物类）</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spacing w:line="360" w:lineRule="exact"/>
        <w:ind w:firstLine="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第一部分 合同书</w:t>
      </w:r>
    </w:p>
    <w:p>
      <w:pPr>
        <w:rPr>
          <w:rFonts w:hint="eastAsia" w:ascii="宋体" w:hAnsi="宋体" w:eastAsia="宋体" w:cs="宋体"/>
          <w:color w:val="auto"/>
          <w:highlight w:val="none"/>
        </w:rPr>
      </w:pPr>
    </w:p>
    <w:p>
      <w:pPr>
        <w:spacing w:before="120" w:line="360" w:lineRule="exact"/>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pStyle w:val="29"/>
        <w:spacing w:before="120" w:line="360" w:lineRule="exact"/>
        <w:rPr>
          <w:rFonts w:hint="eastAsia" w:ascii="宋体" w:hAnsi="宋体" w:eastAsia="宋体" w:cs="宋体"/>
          <w:color w:val="auto"/>
          <w:highlight w:val="none"/>
        </w:rPr>
      </w:pPr>
    </w:p>
    <w:p>
      <w:pPr>
        <w:pStyle w:val="29"/>
        <w:spacing w:before="120" w:line="360" w:lineRule="exact"/>
        <w:rPr>
          <w:rFonts w:hint="eastAsia" w:ascii="宋体" w:hAnsi="宋体" w:eastAsia="宋体" w:cs="宋体"/>
          <w:color w:val="auto"/>
          <w:highlight w:val="none"/>
        </w:rPr>
      </w:pPr>
    </w:p>
    <w:p>
      <w:pPr>
        <w:spacing w:line="360" w:lineRule="exact"/>
        <w:rPr>
          <w:rFonts w:hint="eastAsia" w:ascii="宋体" w:hAnsi="宋体" w:eastAsia="宋体" w:cs="宋体"/>
          <w:color w:val="auto"/>
          <w:highlight w:val="none"/>
        </w:rPr>
      </w:pPr>
    </w:p>
    <w:p>
      <w:pPr>
        <w:spacing w:before="120" w:line="360" w:lineRule="exac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pPr>
        <w:spacing w:before="120" w:line="360" w:lineRule="exact"/>
        <w:rPr>
          <w:rFonts w:hint="eastAsia" w:ascii="宋体" w:hAnsi="宋体" w:eastAsia="宋体" w:cs="宋体"/>
          <w:color w:val="auto"/>
          <w:sz w:val="24"/>
          <w:szCs w:val="24"/>
          <w:highlight w:val="none"/>
        </w:rPr>
      </w:pPr>
    </w:p>
    <w:p>
      <w:pPr>
        <w:spacing w:before="120" w:line="360" w:lineRule="exac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pPr>
        <w:spacing w:before="120" w:line="360" w:lineRule="exact"/>
        <w:rPr>
          <w:rFonts w:hint="eastAsia" w:ascii="宋体" w:hAnsi="宋体" w:eastAsia="宋体" w:cs="宋体"/>
          <w:color w:val="auto"/>
          <w:sz w:val="24"/>
          <w:szCs w:val="24"/>
          <w:highlight w:val="none"/>
        </w:rPr>
      </w:pPr>
    </w:p>
    <w:p>
      <w:pPr>
        <w:spacing w:before="120" w:line="36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pPr>
        <w:spacing w:before="120" w:line="360" w:lineRule="exact"/>
        <w:rPr>
          <w:rFonts w:hint="eastAsia" w:ascii="宋体" w:hAnsi="宋体" w:eastAsia="宋体" w:cs="宋体"/>
          <w:color w:val="auto"/>
          <w:sz w:val="24"/>
          <w:szCs w:val="24"/>
          <w:highlight w:val="none"/>
        </w:rPr>
      </w:pPr>
    </w:p>
    <w:p>
      <w:pPr>
        <w:spacing w:before="120" w:line="36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exact"/>
        <w:ind w:firstLine="640"/>
        <w:jc w:val="center"/>
        <w:rPr>
          <w:rFonts w:hint="eastAsia" w:ascii="宋体" w:hAnsi="宋体" w:eastAsia="宋体" w:cs="宋体"/>
          <w:color w:val="auto"/>
          <w:sz w:val="24"/>
          <w:szCs w:val="24"/>
          <w:highlight w:val="none"/>
        </w:rPr>
        <w:sectPr>
          <w:footerReference r:id="rId9" w:type="default"/>
          <w:pgSz w:w="11905" w:h="16838"/>
          <w:pgMar w:top="1440" w:right="1797" w:bottom="1440" w:left="1797" w:header="851" w:footer="992" w:gutter="0"/>
          <w:pgNumType w:fmt="decimal"/>
          <w:cols w:space="0" w:num="1"/>
          <w:rtlGutter w:val="0"/>
          <w:docGrid w:linePitch="462" w:charSpace="0"/>
        </w:sectPr>
      </w:pPr>
    </w:p>
    <w:p>
      <w:pPr>
        <w:spacing w:line="360" w:lineRule="exact"/>
        <w:ind w:firstLine="480" w:firstLineChars="200"/>
        <w:rPr>
          <w:rFonts w:hint="eastAsia" w:ascii="宋体" w:hAnsi="宋体" w:eastAsia="宋体" w:cs="宋体"/>
          <w:color w:val="auto"/>
          <w:sz w:val="24"/>
          <w:szCs w:val="24"/>
          <w:highlight w:val="none"/>
        </w:rPr>
      </w:pPr>
      <w:bookmarkStart w:id="610" w:name="_Toc24059"/>
      <w:bookmarkStart w:id="611" w:name="_Toc2232"/>
      <w:bookmarkStart w:id="612" w:name="_Toc26721"/>
      <w:bookmarkStart w:id="613" w:name="_Toc1846"/>
      <w:bookmarkStart w:id="614" w:name="_Toc3029"/>
      <w:bookmarkStart w:id="615" w:name="_Toc2659"/>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（同前页项目名称）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（中标供应商名称）</w:t>
      </w:r>
      <w:r>
        <w:rPr>
          <w:rFonts w:hint="eastAsia" w:ascii="宋体" w:hAnsi="宋体" w:eastAsia="宋体" w:cs="宋体"/>
          <w:color w:val="auto"/>
          <w:sz w:val="24"/>
          <w:szCs w:val="24"/>
          <w:highlight w:val="none"/>
        </w:rPr>
        <w:t>为该项目中标供应商。现于中标通知书发出之日起三十日内，按照采购文件确定的事项签订本合同。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bookmarkEnd w:id="610"/>
    <w:bookmarkEnd w:id="611"/>
    <w:bookmarkEnd w:id="612"/>
    <w:bookmarkEnd w:id="613"/>
    <w:bookmarkEnd w:id="614"/>
    <w:bookmarkEnd w:id="615"/>
    <w:p>
      <w:pPr>
        <w:spacing w:line="360" w:lineRule="exact"/>
        <w:ind w:firstLine="482" w:firstLineChars="200"/>
        <w:outlineLvl w:val="0"/>
        <w:rPr>
          <w:rFonts w:hint="eastAsia" w:ascii="宋体" w:hAnsi="宋体" w:eastAsia="宋体" w:cs="宋体"/>
          <w:b/>
          <w:bCs/>
          <w:color w:val="auto"/>
          <w:sz w:val="24"/>
          <w:szCs w:val="24"/>
          <w:highlight w:val="none"/>
        </w:rPr>
      </w:pPr>
      <w:bookmarkStart w:id="616" w:name="_Toc967"/>
      <w:bookmarkStart w:id="617" w:name="_Toc2048"/>
      <w:bookmarkStart w:id="618" w:name="_Toc30575"/>
      <w:bookmarkStart w:id="619" w:name="_Toc18534"/>
      <w:bookmarkStart w:id="620" w:name="_Toc4751"/>
      <w:bookmarkStart w:id="621" w:name="_Toc416"/>
      <w:bookmarkStart w:id="622" w:name="_Toc27963"/>
      <w:bookmarkStart w:id="623" w:name="_Toc24186"/>
      <w:bookmarkStart w:id="624" w:name="_Toc7850"/>
      <w:bookmarkStart w:id="625" w:name="_Toc25352"/>
      <w:bookmarkStart w:id="626" w:name="_Toc27428"/>
      <w:bookmarkStart w:id="627" w:name="_Toc21386"/>
      <w:bookmarkStart w:id="628" w:name="_Toc5475"/>
      <w:bookmarkStart w:id="629" w:name="_Toc16230"/>
      <w:bookmarkStart w:id="630" w:name="_Toc17622"/>
      <w:bookmarkStart w:id="631" w:name="_Toc15305"/>
      <w:bookmarkStart w:id="632" w:name="_Toc6038"/>
      <w:bookmarkStart w:id="633" w:name="_Toc2616"/>
      <w:bookmarkStart w:id="634" w:name="_Toc28090"/>
      <w:bookmarkStart w:id="635" w:name="_Toc2992"/>
      <w:bookmarkStart w:id="636" w:name="_Toc26943"/>
      <w:bookmarkStart w:id="637" w:name="_Toc14493"/>
      <w:bookmarkStart w:id="638" w:name="_Toc4498"/>
      <w:bookmarkStart w:id="639" w:name="_Toc29481"/>
      <w:bookmarkStart w:id="640" w:name="_Toc14766"/>
      <w:bookmarkStart w:id="641" w:name="_Toc14324"/>
      <w:bookmarkStart w:id="642" w:name="_Toc8683"/>
      <w:bookmarkStart w:id="643" w:name="_Toc29751"/>
      <w:bookmarkStart w:id="644" w:name="_Toc18247"/>
      <w:r>
        <w:rPr>
          <w:rFonts w:hint="eastAsia" w:ascii="宋体" w:hAnsi="宋体" w:eastAsia="宋体" w:cs="宋体"/>
          <w:b/>
          <w:bCs/>
          <w:color w:val="auto"/>
          <w:sz w:val="24"/>
          <w:szCs w:val="24"/>
          <w:highlight w:val="none"/>
        </w:rPr>
        <w:t>1.1 合同组成部分</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中标通知书；</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投标文件（含澄清或者说明文件）；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招标文件（含澄清或者修改文件）；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645" w:name="_Toc21295"/>
      <w:bookmarkStart w:id="646" w:name="_Toc24887"/>
      <w:bookmarkStart w:id="647" w:name="_Toc7977"/>
      <w:bookmarkStart w:id="648" w:name="_Toc27126"/>
      <w:bookmarkStart w:id="649" w:name="_Toc32674"/>
      <w:bookmarkStart w:id="650" w:name="_Toc4735"/>
      <w:bookmarkStart w:id="651" w:name="_Toc21690"/>
      <w:bookmarkStart w:id="652" w:name="_Toc11238"/>
      <w:bookmarkStart w:id="653" w:name="_Toc31632"/>
      <w:bookmarkStart w:id="654" w:name="_Toc19432"/>
      <w:bookmarkStart w:id="655" w:name="_Toc11506"/>
      <w:bookmarkStart w:id="656" w:name="_Toc20136"/>
      <w:bookmarkStart w:id="657" w:name="_Toc1446"/>
      <w:bookmarkStart w:id="658" w:name="_Toc12394"/>
      <w:bookmarkStart w:id="659" w:name="_Toc24300"/>
      <w:bookmarkStart w:id="660" w:name="_Toc25402"/>
      <w:bookmarkStart w:id="661" w:name="_Toc22461"/>
      <w:bookmarkStart w:id="662" w:name="_Toc25735"/>
      <w:bookmarkStart w:id="663" w:name="_Toc25665"/>
      <w:bookmarkStart w:id="664" w:name="_Toc24003"/>
      <w:bookmarkStart w:id="665" w:name="_Toc8631"/>
      <w:bookmarkStart w:id="666" w:name="_Toc13138"/>
      <w:bookmarkStart w:id="667" w:name="_Toc14235"/>
      <w:bookmarkStart w:id="668" w:name="_Toc7541"/>
      <w:bookmarkStart w:id="669" w:name="_Toc21217"/>
      <w:bookmarkStart w:id="670" w:name="_Toc16583"/>
      <w:bookmarkStart w:id="671" w:name="_Toc24413"/>
      <w:bookmarkStart w:id="672" w:name="_Toc9006"/>
      <w:bookmarkStart w:id="673" w:name="_Toc15345"/>
      <w:bookmarkStart w:id="674" w:name="_Toc31638"/>
      <w:bookmarkStart w:id="675" w:name="_Toc27318"/>
      <w:bookmarkStart w:id="676" w:name="_Toc1295"/>
      <w:bookmarkStart w:id="677" w:name="_Toc2579"/>
      <w:bookmarkStart w:id="678" w:name="_Toc5906"/>
      <w:r>
        <w:rPr>
          <w:rFonts w:hint="eastAsia" w:ascii="宋体" w:hAnsi="宋体" w:eastAsia="宋体" w:cs="宋体"/>
          <w:b/>
          <w:bCs/>
          <w:color w:val="auto"/>
          <w:sz w:val="24"/>
          <w:szCs w:val="24"/>
          <w:highlight w:val="none"/>
        </w:rPr>
        <w:t>1.2 货物</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货物名称：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679" w:name="_Toc1528"/>
      <w:bookmarkStart w:id="680" w:name="_Toc31650"/>
      <w:bookmarkStart w:id="681" w:name="_Toc13898"/>
      <w:bookmarkStart w:id="682" w:name="_Toc16487"/>
      <w:bookmarkStart w:id="683" w:name="_Toc6258"/>
      <w:bookmarkStart w:id="684" w:name="_Toc1267"/>
      <w:bookmarkStart w:id="685" w:name="_Toc30667"/>
      <w:bookmarkStart w:id="686" w:name="_Toc29608"/>
      <w:bookmarkStart w:id="687" w:name="_Toc9579"/>
      <w:bookmarkStart w:id="688" w:name="_Toc10942"/>
      <w:bookmarkStart w:id="689" w:name="_Toc31994"/>
      <w:bookmarkStart w:id="690" w:name="_Toc25180"/>
      <w:bookmarkStart w:id="691" w:name="_Toc9364"/>
      <w:bookmarkStart w:id="692" w:name="_Toc29469"/>
      <w:bookmarkStart w:id="693" w:name="_Toc30755"/>
      <w:bookmarkStart w:id="694" w:name="_Toc29540"/>
      <w:bookmarkStart w:id="695" w:name="_Toc19682"/>
      <w:bookmarkStart w:id="696" w:name="_Toc8798"/>
      <w:bookmarkStart w:id="697" w:name="_Toc633"/>
      <w:bookmarkStart w:id="698" w:name="_Toc28886"/>
      <w:bookmarkStart w:id="699" w:name="_Toc21551"/>
      <w:bookmarkStart w:id="700" w:name="_Toc11045"/>
      <w:bookmarkStart w:id="701" w:name="_Toc21631"/>
      <w:bookmarkStart w:id="702" w:name="_Toc26807"/>
      <w:bookmarkStart w:id="703" w:name="_Toc9271"/>
      <w:bookmarkStart w:id="704" w:name="_Toc23292"/>
      <w:bookmarkStart w:id="705" w:name="_Toc27282"/>
      <w:bookmarkStart w:id="706" w:name="_Toc6581"/>
      <w:bookmarkStart w:id="707" w:name="_Toc2897"/>
      <w:bookmarkStart w:id="708" w:name="_Toc25368"/>
      <w:bookmarkStart w:id="709" w:name="_Toc12266"/>
      <w:bookmarkStart w:id="710" w:name="_Toc8386"/>
      <w:bookmarkStart w:id="711" w:name="_Toc18204"/>
      <w:bookmarkStart w:id="712" w:name="_Toc21040"/>
      <w:r>
        <w:rPr>
          <w:rFonts w:hint="eastAsia" w:ascii="宋体" w:hAnsi="宋体" w:eastAsia="宋体" w:cs="宋体"/>
          <w:b/>
          <w:bCs/>
          <w:color w:val="auto"/>
          <w:sz w:val="24"/>
          <w:szCs w:val="24"/>
          <w:highlight w:val="none"/>
        </w:rPr>
        <w:t>1.3 价款</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0"/>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30"/>
              <w:spacing w:line="3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738"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分项名称</w:t>
            </w:r>
          </w:p>
        </w:tc>
        <w:tc>
          <w:tcPr>
            <w:tcW w:w="2803" w:type="dxa"/>
            <w:vAlign w:val="center"/>
          </w:tcPr>
          <w:p>
            <w:pPr>
              <w:pStyle w:val="30"/>
              <w:spacing w:line="3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3738"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2803"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3738"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2803"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30"/>
              <w:spacing w:line="3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总价</w:t>
            </w:r>
          </w:p>
        </w:tc>
        <w:tc>
          <w:tcPr>
            <w:tcW w:w="2803"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r>
    </w:tbl>
    <w:p>
      <w:pPr>
        <w:spacing w:line="360" w:lineRule="exact"/>
        <w:ind w:firstLine="482" w:firstLineChars="200"/>
        <w:outlineLvl w:val="0"/>
        <w:rPr>
          <w:rFonts w:hint="eastAsia" w:ascii="宋体" w:hAnsi="宋体" w:eastAsia="宋体" w:cs="宋体"/>
          <w:b/>
          <w:bCs/>
          <w:color w:val="auto"/>
          <w:sz w:val="24"/>
          <w:szCs w:val="24"/>
          <w:highlight w:val="none"/>
        </w:rPr>
      </w:pPr>
      <w:bookmarkStart w:id="713" w:name="_Toc6614"/>
      <w:bookmarkStart w:id="714" w:name="_Toc30643"/>
      <w:bookmarkStart w:id="715" w:name="_Toc30507"/>
      <w:bookmarkStart w:id="716" w:name="_Toc7801"/>
      <w:bookmarkStart w:id="717" w:name="_Toc26112"/>
      <w:bookmarkStart w:id="718" w:name="_Toc22618"/>
      <w:bookmarkStart w:id="719" w:name="_Toc26470"/>
      <w:bookmarkStart w:id="720" w:name="_Toc8933"/>
      <w:bookmarkStart w:id="721" w:name="_Toc16769"/>
      <w:bookmarkStart w:id="722" w:name="_Toc27811"/>
      <w:bookmarkStart w:id="723" w:name="_Toc6274"/>
      <w:bookmarkStart w:id="724" w:name="_Toc21104"/>
      <w:bookmarkStart w:id="725" w:name="_Toc8276"/>
      <w:bookmarkStart w:id="726" w:name="_Toc44"/>
      <w:bookmarkStart w:id="727" w:name="_Toc1814"/>
      <w:bookmarkStart w:id="728" w:name="_Toc11775"/>
      <w:bookmarkStart w:id="729" w:name="_Toc21349"/>
      <w:bookmarkStart w:id="730" w:name="_Toc673"/>
      <w:bookmarkStart w:id="731" w:name="_Toc28499"/>
      <w:bookmarkStart w:id="732" w:name="_Toc5736"/>
      <w:bookmarkStart w:id="733" w:name="_Toc28773"/>
      <w:bookmarkStart w:id="734" w:name="_Toc27817"/>
      <w:bookmarkStart w:id="735" w:name="_Toc25914"/>
      <w:bookmarkStart w:id="736" w:name="_Toc5065"/>
      <w:bookmarkStart w:id="737" w:name="_Toc10340"/>
      <w:bookmarkStart w:id="738" w:name="_Toc24781"/>
      <w:bookmarkStart w:id="739" w:name="_Toc2285"/>
      <w:bookmarkStart w:id="740" w:name="_Toc7458"/>
      <w:bookmarkStart w:id="741" w:name="_Toc27654"/>
      <w:bookmarkStart w:id="742" w:name="_Toc10086"/>
      <w:bookmarkStart w:id="743" w:name="_Toc23603"/>
      <w:bookmarkStart w:id="744" w:name="_Toc27908"/>
      <w:bookmarkStart w:id="745" w:name="_Toc11737"/>
      <w:bookmarkStart w:id="746" w:name="_Toc4585"/>
      <w:r>
        <w:rPr>
          <w:rFonts w:hint="eastAsia" w:ascii="宋体" w:hAnsi="宋体" w:eastAsia="宋体" w:cs="宋体"/>
          <w:b/>
          <w:bCs/>
          <w:color w:val="auto"/>
          <w:sz w:val="24"/>
          <w:szCs w:val="24"/>
          <w:highlight w:val="none"/>
        </w:rPr>
        <w:t>1.4 付款方式和发票开具方式</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747" w:name="_Toc30447"/>
      <w:bookmarkStart w:id="748" w:name="_Toc4651"/>
      <w:bookmarkStart w:id="749" w:name="_Toc4501"/>
      <w:bookmarkStart w:id="750" w:name="_Toc11682"/>
      <w:bookmarkStart w:id="751" w:name="_Toc25278"/>
      <w:bookmarkStart w:id="752" w:name="_Toc2852"/>
      <w:bookmarkStart w:id="753" w:name="_Toc30563"/>
      <w:bookmarkStart w:id="754" w:name="_Toc32641"/>
      <w:bookmarkStart w:id="755" w:name="_Toc6106"/>
      <w:bookmarkStart w:id="756" w:name="_Toc25427"/>
      <w:bookmarkStart w:id="757" w:name="_Toc29863"/>
      <w:bookmarkStart w:id="758" w:name="_Toc22861"/>
      <w:bookmarkStart w:id="759" w:name="_Toc2846"/>
      <w:bookmarkStart w:id="760" w:name="_Toc17448"/>
      <w:bookmarkStart w:id="761" w:name="_Toc23862"/>
      <w:bookmarkStart w:id="762" w:name="_Toc8167"/>
      <w:bookmarkStart w:id="763" w:name="_Toc5673"/>
      <w:bookmarkStart w:id="764" w:name="_Toc4058"/>
      <w:bookmarkStart w:id="765" w:name="_Toc17060"/>
      <w:bookmarkStart w:id="766" w:name="_Toc28343"/>
      <w:bookmarkStart w:id="767" w:name="_Toc8997"/>
      <w:bookmarkStart w:id="768" w:name="_Toc16823"/>
      <w:bookmarkStart w:id="769" w:name="_Toc2750"/>
      <w:bookmarkStart w:id="770" w:name="_Toc15376"/>
      <w:bookmarkStart w:id="771" w:name="_Toc2083"/>
      <w:bookmarkStart w:id="772" w:name="_Toc17179"/>
      <w:bookmarkStart w:id="773" w:name="_Toc32071"/>
      <w:bookmarkStart w:id="774" w:name="_Toc19304"/>
      <w:bookmarkStart w:id="775" w:name="_Toc26187"/>
      <w:bookmarkStart w:id="776" w:name="_Toc9478"/>
      <w:bookmarkStart w:id="777" w:name="_Toc4377"/>
      <w:bookmarkStart w:id="778" w:name="_Toc30894"/>
      <w:bookmarkStart w:id="779" w:name="_Toc26681"/>
      <w:bookmarkStart w:id="780" w:name="_Toc10276"/>
      <w:bookmarkStart w:id="781" w:name="_Toc29557"/>
      <w:r>
        <w:rPr>
          <w:rFonts w:hint="eastAsia" w:ascii="宋体" w:hAnsi="宋体" w:eastAsia="宋体" w:cs="宋体"/>
          <w:b/>
          <w:bCs/>
          <w:color w:val="auto"/>
          <w:sz w:val="24"/>
          <w:szCs w:val="24"/>
          <w:highlight w:val="none"/>
        </w:rPr>
        <w:t>1.5 货物交付期限、地点和方式</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 交付期限：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交付地点：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交付方式：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782" w:name="_Toc15865"/>
      <w:bookmarkStart w:id="783" w:name="_Toc23854"/>
      <w:bookmarkStart w:id="784" w:name="_Toc29965"/>
      <w:bookmarkStart w:id="785" w:name="_Toc11237"/>
      <w:bookmarkStart w:id="786" w:name="_Toc6841"/>
      <w:bookmarkStart w:id="787" w:name="_Toc13569"/>
      <w:bookmarkStart w:id="788" w:name="_Toc25694"/>
      <w:bookmarkStart w:id="789" w:name="_Toc13854"/>
      <w:bookmarkStart w:id="790" w:name="_Toc19554"/>
      <w:bookmarkStart w:id="791" w:name="_Toc28455"/>
      <w:bookmarkStart w:id="792" w:name="_Toc12679"/>
      <w:bookmarkStart w:id="793" w:name="_Toc27250"/>
      <w:bookmarkStart w:id="794" w:name="_Toc12753"/>
      <w:bookmarkStart w:id="795" w:name="_Toc3320"/>
      <w:bookmarkStart w:id="796" w:name="_Toc8754"/>
      <w:bookmarkStart w:id="797" w:name="_Toc19923"/>
      <w:bookmarkStart w:id="798" w:name="_Toc5694"/>
      <w:bookmarkStart w:id="799" w:name="_Toc21423"/>
      <w:bookmarkStart w:id="800" w:name="_Toc12988"/>
      <w:bookmarkStart w:id="801" w:name="_Toc7978"/>
      <w:bookmarkStart w:id="802" w:name="_Toc29769"/>
      <w:bookmarkStart w:id="803" w:name="_Toc26850"/>
      <w:bookmarkStart w:id="804" w:name="_Toc22802"/>
      <w:bookmarkStart w:id="805" w:name="_Toc21406"/>
      <w:bookmarkStart w:id="806" w:name="_Toc13799"/>
      <w:bookmarkStart w:id="807" w:name="_Toc27247"/>
      <w:bookmarkStart w:id="808" w:name="_Toc12629"/>
      <w:bookmarkStart w:id="809" w:name="_Toc1835"/>
      <w:bookmarkStart w:id="810" w:name="_Toc12424"/>
      <w:bookmarkStart w:id="811" w:name="_Toc10321"/>
      <w:bookmarkStart w:id="812" w:name="_Toc4190"/>
      <w:bookmarkStart w:id="813" w:name="_Toc8569"/>
      <w:bookmarkStart w:id="814" w:name="_Toc32387"/>
      <w:bookmarkStart w:id="815" w:name="_Toc10320"/>
      <w:bookmarkStart w:id="816" w:name="_Toc15668"/>
      <w:r>
        <w:rPr>
          <w:rFonts w:hint="eastAsia" w:ascii="宋体" w:hAnsi="宋体" w:eastAsia="宋体" w:cs="宋体"/>
          <w:b/>
          <w:bCs/>
          <w:color w:val="auto"/>
          <w:sz w:val="24"/>
          <w:szCs w:val="24"/>
          <w:highlight w:val="none"/>
        </w:rPr>
        <w:t>1.6 违约责任</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%；迟延交付货物的违约金计算数额达到前述最高限额之日起，甲方有权在要求乙方支付违约金的同时，书面通知乙方解除本合同；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817" w:name="_Toc22341"/>
      <w:bookmarkStart w:id="818" w:name="_Toc2053"/>
      <w:bookmarkStart w:id="819" w:name="_Toc12178"/>
      <w:bookmarkStart w:id="820" w:name="_Toc12021"/>
      <w:bookmarkStart w:id="821" w:name="_Toc30551"/>
      <w:bookmarkStart w:id="822" w:name="_Toc23654"/>
      <w:bookmarkStart w:id="823" w:name="_Toc7216"/>
      <w:bookmarkStart w:id="824" w:name="_Toc1244"/>
      <w:bookmarkStart w:id="825" w:name="_Toc20497"/>
      <w:bookmarkStart w:id="826" w:name="_Toc6344"/>
      <w:bookmarkStart w:id="827" w:name="_Toc16341"/>
      <w:bookmarkStart w:id="828" w:name="_Toc13284"/>
      <w:bookmarkStart w:id="829" w:name="_Toc30512"/>
      <w:bookmarkStart w:id="830" w:name="_Toc21643"/>
      <w:bookmarkStart w:id="831" w:name="_Toc15583"/>
      <w:bookmarkStart w:id="832" w:name="_Toc12769"/>
      <w:bookmarkStart w:id="833" w:name="_Toc31145"/>
      <w:bookmarkStart w:id="834" w:name="_Toc19011"/>
      <w:bookmarkStart w:id="835" w:name="_Toc4900"/>
      <w:bookmarkStart w:id="836" w:name="_Toc20610"/>
      <w:bookmarkStart w:id="837" w:name="_Toc27762"/>
      <w:bookmarkStart w:id="838" w:name="_Toc28375"/>
      <w:bookmarkStart w:id="839" w:name="_Toc3403"/>
      <w:bookmarkStart w:id="840" w:name="_Toc29338"/>
      <w:bookmarkStart w:id="841" w:name="_Toc29447"/>
      <w:bookmarkStart w:id="842" w:name="_Toc27927"/>
      <w:bookmarkStart w:id="843" w:name="_Toc24393"/>
      <w:bookmarkStart w:id="844" w:name="_Toc9202"/>
      <w:bookmarkStart w:id="845" w:name="_Toc17508"/>
      <w:bookmarkStart w:id="846" w:name="_Toc16021"/>
      <w:bookmarkStart w:id="847" w:name="_Toc25915"/>
      <w:bookmarkStart w:id="848" w:name="_Toc9069"/>
      <w:bookmarkStart w:id="849" w:name="_Toc5482"/>
      <w:bookmarkStart w:id="850" w:name="_Toc2369"/>
      <w:bookmarkStart w:id="851" w:name="_Toc8914"/>
      <w:r>
        <w:rPr>
          <w:rFonts w:hint="eastAsia" w:ascii="宋体" w:hAnsi="宋体" w:eastAsia="宋体" w:cs="宋体"/>
          <w:b/>
          <w:bCs/>
          <w:color w:val="auto"/>
          <w:sz w:val="24"/>
          <w:szCs w:val="24"/>
          <w:highlight w:val="none"/>
        </w:rPr>
        <w:t>1.7 合同争议的解决</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向</w:t>
      </w:r>
      <w:r>
        <w:rPr>
          <w:rFonts w:hint="eastAsia" w:ascii="宋体" w:hAnsi="宋体" w:eastAsia="宋体" w:cs="宋体"/>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szCs w:val="24"/>
          <w:highlight w:val="none"/>
        </w:rPr>
        <w:t>人民法院起诉。</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852" w:name="_Toc8975"/>
      <w:bookmarkStart w:id="853" w:name="_Toc32578"/>
      <w:bookmarkStart w:id="854" w:name="_Toc4516"/>
      <w:bookmarkStart w:id="855" w:name="_Toc12054"/>
      <w:bookmarkStart w:id="856" w:name="_Toc10429"/>
      <w:bookmarkStart w:id="857" w:name="_Toc1647"/>
      <w:bookmarkStart w:id="858" w:name="_Toc5077"/>
      <w:bookmarkStart w:id="859" w:name="_Toc31964"/>
      <w:bookmarkStart w:id="860" w:name="_Toc30260"/>
      <w:bookmarkStart w:id="861" w:name="_Toc4338"/>
      <w:bookmarkStart w:id="862" w:name="_Toc17113"/>
      <w:bookmarkStart w:id="863" w:name="_Toc15322"/>
      <w:bookmarkStart w:id="864" w:name="_Toc21408"/>
      <w:bookmarkStart w:id="865" w:name="_Toc12946"/>
      <w:bookmarkStart w:id="866" w:name="_Toc30340"/>
      <w:bookmarkStart w:id="867" w:name="_Toc20501"/>
      <w:bookmarkStart w:id="868" w:name="_Toc10043"/>
      <w:bookmarkStart w:id="869" w:name="_Toc10255"/>
      <w:bookmarkStart w:id="870" w:name="_Toc2894"/>
      <w:bookmarkStart w:id="871" w:name="_Toc20192"/>
      <w:bookmarkStart w:id="872" w:name="_Toc6411"/>
      <w:bookmarkStart w:id="873" w:name="_Toc29292"/>
      <w:bookmarkStart w:id="874" w:name="_Toc17196"/>
      <w:bookmarkStart w:id="875" w:name="_Toc7245"/>
      <w:bookmarkStart w:id="876" w:name="_Toc11173"/>
      <w:bookmarkStart w:id="877" w:name="_Toc26464"/>
      <w:bookmarkStart w:id="878" w:name="_Toc28492"/>
      <w:bookmarkStart w:id="879" w:name="_Toc16410"/>
      <w:bookmarkStart w:id="880" w:name="_Toc2901"/>
      <w:bookmarkStart w:id="881" w:name="_Toc9329"/>
      <w:bookmarkStart w:id="882" w:name="_Toc14796"/>
      <w:bookmarkStart w:id="883" w:name="_Toc518"/>
      <w:bookmarkStart w:id="884" w:name="_Toc20305"/>
      <w:bookmarkStart w:id="885" w:name="_Toc32374"/>
      <w:bookmarkStart w:id="886" w:name="_Toc19138"/>
      <w:r>
        <w:rPr>
          <w:rFonts w:hint="eastAsia" w:ascii="宋体" w:hAnsi="宋体" w:eastAsia="宋体" w:cs="宋体"/>
          <w:b/>
          <w:bCs/>
          <w:color w:val="auto"/>
          <w:sz w:val="24"/>
          <w:szCs w:val="24"/>
          <w:highlight w:val="none"/>
        </w:rPr>
        <w:t>1.8 合同生效</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spacing w:line="3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pPr>
        <w:autoSpaceDE w:val="0"/>
        <w:autoSpaceDN w:val="0"/>
        <w:adjustRightInd w:val="0"/>
        <w:spacing w:line="360" w:lineRule="exact"/>
        <w:rPr>
          <w:rFonts w:hint="eastAsia" w:ascii="宋体" w:hAnsi="宋体" w:eastAsia="宋体" w:cs="宋体"/>
          <w:color w:val="auto"/>
          <w:sz w:val="24"/>
          <w:szCs w:val="24"/>
          <w:highlight w:val="none"/>
          <w:lang w:val="zh-CN"/>
        </w:rPr>
      </w:pP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bCs/>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pPr>
        <w:autoSpaceDE w:val="0"/>
        <w:autoSpaceDN w:val="0"/>
        <w:adjustRightInd w:val="0"/>
        <w:spacing w:line="360" w:lineRule="exact"/>
        <w:rPr>
          <w:rFonts w:hint="eastAsia" w:ascii="宋体" w:hAnsi="宋体" w:eastAsia="宋体" w:cs="宋体"/>
          <w:color w:val="auto"/>
          <w:sz w:val="24"/>
          <w:szCs w:val="24"/>
          <w:highlight w:val="none"/>
          <w:lang w:val="zh-CN"/>
        </w:rPr>
      </w:pP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或授权代表（签字）: </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pPr>
        <w:widowControl/>
        <w:spacing w:line="360" w:lineRule="exact"/>
        <w:jc w:val="left"/>
        <w:rPr>
          <w:rFonts w:hint="eastAsia" w:ascii="宋体" w:hAnsi="宋体" w:eastAsia="宋体" w:cs="宋体"/>
          <w:b/>
          <w:bCs/>
          <w:color w:val="auto"/>
          <w:highlight w:val="none"/>
        </w:rPr>
      </w:pPr>
      <w:bookmarkStart w:id="887" w:name="_Toc331685783"/>
    </w:p>
    <w:p>
      <w:pPr>
        <w:widowControl/>
        <w:spacing w:line="360" w:lineRule="exact"/>
        <w:jc w:val="left"/>
        <w:rPr>
          <w:rFonts w:hint="eastAsia" w:ascii="宋体" w:hAnsi="宋体" w:eastAsia="宋体" w:cs="宋体"/>
          <w:b/>
          <w:bCs/>
          <w:color w:val="auto"/>
          <w:highlight w:val="none"/>
        </w:rPr>
      </w:pPr>
    </w:p>
    <w:p>
      <w:pPr>
        <w:pStyle w:val="28"/>
        <w:spacing w:line="360" w:lineRule="exact"/>
        <w:ind w:firstLine="20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第二部分 合同一般条款</w:t>
      </w:r>
      <w:bookmarkEnd w:id="887"/>
    </w:p>
    <w:p>
      <w:pPr>
        <w:spacing w:line="360" w:lineRule="exact"/>
        <w:ind w:firstLine="482" w:firstLineChars="200"/>
        <w:outlineLvl w:val="0"/>
        <w:rPr>
          <w:rFonts w:hint="eastAsia" w:ascii="宋体" w:hAnsi="宋体" w:eastAsia="宋体" w:cs="宋体"/>
          <w:b/>
          <w:bCs/>
          <w:color w:val="auto"/>
          <w:sz w:val="24"/>
          <w:szCs w:val="24"/>
          <w:highlight w:val="none"/>
        </w:rPr>
      </w:pPr>
      <w:bookmarkStart w:id="888" w:name="_Toc279701240"/>
      <w:bookmarkStart w:id="889" w:name="_Toc32624"/>
      <w:bookmarkStart w:id="890" w:name="_Toc15647"/>
      <w:bookmarkStart w:id="891" w:name="_Toc28865"/>
      <w:bookmarkStart w:id="892" w:name="_Toc28763"/>
      <w:bookmarkStart w:id="893" w:name="_Toc26015"/>
      <w:bookmarkStart w:id="894" w:name="_Toc259093669"/>
      <w:bookmarkStart w:id="895" w:name="_Toc25554"/>
      <w:bookmarkStart w:id="896" w:name="_Ref467378463"/>
      <w:bookmarkStart w:id="897" w:name="_Toc17226"/>
      <w:bookmarkStart w:id="898" w:name="_Toc24453"/>
      <w:bookmarkStart w:id="899" w:name="_Toc24046"/>
      <w:bookmarkStart w:id="900" w:name="_Toc18089"/>
      <w:bookmarkStart w:id="901" w:name="_Toc17718"/>
      <w:bookmarkStart w:id="902" w:name="_Toc23427"/>
      <w:bookmarkStart w:id="903" w:name="_Ref467379109"/>
      <w:bookmarkStart w:id="904" w:name="_Toc16917"/>
      <w:bookmarkStart w:id="905" w:name="_Toc26936"/>
      <w:bookmarkStart w:id="906" w:name="_Toc2034"/>
      <w:bookmarkStart w:id="907" w:name="_Toc28547"/>
      <w:bookmarkStart w:id="908" w:name="_Ref467378499"/>
      <w:bookmarkStart w:id="909" w:name="_Toc25100"/>
      <w:bookmarkStart w:id="910" w:name="_Toc6788"/>
      <w:bookmarkStart w:id="911" w:name="_Toc20709"/>
      <w:bookmarkStart w:id="912" w:name="_Toc19614"/>
      <w:bookmarkStart w:id="913" w:name="_Toc510"/>
      <w:bookmarkStart w:id="914" w:name="_Toc7464"/>
      <w:bookmarkStart w:id="915" w:name="_Toc5579"/>
      <w:bookmarkStart w:id="916" w:name="_Toc3091"/>
      <w:bookmarkStart w:id="917" w:name="_Toc10245"/>
      <w:bookmarkStart w:id="918" w:name="_Ref467379195"/>
      <w:bookmarkStart w:id="919" w:name="_Toc2854"/>
      <w:bookmarkStart w:id="920" w:name="_Toc24879"/>
      <w:bookmarkStart w:id="921" w:name="_Toc14827"/>
      <w:bookmarkStart w:id="922" w:name="_Toc26415"/>
      <w:bookmarkStart w:id="923" w:name="_Toc23094"/>
      <w:bookmarkStart w:id="924" w:name="_Toc487900349"/>
      <w:bookmarkStart w:id="925" w:name="_Ref467378404"/>
      <w:bookmarkStart w:id="926" w:name="_Toc31417"/>
      <w:bookmarkStart w:id="927" w:name="_Toc29659"/>
      <w:bookmarkStart w:id="928" w:name="_Toc18085"/>
      <w:bookmarkStart w:id="929" w:name="_Ref467379214"/>
      <w:bookmarkStart w:id="930" w:name="_Toc24677"/>
      <w:bookmarkStart w:id="931" w:name="_Ref467379101"/>
      <w:bookmarkStart w:id="932" w:name="_Toc25035"/>
      <w:bookmarkStart w:id="933" w:name="_Ref467379205"/>
      <w:bookmarkStart w:id="934" w:name="_Ref467379225"/>
      <w:bookmarkStart w:id="935" w:name="_Ref467379094"/>
      <w:r>
        <w:rPr>
          <w:rFonts w:hint="eastAsia" w:ascii="宋体" w:hAnsi="宋体" w:eastAsia="宋体" w:cs="宋体"/>
          <w:b/>
          <w:bCs/>
          <w:color w:val="auto"/>
          <w:sz w:val="24"/>
          <w:szCs w:val="24"/>
          <w:highlight w:val="none"/>
        </w:rPr>
        <w:t>2.1 定义</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“合同”系指采购人和中标供应商签订的载明双方当事人所达成的协议，并包括所有的附件、附录和构成合同的其他文件。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“合同价”系指根据合同约定，中标供应商在完全履行合同义务后，采购人应支付给中标供应商的价格。</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80" w:firstLineChars="200"/>
        <w:rPr>
          <w:rFonts w:hint="eastAsia" w:ascii="宋体" w:hAnsi="宋体" w:eastAsia="宋体" w:cs="宋体"/>
          <w:color w:val="auto"/>
          <w:sz w:val="24"/>
          <w:szCs w:val="24"/>
          <w:highlight w:val="none"/>
        </w:rPr>
      </w:pPr>
      <w:bookmarkStart w:id="936" w:name="_Ref467378840"/>
      <w:r>
        <w:rPr>
          <w:rFonts w:hint="eastAsia" w:ascii="宋体" w:hAnsi="宋体" w:eastAsia="宋体" w:cs="宋体"/>
          <w:color w:val="auto"/>
          <w:sz w:val="24"/>
          <w:szCs w:val="24"/>
          <w:highlight w:val="none"/>
        </w:rPr>
        <w:t>2.1.4 “甲方”系指与中标供应商签署合同的采购人</w:t>
      </w:r>
      <w:bookmarkEnd w:id="936"/>
      <w:r>
        <w:rPr>
          <w:rFonts w:hint="eastAsia" w:ascii="宋体" w:hAnsi="宋体" w:eastAsia="宋体" w:cs="宋体"/>
          <w:color w:val="auto"/>
          <w:sz w:val="24"/>
          <w:szCs w:val="24"/>
          <w:highlight w:val="none"/>
        </w:rPr>
        <w:t>；采购人委托采购代理机构代表其与乙方签订合同的，采购人的授权委托书作为合同附件。</w:t>
      </w:r>
    </w:p>
    <w:p>
      <w:pPr>
        <w:spacing w:line="360" w:lineRule="exact"/>
        <w:ind w:firstLine="480" w:firstLineChars="200"/>
        <w:rPr>
          <w:rFonts w:hint="eastAsia" w:ascii="宋体" w:hAnsi="宋体" w:eastAsia="宋体" w:cs="宋体"/>
          <w:color w:val="auto"/>
          <w:sz w:val="24"/>
          <w:szCs w:val="24"/>
          <w:highlight w:val="none"/>
        </w:rPr>
      </w:pPr>
      <w:bookmarkStart w:id="937" w:name="_Ref467379400"/>
      <w:r>
        <w:rPr>
          <w:rFonts w:hint="eastAsia" w:ascii="宋体" w:hAnsi="宋体" w:eastAsia="宋体" w:cs="宋体"/>
          <w:color w:val="auto"/>
          <w:sz w:val="24"/>
          <w:szCs w:val="24"/>
          <w:highlight w:val="none"/>
        </w:rPr>
        <w:t>2.1.5 “乙方”系指根据合同约定交付货物的中标供应商</w:t>
      </w:r>
      <w:bookmarkEnd w:id="937"/>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80" w:firstLineChars="200"/>
        <w:rPr>
          <w:rFonts w:hint="eastAsia" w:ascii="宋体" w:hAnsi="宋体" w:eastAsia="宋体" w:cs="宋体"/>
          <w:color w:val="auto"/>
          <w:sz w:val="24"/>
          <w:szCs w:val="24"/>
          <w:highlight w:val="none"/>
        </w:rPr>
      </w:pPr>
      <w:bookmarkStart w:id="938" w:name="_Ref467379436"/>
      <w:r>
        <w:rPr>
          <w:rFonts w:hint="eastAsia" w:ascii="宋体" w:hAnsi="宋体" w:eastAsia="宋体" w:cs="宋体"/>
          <w:color w:val="auto"/>
          <w:sz w:val="24"/>
          <w:szCs w:val="24"/>
          <w:highlight w:val="none"/>
        </w:rPr>
        <w:t>2.1.6 “现场”系指合同约定货物将要运至或者安装的地点。</w:t>
      </w:r>
      <w:bookmarkEnd w:id="938"/>
    </w:p>
    <w:p>
      <w:pPr>
        <w:spacing w:line="360" w:lineRule="exact"/>
        <w:ind w:firstLine="482" w:firstLineChars="200"/>
        <w:outlineLvl w:val="0"/>
        <w:rPr>
          <w:rFonts w:hint="eastAsia" w:ascii="宋体" w:hAnsi="宋体" w:eastAsia="宋体" w:cs="宋体"/>
          <w:b/>
          <w:bCs/>
          <w:color w:val="auto"/>
          <w:sz w:val="24"/>
          <w:szCs w:val="24"/>
          <w:highlight w:val="none"/>
        </w:rPr>
      </w:pPr>
      <w:bookmarkStart w:id="939" w:name="_Toc1183"/>
      <w:bookmarkStart w:id="940" w:name="_Toc22131"/>
      <w:bookmarkStart w:id="941" w:name="_Toc3949"/>
      <w:bookmarkStart w:id="942" w:name="_Toc7048"/>
      <w:bookmarkStart w:id="943" w:name="_Toc22104"/>
      <w:bookmarkStart w:id="944" w:name="_Toc18471"/>
      <w:bookmarkStart w:id="945" w:name="_Toc6595"/>
      <w:bookmarkStart w:id="946" w:name="_Toc30246"/>
      <w:bookmarkStart w:id="947" w:name="_Toc25958"/>
      <w:bookmarkStart w:id="948" w:name="_Toc22769"/>
      <w:bookmarkStart w:id="949" w:name="_Toc24792"/>
      <w:bookmarkStart w:id="950" w:name="_Toc25266"/>
      <w:bookmarkStart w:id="951" w:name="_Toc24523"/>
      <w:bookmarkStart w:id="952" w:name="_Toc22122"/>
      <w:bookmarkStart w:id="953" w:name="_Toc7416"/>
      <w:bookmarkStart w:id="954" w:name="_Toc25269"/>
      <w:bookmarkStart w:id="955" w:name="_Toc10950"/>
      <w:bookmarkStart w:id="956" w:name="_Toc24322"/>
      <w:bookmarkStart w:id="957" w:name="_Toc1002"/>
      <w:bookmarkStart w:id="958" w:name="_Toc27635"/>
      <w:bookmarkStart w:id="959" w:name="_Toc32570"/>
      <w:bookmarkStart w:id="960" w:name="_Toc3193"/>
      <w:bookmarkStart w:id="961" w:name="_Toc18137"/>
      <w:bookmarkStart w:id="962" w:name="_Toc259093670"/>
      <w:bookmarkStart w:id="963" w:name="_Toc1865"/>
      <w:bookmarkStart w:id="964" w:name="_Toc23689"/>
      <w:bookmarkStart w:id="965" w:name="_Toc1352"/>
      <w:bookmarkStart w:id="966" w:name="_Toc279701241"/>
      <w:bookmarkStart w:id="967" w:name="_Toc13336"/>
      <w:bookmarkStart w:id="968" w:name="_Toc5592"/>
      <w:bookmarkStart w:id="969" w:name="_Toc32504"/>
      <w:bookmarkStart w:id="970" w:name="_Toc487900350"/>
      <w:bookmarkStart w:id="971" w:name="_Toc1447"/>
      <w:bookmarkStart w:id="972" w:name="_Toc19892"/>
      <w:bookmarkStart w:id="973" w:name="_Toc16405"/>
      <w:bookmarkStart w:id="974" w:name="_Toc11142"/>
      <w:bookmarkStart w:id="975" w:name="_Toc1221"/>
      <w:bookmarkStart w:id="976" w:name="_Toc17151"/>
      <w:r>
        <w:rPr>
          <w:rFonts w:hint="eastAsia" w:ascii="宋体" w:hAnsi="宋体" w:eastAsia="宋体" w:cs="宋体"/>
          <w:b/>
          <w:bCs/>
          <w:color w:val="auto"/>
          <w:sz w:val="24"/>
          <w:szCs w:val="24"/>
          <w:highlight w:val="none"/>
        </w:rPr>
        <w:t>2.2 技术规范</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977" w:name="_Toc23791"/>
      <w:bookmarkStart w:id="978" w:name="_Toc31634"/>
      <w:bookmarkStart w:id="979" w:name="_Toc11837"/>
      <w:bookmarkStart w:id="980" w:name="_Toc30700"/>
      <w:bookmarkStart w:id="981" w:name="_Toc20130"/>
      <w:bookmarkStart w:id="982" w:name="_Toc18332"/>
      <w:bookmarkStart w:id="983" w:name="_Toc18092"/>
      <w:bookmarkStart w:id="984" w:name="_Toc259093671"/>
      <w:bookmarkStart w:id="985" w:name="_Toc279701242"/>
      <w:bookmarkStart w:id="986" w:name="_Toc10999"/>
      <w:bookmarkStart w:id="987" w:name="_Toc24537"/>
      <w:bookmarkStart w:id="988" w:name="_Toc7722"/>
      <w:bookmarkStart w:id="989" w:name="_Toc28946"/>
      <w:bookmarkStart w:id="990" w:name="_Toc24588"/>
      <w:bookmarkStart w:id="991" w:name="_Toc6835"/>
      <w:bookmarkStart w:id="992" w:name="_Toc28662"/>
      <w:bookmarkStart w:id="993" w:name="_Toc975"/>
      <w:bookmarkStart w:id="994" w:name="_Toc27853"/>
      <w:bookmarkStart w:id="995" w:name="_Toc4916"/>
      <w:bookmarkStart w:id="996" w:name="_Toc8958"/>
      <w:bookmarkStart w:id="997" w:name="_Toc487900351"/>
      <w:bookmarkStart w:id="998" w:name="_Toc23649"/>
      <w:bookmarkStart w:id="999" w:name="_Toc9829"/>
      <w:bookmarkStart w:id="1000" w:name="_Toc3854"/>
      <w:bookmarkStart w:id="1001" w:name="_Toc14632"/>
      <w:bookmarkStart w:id="1002" w:name="_Toc15733"/>
      <w:bookmarkStart w:id="1003" w:name="_Toc18486"/>
      <w:bookmarkStart w:id="1004" w:name="_Toc2878"/>
      <w:bookmarkStart w:id="1005" w:name="_Toc17383"/>
      <w:bookmarkStart w:id="1006" w:name="_Toc10461"/>
      <w:bookmarkStart w:id="1007" w:name="_Toc6121"/>
      <w:bookmarkStart w:id="1008" w:name="_Toc3879"/>
      <w:bookmarkStart w:id="1009" w:name="_Toc13750"/>
      <w:bookmarkStart w:id="1010" w:name="_Toc1649"/>
      <w:bookmarkStart w:id="1011" w:name="_Toc32048"/>
      <w:bookmarkStart w:id="1012" w:name="_Toc4029"/>
      <w:bookmarkStart w:id="1013" w:name="_Toc30552"/>
      <w:bookmarkStart w:id="1014" w:name="_Toc15099"/>
      <w:r>
        <w:rPr>
          <w:rFonts w:hint="eastAsia" w:ascii="宋体" w:hAnsi="宋体" w:eastAsia="宋体" w:cs="宋体"/>
          <w:b/>
          <w:bCs/>
          <w:color w:val="auto"/>
          <w:sz w:val="24"/>
          <w:szCs w:val="24"/>
          <w:highlight w:val="none"/>
        </w:rPr>
        <w:t>2.3 知识产权</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2.3.2具有知识产权的计算机软件等货物的知识产权归属，详见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015" w:name="_Toc8795"/>
      <w:bookmarkStart w:id="1016" w:name="_Toc9741"/>
      <w:bookmarkStart w:id="1017" w:name="_Toc10970"/>
      <w:bookmarkStart w:id="1018" w:name="_Toc11932"/>
      <w:bookmarkStart w:id="1019" w:name="_Toc19638"/>
      <w:bookmarkStart w:id="1020" w:name="_Toc26731"/>
      <w:bookmarkStart w:id="1021" w:name="_Toc9470"/>
      <w:bookmarkStart w:id="1022" w:name="_Toc6562"/>
      <w:bookmarkStart w:id="1023" w:name="_Toc20620"/>
      <w:bookmarkStart w:id="1024" w:name="_Toc18533"/>
      <w:bookmarkStart w:id="1025" w:name="_Toc5395"/>
      <w:bookmarkStart w:id="1026" w:name="_Toc17080"/>
      <w:bookmarkStart w:id="1027" w:name="_Toc12219"/>
      <w:bookmarkStart w:id="1028" w:name="_Toc1877"/>
      <w:bookmarkStart w:id="1029" w:name="_Toc30542"/>
      <w:bookmarkStart w:id="1030" w:name="_Toc4194"/>
      <w:bookmarkStart w:id="1031" w:name="_Toc19842"/>
      <w:bookmarkStart w:id="1032" w:name="_Toc23105"/>
      <w:bookmarkStart w:id="1033" w:name="_Toc6781"/>
      <w:bookmarkStart w:id="1034" w:name="_Toc684"/>
      <w:bookmarkStart w:id="1035" w:name="_Toc15409"/>
      <w:bookmarkStart w:id="1036" w:name="_Toc24384"/>
      <w:bookmarkStart w:id="1037" w:name="_Toc25767"/>
      <w:bookmarkStart w:id="1038" w:name="_Toc3486"/>
      <w:bookmarkStart w:id="1039" w:name="_Toc28170"/>
      <w:bookmarkStart w:id="1040" w:name="_Toc18554"/>
      <w:bookmarkStart w:id="1041" w:name="_Toc27108"/>
      <w:bookmarkStart w:id="1042" w:name="_Toc29149"/>
      <w:bookmarkStart w:id="1043" w:name="_Toc10546"/>
      <w:bookmarkStart w:id="1044" w:name="_Toc455"/>
      <w:bookmarkStart w:id="1045" w:name="_Toc28714"/>
      <w:bookmarkStart w:id="1046" w:name="_Toc27243"/>
      <w:bookmarkStart w:id="1047" w:name="_Toc836"/>
      <w:bookmarkStart w:id="1048" w:name="_Toc26266"/>
      <w:bookmarkStart w:id="1049" w:name="_Toc2585"/>
      <w:r>
        <w:rPr>
          <w:rFonts w:hint="eastAsia" w:ascii="宋体" w:hAnsi="宋体" w:eastAsia="宋体" w:cs="宋体"/>
          <w:b/>
          <w:bCs/>
          <w:color w:val="auto"/>
          <w:sz w:val="24"/>
          <w:szCs w:val="24"/>
          <w:highlight w:val="none"/>
        </w:rPr>
        <w:t>2.4 包装和装运</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2.4.1除</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装运货物的要求和通知，详见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050" w:name="_Ref467379542"/>
      <w:bookmarkStart w:id="1051" w:name="_Ref467378541"/>
      <w:bookmarkStart w:id="1052" w:name="_Toc259093674"/>
      <w:bookmarkStart w:id="1053" w:name="_Ref467379527"/>
      <w:bookmarkStart w:id="1054" w:name="_Ref467379536"/>
      <w:bookmarkStart w:id="1055" w:name="_Toc487900354"/>
      <w:bookmarkStart w:id="1056" w:name="_Ref467378591"/>
      <w:bookmarkStart w:id="1057" w:name="_Toc279701245"/>
      <w:bookmarkStart w:id="1058" w:name="_Toc21198"/>
      <w:bookmarkStart w:id="1059" w:name="_Toc15512"/>
      <w:bookmarkStart w:id="1060" w:name="_Toc30516"/>
      <w:bookmarkStart w:id="1061" w:name="_Toc28937"/>
      <w:bookmarkStart w:id="1062" w:name="_Toc28658"/>
      <w:bookmarkStart w:id="1063" w:name="_Toc4153"/>
      <w:bookmarkStart w:id="1064" w:name="_Toc4396"/>
      <w:bookmarkStart w:id="1065" w:name="_Toc10071"/>
      <w:bookmarkStart w:id="1066" w:name="_Toc2174"/>
      <w:bookmarkStart w:id="1067" w:name="_Toc26182"/>
      <w:bookmarkStart w:id="1068" w:name="_Toc21410"/>
      <w:bookmarkStart w:id="1069" w:name="_Toc24299"/>
      <w:bookmarkStart w:id="1070" w:name="_Toc30272"/>
      <w:bookmarkStart w:id="1071" w:name="_Toc5927"/>
      <w:bookmarkStart w:id="1072" w:name="_Toc3408"/>
      <w:bookmarkStart w:id="1073" w:name="_Toc18307"/>
      <w:bookmarkStart w:id="1074" w:name="_Toc18515"/>
      <w:bookmarkStart w:id="1075" w:name="_Toc14100"/>
      <w:bookmarkStart w:id="1076" w:name="_Toc31437"/>
      <w:bookmarkStart w:id="1077" w:name="_Toc30610"/>
      <w:bookmarkStart w:id="1078" w:name="_Toc10209"/>
      <w:bookmarkStart w:id="1079" w:name="_Toc1580"/>
      <w:bookmarkStart w:id="1080" w:name="_Toc30291"/>
      <w:bookmarkStart w:id="1081" w:name="_Toc19074"/>
      <w:bookmarkStart w:id="1082" w:name="_Toc4831"/>
      <w:bookmarkStart w:id="1083" w:name="_Toc7299"/>
      <w:bookmarkStart w:id="1084" w:name="_Toc19993"/>
      <w:bookmarkStart w:id="1085" w:name="_Toc23561"/>
      <w:bookmarkStart w:id="1086" w:name="_Toc12428"/>
      <w:bookmarkStart w:id="1087" w:name="_Toc28324"/>
      <w:bookmarkStart w:id="1088" w:name="_Toc24935"/>
      <w:bookmarkStart w:id="1089" w:name="_Toc4182"/>
      <w:bookmarkStart w:id="1090" w:name="_Toc7379"/>
      <w:bookmarkStart w:id="1091" w:name="_Toc28582"/>
      <w:bookmarkStart w:id="1092" w:name="_Toc2815"/>
      <w:r>
        <w:rPr>
          <w:rFonts w:hint="eastAsia" w:ascii="宋体" w:hAnsi="宋体" w:eastAsia="宋体" w:cs="宋体"/>
          <w:b/>
          <w:bCs/>
          <w:color w:val="auto"/>
          <w:sz w:val="24"/>
          <w:szCs w:val="24"/>
          <w:highlight w:val="none"/>
        </w:rPr>
        <w:t>2.</w:t>
      </w:r>
      <w:bookmarkEnd w:id="1050"/>
      <w:bookmarkEnd w:id="1051"/>
      <w:bookmarkEnd w:id="1052"/>
      <w:bookmarkEnd w:id="1053"/>
      <w:bookmarkEnd w:id="1054"/>
      <w:bookmarkEnd w:id="1055"/>
      <w:bookmarkEnd w:id="1056"/>
      <w:bookmarkEnd w:id="1057"/>
      <w:r>
        <w:rPr>
          <w:rFonts w:hint="eastAsia" w:ascii="宋体" w:hAnsi="宋体" w:eastAsia="宋体" w:cs="宋体"/>
          <w:b/>
          <w:bCs/>
          <w:color w:val="auto"/>
          <w:sz w:val="24"/>
          <w:szCs w:val="24"/>
          <w:highlight w:val="none"/>
        </w:rPr>
        <w:t>5 履约检查和问题反馈</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pPr>
        <w:spacing w:line="360" w:lineRule="exact"/>
        <w:ind w:firstLine="480" w:firstLineChars="200"/>
        <w:rPr>
          <w:rFonts w:hint="eastAsia" w:ascii="宋体" w:hAnsi="宋体" w:eastAsia="宋体" w:cs="宋体"/>
          <w:color w:val="auto"/>
          <w:sz w:val="24"/>
          <w:szCs w:val="24"/>
          <w:highlight w:val="none"/>
        </w:rPr>
      </w:pPr>
      <w:bookmarkStart w:id="1093" w:name="_Ref467379657"/>
      <w:r>
        <w:rPr>
          <w:rFonts w:hint="eastAsia" w:ascii="宋体" w:hAnsi="宋体" w:eastAsia="宋体" w:cs="宋体"/>
          <w:color w:val="auto"/>
          <w:sz w:val="24"/>
          <w:szCs w:val="24"/>
          <w:highlight w:val="none"/>
        </w:rPr>
        <w:t>2.5.1</w:t>
      </w:r>
      <w:bookmarkEnd w:id="1093"/>
      <w:bookmarkStart w:id="1094" w:name="_Toc186431854"/>
      <w:bookmarkStart w:id="1095" w:name="_Ref467379793"/>
      <w:bookmarkStart w:id="1096" w:name="_Toc279701247"/>
      <w:bookmarkStart w:id="1097" w:name="_Toc259093676"/>
      <w:bookmarkStart w:id="1098" w:name="_Ref467379807"/>
      <w:bookmarkStart w:id="1099" w:name="_Toc487900357"/>
      <w:r>
        <w:rPr>
          <w:rFonts w:hint="eastAsia" w:ascii="宋体" w:hAnsi="宋体" w:eastAsia="宋体" w:cs="宋体"/>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合同履行期间，甲方有权将履行过程中出现的问题反馈给乙方，双方当事人应以书面形式约定需要完善和改进的内容</w:t>
      </w:r>
      <w:bookmarkEnd w:id="1094"/>
      <w:bookmarkStart w:id="1100" w:name="_Toc186431855"/>
      <w:r>
        <w:rPr>
          <w:rFonts w:hint="eastAsia" w:ascii="宋体" w:hAnsi="宋体" w:eastAsia="宋体" w:cs="宋体"/>
          <w:color w:val="auto"/>
          <w:sz w:val="24"/>
          <w:szCs w:val="24"/>
          <w:highlight w:val="none"/>
        </w:rPr>
        <w:t>。</w:t>
      </w:r>
    </w:p>
    <w:bookmarkEnd w:id="1100"/>
    <w:p>
      <w:pPr>
        <w:spacing w:line="360" w:lineRule="exact"/>
        <w:ind w:firstLine="482" w:firstLineChars="200"/>
        <w:outlineLvl w:val="0"/>
        <w:rPr>
          <w:rFonts w:hint="eastAsia" w:ascii="宋体" w:hAnsi="宋体" w:eastAsia="宋体" w:cs="宋体"/>
          <w:b/>
          <w:bCs/>
          <w:color w:val="auto"/>
          <w:sz w:val="24"/>
          <w:szCs w:val="24"/>
          <w:highlight w:val="none"/>
        </w:rPr>
      </w:pPr>
      <w:bookmarkStart w:id="1101" w:name="_Toc22499"/>
      <w:bookmarkStart w:id="1102" w:name="_Toc18842"/>
      <w:bookmarkStart w:id="1103" w:name="_Toc3057"/>
      <w:bookmarkStart w:id="1104" w:name="_Toc8058"/>
      <w:bookmarkStart w:id="1105" w:name="_Toc26232"/>
      <w:bookmarkStart w:id="1106" w:name="_Toc30354"/>
      <w:bookmarkStart w:id="1107" w:name="_Toc9092"/>
      <w:bookmarkStart w:id="1108" w:name="_Toc23261"/>
      <w:bookmarkStart w:id="1109" w:name="_Toc795"/>
      <w:bookmarkStart w:id="1110" w:name="_Toc22032"/>
      <w:bookmarkStart w:id="1111" w:name="_Toc5304"/>
      <w:bookmarkStart w:id="1112" w:name="_Toc5363"/>
      <w:bookmarkStart w:id="1113" w:name="_Toc17283"/>
      <w:bookmarkStart w:id="1114" w:name="_Toc12360"/>
      <w:bookmarkStart w:id="1115" w:name="_Toc28083"/>
      <w:bookmarkStart w:id="1116" w:name="_Toc28451"/>
      <w:bookmarkStart w:id="1117" w:name="_Toc27251"/>
      <w:bookmarkStart w:id="1118" w:name="_Toc31636"/>
      <w:bookmarkStart w:id="1119" w:name="_Toc234"/>
      <w:bookmarkStart w:id="1120" w:name="_Toc10470"/>
      <w:bookmarkStart w:id="1121" w:name="_Toc19219"/>
      <w:bookmarkStart w:id="1122" w:name="_Toc7752"/>
      <w:bookmarkStart w:id="1123" w:name="_Toc26298"/>
      <w:bookmarkStart w:id="1124" w:name="_Toc9241"/>
      <w:bookmarkStart w:id="1125" w:name="_Toc31520"/>
      <w:bookmarkStart w:id="1126" w:name="_Toc7836"/>
      <w:bookmarkStart w:id="1127" w:name="_Toc10980"/>
      <w:bookmarkStart w:id="1128" w:name="_Toc26245"/>
      <w:bookmarkStart w:id="1129" w:name="_Toc14286"/>
      <w:bookmarkStart w:id="1130" w:name="_Toc11522"/>
      <w:bookmarkStart w:id="1131" w:name="_Toc12377"/>
      <w:bookmarkStart w:id="1132" w:name="_Toc582"/>
      <w:bookmarkStart w:id="1133" w:name="_Toc15854"/>
      <w:bookmarkStart w:id="1134" w:name="_Toc2067"/>
      <w:bookmarkStart w:id="1135" w:name="_Toc15712"/>
      <w:r>
        <w:rPr>
          <w:rFonts w:hint="eastAsia" w:ascii="宋体" w:hAnsi="宋体" w:eastAsia="宋体" w:cs="宋体"/>
          <w:b/>
          <w:bCs/>
          <w:color w:val="auto"/>
          <w:sz w:val="24"/>
          <w:szCs w:val="24"/>
          <w:highlight w:val="none"/>
        </w:rPr>
        <w:t>2.6 结算方式和付款条件</w:t>
      </w:r>
      <w:bookmarkEnd w:id="1095"/>
      <w:bookmarkEnd w:id="1096"/>
      <w:bookmarkEnd w:id="1097"/>
      <w:bookmarkEnd w:id="1098"/>
      <w:bookmarkEnd w:id="1099"/>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136" w:name="_Toc259093677"/>
      <w:bookmarkStart w:id="1137" w:name="_Toc279701248"/>
      <w:bookmarkStart w:id="1138" w:name="_Toc487900358"/>
      <w:bookmarkStart w:id="1139" w:name="_Ref467379863"/>
      <w:bookmarkStart w:id="1140" w:name="_Ref467379923"/>
      <w:bookmarkStart w:id="1141" w:name="_Ref467379852"/>
      <w:bookmarkStart w:id="1142" w:name="_Toc5846"/>
      <w:bookmarkStart w:id="1143" w:name="_Toc8272"/>
      <w:bookmarkStart w:id="1144" w:name="_Toc17607"/>
      <w:bookmarkStart w:id="1145" w:name="_Toc29030"/>
      <w:bookmarkStart w:id="1146" w:name="_Toc29616"/>
      <w:bookmarkStart w:id="1147" w:name="_Toc17136"/>
      <w:bookmarkStart w:id="1148" w:name="_Toc12537"/>
      <w:bookmarkStart w:id="1149" w:name="_Toc11937"/>
      <w:bookmarkStart w:id="1150" w:name="_Toc14432"/>
      <w:bookmarkStart w:id="1151" w:name="_Toc28781"/>
      <w:bookmarkStart w:id="1152" w:name="_Toc14341"/>
      <w:bookmarkStart w:id="1153" w:name="_Toc13023"/>
      <w:bookmarkStart w:id="1154" w:name="_Toc14801"/>
      <w:bookmarkStart w:id="1155" w:name="_Toc7000"/>
      <w:bookmarkStart w:id="1156" w:name="_Toc11615"/>
      <w:bookmarkStart w:id="1157" w:name="_Toc3225"/>
      <w:bookmarkStart w:id="1158" w:name="_Toc9845"/>
      <w:bookmarkStart w:id="1159" w:name="_Toc6635"/>
      <w:bookmarkStart w:id="1160" w:name="_Toc15067"/>
      <w:bookmarkStart w:id="1161" w:name="_Toc10114"/>
      <w:bookmarkStart w:id="1162" w:name="_Toc24083"/>
      <w:bookmarkStart w:id="1163" w:name="_Toc26147"/>
      <w:bookmarkStart w:id="1164" w:name="_Toc11236"/>
      <w:bookmarkStart w:id="1165" w:name="_Toc17051"/>
      <w:bookmarkStart w:id="1166" w:name="_Toc31971"/>
      <w:bookmarkStart w:id="1167" w:name="_Toc25277"/>
      <w:bookmarkStart w:id="1168" w:name="_Toc1200"/>
      <w:bookmarkStart w:id="1169" w:name="_Toc774"/>
      <w:bookmarkStart w:id="1170" w:name="_Toc31305"/>
      <w:bookmarkStart w:id="1171" w:name="_Toc2051"/>
      <w:bookmarkStart w:id="1172" w:name="_Toc16110"/>
      <w:bookmarkStart w:id="1173" w:name="_Toc14491"/>
      <w:bookmarkStart w:id="1174" w:name="_Toc16303"/>
      <w:bookmarkStart w:id="1175" w:name="_Toc1963"/>
      <w:bookmarkStart w:id="1176" w:name="_Toc20160"/>
      <w:r>
        <w:rPr>
          <w:rFonts w:hint="eastAsia" w:ascii="宋体" w:hAnsi="宋体" w:eastAsia="宋体" w:cs="宋体"/>
          <w:b/>
          <w:bCs/>
          <w:color w:val="auto"/>
          <w:sz w:val="24"/>
          <w:szCs w:val="24"/>
          <w:highlight w:val="none"/>
        </w:rPr>
        <w:t>2.7 技术资料</w:t>
      </w:r>
      <w:bookmarkEnd w:id="1136"/>
      <w:bookmarkEnd w:id="1137"/>
      <w:bookmarkEnd w:id="1138"/>
      <w:bookmarkEnd w:id="1139"/>
      <w:bookmarkEnd w:id="1140"/>
      <w:bookmarkEnd w:id="1141"/>
      <w:r>
        <w:rPr>
          <w:rFonts w:hint="eastAsia" w:ascii="宋体" w:hAnsi="宋体" w:eastAsia="宋体" w:cs="宋体"/>
          <w:b/>
          <w:bCs/>
          <w:color w:val="auto"/>
          <w:sz w:val="24"/>
          <w:szCs w:val="24"/>
          <w:highlight w:val="none"/>
        </w:rPr>
        <w:t>和保密义务</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乙方有权依据合同约定和项目需要，向甲方了解有关情况，调阅有关资料等，甲方应予积极配合；</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乙方有义务妥善保管和保护由甲方提供的前款信息和资料等；</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177" w:name="_Toc5200"/>
      <w:bookmarkStart w:id="1178" w:name="_Toc25676"/>
      <w:bookmarkStart w:id="1179" w:name="_Toc18231"/>
      <w:bookmarkStart w:id="1180" w:name="_Toc14045"/>
      <w:bookmarkStart w:id="1181" w:name="_Toc27453"/>
      <w:bookmarkStart w:id="1182" w:name="_Toc10326"/>
      <w:bookmarkStart w:id="1183" w:name="_Toc30503"/>
      <w:bookmarkStart w:id="1184" w:name="_Toc5556"/>
      <w:bookmarkStart w:id="1185" w:name="_Toc13819"/>
      <w:bookmarkStart w:id="1186" w:name="_Toc12220"/>
      <w:bookmarkStart w:id="1187" w:name="_Toc16827"/>
      <w:bookmarkStart w:id="1188" w:name="_Toc8288"/>
      <w:bookmarkStart w:id="1189" w:name="_Toc30167"/>
      <w:bookmarkStart w:id="1190" w:name="_Toc28998"/>
      <w:bookmarkStart w:id="1191" w:name="_Toc10249"/>
      <w:bookmarkStart w:id="1192" w:name="_Toc11530"/>
      <w:bookmarkStart w:id="1193" w:name="_Toc21267"/>
      <w:bookmarkStart w:id="1194" w:name="_Toc26725"/>
      <w:bookmarkStart w:id="1195" w:name="_Toc122"/>
      <w:bookmarkStart w:id="1196" w:name="_Toc31224"/>
      <w:bookmarkStart w:id="1197" w:name="_Toc18551"/>
      <w:bookmarkStart w:id="1198" w:name="_Toc4873"/>
      <w:bookmarkStart w:id="1199" w:name="_Toc26425"/>
      <w:bookmarkStart w:id="1200" w:name="_Toc25999"/>
      <w:bookmarkStart w:id="1201" w:name="_Toc4779"/>
      <w:bookmarkStart w:id="1202" w:name="_Toc16190"/>
      <w:bookmarkStart w:id="1203" w:name="_Toc23081"/>
      <w:bookmarkStart w:id="1204" w:name="_Toc30477"/>
      <w:bookmarkStart w:id="1205" w:name="_Toc11328"/>
      <w:bookmarkStart w:id="1206" w:name="_Toc7860"/>
      <w:bookmarkStart w:id="1207" w:name="_Toc3156"/>
      <w:bookmarkStart w:id="1208" w:name="_Toc29383"/>
      <w:bookmarkStart w:id="1209" w:name="_Toc25751"/>
      <w:r>
        <w:rPr>
          <w:rFonts w:hint="eastAsia" w:ascii="宋体" w:hAnsi="宋体" w:eastAsia="宋体" w:cs="宋体"/>
          <w:b/>
          <w:bCs/>
          <w:color w:val="auto"/>
          <w:sz w:val="24"/>
          <w:szCs w:val="24"/>
          <w:highlight w:val="none"/>
        </w:rPr>
        <w:t>2.8 质量保证</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乙方应建立和完善履行合同的内部质量保证体系，并提供相关内部规章制度给甲方，以便甲方进行监督检查；</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乙方应保证履行合同的人员数量和素质、软件和硬件设备的配置、场地、环境和设施等满足全面履行合同的要求，并应接受甲方的监督检查。</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210" w:name="_Toc13812"/>
      <w:bookmarkStart w:id="1211" w:name="_Toc20506"/>
      <w:bookmarkStart w:id="1212" w:name="_Toc17030"/>
      <w:bookmarkStart w:id="1213" w:name="_Toc12408"/>
      <w:bookmarkStart w:id="1214" w:name="_Toc31920"/>
      <w:bookmarkStart w:id="1215" w:name="_Toc12010"/>
      <w:bookmarkStart w:id="1216" w:name="_Toc26555"/>
      <w:bookmarkStart w:id="1217" w:name="_Toc25529"/>
      <w:bookmarkStart w:id="1218" w:name="_Toc17497"/>
      <w:bookmarkStart w:id="1219" w:name="_Toc15929"/>
      <w:bookmarkStart w:id="1220" w:name="_Toc18729"/>
      <w:bookmarkStart w:id="1221" w:name="_Toc27234"/>
      <w:bookmarkStart w:id="1222" w:name="_Toc20021"/>
      <w:bookmarkStart w:id="1223" w:name="_Toc28753"/>
      <w:bookmarkStart w:id="1224" w:name="_Toc14663"/>
      <w:bookmarkStart w:id="1225" w:name="_Toc28147"/>
      <w:bookmarkStart w:id="1226" w:name="_Toc18046"/>
      <w:bookmarkStart w:id="1227" w:name="_Toc27381"/>
      <w:bookmarkStart w:id="1228" w:name="_Toc17244"/>
      <w:bookmarkStart w:id="1229" w:name="_Toc30593"/>
      <w:bookmarkStart w:id="1230" w:name="_Toc10571"/>
      <w:bookmarkStart w:id="1231" w:name="_Toc11638"/>
      <w:bookmarkStart w:id="1232" w:name="_Toc12966"/>
      <w:bookmarkStart w:id="1233" w:name="_Toc11176"/>
      <w:bookmarkStart w:id="1234" w:name="_Toc15408"/>
      <w:bookmarkStart w:id="1235" w:name="_Toc812"/>
      <w:bookmarkStart w:id="1236" w:name="_Toc22016"/>
      <w:bookmarkStart w:id="1237" w:name="_Toc27238"/>
      <w:bookmarkStart w:id="1238" w:name="_Toc3300"/>
      <w:bookmarkStart w:id="1239" w:name="_Toc25101"/>
      <w:bookmarkStart w:id="1240" w:name="_Toc14596"/>
      <w:bookmarkStart w:id="1241" w:name="_Toc801"/>
      <w:bookmarkStart w:id="1242" w:name="_Toc23172"/>
      <w:bookmarkStart w:id="1243" w:name="_Toc279701252"/>
      <w:bookmarkStart w:id="1244" w:name="_Toc259093681"/>
      <w:bookmarkStart w:id="1245" w:name="_Toc487900362"/>
      <w:r>
        <w:rPr>
          <w:rFonts w:hint="eastAsia" w:ascii="宋体" w:hAnsi="宋体" w:eastAsia="宋体" w:cs="宋体"/>
          <w:b/>
          <w:bCs/>
          <w:color w:val="auto"/>
          <w:sz w:val="24"/>
          <w:szCs w:val="24"/>
          <w:highlight w:val="none"/>
        </w:rPr>
        <w:t>2.9 货物的风险负担</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pPr>
        <w:spacing w:line="3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246" w:name="_Toc2"/>
      <w:bookmarkStart w:id="1247" w:name="_Toc19684"/>
      <w:bookmarkStart w:id="1248" w:name="_Toc23512"/>
      <w:bookmarkStart w:id="1249" w:name="_Toc6602"/>
      <w:bookmarkStart w:id="1250" w:name="_Toc1494"/>
      <w:bookmarkStart w:id="1251" w:name="_Toc14698"/>
      <w:bookmarkStart w:id="1252" w:name="_Toc6054"/>
      <w:bookmarkStart w:id="1253" w:name="_Toc1299"/>
      <w:bookmarkStart w:id="1254" w:name="_Toc14055"/>
      <w:bookmarkStart w:id="1255" w:name="_Toc12464"/>
      <w:bookmarkStart w:id="1256" w:name="_Toc16001"/>
      <w:bookmarkStart w:id="1257" w:name="_Toc10918"/>
      <w:bookmarkStart w:id="1258" w:name="_Toc31334"/>
      <w:bookmarkStart w:id="1259" w:name="_Toc26567"/>
      <w:bookmarkStart w:id="1260" w:name="_Toc1108"/>
      <w:bookmarkStart w:id="1261" w:name="_Toc27988"/>
      <w:bookmarkStart w:id="1262" w:name="_Toc29192"/>
      <w:bookmarkStart w:id="1263" w:name="_Toc3191"/>
      <w:bookmarkStart w:id="1264" w:name="_Toc22674"/>
      <w:bookmarkStart w:id="1265" w:name="_Toc19541"/>
      <w:bookmarkStart w:id="1266" w:name="_Toc20938"/>
      <w:bookmarkStart w:id="1267" w:name="_Toc15465"/>
      <w:bookmarkStart w:id="1268" w:name="_Toc5196"/>
      <w:bookmarkStart w:id="1269" w:name="_Toc7986"/>
      <w:bookmarkStart w:id="1270" w:name="_Toc11963"/>
      <w:bookmarkStart w:id="1271" w:name="_Toc23732"/>
      <w:bookmarkStart w:id="1272" w:name="_Toc25663"/>
      <w:bookmarkStart w:id="1273" w:name="_Toc17555"/>
      <w:bookmarkStart w:id="1274" w:name="_Toc20457"/>
      <w:bookmarkStart w:id="1275" w:name="_Toc15972"/>
      <w:bookmarkStart w:id="1276" w:name="_Toc21842"/>
      <w:bookmarkStart w:id="1277" w:name="_Toc29837"/>
      <w:bookmarkStart w:id="1278" w:name="_Toc15112"/>
      <w:r>
        <w:rPr>
          <w:rFonts w:hint="eastAsia" w:ascii="宋体" w:hAnsi="宋体" w:eastAsia="宋体" w:cs="宋体"/>
          <w:b/>
          <w:bCs/>
          <w:color w:val="auto"/>
          <w:sz w:val="24"/>
          <w:szCs w:val="24"/>
          <w:highlight w:val="none"/>
        </w:rPr>
        <w:t>2.10 延迟交货</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279" w:name="_Toc507"/>
      <w:bookmarkStart w:id="1280" w:name="_Toc17237"/>
      <w:bookmarkStart w:id="1281" w:name="_Toc25717"/>
      <w:bookmarkStart w:id="1282" w:name="_Toc29075"/>
      <w:bookmarkStart w:id="1283" w:name="_Toc5999"/>
      <w:bookmarkStart w:id="1284" w:name="_Toc15143"/>
      <w:bookmarkStart w:id="1285" w:name="_Toc4586"/>
      <w:bookmarkStart w:id="1286" w:name="_Toc12175"/>
      <w:bookmarkStart w:id="1287" w:name="_Toc28327"/>
      <w:bookmarkStart w:id="1288" w:name="_Toc8126"/>
      <w:bookmarkStart w:id="1289" w:name="_Toc31555"/>
      <w:bookmarkStart w:id="1290" w:name="_Toc16528"/>
      <w:bookmarkStart w:id="1291" w:name="_Toc28850"/>
      <w:bookmarkStart w:id="1292" w:name="_Toc25592"/>
      <w:bookmarkStart w:id="1293" w:name="_Toc10956"/>
      <w:bookmarkStart w:id="1294" w:name="_Toc2323"/>
      <w:bookmarkStart w:id="1295" w:name="_Toc18704"/>
      <w:bookmarkStart w:id="1296" w:name="_Toc16810"/>
      <w:bookmarkStart w:id="1297" w:name="_Toc16267"/>
      <w:bookmarkStart w:id="1298" w:name="_Toc23198"/>
      <w:bookmarkStart w:id="1299" w:name="_Toc2860"/>
      <w:bookmarkStart w:id="1300" w:name="_Toc6627"/>
      <w:bookmarkStart w:id="1301" w:name="_Toc21173"/>
      <w:bookmarkStart w:id="1302" w:name="_Toc31403"/>
      <w:bookmarkStart w:id="1303" w:name="_Toc7502"/>
      <w:bookmarkStart w:id="1304" w:name="_Toc29666"/>
      <w:bookmarkStart w:id="1305" w:name="_Toc11669"/>
      <w:bookmarkStart w:id="1306" w:name="_Toc8441"/>
      <w:bookmarkStart w:id="1307" w:name="_Toc14851"/>
      <w:bookmarkStart w:id="1308" w:name="_Toc3064"/>
      <w:bookmarkStart w:id="1309" w:name="_Toc9194"/>
      <w:bookmarkStart w:id="1310" w:name="_Toc7444"/>
      <w:bookmarkStart w:id="1311" w:name="_Toc9706"/>
      <w:bookmarkStart w:id="1312" w:name="_Toc487900364"/>
      <w:bookmarkStart w:id="1313" w:name="_Toc279701254"/>
      <w:bookmarkStart w:id="1314" w:name="_Ref467378121"/>
      <w:bookmarkStart w:id="1315" w:name="_Toc259093683"/>
      <w:r>
        <w:rPr>
          <w:rFonts w:hint="eastAsia" w:ascii="宋体" w:hAnsi="宋体" w:eastAsia="宋体" w:cs="宋体"/>
          <w:b/>
          <w:bCs/>
          <w:color w:val="auto"/>
          <w:sz w:val="24"/>
          <w:szCs w:val="24"/>
          <w:highlight w:val="none"/>
        </w:rPr>
        <w:t>2.11 合同变更</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316" w:name="_Toc279701259"/>
      <w:bookmarkStart w:id="1317" w:name="_Toc259093688"/>
      <w:bookmarkStart w:id="1318" w:name="_Toc487900369"/>
    </w:p>
    <w:p>
      <w:pPr>
        <w:spacing w:line="360" w:lineRule="exact"/>
        <w:ind w:firstLine="482" w:firstLineChars="200"/>
        <w:outlineLvl w:val="0"/>
        <w:rPr>
          <w:rFonts w:hint="eastAsia" w:ascii="宋体" w:hAnsi="宋体" w:eastAsia="宋体" w:cs="宋体"/>
          <w:b/>
          <w:bCs/>
          <w:color w:val="auto"/>
          <w:sz w:val="24"/>
          <w:szCs w:val="24"/>
          <w:highlight w:val="none"/>
        </w:rPr>
      </w:pPr>
      <w:bookmarkStart w:id="1319" w:name="_Toc20978"/>
      <w:bookmarkStart w:id="1320" w:name="_Toc8679"/>
      <w:bookmarkStart w:id="1321" w:name="_Toc11626"/>
      <w:bookmarkStart w:id="1322" w:name="_Toc3931"/>
      <w:bookmarkStart w:id="1323" w:name="_Toc6051"/>
      <w:bookmarkStart w:id="1324" w:name="_Toc24511"/>
      <w:bookmarkStart w:id="1325" w:name="_Toc26224"/>
      <w:bookmarkStart w:id="1326" w:name="_Toc15237"/>
      <w:bookmarkStart w:id="1327" w:name="_Toc23079"/>
      <w:bookmarkStart w:id="1328" w:name="_Toc26553"/>
      <w:bookmarkStart w:id="1329" w:name="_Toc22955"/>
      <w:bookmarkStart w:id="1330" w:name="_Toc1813"/>
      <w:bookmarkStart w:id="1331" w:name="_Toc32581"/>
      <w:bookmarkStart w:id="1332" w:name="_Toc10313"/>
      <w:bookmarkStart w:id="1333" w:name="_Toc2157"/>
      <w:bookmarkStart w:id="1334" w:name="_Toc3484"/>
      <w:bookmarkStart w:id="1335" w:name="_Toc3062"/>
      <w:bookmarkStart w:id="1336" w:name="_Toc10537"/>
      <w:bookmarkStart w:id="1337" w:name="_Toc32309"/>
      <w:bookmarkStart w:id="1338" w:name="_Toc26864"/>
      <w:bookmarkStart w:id="1339" w:name="_Toc18316"/>
      <w:bookmarkStart w:id="1340" w:name="_Toc4789"/>
      <w:bookmarkStart w:id="1341" w:name="_Toc21753"/>
      <w:bookmarkStart w:id="1342" w:name="_Toc25498"/>
      <w:bookmarkStart w:id="1343" w:name="_Toc3825"/>
      <w:bookmarkStart w:id="1344" w:name="_Toc25508"/>
      <w:bookmarkStart w:id="1345" w:name="_Toc6334"/>
      <w:bookmarkStart w:id="1346" w:name="_Toc19380"/>
      <w:bookmarkStart w:id="1347" w:name="_Toc3928"/>
      <w:bookmarkStart w:id="1348" w:name="_Toc6176"/>
      <w:bookmarkStart w:id="1349" w:name="_Toc9543"/>
      <w:bookmarkStart w:id="1350" w:name="_Toc23779"/>
      <w:bookmarkStart w:id="1351" w:name="_Toc27772"/>
      <w:bookmarkStart w:id="1352" w:name="_Toc14895"/>
      <w:r>
        <w:rPr>
          <w:rFonts w:hint="eastAsia" w:ascii="宋体" w:hAnsi="宋体" w:eastAsia="宋体" w:cs="宋体"/>
          <w:b/>
          <w:bCs/>
          <w:color w:val="auto"/>
          <w:sz w:val="24"/>
          <w:szCs w:val="24"/>
          <w:highlight w:val="none"/>
        </w:rPr>
        <w:t>2.12 合同转让</w:t>
      </w:r>
      <w:bookmarkEnd w:id="1316"/>
      <w:bookmarkEnd w:id="1317"/>
      <w:bookmarkEnd w:id="1318"/>
      <w:r>
        <w:rPr>
          <w:rFonts w:hint="eastAsia" w:ascii="宋体" w:hAnsi="宋体" w:eastAsia="宋体" w:cs="宋体"/>
          <w:b/>
          <w:bCs/>
          <w:color w:val="auto"/>
          <w:sz w:val="24"/>
          <w:szCs w:val="24"/>
          <w:highlight w:val="none"/>
        </w:rPr>
        <w:t>和分包</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353" w:name="_Toc14063"/>
      <w:bookmarkStart w:id="1354" w:name="_Toc2586"/>
      <w:bookmarkStart w:id="1355" w:name="_Toc4540"/>
      <w:bookmarkStart w:id="1356" w:name="_Toc22326"/>
      <w:bookmarkStart w:id="1357" w:name="_Toc14752"/>
      <w:bookmarkStart w:id="1358" w:name="_Toc20647"/>
      <w:bookmarkStart w:id="1359" w:name="_Toc32426"/>
      <w:bookmarkStart w:id="1360" w:name="_Toc8114"/>
      <w:bookmarkStart w:id="1361" w:name="_Toc29366"/>
      <w:bookmarkStart w:id="1362" w:name="_Toc3177"/>
      <w:bookmarkStart w:id="1363" w:name="_Toc32515"/>
      <w:bookmarkStart w:id="1364" w:name="_Toc24457"/>
      <w:bookmarkStart w:id="1365" w:name="_Toc9493"/>
      <w:bookmarkStart w:id="1366" w:name="_Toc219"/>
      <w:bookmarkStart w:id="1367" w:name="_Toc11104"/>
      <w:bookmarkStart w:id="1368" w:name="_Toc14066"/>
      <w:bookmarkStart w:id="1369" w:name="_Toc12165"/>
      <w:bookmarkStart w:id="1370" w:name="_Toc31984"/>
      <w:bookmarkStart w:id="1371" w:name="_Toc14564"/>
      <w:bookmarkStart w:id="1372" w:name="_Toc5484"/>
      <w:bookmarkStart w:id="1373" w:name="_Toc15741"/>
      <w:bookmarkStart w:id="1374" w:name="_Toc16508"/>
      <w:bookmarkStart w:id="1375" w:name="_Toc9374"/>
      <w:bookmarkStart w:id="1376" w:name="_Toc12809"/>
      <w:bookmarkStart w:id="1377" w:name="_Toc134"/>
      <w:bookmarkStart w:id="1378" w:name="_Toc16893"/>
      <w:bookmarkStart w:id="1379" w:name="_Toc7608"/>
      <w:bookmarkStart w:id="1380" w:name="_Toc17498"/>
      <w:bookmarkStart w:id="1381" w:name="_Toc13557"/>
      <w:bookmarkStart w:id="1382" w:name="_Toc19750"/>
      <w:bookmarkStart w:id="1383" w:name="_Toc9855"/>
      <w:bookmarkStart w:id="1384" w:name="_Toc21850"/>
      <w:bookmarkStart w:id="1385" w:name="_Toc24741"/>
      <w:bookmarkStart w:id="1386" w:name="_Toc13566"/>
      <w:bookmarkStart w:id="1387" w:name="_Toc3533"/>
      <w:r>
        <w:rPr>
          <w:rFonts w:hint="eastAsia" w:ascii="宋体" w:hAnsi="宋体" w:eastAsia="宋体" w:cs="宋体"/>
          <w:b/>
          <w:bCs/>
          <w:color w:val="auto"/>
          <w:sz w:val="24"/>
          <w:szCs w:val="24"/>
          <w:highlight w:val="none"/>
        </w:rPr>
        <w:t>2.13 不可抗力</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2.13.1如果任何一方遭遇法律规定的不可抗力，致使合同履行受阻时，履行合同的期限应予延长，延长的期限应相当于不可抗力所影响的时间；</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2.13.2 因不可抗力致使不能实现合同目的的，当事人可以解除合同；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2.13.3 因不可抗力致使合同有变更必要的，双方当事人应在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2.13.4受不可抗力影响的一方在不可抗力发生后，应在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388" w:name="_Toc8460"/>
      <w:bookmarkStart w:id="1389" w:name="_Toc32452"/>
      <w:bookmarkStart w:id="1390" w:name="_Toc5015"/>
      <w:bookmarkStart w:id="1391" w:name="_Toc28117"/>
      <w:bookmarkStart w:id="1392" w:name="_Toc10528"/>
      <w:bookmarkStart w:id="1393" w:name="_Toc259093684"/>
      <w:bookmarkStart w:id="1394" w:name="_Toc7175"/>
      <w:bookmarkStart w:id="1395" w:name="_Toc22873"/>
      <w:bookmarkStart w:id="1396" w:name="_Toc7145"/>
      <w:bookmarkStart w:id="1397" w:name="_Toc11423"/>
      <w:bookmarkStart w:id="1398" w:name="_Toc689"/>
      <w:bookmarkStart w:id="1399" w:name="_Toc32764"/>
      <w:bookmarkStart w:id="1400" w:name="_Toc6047"/>
      <w:bookmarkStart w:id="1401" w:name="_Toc21260"/>
      <w:bookmarkStart w:id="1402" w:name="_Toc5884"/>
      <w:bookmarkStart w:id="1403" w:name="_Toc487900365"/>
      <w:bookmarkStart w:id="1404" w:name="_Toc6308"/>
      <w:bookmarkStart w:id="1405" w:name="_Toc18785"/>
      <w:bookmarkStart w:id="1406" w:name="_Toc31597"/>
      <w:bookmarkStart w:id="1407" w:name="_Toc279701255"/>
      <w:bookmarkStart w:id="1408" w:name="_Toc26085"/>
      <w:bookmarkStart w:id="1409" w:name="_Toc16229"/>
      <w:bookmarkStart w:id="1410" w:name="_Toc30676"/>
      <w:bookmarkStart w:id="1411" w:name="_Toc25124"/>
      <w:bookmarkStart w:id="1412" w:name="_Toc6676"/>
      <w:bookmarkStart w:id="1413" w:name="_Toc13910"/>
      <w:bookmarkStart w:id="1414" w:name="_Toc17299"/>
      <w:bookmarkStart w:id="1415" w:name="_Toc19677"/>
      <w:bookmarkStart w:id="1416" w:name="_Toc14748"/>
      <w:bookmarkStart w:id="1417" w:name="_Toc12959"/>
      <w:bookmarkStart w:id="1418" w:name="_Toc25901"/>
      <w:bookmarkStart w:id="1419" w:name="_Toc6288"/>
      <w:bookmarkStart w:id="1420" w:name="_Toc4006"/>
      <w:bookmarkStart w:id="1421" w:name="_Toc1584"/>
      <w:bookmarkStart w:id="1422" w:name="_Toc6969"/>
      <w:bookmarkStart w:id="1423" w:name="_Toc11876"/>
      <w:bookmarkStart w:id="1424" w:name="_Toc2511"/>
      <w:bookmarkStart w:id="1425" w:name="_Toc28340"/>
      <w:r>
        <w:rPr>
          <w:rFonts w:hint="eastAsia" w:ascii="宋体" w:hAnsi="宋体" w:eastAsia="宋体" w:cs="宋体"/>
          <w:b/>
          <w:bCs/>
          <w:color w:val="auto"/>
          <w:sz w:val="24"/>
          <w:szCs w:val="24"/>
          <w:highlight w:val="none"/>
        </w:rPr>
        <w:t>2.14 税费</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426" w:name="_Toc14403"/>
      <w:bookmarkStart w:id="1427" w:name="_Toc13626"/>
      <w:bookmarkStart w:id="1428" w:name="_Toc8934"/>
      <w:bookmarkStart w:id="1429" w:name="_Toc24862"/>
      <w:bookmarkStart w:id="1430" w:name="_Toc27541"/>
      <w:bookmarkStart w:id="1431" w:name="_Toc21290"/>
      <w:bookmarkStart w:id="1432" w:name="_Toc11308"/>
      <w:bookmarkStart w:id="1433" w:name="_Toc7102"/>
      <w:bookmarkStart w:id="1434" w:name="_Toc7117"/>
      <w:bookmarkStart w:id="1435" w:name="_Toc515"/>
      <w:bookmarkStart w:id="1436" w:name="_Toc23266"/>
      <w:bookmarkStart w:id="1437" w:name="_Toc7572"/>
      <w:bookmarkStart w:id="1438" w:name="_Toc30045"/>
      <w:bookmarkStart w:id="1439" w:name="_Toc24701"/>
      <w:bookmarkStart w:id="1440" w:name="_Toc15527"/>
      <w:bookmarkStart w:id="1441" w:name="_Toc487900368"/>
      <w:bookmarkStart w:id="1442" w:name="_Toc29869"/>
      <w:bookmarkStart w:id="1443" w:name="_Toc8420"/>
      <w:bookmarkStart w:id="1444" w:name="_Toc12141"/>
      <w:bookmarkStart w:id="1445" w:name="_Toc29993"/>
      <w:bookmarkStart w:id="1446" w:name="_Toc20395"/>
      <w:bookmarkStart w:id="1447" w:name="_Toc13488"/>
      <w:bookmarkStart w:id="1448" w:name="_Toc259093687"/>
      <w:bookmarkStart w:id="1449" w:name="_Toc14463"/>
      <w:bookmarkStart w:id="1450" w:name="_Toc17523"/>
      <w:bookmarkStart w:id="1451" w:name="_Toc9909"/>
      <w:bookmarkStart w:id="1452" w:name="_Toc4812"/>
      <w:bookmarkStart w:id="1453" w:name="_Toc5733"/>
      <w:bookmarkStart w:id="1454" w:name="_Toc279701258"/>
      <w:bookmarkStart w:id="1455" w:name="_Toc7999"/>
      <w:bookmarkStart w:id="1456" w:name="_Toc20594"/>
      <w:bookmarkStart w:id="1457" w:name="_Toc22239"/>
      <w:bookmarkStart w:id="1458" w:name="_Toc27950"/>
      <w:bookmarkStart w:id="1459" w:name="_Toc8298"/>
      <w:bookmarkStart w:id="1460" w:name="_Toc10359"/>
      <w:bookmarkStart w:id="1461" w:name="_Toc25260"/>
      <w:bookmarkStart w:id="1462" w:name="_Toc16959"/>
      <w:bookmarkStart w:id="1463" w:name="_Toc25055"/>
      <w:r>
        <w:rPr>
          <w:rFonts w:hint="eastAsia" w:ascii="宋体" w:hAnsi="宋体" w:eastAsia="宋体" w:cs="宋体"/>
          <w:b/>
          <w:bCs/>
          <w:color w:val="auto"/>
          <w:sz w:val="24"/>
          <w:szCs w:val="24"/>
          <w:highlight w:val="none"/>
        </w:rPr>
        <w:t>2.15 乙方破产</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464" w:name="_Toc29764"/>
      <w:bookmarkStart w:id="1465" w:name="_Toc3039"/>
      <w:bookmarkStart w:id="1466" w:name="_Toc12606"/>
      <w:bookmarkStart w:id="1467" w:name="_Toc26255"/>
      <w:bookmarkStart w:id="1468" w:name="_Toc16840"/>
      <w:bookmarkStart w:id="1469" w:name="_Toc30362"/>
      <w:bookmarkStart w:id="1470" w:name="_Toc11812"/>
      <w:bookmarkStart w:id="1471" w:name="_Toc11521"/>
      <w:bookmarkStart w:id="1472" w:name="_Toc12781"/>
      <w:bookmarkStart w:id="1473" w:name="_Toc12113"/>
      <w:bookmarkStart w:id="1474" w:name="_Toc15387"/>
      <w:bookmarkStart w:id="1475" w:name="_Toc15605"/>
      <w:bookmarkStart w:id="1476" w:name="_Toc32508"/>
      <w:bookmarkStart w:id="1477" w:name="_Toc4013"/>
      <w:bookmarkStart w:id="1478" w:name="_Toc5634"/>
      <w:bookmarkStart w:id="1479" w:name="_Toc9318"/>
      <w:bookmarkStart w:id="1480" w:name="_Toc29333"/>
      <w:bookmarkStart w:id="1481" w:name="_Toc110"/>
      <w:bookmarkStart w:id="1482" w:name="_Toc818"/>
      <w:bookmarkStart w:id="1483" w:name="_Toc1303"/>
      <w:bookmarkStart w:id="1484" w:name="_Toc24066"/>
      <w:bookmarkStart w:id="1485" w:name="_Toc1942"/>
      <w:bookmarkStart w:id="1486" w:name="_Toc9361"/>
      <w:bookmarkStart w:id="1487" w:name="_Toc27106"/>
      <w:bookmarkStart w:id="1488" w:name="_Toc15445"/>
      <w:bookmarkStart w:id="1489" w:name="_Toc7009"/>
      <w:bookmarkStart w:id="1490" w:name="_Toc31639"/>
      <w:bookmarkStart w:id="1491" w:name="_Toc4227"/>
      <w:bookmarkStart w:id="1492" w:name="_Toc6134"/>
      <w:bookmarkStart w:id="1493" w:name="_Toc23040"/>
      <w:bookmarkStart w:id="1494" w:name="_Toc11435"/>
      <w:bookmarkStart w:id="1495" w:name="_Toc26083"/>
      <w:bookmarkStart w:id="1496" w:name="_Toc24867"/>
      <w:bookmarkStart w:id="1497" w:name="_Toc25273"/>
      <w:bookmarkStart w:id="1498" w:name="_Toc24976"/>
      <w:r>
        <w:rPr>
          <w:rFonts w:hint="eastAsia" w:ascii="宋体" w:hAnsi="宋体" w:eastAsia="宋体" w:cs="宋体"/>
          <w:b/>
          <w:bCs/>
          <w:color w:val="auto"/>
          <w:sz w:val="24"/>
          <w:szCs w:val="24"/>
          <w:highlight w:val="none"/>
        </w:rPr>
        <w:t>2.16 合同中止、终止</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 双方当事人不得擅自中止或者终止合同；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499" w:name="_Toc14890"/>
      <w:bookmarkStart w:id="1500" w:name="_Toc25710"/>
      <w:bookmarkStart w:id="1501" w:name="_Toc31577"/>
      <w:bookmarkStart w:id="1502" w:name="_Toc13316"/>
      <w:bookmarkStart w:id="1503" w:name="_Toc4111"/>
      <w:bookmarkStart w:id="1504" w:name="_Toc3441"/>
      <w:bookmarkStart w:id="1505" w:name="_Toc24731"/>
      <w:bookmarkStart w:id="1506" w:name="_Toc27311"/>
      <w:bookmarkStart w:id="1507" w:name="_Toc20145"/>
      <w:bookmarkStart w:id="1508" w:name="_Toc30133"/>
      <w:bookmarkStart w:id="1509" w:name="_Toc13848"/>
      <w:bookmarkStart w:id="1510" w:name="_Toc13150"/>
      <w:bookmarkStart w:id="1511" w:name="_Toc14563"/>
      <w:bookmarkStart w:id="1512" w:name="_Toc11637"/>
      <w:bookmarkStart w:id="1513" w:name="_Toc19755"/>
      <w:bookmarkStart w:id="1514" w:name="_Toc30476"/>
      <w:bookmarkStart w:id="1515" w:name="_Toc13669"/>
      <w:bookmarkStart w:id="1516" w:name="_Toc26299"/>
      <w:bookmarkStart w:id="1517" w:name="_Toc28047"/>
      <w:bookmarkStart w:id="1518" w:name="_Toc1125"/>
      <w:bookmarkStart w:id="1519" w:name="_Toc12595"/>
      <w:bookmarkStart w:id="1520" w:name="_Toc28303"/>
      <w:bookmarkStart w:id="1521" w:name="_Toc11995"/>
      <w:bookmarkStart w:id="1522" w:name="_Toc29926"/>
      <w:bookmarkStart w:id="1523" w:name="_Toc6704"/>
      <w:bookmarkStart w:id="1524" w:name="_Toc24481"/>
      <w:bookmarkStart w:id="1525" w:name="_Toc6596"/>
      <w:bookmarkStart w:id="1526" w:name="_Toc22335"/>
      <w:bookmarkStart w:id="1527" w:name="_Toc30958"/>
      <w:bookmarkStart w:id="1528" w:name="_Toc21636"/>
      <w:bookmarkStart w:id="1529" w:name="_Toc25358"/>
      <w:bookmarkStart w:id="1530" w:name="_Toc9310"/>
      <w:bookmarkStart w:id="1531" w:name="_Toc11658"/>
      <w:bookmarkStart w:id="1532" w:name="_Toc11352"/>
      <w:bookmarkStart w:id="1533" w:name="_Toc25230"/>
      <w:r>
        <w:rPr>
          <w:rFonts w:hint="eastAsia" w:ascii="宋体" w:hAnsi="宋体" w:eastAsia="宋体" w:cs="宋体"/>
          <w:b/>
          <w:bCs/>
          <w:color w:val="auto"/>
          <w:sz w:val="24"/>
          <w:szCs w:val="24"/>
          <w:highlight w:val="none"/>
        </w:rPr>
        <w:t>2.17 检验和验收</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pPr>
        <w:tabs>
          <w:tab w:val="left" w:pos="360"/>
          <w:tab w:val="left" w:pos="540"/>
          <w:tab w:val="left" w:pos="108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约定时间内组织验收，并可依法邀请相关方参加，验收应出具验收书。</w:t>
      </w:r>
    </w:p>
    <w:p>
      <w:pPr>
        <w:tabs>
          <w:tab w:val="left" w:pos="360"/>
          <w:tab w:val="left" w:pos="540"/>
          <w:tab w:val="left" w:pos="108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 检验和验收标准、程序等具体内容以及前述验收书的效力详见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i/>
          <w:iCs/>
          <w:color w:val="auto"/>
          <w:sz w:val="24"/>
          <w:szCs w:val="24"/>
          <w:highlight w:val="none"/>
        </w:rPr>
        <w:t>。</w:t>
      </w:r>
    </w:p>
    <w:bookmarkEnd w:id="1312"/>
    <w:bookmarkEnd w:id="1313"/>
    <w:bookmarkEnd w:id="1314"/>
    <w:bookmarkEnd w:id="1315"/>
    <w:p>
      <w:pPr>
        <w:spacing w:line="360" w:lineRule="exact"/>
        <w:ind w:firstLine="482" w:firstLineChars="200"/>
        <w:outlineLvl w:val="0"/>
        <w:rPr>
          <w:rFonts w:hint="eastAsia" w:ascii="宋体" w:hAnsi="宋体" w:eastAsia="宋体" w:cs="宋体"/>
          <w:b/>
          <w:bCs/>
          <w:color w:val="auto"/>
          <w:sz w:val="24"/>
          <w:szCs w:val="24"/>
          <w:highlight w:val="none"/>
        </w:rPr>
      </w:pPr>
      <w:bookmarkStart w:id="1534" w:name="_Toc487900371"/>
      <w:bookmarkStart w:id="1535" w:name="_Toc279701261"/>
      <w:bookmarkStart w:id="1536" w:name="_Toc259093690"/>
      <w:bookmarkStart w:id="1537" w:name="_Toc20551"/>
      <w:bookmarkStart w:id="1538" w:name="_Toc7660"/>
      <w:bookmarkStart w:id="1539" w:name="_Toc29267"/>
      <w:bookmarkStart w:id="1540" w:name="_Toc27621"/>
      <w:bookmarkStart w:id="1541" w:name="_Toc11284"/>
      <w:bookmarkStart w:id="1542" w:name="_Toc32473"/>
      <w:bookmarkStart w:id="1543" w:name="_Toc15037"/>
      <w:bookmarkStart w:id="1544" w:name="_Toc725"/>
      <w:bookmarkStart w:id="1545" w:name="_Toc8998"/>
      <w:bookmarkStart w:id="1546" w:name="_Toc9266"/>
      <w:bookmarkStart w:id="1547" w:name="_Toc8096"/>
      <w:bookmarkStart w:id="1548" w:name="_Toc23678"/>
      <w:bookmarkStart w:id="1549" w:name="_Toc17270"/>
      <w:bookmarkStart w:id="1550" w:name="_Toc14665"/>
      <w:bookmarkStart w:id="1551" w:name="_Toc17336"/>
      <w:bookmarkStart w:id="1552" w:name="_Toc29082"/>
      <w:bookmarkStart w:id="1553" w:name="_Toc8125"/>
      <w:bookmarkStart w:id="1554" w:name="_Toc32221"/>
      <w:bookmarkStart w:id="1555" w:name="_Toc26823"/>
      <w:bookmarkStart w:id="1556" w:name="_Toc17313"/>
      <w:bookmarkStart w:id="1557" w:name="_Toc5435"/>
      <w:bookmarkStart w:id="1558" w:name="_Toc21687"/>
      <w:bookmarkStart w:id="1559" w:name="_Toc12493"/>
      <w:bookmarkStart w:id="1560" w:name="_Toc26892"/>
      <w:bookmarkStart w:id="1561" w:name="_Toc25182"/>
      <w:bookmarkStart w:id="1562" w:name="_Toc14242"/>
      <w:bookmarkStart w:id="1563" w:name="_Toc14193"/>
      <w:bookmarkStart w:id="1564" w:name="_Toc13220"/>
      <w:bookmarkStart w:id="1565" w:name="_Toc31945"/>
      <w:bookmarkStart w:id="1566" w:name="_Toc19604"/>
      <w:bookmarkStart w:id="1567" w:name="_Toc10130"/>
      <w:bookmarkStart w:id="1568" w:name="_Toc30713"/>
      <w:bookmarkStart w:id="1569" w:name="_Toc22021"/>
      <w:bookmarkStart w:id="1570" w:name="_Toc7641"/>
      <w:bookmarkStart w:id="1571" w:name="_Toc4983"/>
      <w:r>
        <w:rPr>
          <w:rFonts w:hint="eastAsia" w:ascii="宋体" w:hAnsi="宋体" w:eastAsia="宋体" w:cs="宋体"/>
          <w:b/>
          <w:bCs/>
          <w:color w:val="auto"/>
          <w:sz w:val="24"/>
          <w:szCs w:val="24"/>
          <w:highlight w:val="none"/>
        </w:rPr>
        <w:t>2.18 通知</w:t>
      </w:r>
      <w:bookmarkEnd w:id="1534"/>
      <w:bookmarkEnd w:id="1535"/>
      <w:bookmarkEnd w:id="1536"/>
      <w:r>
        <w:rPr>
          <w:rFonts w:hint="eastAsia" w:ascii="宋体" w:hAnsi="宋体" w:eastAsia="宋体" w:cs="宋体"/>
          <w:b/>
          <w:bCs/>
          <w:color w:val="auto"/>
          <w:sz w:val="24"/>
          <w:szCs w:val="24"/>
          <w:highlight w:val="none"/>
        </w:rPr>
        <w:t>和送达</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pPr>
        <w:spacing w:line="360" w:lineRule="exact"/>
        <w:ind w:firstLine="480" w:firstLineChars="200"/>
        <w:rPr>
          <w:rFonts w:hint="eastAsia" w:ascii="宋体" w:hAnsi="宋体" w:eastAsia="宋体" w:cs="宋体"/>
          <w:color w:val="auto"/>
          <w:sz w:val="24"/>
          <w:szCs w:val="24"/>
          <w:highlight w:val="none"/>
        </w:rPr>
      </w:pPr>
      <w:bookmarkStart w:id="1572" w:name="_Toc6698"/>
      <w:bookmarkStart w:id="1573" w:name="_Toc3135"/>
      <w:bookmarkStart w:id="1574" w:name="_Toc487900372"/>
      <w:bookmarkStart w:id="1575" w:name="_Toc279701262"/>
      <w:bookmarkStart w:id="1576" w:name="_Toc259093691"/>
      <w:r>
        <w:rPr>
          <w:rFonts w:hint="eastAsia" w:ascii="宋体" w:hAnsi="宋体" w:eastAsia="宋体" w:cs="宋体"/>
          <w:color w:val="auto"/>
          <w:sz w:val="24"/>
          <w:szCs w:val="24"/>
          <w:highlight w:val="none"/>
        </w:rPr>
        <w:t>2.18.1 任何一方因履行合同而以合同第一部分尾部所列明的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bookmarkEnd w:id="1572"/>
      <w:bookmarkEnd w:id="1573"/>
    </w:p>
    <w:p>
      <w:pPr>
        <w:spacing w:line="360" w:lineRule="exact"/>
        <w:ind w:firstLine="480" w:firstLineChars="200"/>
        <w:rPr>
          <w:rFonts w:hint="eastAsia" w:ascii="宋体" w:hAnsi="宋体" w:eastAsia="宋体" w:cs="宋体"/>
          <w:color w:val="auto"/>
          <w:sz w:val="24"/>
          <w:szCs w:val="24"/>
          <w:highlight w:val="none"/>
        </w:rPr>
      </w:pPr>
      <w:bookmarkStart w:id="1577" w:name="_Toc23294"/>
      <w:bookmarkStart w:id="1578" w:name="_Toc23128"/>
      <w:r>
        <w:rPr>
          <w:rFonts w:hint="eastAsia" w:ascii="宋体" w:hAnsi="宋体" w:eastAsia="宋体" w:cs="宋体"/>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77"/>
      <w:bookmarkEnd w:id="1578"/>
    </w:p>
    <w:p>
      <w:pPr>
        <w:spacing w:line="360" w:lineRule="exact"/>
        <w:ind w:firstLine="482" w:firstLineChars="200"/>
        <w:outlineLvl w:val="0"/>
        <w:rPr>
          <w:rFonts w:hint="eastAsia" w:ascii="宋体" w:hAnsi="宋体" w:eastAsia="宋体" w:cs="宋体"/>
          <w:b/>
          <w:bCs/>
          <w:color w:val="auto"/>
          <w:sz w:val="24"/>
          <w:szCs w:val="24"/>
          <w:highlight w:val="none"/>
        </w:rPr>
      </w:pPr>
      <w:bookmarkStart w:id="1579" w:name="_Toc3295"/>
      <w:bookmarkStart w:id="1580" w:name="_Toc10932"/>
      <w:bookmarkStart w:id="1581" w:name="_Toc596"/>
      <w:bookmarkStart w:id="1582" w:name="_Toc4241"/>
      <w:bookmarkStart w:id="1583" w:name="_Toc21464"/>
      <w:bookmarkStart w:id="1584" w:name="_Toc31861"/>
      <w:bookmarkStart w:id="1585" w:name="_Toc18540"/>
      <w:bookmarkStart w:id="1586" w:name="_Toc13466"/>
      <w:bookmarkStart w:id="1587" w:name="_Toc2986"/>
      <w:bookmarkStart w:id="1588" w:name="_Toc18621"/>
      <w:bookmarkStart w:id="1589" w:name="_Toc9371"/>
      <w:bookmarkStart w:id="1590" w:name="_Toc30599"/>
      <w:bookmarkStart w:id="1591" w:name="_Toc24062"/>
      <w:bookmarkStart w:id="1592" w:name="_Toc10954"/>
      <w:bookmarkStart w:id="1593" w:name="_Toc14810"/>
      <w:bookmarkStart w:id="1594" w:name="_Toc20763"/>
      <w:bookmarkStart w:id="1595" w:name="_Toc29312"/>
      <w:bookmarkStart w:id="1596" w:name="_Toc2439"/>
      <w:bookmarkStart w:id="1597" w:name="_Toc1114"/>
      <w:bookmarkStart w:id="1598" w:name="_Toc5141"/>
      <w:bookmarkStart w:id="1599" w:name="_Toc27038"/>
      <w:bookmarkStart w:id="1600" w:name="_Toc1414"/>
      <w:bookmarkStart w:id="1601" w:name="_Toc21923"/>
      <w:bookmarkStart w:id="1602" w:name="_Toc21034"/>
      <w:bookmarkStart w:id="1603" w:name="_Toc15273"/>
      <w:bookmarkStart w:id="1604" w:name="_Toc20914"/>
      <w:bookmarkStart w:id="1605" w:name="_Toc2100"/>
      <w:bookmarkStart w:id="1606" w:name="_Toc30497"/>
      <w:bookmarkStart w:id="1607" w:name="_Toc20837"/>
      <w:bookmarkStart w:id="1608" w:name="_Toc4747"/>
      <w:bookmarkStart w:id="1609" w:name="_Toc11892"/>
      <w:bookmarkStart w:id="1610" w:name="_Toc20309"/>
      <w:bookmarkStart w:id="1611" w:name="_Toc4355"/>
      <w:bookmarkStart w:id="1612" w:name="_Toc12721"/>
      <w:r>
        <w:rPr>
          <w:rFonts w:hint="eastAsia" w:ascii="宋体" w:hAnsi="宋体" w:eastAsia="宋体" w:cs="宋体"/>
          <w:b/>
          <w:bCs/>
          <w:color w:val="auto"/>
          <w:sz w:val="24"/>
          <w:szCs w:val="24"/>
          <w:highlight w:val="none"/>
        </w:rPr>
        <w:t>2.19 计量单位</w:t>
      </w:r>
      <w:bookmarkEnd w:id="1574"/>
      <w:bookmarkEnd w:id="1575"/>
      <w:bookmarkEnd w:id="1576"/>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613" w:name="_Toc10536"/>
      <w:bookmarkStart w:id="1614" w:name="_Toc27589"/>
      <w:bookmarkStart w:id="1615" w:name="_Toc12773"/>
      <w:bookmarkStart w:id="1616" w:name="_Toc28784"/>
      <w:bookmarkStart w:id="1617" w:name="_Toc15428"/>
      <w:bookmarkStart w:id="1618" w:name="_Toc9178"/>
      <w:bookmarkStart w:id="1619" w:name="_Toc26757"/>
      <w:bookmarkStart w:id="1620" w:name="_Toc279701263"/>
      <w:bookmarkStart w:id="1621" w:name="_Toc6555"/>
      <w:bookmarkStart w:id="1622" w:name="_Toc9626"/>
      <w:bookmarkStart w:id="1623" w:name="_Toc14099"/>
      <w:bookmarkStart w:id="1624" w:name="_Toc16663"/>
      <w:bookmarkStart w:id="1625" w:name="_Toc487900373"/>
      <w:bookmarkStart w:id="1626" w:name="_Toc20624"/>
      <w:bookmarkStart w:id="1627" w:name="_Toc26158"/>
      <w:bookmarkStart w:id="1628" w:name="_Toc13041"/>
      <w:bookmarkStart w:id="1629" w:name="_Toc16880"/>
      <w:bookmarkStart w:id="1630" w:name="_Toc15868"/>
      <w:bookmarkStart w:id="1631" w:name="_Toc13131"/>
      <w:bookmarkStart w:id="1632" w:name="_Toc19154"/>
      <w:bookmarkStart w:id="1633" w:name="_Toc259093692"/>
      <w:bookmarkStart w:id="1634" w:name="_Toc18634"/>
      <w:bookmarkStart w:id="1635" w:name="_Toc24319"/>
      <w:bookmarkStart w:id="1636" w:name="_Toc30404"/>
      <w:bookmarkStart w:id="1637" w:name="_Toc5796"/>
      <w:bookmarkStart w:id="1638" w:name="_Toc11130"/>
      <w:bookmarkStart w:id="1639" w:name="_Toc17517"/>
      <w:bookmarkStart w:id="1640" w:name="_Toc18567"/>
      <w:bookmarkStart w:id="1641" w:name="_Toc776"/>
      <w:bookmarkStart w:id="1642" w:name="_Toc21748"/>
      <w:bookmarkStart w:id="1643" w:name="_Toc19522"/>
      <w:bookmarkStart w:id="1644" w:name="_Toc10330"/>
      <w:bookmarkStart w:id="1645" w:name="_Toc1728"/>
      <w:bookmarkStart w:id="1646" w:name="_Toc15261"/>
      <w:bookmarkStart w:id="1647" w:name="_Toc22826"/>
      <w:bookmarkStart w:id="1648" w:name="_Toc10830"/>
      <w:bookmarkStart w:id="1649" w:name="_Toc4693"/>
      <w:bookmarkStart w:id="1650" w:name="_Toc32583"/>
      <w:r>
        <w:rPr>
          <w:rFonts w:hint="eastAsia" w:ascii="宋体" w:hAnsi="宋体" w:eastAsia="宋体" w:cs="宋体"/>
          <w:b/>
          <w:bCs/>
          <w:color w:val="auto"/>
          <w:sz w:val="24"/>
          <w:szCs w:val="24"/>
          <w:highlight w:val="none"/>
        </w:rPr>
        <w:t>2.20 合同使用的文字和适用的法律</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2.20.1 合同使用汉语书就、变更和解释；</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 合同适用中华人民共和国法律。</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651" w:name="_Toc9739"/>
      <w:bookmarkStart w:id="1652" w:name="_Toc11628"/>
      <w:bookmarkStart w:id="1653" w:name="_Toc30675"/>
      <w:bookmarkStart w:id="1654" w:name="_Toc18845"/>
      <w:bookmarkStart w:id="1655" w:name="_Toc25551"/>
      <w:bookmarkStart w:id="1656" w:name="_Toc6225"/>
      <w:bookmarkStart w:id="1657" w:name="_Toc3148"/>
      <w:bookmarkStart w:id="1658" w:name="_Toc16479"/>
      <w:bookmarkStart w:id="1659" w:name="_Toc24883"/>
      <w:bookmarkStart w:id="1660" w:name="_Toc11201"/>
      <w:bookmarkStart w:id="1661" w:name="_Toc10811"/>
      <w:bookmarkStart w:id="1662" w:name="_Toc1670"/>
      <w:bookmarkStart w:id="1663" w:name="_Toc8602"/>
      <w:bookmarkStart w:id="1664" w:name="_Toc5571"/>
      <w:bookmarkStart w:id="1665" w:name="_Toc259093693"/>
      <w:bookmarkStart w:id="1666" w:name="_Toc15437"/>
      <w:bookmarkStart w:id="1667" w:name="_Toc30511"/>
      <w:bookmarkStart w:id="1668" w:name="_Toc279701264"/>
      <w:bookmarkStart w:id="1669" w:name="_Toc32497"/>
      <w:bookmarkStart w:id="1670" w:name="_Toc29455"/>
      <w:bookmarkStart w:id="1671" w:name="_Toc31421"/>
      <w:bookmarkStart w:id="1672" w:name="_Toc26372"/>
      <w:bookmarkStart w:id="1673" w:name="_Toc14964"/>
      <w:bookmarkStart w:id="1674" w:name="_Toc15434"/>
      <w:bookmarkStart w:id="1675" w:name="_Toc11254"/>
      <w:bookmarkStart w:id="1676" w:name="_Toc31790"/>
      <w:bookmarkStart w:id="1677" w:name="_Toc12004"/>
      <w:bookmarkStart w:id="1678" w:name="_Toc22858"/>
      <w:bookmarkStart w:id="1679" w:name="_Toc25929"/>
      <w:bookmarkStart w:id="1680" w:name="_Toc5000"/>
      <w:bookmarkStart w:id="1681" w:name="_Toc14308"/>
      <w:bookmarkStart w:id="1682" w:name="_Toc16673"/>
      <w:bookmarkStart w:id="1683" w:name="_Toc4611"/>
      <w:bookmarkStart w:id="1684" w:name="_Toc3838"/>
      <w:bookmarkStart w:id="1685" w:name="_Toc29073"/>
      <w:bookmarkStart w:id="1686" w:name="_Toc20252"/>
      <w:bookmarkStart w:id="1687" w:name="_Toc638"/>
      <w:bookmarkStart w:id="1688" w:name="_Toc487900374"/>
      <w:r>
        <w:rPr>
          <w:rFonts w:hint="eastAsia" w:ascii="宋体" w:hAnsi="宋体" w:eastAsia="宋体" w:cs="宋体"/>
          <w:b/>
          <w:bCs/>
          <w:color w:val="auto"/>
          <w:sz w:val="24"/>
          <w:szCs w:val="24"/>
          <w:highlight w:val="none"/>
        </w:rPr>
        <w:t>2.21 履约保证金</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 采购文件要求乙方提交履约保证金的，乙方应按</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约定的方式，以支票、汇票、本票或者金融机构、担保机构出具的保函等非现金形式，提交不超过合同价10%的履约保证金；</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  履约保证金在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约定期间内或者货物质量保证期内不予退还或者应完全有效，前述约定期间届满或者货物质量保证期届满之日起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688"/>
    <w:p>
      <w:pPr>
        <w:spacing w:line="360" w:lineRule="exact"/>
        <w:ind w:firstLine="482" w:firstLineChars="200"/>
        <w:outlineLvl w:val="0"/>
        <w:rPr>
          <w:rFonts w:hint="eastAsia" w:ascii="宋体" w:hAnsi="宋体" w:eastAsia="宋体" w:cs="宋体"/>
          <w:b/>
          <w:bCs/>
          <w:color w:val="auto"/>
          <w:sz w:val="24"/>
          <w:szCs w:val="24"/>
          <w:highlight w:val="none"/>
        </w:rPr>
      </w:pPr>
      <w:bookmarkStart w:id="1689" w:name="_Toc4198"/>
      <w:bookmarkStart w:id="1690" w:name="_Toc16431"/>
      <w:bookmarkStart w:id="1691" w:name="_Toc27563"/>
      <w:bookmarkStart w:id="1692" w:name="_Toc20802"/>
      <w:bookmarkStart w:id="1693" w:name="_Toc21120"/>
      <w:bookmarkStart w:id="1694" w:name="_Toc8495"/>
      <w:bookmarkStart w:id="1695" w:name="_Toc25049"/>
      <w:bookmarkStart w:id="1696" w:name="_Toc21762"/>
      <w:bookmarkStart w:id="1697" w:name="_Toc2720"/>
      <w:bookmarkStart w:id="1698" w:name="_Toc10801"/>
      <w:bookmarkStart w:id="1699" w:name="_Toc12034"/>
      <w:bookmarkStart w:id="1700" w:name="_Toc6885"/>
      <w:bookmarkStart w:id="1701" w:name="_Toc8894"/>
      <w:bookmarkStart w:id="1702" w:name="_Toc19890"/>
      <w:bookmarkStart w:id="1703" w:name="_Toc30496"/>
      <w:bookmarkStart w:id="1704" w:name="_Toc11103"/>
      <w:bookmarkStart w:id="1705" w:name="_Toc32643"/>
      <w:bookmarkStart w:id="1706" w:name="_Toc24307"/>
      <w:bookmarkStart w:id="1707" w:name="_Toc22496"/>
      <w:bookmarkStart w:id="1708" w:name="_Toc28525"/>
      <w:bookmarkStart w:id="1709" w:name="_Toc32408"/>
      <w:bookmarkStart w:id="1710" w:name="_Toc14001"/>
      <w:bookmarkStart w:id="1711" w:name="_Toc21934"/>
      <w:bookmarkStart w:id="1712" w:name="_Toc17856"/>
      <w:bookmarkStart w:id="1713" w:name="_Toc22821"/>
      <w:bookmarkStart w:id="1714" w:name="_Toc3038"/>
      <w:bookmarkStart w:id="1715" w:name="_Toc30847"/>
      <w:bookmarkStart w:id="1716" w:name="_Toc25691"/>
      <w:bookmarkStart w:id="1717" w:name="_Toc20428"/>
      <w:bookmarkStart w:id="1718" w:name="_Toc17310"/>
      <w:bookmarkStart w:id="1719" w:name="_Toc21772"/>
      <w:bookmarkStart w:id="1720" w:name="_Toc24006"/>
      <w:bookmarkStart w:id="1721" w:name="_Toc16450"/>
      <w:bookmarkStart w:id="1722" w:name="_Toc8867"/>
      <w:bookmarkStart w:id="1723" w:name="_Toc14217"/>
      <w:r>
        <w:rPr>
          <w:rFonts w:hint="eastAsia" w:ascii="宋体" w:hAnsi="宋体" w:eastAsia="宋体" w:cs="宋体"/>
          <w:b/>
          <w:bCs/>
          <w:color w:val="auto"/>
          <w:sz w:val="24"/>
          <w:szCs w:val="24"/>
          <w:highlight w:val="none"/>
        </w:rPr>
        <w:t>2.22 合同份数</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pPr>
        <w:pStyle w:val="28"/>
        <w:spacing w:line="360" w:lineRule="exact"/>
        <w:ind w:firstLine="0"/>
        <w:jc w:val="center"/>
        <w:rPr>
          <w:rFonts w:hint="eastAsia" w:ascii="宋体" w:hAnsi="宋体" w:eastAsia="宋体" w:cs="宋体"/>
          <w:b/>
          <w:bCs/>
          <w:color w:val="auto"/>
          <w:highlight w:val="none"/>
        </w:rPr>
      </w:pPr>
      <w:bookmarkStart w:id="1724" w:name="_Toc331685784"/>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第三部分  合同专用条款</w:t>
      </w:r>
      <w:bookmarkEnd w:id="1724"/>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7633" w:type="dxa"/>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bl>
    <w:p>
      <w:pPr>
        <w:rPr>
          <w:rFonts w:hint="eastAsia" w:ascii="宋体" w:hAnsi="宋体" w:eastAsia="宋体" w:cs="宋体"/>
          <w:color w:val="auto"/>
          <w:highlight w:val="none"/>
        </w:rPr>
      </w:pPr>
    </w:p>
    <w:sectPr>
      <w:headerReference r:id="rId10"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MYMYXRAQAAng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oKbHc4Jtffny//Px9&#10;+fWNVMmhwYcaDz76B5izgGGSO3Zg0heFkDG7er66KsdIBG6W1bqqCjRcYG1JEIc9XfcQ4p10hqSg&#10;oYDPlt3kpw8hTkeXI6mbtmm17lZpPVXTDks0J2IpiuN+nNnuXXtGlTj0CN47+ErJgE/eUIsTTom+&#10;t+homo4lgCXYLwG3Ai82NFJy9KAOfZ6kRCP498eIVDLP1HjqNvPBZ8tK5xFLc/F3nk89/Vb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zGDGF0QEAAJ4DAAAOAAAAAAAAAAEAIAAAAB8BAABk&#10;cnMvZTJvRG9jLnhtbFBLBQYAAAAABgAGAFkBAABi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69</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XN59IBAACe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0"/>
      </w:pBdr>
      <w:jc w:val="left"/>
    </w:pPr>
    <w:r>
      <w:pict>
        <v:shape id="4097" o:spid="_x0000_s2049" o:spt="136" type="#_x0000_t136" style="position:absolute;left:0pt;margin-left:67.2pt;margin-top:32.95pt;height:15.6pt;width:152.25pt;z-index:251659264;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r>
      <w:drawing>
        <wp:inline distT="0" distB="0" distL="0" distR="0">
          <wp:extent cx="991235" cy="633095"/>
          <wp:effectExtent l="0" t="0" r="18415" b="14605"/>
          <wp:docPr id="4098" name="图片 1"/>
          <wp:cNvGraphicFramePr/>
          <a:graphic xmlns:a="http://schemas.openxmlformats.org/drawingml/2006/main">
            <a:graphicData uri="http://schemas.openxmlformats.org/drawingml/2006/picture">
              <pic:pic xmlns:pic="http://schemas.openxmlformats.org/drawingml/2006/picture">
                <pic:nvPicPr>
                  <pic:cNvPr id="4098" name="图片 1"/>
                  <pic:cNvPicPr/>
                </pic:nvPicPr>
                <pic:blipFill>
                  <a:blip r:embed="rId1" cstate="print"/>
                  <a:srcRect/>
                  <a:stretch>
                    <a:fillRect/>
                  </a:stretch>
                </pic:blipFill>
                <pic:spPr>
                  <a:xfrm>
                    <a:off x="0" y="0"/>
                    <a:ext cx="991235" cy="633095"/>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0"/>
      </w:pBdr>
      <w:jc w:val="left"/>
    </w:pPr>
    <w:r>
      <w:drawing>
        <wp:inline distT="0" distB="0" distL="0" distR="0">
          <wp:extent cx="991235" cy="633095"/>
          <wp:effectExtent l="0" t="0" r="18415" b="14605"/>
          <wp:docPr id="4099" name="图片 2"/>
          <wp:cNvGraphicFramePr/>
          <a:graphic xmlns:a="http://schemas.openxmlformats.org/drawingml/2006/main">
            <a:graphicData uri="http://schemas.openxmlformats.org/drawingml/2006/picture">
              <pic:pic xmlns:pic="http://schemas.openxmlformats.org/drawingml/2006/picture">
                <pic:nvPicPr>
                  <pic:cNvPr id="4099" name="图片 2"/>
                  <pic:cNvPicPr/>
                </pic:nvPicPr>
                <pic:blipFill>
                  <a:blip r:embed="rId1" cstate="print"/>
                  <a:srcRect/>
                  <a:stretch>
                    <a:fillRect/>
                  </a:stretch>
                </pic:blipFill>
                <pic:spPr>
                  <a:xfrm>
                    <a:off x="0" y="0"/>
                    <a:ext cx="991235" cy="633095"/>
                  </a:xfrm>
                  <a:prstGeom prst="rect">
                    <a:avLst/>
                  </a:prstGeom>
                  <a:ln>
                    <a:noFill/>
                  </a:ln>
                </pic:spPr>
              </pic:pic>
            </a:graphicData>
          </a:graphic>
        </wp:inline>
      </w:drawing>
    </w:r>
    <w:r>
      <w:pict>
        <v:shape id="4100" o:spid="_x0000_s2050" o:spt="136" type="#_x0000_t136" style="position:absolute;left:0pt;margin-left:67.2pt;margin-top:32.95pt;height:15.6pt;width:152.25pt;z-index:251659264;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0"/>
      </w:pBdr>
      <w:jc w:val="left"/>
    </w:pPr>
    <w:r>
      <w:drawing>
        <wp:inline distT="0" distB="0" distL="0" distR="0">
          <wp:extent cx="991235" cy="633095"/>
          <wp:effectExtent l="0" t="0" r="18415" b="14605"/>
          <wp:docPr id="4102" name="图片 3"/>
          <wp:cNvGraphicFramePr/>
          <a:graphic xmlns:a="http://schemas.openxmlformats.org/drawingml/2006/main">
            <a:graphicData uri="http://schemas.openxmlformats.org/drawingml/2006/picture">
              <pic:pic xmlns:pic="http://schemas.openxmlformats.org/drawingml/2006/picture">
                <pic:nvPicPr>
                  <pic:cNvPr id="4102" name="图片 3"/>
                  <pic:cNvPicPr/>
                </pic:nvPicPr>
                <pic:blipFill>
                  <a:blip r:embed="rId1" cstate="print"/>
                  <a:srcRect/>
                  <a:stretch>
                    <a:fillRect/>
                  </a:stretch>
                </pic:blipFill>
                <pic:spPr>
                  <a:xfrm>
                    <a:off x="0" y="0"/>
                    <a:ext cx="991235" cy="633095"/>
                  </a:xfrm>
                  <a:prstGeom prst="rect">
                    <a:avLst/>
                  </a:prstGeom>
                  <a:ln>
                    <a:noFill/>
                  </a:ln>
                </pic:spPr>
              </pic:pic>
            </a:graphicData>
          </a:graphic>
        </wp:inline>
      </w:drawing>
    </w:r>
    <w:r>
      <w:pict>
        <v:shape id="4103" o:spid="_x0000_s2051" o:spt="136" type="#_x0000_t136" style="position:absolute;left:0pt;margin-left:66.35pt;margin-top:32.95pt;height:15.6pt;width:152.25pt;z-index:251659264;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0000002"/>
    <w:multiLevelType w:val="multilevel"/>
    <w:tmpl w:val="00000002"/>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3"/>
    <w:multiLevelType w:val="multilevel"/>
    <w:tmpl w:val="00000003"/>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4"/>
    <w:multiLevelType w:val="multilevel"/>
    <w:tmpl w:val="00000004"/>
    <w:lvl w:ilvl="0" w:tentative="0">
      <w:start w:val="1"/>
      <w:numFmt w:val="decimal"/>
      <w:pStyle w:val="40"/>
      <w:lvlText w:val="%1"/>
      <w:lvlJc w:val="left"/>
      <w:pPr>
        <w:widowControl/>
        <w:ind w:left="432" w:hanging="432"/>
        <w:textAlignment w:val="baseline"/>
      </w:pPr>
    </w:lvl>
    <w:lvl w:ilvl="1" w:tentative="0">
      <w:start w:val="1"/>
      <w:numFmt w:val="decimal"/>
      <w:pStyle w:val="42"/>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00000000"/>
    <w:rsid w:val="12F17558"/>
    <w:rsid w:val="146F7376"/>
    <w:rsid w:val="1CBD66FD"/>
    <w:rsid w:val="261528F9"/>
    <w:rsid w:val="2F47071F"/>
    <w:rsid w:val="47846D06"/>
    <w:rsid w:val="480A63EB"/>
    <w:rsid w:val="4BCA036B"/>
    <w:rsid w:val="670E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2">
    <w:name w:val="heading 3"/>
    <w:basedOn w:val="1"/>
    <w:next w:val="3"/>
    <w:qFormat/>
    <w:uiPriority w:val="0"/>
    <w:pPr>
      <w:spacing w:before="360" w:after="120"/>
      <w:jc w:val="left"/>
      <w:outlineLvl w:val="2"/>
    </w:pPr>
    <w:rPr>
      <w:rFonts w:ascii="宋体" w:hAnsi="Times New Roman" w:eastAsia="宋体"/>
      <w:b/>
      <w:sz w:val="24"/>
      <w:u w:val="single"/>
    </w:rPr>
  </w:style>
  <w:style w:type="paragraph" w:styleId="7">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qFormat/>
    <w:uiPriority w:val="0"/>
    <w:pPr>
      <w:spacing w:before="120"/>
    </w:pPr>
    <w:rPr>
      <w:rFonts w:ascii="Cambria" w:hAnsi="Cambria"/>
      <w:sz w:val="24"/>
      <w:szCs w:val="24"/>
    </w:r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line="360" w:lineRule="auto"/>
      <w:ind w:firstLine="570"/>
    </w:pPr>
    <w:rPr>
      <w:sz w:val="24"/>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color w:val="000000"/>
      <w:kern w:val="0"/>
      <w:sz w:val="30"/>
    </w:rPr>
  </w:style>
  <w:style w:type="paragraph" w:styleId="12">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rFonts w:ascii="Times New Roman" w:hAnsi="Times New Roman" w:eastAsia="宋体" w:cs="Times New Roman"/>
      <w:sz w:val="18"/>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rFonts w:ascii="Calibri" w:hAnsi="Calibri"/>
      <w:kern w:val="0"/>
      <w:sz w:val="24"/>
    </w:rPr>
  </w:style>
  <w:style w:type="paragraph" w:styleId="18">
    <w:name w:val="Title"/>
    <w:basedOn w:val="1"/>
    <w:next w:val="1"/>
    <w:qFormat/>
    <w:uiPriority w:val="10"/>
    <w:pPr>
      <w:jc w:val="center"/>
      <w:outlineLvl w:val="0"/>
    </w:pPr>
    <w:rPr>
      <w:rFonts w:ascii="Cambria" w:hAnsi="Cambria"/>
      <w:b/>
      <w:bCs/>
      <w:kern w:val="28"/>
      <w:szCs w:val="32"/>
    </w:rPr>
  </w:style>
  <w:style w:type="paragraph" w:styleId="19">
    <w:name w:val="Body Text First Indent 2"/>
    <w:basedOn w:val="9"/>
    <w:qFormat/>
    <w:uiPriority w:val="0"/>
    <w:pPr>
      <w:ind w:firstLine="420" w:firstLineChars="200"/>
    </w:pPr>
    <w:rPr>
      <w:rFonts w:ascii="Times New Roman" w:hAnsi="Times New Roman" w:eastAsia="宋体" w:cs="Times New Roman"/>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4"/>
    <w:qFormat/>
    <w:uiPriority w:val="0"/>
    <w:rPr>
      <w:rFonts w:ascii="Times New Roman" w:hAnsi="Times New Roman" w:eastAsia="宋体" w:cs="Times New Roman"/>
    </w:rPr>
  </w:style>
  <w:style w:type="character" w:customStyle="1" w:styleId="24">
    <w:name w:val="默认段落字体1"/>
    <w:qFormat/>
    <w:uiPriority w:val="0"/>
  </w:style>
  <w:style w:type="character" w:styleId="25">
    <w:name w:val="Hyperlink"/>
    <w:basedOn w:val="22"/>
    <w:qFormat/>
    <w:uiPriority w:val="0"/>
    <w:rPr>
      <w:color w:val="0000FF"/>
      <w:u w:val="single"/>
    </w:rPr>
  </w:style>
  <w:style w:type="paragraph" w:customStyle="1" w:styleId="26">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27">
    <w:name w:val="标题 1 字符"/>
    <w:link w:val="5"/>
    <w:qFormat/>
    <w:uiPriority w:val="0"/>
    <w:rPr>
      <w:rFonts w:ascii="宋体" w:hAnsi="Times New Roman" w:eastAsia="宋体" w:cs="Times New Roman"/>
      <w:b/>
      <w:kern w:val="44"/>
      <w:sz w:val="32"/>
      <w:szCs w:val="20"/>
    </w:rPr>
  </w:style>
  <w:style w:type="paragraph" w:customStyle="1" w:styleId="2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9">
    <w:name w:val="索引 11"/>
    <w:basedOn w:val="1"/>
    <w:next w:val="1"/>
    <w:qFormat/>
    <w:uiPriority w:val="0"/>
    <w:pPr>
      <w:spacing w:line="360" w:lineRule="auto"/>
    </w:pPr>
    <w:rPr>
      <w:rFonts w:ascii="仿宋_GB2312" w:eastAsia="仿宋_GB2312"/>
      <w:sz w:val="24"/>
      <w:szCs w:val="20"/>
    </w:rPr>
  </w:style>
  <w:style w:type="paragraph" w:customStyle="1" w:styleId="30">
    <w:name w:val="纯文本1"/>
    <w:basedOn w:val="1"/>
    <w:qFormat/>
    <w:uiPriority w:val="0"/>
    <w:rPr>
      <w:rFonts w:ascii="宋体" w:hAnsi="Courier New"/>
      <w:kern w:val="0"/>
      <w:sz w:val="20"/>
      <w:szCs w:val="20"/>
    </w:rPr>
  </w:style>
  <w:style w:type="character" w:customStyle="1" w:styleId="31">
    <w:name w:val="NormalCharacter"/>
    <w:qFormat/>
    <w:uiPriority w:val="0"/>
    <w:rPr>
      <w:rFonts w:ascii="Times New Roman" w:hAnsi="Times New Roman" w:eastAsia="宋体" w:cs="Times New Roman"/>
      <w:kern w:val="2"/>
      <w:sz w:val="21"/>
      <w:szCs w:val="24"/>
      <w:lang w:val="en-US" w:eastAsia="zh-CN" w:bidi="ar-SA"/>
    </w:rPr>
  </w:style>
  <w:style w:type="paragraph" w:customStyle="1" w:styleId="32">
    <w:name w:val="UserStyle_44"/>
    <w:basedOn w:val="1"/>
    <w:qFormat/>
    <w:uiPriority w:val="0"/>
    <w:pPr>
      <w:spacing w:before="120" w:after="120" w:line="360" w:lineRule="auto"/>
      <w:jc w:val="center"/>
    </w:pPr>
    <w:rPr>
      <w:rFonts w:eastAsia="仿宋_GB2312"/>
      <w:b/>
      <w:sz w:val="24"/>
    </w:rPr>
  </w:style>
  <w:style w:type="paragraph" w:customStyle="1" w:styleId="33">
    <w:name w:val="NormalIndent"/>
    <w:basedOn w:val="1"/>
    <w:qFormat/>
    <w:uiPriority w:val="0"/>
    <w:pPr>
      <w:ind w:firstLine="420"/>
      <w:jc w:val="left"/>
    </w:pPr>
    <w:rPr>
      <w:rFonts w:ascii="宋体"/>
      <w:kern w:val="0"/>
      <w:sz w:val="24"/>
      <w:szCs w:val="20"/>
    </w:rPr>
  </w:style>
  <w:style w:type="paragraph" w:customStyle="1" w:styleId="34">
    <w:name w:val="图例"/>
    <w:basedOn w:val="1"/>
    <w:qFormat/>
    <w:uiPriority w:val="0"/>
    <w:pPr>
      <w:spacing w:before="120" w:after="120" w:line="360" w:lineRule="auto"/>
      <w:jc w:val="center"/>
    </w:pPr>
    <w:rPr>
      <w:rFonts w:eastAsia="仿宋_GB2312"/>
      <w:b/>
      <w:sz w:val="24"/>
    </w:rPr>
  </w:style>
  <w:style w:type="character" w:customStyle="1" w:styleId="35">
    <w:name w:val="font11"/>
    <w:basedOn w:val="22"/>
    <w:qFormat/>
    <w:uiPriority w:val="0"/>
    <w:rPr>
      <w:rFonts w:hint="eastAsia" w:ascii="宋体" w:hAnsi="宋体" w:eastAsia="宋体" w:cs="宋体"/>
      <w:color w:val="FF0000"/>
      <w:sz w:val="16"/>
      <w:szCs w:val="16"/>
      <w:u w:val="none"/>
    </w:rPr>
  </w:style>
  <w:style w:type="character" w:customStyle="1" w:styleId="36">
    <w:name w:val="font21"/>
    <w:basedOn w:val="22"/>
    <w:qFormat/>
    <w:uiPriority w:val="0"/>
    <w:rPr>
      <w:rFonts w:hint="eastAsia" w:ascii="宋体" w:hAnsi="宋体" w:eastAsia="宋体" w:cs="宋体"/>
      <w:color w:val="000000"/>
      <w:sz w:val="16"/>
      <w:szCs w:val="16"/>
      <w:u w:val="none"/>
    </w:rPr>
  </w:style>
  <w:style w:type="character" w:customStyle="1" w:styleId="37">
    <w:name w:val="style23"/>
    <w:basedOn w:val="22"/>
    <w:qFormat/>
    <w:uiPriority w:val="0"/>
  </w:style>
  <w:style w:type="paragraph" w:customStyle="1" w:styleId="38">
    <w:name w:val="表格文字"/>
    <w:basedOn w:val="1"/>
    <w:qFormat/>
    <w:uiPriority w:val="0"/>
    <w:pPr>
      <w:spacing w:before="25" w:after="25"/>
      <w:jc w:val="left"/>
    </w:pPr>
    <w:rPr>
      <w:bCs/>
      <w:spacing w:val="10"/>
      <w:kern w:val="0"/>
      <w:sz w:val="24"/>
    </w:rPr>
  </w:style>
  <w:style w:type="paragraph" w:styleId="39">
    <w:name w:val="List Paragraph"/>
    <w:basedOn w:val="1"/>
    <w:qFormat/>
    <w:uiPriority w:val="34"/>
    <w:pPr>
      <w:ind w:firstLine="420" w:firstLineChars="200"/>
    </w:pPr>
  </w:style>
  <w:style w:type="paragraph" w:customStyle="1" w:styleId="40">
    <w:name w:val="Heading1"/>
    <w:basedOn w:val="1"/>
    <w:next w:val="1"/>
    <w:qFormat/>
    <w:uiPriority w:val="0"/>
    <w:pPr>
      <w:keepNext/>
      <w:numPr>
        <w:ilvl w:val="0"/>
        <w:numId w:val="1"/>
      </w:numPr>
      <w:spacing w:before="240" w:after="60"/>
      <w:ind w:left="100" w:firstLine="0"/>
      <w:contextualSpacing/>
      <w:jc w:val="left"/>
    </w:pPr>
    <w:rPr>
      <w:rFonts w:ascii="Cambria" w:hAnsi="Cambria" w:eastAsia="宋体" w:cs="Times New Roman"/>
      <w:bCs/>
      <w:iCs/>
      <w:kern w:val="32"/>
      <w:sz w:val="24"/>
      <w:szCs w:val="32"/>
      <w:lang w:eastAsia="en-US"/>
    </w:rPr>
  </w:style>
  <w:style w:type="paragraph" w:customStyle="1" w:styleId="41">
    <w:name w:val="UserStyle_15"/>
    <w:basedOn w:val="42"/>
    <w:qFormat/>
    <w:uiPriority w:val="0"/>
    <w:pPr>
      <w:spacing w:before="100" w:beforeAutospacing="1" w:after="100" w:afterAutospacing="1"/>
      <w:ind w:right="100" w:rightChars="100"/>
    </w:pPr>
    <w:rPr>
      <w:sz w:val="21"/>
    </w:rPr>
  </w:style>
  <w:style w:type="paragraph" w:customStyle="1" w:styleId="42">
    <w:name w:val="Heading2"/>
    <w:basedOn w:val="1"/>
    <w:next w:val="1"/>
    <w:qFormat/>
    <w:uiPriority w:val="0"/>
    <w:pPr>
      <w:keepNext/>
      <w:numPr>
        <w:ilvl w:val="1"/>
        <w:numId w:val="1"/>
      </w:numPr>
      <w:spacing w:before="240" w:after="60"/>
      <w:jc w:val="left"/>
    </w:pPr>
    <w:rPr>
      <w:rFonts w:ascii="Cambria" w:hAnsi="Cambria" w:eastAsia="宋体" w:cs="Times New Roman"/>
      <w:b/>
      <w:bCs/>
      <w:i/>
      <w:iCs/>
      <w:kern w:val="0"/>
      <w:sz w:val="28"/>
      <w:szCs w:val="28"/>
      <w:lang w:eastAsia="en-US"/>
    </w:rPr>
  </w:style>
  <w:style w:type="paragraph" w:customStyle="1" w:styleId="43">
    <w:name w:val="列出段落1"/>
    <w:basedOn w:val="1"/>
    <w:qFormat/>
    <w:uiPriority w:val="34"/>
    <w:pPr>
      <w:ind w:firstLine="420" w:firstLineChars="200"/>
    </w:pPr>
  </w:style>
  <w:style w:type="paragraph" w:customStyle="1" w:styleId="44">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45">
    <w:name w:val="font31"/>
    <w:basedOn w:val="22"/>
    <w:qFormat/>
    <w:uiPriority w:val="0"/>
    <w:rPr>
      <w:rFonts w:hint="eastAsia" w:ascii="宋体" w:hAnsi="宋体" w:eastAsia="宋体" w:cs="宋体"/>
      <w:color w:val="000000"/>
      <w:sz w:val="24"/>
      <w:szCs w:val="24"/>
      <w:u w:val="none"/>
    </w:rPr>
  </w:style>
  <w:style w:type="paragraph" w:customStyle="1" w:styleId="46">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4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5D67E-5CBE-48FE-9A1E-7C47A02B0BD7}">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39958</Words>
  <Characters>43529</Characters>
  <Paragraphs>2979</Paragraphs>
  <TotalTime>2</TotalTime>
  <ScaleCrop>false</ScaleCrop>
  <LinksUpToDate>false</LinksUpToDate>
  <CharactersWithSpaces>48453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宁宁宁呀宁</cp:lastModifiedBy>
  <cp:lastPrinted>2021-08-25T10:33:00Z</cp:lastPrinted>
  <dcterms:modified xsi:type="dcterms:W3CDTF">2022-08-31T12:57:51Z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0670B288AF214D09BCC673D26E4C3256</vt:lpwstr>
  </property>
</Properties>
</file>