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宋体" w:hAnsi="宋体" w:eastAsia="宋体" w:cs="宋体"/>
          <w:b/>
          <w:color w:val="auto"/>
          <w:sz w:val="32"/>
        </w:rPr>
      </w:pPr>
    </w:p>
    <w:p>
      <w:pPr>
        <w:spacing w:line="240" w:lineRule="atLeast"/>
        <w:jc w:val="center"/>
        <w:rPr>
          <w:rFonts w:hint="eastAsia" w:ascii="宋体" w:hAnsi="宋体" w:eastAsia="宋体" w:cs="宋体"/>
          <w:b/>
          <w:color w:val="auto"/>
          <w:sz w:val="48"/>
          <w:szCs w:val="40"/>
          <w:lang w:val="en-US" w:eastAsia="zh-CN"/>
        </w:rPr>
      </w:pPr>
      <w:r>
        <w:rPr>
          <w:rFonts w:hint="eastAsia" w:ascii="宋体" w:hAnsi="宋体" w:eastAsia="宋体" w:cs="宋体"/>
          <w:b/>
          <w:color w:val="auto"/>
          <w:sz w:val="48"/>
          <w:szCs w:val="40"/>
          <w:lang w:val="en-US" w:eastAsia="zh-CN"/>
        </w:rPr>
        <w:t>叶城县促进各民族交往交流交融项目</w:t>
      </w:r>
    </w:p>
    <w:p>
      <w:pPr>
        <w:spacing w:line="240" w:lineRule="atLeast"/>
        <w:jc w:val="center"/>
        <w:rPr>
          <w:rFonts w:hint="eastAsia" w:ascii="宋体" w:hAnsi="宋体" w:eastAsia="宋体" w:cs="宋体"/>
          <w:b/>
          <w:color w:val="auto"/>
          <w:sz w:val="32"/>
          <w:szCs w:val="24"/>
          <w:lang w:val="en-US" w:eastAsia="zh-CN"/>
        </w:rPr>
      </w:pPr>
      <w:r>
        <w:rPr>
          <w:rFonts w:hint="eastAsia" w:ascii="宋体" w:hAnsi="宋体" w:eastAsia="宋体" w:cs="宋体"/>
          <w:b/>
          <w:color w:val="auto"/>
          <w:sz w:val="32"/>
          <w:szCs w:val="24"/>
          <w:lang w:val="en-US" w:eastAsia="zh-CN"/>
        </w:rPr>
        <w:t>（第一包-第三包）</w:t>
      </w:r>
    </w:p>
    <w:p>
      <w:pPr>
        <w:pStyle w:val="2"/>
        <w:rPr>
          <w:rFonts w:hint="eastAsia" w:ascii="宋体" w:hAnsi="宋体" w:eastAsia="宋体" w:cs="宋体"/>
          <w:b/>
          <w:color w:val="auto"/>
          <w:sz w:val="32"/>
          <w:szCs w:val="24"/>
          <w:lang w:val="en-US" w:eastAsia="zh-CN"/>
        </w:rPr>
      </w:pPr>
    </w:p>
    <w:p>
      <w:pPr>
        <w:pStyle w:val="2"/>
        <w:rPr>
          <w:rFonts w:hint="eastAsia" w:ascii="宋体" w:hAnsi="宋体" w:eastAsia="宋体" w:cs="宋体"/>
          <w:b/>
          <w:color w:val="auto"/>
          <w:sz w:val="32"/>
          <w:szCs w:val="24"/>
          <w:lang w:val="en-US" w:eastAsia="zh-CN"/>
        </w:rPr>
      </w:pPr>
    </w:p>
    <w:p>
      <w:pPr>
        <w:spacing w:line="240" w:lineRule="atLeast"/>
        <w:jc w:val="center"/>
        <w:rPr>
          <w:rFonts w:hint="eastAsia" w:ascii="宋体" w:hAnsi="宋体" w:eastAsia="宋体" w:cs="宋体"/>
        </w:rPr>
      </w:pPr>
      <w:r>
        <w:rPr>
          <w:rFonts w:hint="eastAsia" w:ascii="宋体" w:hAnsi="宋体" w:eastAsia="宋体" w:cs="宋体"/>
          <w:b/>
          <w:color w:val="auto"/>
          <w:sz w:val="40"/>
          <w:szCs w:val="32"/>
          <w:lang w:val="en-US" w:eastAsia="zh-CN"/>
        </w:rPr>
        <w:t xml:space="preserve">  </w:t>
      </w:r>
      <w:r>
        <w:rPr>
          <w:rFonts w:hint="eastAsia" w:ascii="宋体" w:hAnsi="宋体" w:eastAsia="宋体" w:cs="宋体"/>
          <w:b/>
          <w:color w:val="auto"/>
          <w:sz w:val="40"/>
          <w:szCs w:val="32"/>
        </w:rPr>
        <w:t>招 标 文 件</w:t>
      </w:r>
    </w:p>
    <w:p>
      <w:pPr>
        <w:spacing w:line="240" w:lineRule="atLeast"/>
        <w:ind w:firstLine="2240" w:firstLineChars="700"/>
        <w:jc w:val="both"/>
        <w:rPr>
          <w:rFonts w:hint="eastAsia" w:ascii="宋体" w:hAnsi="宋体" w:eastAsia="宋体" w:cs="宋体"/>
          <w:b/>
          <w:color w:val="auto"/>
          <w:sz w:val="32"/>
          <w:lang w:val="en-US" w:eastAsia="zh-CN"/>
        </w:rPr>
      </w:pPr>
      <w:r>
        <w:rPr>
          <w:rFonts w:hint="eastAsia" w:ascii="宋体" w:hAnsi="宋体" w:eastAsia="宋体" w:cs="宋体"/>
          <w:b/>
          <w:color w:val="auto"/>
          <w:sz w:val="32"/>
        </w:rPr>
        <w:t>项目编号：</w:t>
      </w:r>
      <w:r>
        <w:rPr>
          <w:rFonts w:hint="eastAsia" w:ascii="宋体" w:hAnsi="宋体" w:eastAsia="宋体" w:cs="宋体"/>
          <w:b/>
          <w:color w:val="auto"/>
          <w:sz w:val="32"/>
          <w:lang w:val="en-US" w:eastAsia="zh-CN"/>
        </w:rPr>
        <w:t>ZJ(GK)-22025</w:t>
      </w:r>
    </w:p>
    <w:p>
      <w:pPr>
        <w:pStyle w:val="10"/>
        <w:rPr>
          <w:rFonts w:hint="eastAsia" w:ascii="宋体" w:hAnsi="宋体" w:eastAsia="宋体" w:cs="宋体"/>
        </w:rPr>
      </w:pPr>
    </w:p>
    <w:p>
      <w:pPr>
        <w:rPr>
          <w:rFonts w:hint="eastAsia" w:ascii="宋体" w:hAnsi="宋体" w:eastAsia="宋体" w:cs="宋体"/>
        </w:rPr>
      </w:pPr>
    </w:p>
    <w:p>
      <w:pPr>
        <w:spacing w:line="240" w:lineRule="atLeast"/>
        <w:ind w:firstLine="640" w:firstLineChars="200"/>
        <w:rPr>
          <w:rFonts w:hint="eastAsia" w:ascii="宋体" w:hAnsi="宋体" w:eastAsia="宋体" w:cs="宋体"/>
          <w:b/>
          <w:color w:val="auto"/>
          <w:sz w:val="32"/>
        </w:rPr>
      </w:pPr>
      <w:r>
        <w:rPr>
          <w:rFonts w:hint="eastAsia" w:ascii="宋体" w:hAnsi="宋体" w:eastAsia="宋体" w:cs="宋体"/>
          <w:b/>
          <w:color w:val="auto"/>
          <w:sz w:val="32"/>
        </w:rPr>
        <w:t xml:space="preserve">采购单位名称： </w:t>
      </w:r>
      <w:r>
        <w:rPr>
          <w:rFonts w:hint="eastAsia" w:ascii="宋体" w:hAnsi="宋体" w:eastAsia="宋体" w:cs="宋体"/>
          <w:b/>
          <w:color w:val="auto"/>
          <w:sz w:val="32"/>
          <w:u w:val="single"/>
          <w:lang w:val="en-US" w:eastAsia="zh-CN"/>
        </w:rPr>
        <w:t xml:space="preserve">    中共叶城县委组织部     </w:t>
      </w:r>
      <w:r>
        <w:rPr>
          <w:rFonts w:hint="eastAsia" w:ascii="宋体" w:hAnsi="宋体" w:eastAsia="宋体" w:cs="宋体"/>
          <w:b/>
          <w:color w:val="auto"/>
          <w:sz w:val="32"/>
        </w:rPr>
        <w:t xml:space="preserve">  </w:t>
      </w:r>
    </w:p>
    <w:p>
      <w:pPr>
        <w:spacing w:line="240" w:lineRule="atLeast"/>
        <w:ind w:firstLine="640" w:firstLineChars="200"/>
        <w:rPr>
          <w:rFonts w:hint="eastAsia" w:ascii="宋体" w:hAnsi="宋体" w:eastAsia="宋体" w:cs="宋体"/>
          <w:b/>
          <w:color w:val="auto"/>
          <w:sz w:val="32"/>
        </w:rPr>
      </w:pPr>
      <w:r>
        <w:rPr>
          <w:rFonts w:hint="eastAsia" w:ascii="宋体" w:hAnsi="宋体" w:eastAsia="宋体" w:cs="宋体"/>
          <w:b/>
          <w:color w:val="auto"/>
          <w:sz w:val="32"/>
        </w:rPr>
        <w:t xml:space="preserve">联   系   人： </w:t>
      </w:r>
      <w:r>
        <w:rPr>
          <w:rFonts w:hint="eastAsia" w:ascii="宋体" w:hAnsi="宋体" w:eastAsia="宋体" w:cs="宋体"/>
          <w:b/>
          <w:color w:val="auto"/>
          <w:sz w:val="32"/>
          <w:u w:val="single"/>
        </w:rPr>
        <w:t xml:space="preserve">   </w:t>
      </w:r>
      <w:r>
        <w:rPr>
          <w:rFonts w:hint="eastAsia" w:ascii="宋体" w:hAnsi="宋体" w:eastAsia="宋体" w:cs="宋体"/>
          <w:b/>
          <w:color w:val="auto"/>
          <w:sz w:val="32"/>
          <w:u w:val="single"/>
          <w:lang w:val="en-US" w:eastAsia="zh-CN"/>
        </w:rPr>
        <w:t xml:space="preserve">       李京鸿        </w:t>
      </w:r>
      <w:r>
        <w:rPr>
          <w:rFonts w:hint="eastAsia" w:ascii="宋体" w:hAnsi="宋体" w:eastAsia="宋体" w:cs="宋体"/>
          <w:b/>
          <w:color w:val="auto"/>
          <w:sz w:val="32"/>
          <w:u w:val="single"/>
        </w:rPr>
        <w:t xml:space="preserve"> </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rPr>
        <w:t xml:space="preserve">    </w:t>
      </w:r>
    </w:p>
    <w:p>
      <w:pPr>
        <w:spacing w:line="240" w:lineRule="atLeast"/>
        <w:ind w:firstLine="640" w:firstLineChars="200"/>
        <w:rPr>
          <w:rFonts w:hint="eastAsia" w:ascii="宋体" w:hAnsi="宋体" w:eastAsia="宋体" w:cs="宋体"/>
          <w:b/>
          <w:color w:val="auto"/>
          <w:sz w:val="32"/>
          <w:u w:val="single"/>
          <w:lang w:val="en-US" w:eastAsia="zh-CN"/>
        </w:rPr>
      </w:pPr>
      <w:r>
        <w:rPr>
          <w:rFonts w:hint="eastAsia" w:ascii="宋体" w:hAnsi="宋体" w:eastAsia="宋体" w:cs="宋体"/>
          <w:b/>
          <w:color w:val="auto"/>
          <w:sz w:val="32"/>
        </w:rPr>
        <w:t xml:space="preserve">联 系  电 话： </w:t>
      </w:r>
      <w:r>
        <w:rPr>
          <w:rFonts w:hint="eastAsia" w:ascii="宋体" w:hAnsi="宋体" w:eastAsia="宋体" w:cs="宋体"/>
          <w:b/>
          <w:color w:val="auto"/>
          <w:sz w:val="32"/>
          <w:u w:val="single"/>
          <w:lang w:val="en-US" w:eastAsia="zh-CN"/>
        </w:rPr>
        <w:t xml:space="preserve">       0998-7282118 </w:t>
      </w:r>
      <w:r>
        <w:rPr>
          <w:rFonts w:hint="eastAsia" w:ascii="宋体" w:hAnsi="宋体" w:eastAsia="宋体" w:cs="宋体"/>
          <w:b/>
          <w:color w:val="auto"/>
          <w:sz w:val="32"/>
          <w:u w:val="single"/>
        </w:rPr>
        <w:t xml:space="preserve"> </w:t>
      </w:r>
      <w:r>
        <w:rPr>
          <w:rFonts w:hint="eastAsia" w:ascii="宋体" w:hAnsi="宋体" w:eastAsia="宋体" w:cs="宋体"/>
          <w:b/>
          <w:color w:val="auto"/>
          <w:sz w:val="32"/>
          <w:u w:val="single"/>
          <w:lang w:val="en-US" w:eastAsia="zh-CN"/>
        </w:rPr>
        <w:t xml:space="preserve">    </w:t>
      </w:r>
    </w:p>
    <w:p>
      <w:pPr>
        <w:pStyle w:val="9"/>
        <w:ind w:left="0" w:leftChars="0" w:firstLine="0" w:firstLineChars="0"/>
        <w:jc w:val="center"/>
        <w:rPr>
          <w:rFonts w:hint="eastAsia" w:ascii="宋体" w:hAnsi="宋体" w:eastAsia="宋体" w:cs="宋体"/>
          <w:b/>
          <w:color w:val="auto"/>
          <w:sz w:val="32"/>
        </w:rPr>
      </w:pPr>
    </w:p>
    <w:p>
      <w:pPr>
        <w:rPr>
          <w:rFonts w:hint="eastAsia" w:ascii="宋体" w:hAnsi="宋体" w:eastAsia="宋体" w:cs="宋体"/>
          <w:b/>
          <w:color w:val="auto"/>
          <w:sz w:val="32"/>
        </w:rPr>
      </w:pPr>
    </w:p>
    <w:p>
      <w:pPr>
        <w:pStyle w:val="2"/>
        <w:rPr>
          <w:rFonts w:hint="eastAsia"/>
        </w:rPr>
      </w:pPr>
    </w:p>
    <w:p>
      <w:pPr>
        <w:pStyle w:val="10"/>
        <w:rPr>
          <w:rFonts w:hint="eastAsia" w:ascii="宋体" w:hAnsi="宋体" w:eastAsia="宋体" w:cs="宋体"/>
        </w:rPr>
      </w:pPr>
    </w:p>
    <w:p>
      <w:pPr>
        <w:pStyle w:val="10"/>
        <w:rPr>
          <w:rFonts w:hint="eastAsia" w:ascii="宋体" w:hAnsi="宋体" w:eastAsia="宋体" w:cs="宋体"/>
        </w:rPr>
      </w:pPr>
    </w:p>
    <w:p>
      <w:pPr>
        <w:spacing w:line="240" w:lineRule="atLeast"/>
        <w:ind w:firstLine="640" w:firstLineChars="200"/>
        <w:rPr>
          <w:rFonts w:hint="eastAsia" w:ascii="宋体" w:hAnsi="宋体" w:eastAsia="宋体" w:cs="宋体"/>
          <w:b/>
          <w:color w:val="auto"/>
          <w:sz w:val="32"/>
        </w:rPr>
      </w:pPr>
      <w:r>
        <w:rPr>
          <w:rFonts w:hint="eastAsia" w:ascii="宋体" w:hAnsi="宋体" w:eastAsia="宋体" w:cs="宋体"/>
          <w:b/>
          <w:color w:val="auto"/>
          <w:sz w:val="32"/>
        </w:rPr>
        <w:t xml:space="preserve">代理机构名称： </w:t>
      </w:r>
      <w:r>
        <w:rPr>
          <w:rFonts w:hint="eastAsia" w:ascii="宋体" w:hAnsi="宋体" w:eastAsia="宋体" w:cs="宋体"/>
          <w:b/>
          <w:color w:val="auto"/>
          <w:sz w:val="32"/>
          <w:u w:val="single"/>
        </w:rPr>
        <w:t xml:space="preserve"> 中经国际招标集团有限公司</w:t>
      </w:r>
      <w:r>
        <w:rPr>
          <w:rFonts w:hint="eastAsia" w:ascii="宋体" w:hAnsi="宋体" w:eastAsia="宋体" w:cs="宋体"/>
          <w:b/>
          <w:color w:val="auto"/>
          <w:sz w:val="32"/>
        </w:rPr>
        <w:t xml:space="preserve">  </w:t>
      </w:r>
    </w:p>
    <w:p>
      <w:pPr>
        <w:spacing w:line="240" w:lineRule="atLeast"/>
        <w:ind w:firstLine="640" w:firstLineChars="200"/>
        <w:rPr>
          <w:rFonts w:hint="eastAsia" w:ascii="宋体" w:hAnsi="宋体" w:eastAsia="宋体" w:cs="宋体"/>
          <w:b/>
          <w:color w:val="auto"/>
          <w:sz w:val="32"/>
        </w:rPr>
      </w:pPr>
      <w:r>
        <w:rPr>
          <w:rFonts w:hint="eastAsia" w:ascii="宋体" w:hAnsi="宋体" w:eastAsia="宋体" w:cs="宋体"/>
          <w:b/>
          <w:color w:val="auto"/>
          <w:sz w:val="32"/>
        </w:rPr>
        <w:t xml:space="preserve">联   系   人： </w:t>
      </w:r>
      <w:r>
        <w:rPr>
          <w:rFonts w:hint="eastAsia" w:ascii="宋体" w:hAnsi="宋体" w:eastAsia="宋体" w:cs="宋体"/>
          <w:b/>
          <w:color w:val="auto"/>
          <w:sz w:val="32"/>
          <w:u w:val="single"/>
        </w:rPr>
        <w:t xml:space="preserve">       </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u w:val="single"/>
        </w:rPr>
        <w:t xml:space="preserve"> </w:t>
      </w:r>
      <w:r>
        <w:rPr>
          <w:rFonts w:hint="eastAsia" w:ascii="宋体" w:hAnsi="宋体" w:eastAsia="宋体" w:cs="宋体"/>
          <w:b/>
          <w:color w:val="auto"/>
          <w:sz w:val="32"/>
          <w:u w:val="single"/>
          <w:lang w:val="en-US" w:eastAsia="zh-CN"/>
        </w:rPr>
        <w:t xml:space="preserve"> 王丽娟 </w:t>
      </w:r>
      <w:r>
        <w:rPr>
          <w:rFonts w:hint="eastAsia" w:ascii="宋体" w:hAnsi="宋体" w:eastAsia="宋体" w:cs="宋体"/>
          <w:b/>
          <w:color w:val="auto"/>
          <w:sz w:val="32"/>
          <w:u w:val="single"/>
        </w:rPr>
        <w:t xml:space="preserve">  </w:t>
      </w:r>
      <w:r>
        <w:rPr>
          <w:rFonts w:hint="eastAsia" w:ascii="宋体" w:hAnsi="宋体" w:eastAsia="宋体" w:cs="宋体"/>
          <w:b/>
          <w:color w:val="auto"/>
          <w:sz w:val="32"/>
          <w:u w:val="single"/>
          <w:lang w:val="en-US" w:eastAsia="zh-CN"/>
        </w:rPr>
        <w:t xml:space="preserve">  </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 xml:space="preserve">       </w:t>
      </w:r>
    </w:p>
    <w:p>
      <w:pPr>
        <w:spacing w:line="240" w:lineRule="atLeast"/>
        <w:ind w:firstLine="640" w:firstLineChars="200"/>
        <w:rPr>
          <w:rFonts w:hint="eastAsia" w:ascii="宋体" w:hAnsi="宋体" w:eastAsia="宋体" w:cs="宋体"/>
          <w:b/>
          <w:color w:val="auto"/>
          <w:sz w:val="32"/>
        </w:rPr>
      </w:pPr>
      <w:r>
        <w:rPr>
          <w:rFonts w:hint="eastAsia" w:ascii="宋体" w:hAnsi="宋体" w:eastAsia="宋体" w:cs="宋体"/>
          <w:b/>
          <w:color w:val="auto"/>
          <w:sz w:val="32"/>
        </w:rPr>
        <w:t xml:space="preserve">联 系 电 话 ： </w:t>
      </w:r>
      <w:r>
        <w:rPr>
          <w:rFonts w:hint="eastAsia" w:ascii="宋体" w:hAnsi="宋体" w:eastAsia="宋体" w:cs="宋体"/>
          <w:b/>
          <w:color w:val="auto"/>
          <w:sz w:val="32"/>
          <w:u w:val="single"/>
        </w:rPr>
        <w:t xml:space="preserve">   </w:t>
      </w:r>
      <w:r>
        <w:rPr>
          <w:rFonts w:hint="eastAsia" w:ascii="宋体" w:hAnsi="宋体" w:eastAsia="宋体" w:cs="宋体"/>
          <w:b/>
          <w:color w:val="auto"/>
          <w:sz w:val="32"/>
          <w:u w:val="single"/>
          <w:lang w:val="en-US" w:eastAsia="zh-CN"/>
        </w:rPr>
        <w:t xml:space="preserve">   15099650569    </w:t>
      </w:r>
      <w:r>
        <w:rPr>
          <w:rFonts w:hint="eastAsia" w:ascii="宋体" w:hAnsi="宋体" w:eastAsia="宋体" w:cs="宋体"/>
          <w:b/>
          <w:color w:val="auto"/>
          <w:sz w:val="32"/>
          <w:u w:val="single"/>
        </w:rPr>
        <w:t xml:space="preserve">   </w:t>
      </w:r>
      <w:r>
        <w:rPr>
          <w:rFonts w:hint="eastAsia" w:ascii="宋体" w:hAnsi="宋体" w:eastAsia="宋体" w:cs="宋体"/>
          <w:b/>
          <w:color w:val="auto"/>
          <w:sz w:val="32"/>
        </w:rPr>
        <w:t xml:space="preserve">   </w:t>
      </w:r>
    </w:p>
    <w:p>
      <w:pPr>
        <w:spacing w:line="240" w:lineRule="atLeast"/>
        <w:jc w:val="both"/>
        <w:rPr>
          <w:rFonts w:hint="eastAsia" w:ascii="宋体" w:hAnsi="宋体" w:eastAsia="宋体" w:cs="宋体"/>
          <w:b/>
          <w:color w:val="auto"/>
          <w:sz w:val="32"/>
          <w:lang w:val="en-US" w:eastAsia="zh-CN"/>
        </w:rPr>
      </w:pPr>
    </w:p>
    <w:p>
      <w:pPr>
        <w:spacing w:line="240" w:lineRule="atLeast"/>
        <w:jc w:val="center"/>
        <w:rPr>
          <w:rFonts w:hint="eastAsia" w:ascii="宋体" w:hAnsi="宋体" w:eastAsia="宋体" w:cs="宋体"/>
          <w:b/>
          <w:color w:val="auto"/>
          <w:sz w:val="32"/>
        </w:rPr>
        <w:sectPr>
          <w:headerReference r:id="rId3" w:type="default"/>
          <w:footerReference r:id="rId4" w:type="default"/>
          <w:pgSz w:w="11906" w:h="16838"/>
          <w:pgMar w:top="1440" w:right="1797" w:bottom="1440" w:left="1797" w:header="851" w:footer="992" w:gutter="0"/>
          <w:pgNumType w:fmt="decimal" w:start="1"/>
          <w:cols w:space="720" w:num="1"/>
          <w:docGrid w:type="linesAndChars" w:linePitch="312" w:charSpace="0"/>
        </w:sectPr>
      </w:pPr>
      <w:r>
        <w:rPr>
          <w:rFonts w:hint="eastAsia" w:ascii="宋体" w:hAnsi="宋体" w:eastAsia="宋体" w:cs="宋体"/>
          <w:b/>
          <w:color w:val="auto"/>
          <w:sz w:val="32"/>
        </w:rPr>
        <w:t>日期：20</w:t>
      </w:r>
      <w:r>
        <w:rPr>
          <w:rFonts w:hint="eastAsia" w:ascii="宋体" w:hAnsi="宋体" w:eastAsia="宋体" w:cs="宋体"/>
          <w:b/>
          <w:color w:val="auto"/>
          <w:sz w:val="32"/>
          <w:lang w:val="en-US" w:eastAsia="zh-CN"/>
        </w:rPr>
        <w:t>22</w:t>
      </w:r>
      <w:r>
        <w:rPr>
          <w:rFonts w:hint="eastAsia" w:ascii="宋体" w:hAnsi="宋体" w:eastAsia="宋体" w:cs="宋体"/>
          <w:b/>
          <w:color w:val="auto"/>
          <w:sz w:val="32"/>
        </w:rPr>
        <w:t xml:space="preserve"> 年</w:t>
      </w:r>
      <w:r>
        <w:rPr>
          <w:rFonts w:hint="eastAsia" w:ascii="宋体" w:hAnsi="宋体" w:eastAsia="宋体" w:cs="宋体"/>
          <w:b/>
          <w:color w:val="auto"/>
          <w:sz w:val="32"/>
          <w:lang w:val="en-US" w:eastAsia="zh-CN"/>
        </w:rPr>
        <w:t>6</w:t>
      </w:r>
      <w:r>
        <w:rPr>
          <w:rFonts w:hint="eastAsia" w:ascii="宋体" w:hAnsi="宋体" w:eastAsia="宋体" w:cs="宋体"/>
          <w:b/>
          <w:color w:val="auto"/>
          <w:sz w:val="32"/>
        </w:rPr>
        <w:t>月</w:t>
      </w:r>
    </w:p>
    <w:p>
      <w:pPr>
        <w:spacing w:line="240" w:lineRule="atLeast"/>
        <w:jc w:val="center"/>
        <w:rPr>
          <w:rFonts w:hint="eastAsia" w:ascii="宋体" w:hAnsi="宋体" w:eastAsia="宋体" w:cs="宋体"/>
          <w:b/>
          <w:color w:val="auto"/>
          <w:sz w:val="32"/>
        </w:rPr>
      </w:pPr>
      <w:r>
        <w:rPr>
          <w:rFonts w:hint="eastAsia" w:ascii="宋体" w:hAnsi="宋体" w:eastAsia="宋体" w:cs="宋体"/>
          <w:b/>
          <w:color w:val="auto"/>
          <w:sz w:val="32"/>
        </w:rPr>
        <w:t>目  录</w:t>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ind w:left="0" w:leftChars="0" w:firstLine="0" w:firstLineChars="0"/>
        <w:textAlignment w:val="auto"/>
      </w:pPr>
      <w:r>
        <w:rPr>
          <w:rFonts w:hint="eastAsia" w:ascii="宋体" w:hAnsi="宋体" w:eastAsia="宋体" w:cs="宋体"/>
          <w:color w:val="auto"/>
          <w:kern w:val="0"/>
          <w:szCs w:val="21"/>
        </w:rPr>
        <w:fldChar w:fldCharType="begin"/>
      </w:r>
      <w:r>
        <w:rPr>
          <w:rFonts w:hint="eastAsia" w:ascii="宋体" w:hAnsi="宋体" w:eastAsia="宋体" w:cs="宋体"/>
          <w:color w:val="auto"/>
          <w:kern w:val="0"/>
          <w:szCs w:val="21"/>
        </w:rPr>
        <w:instrText xml:space="preserve"> TOC \o "1-3" \h \z \u </w:instrText>
      </w:r>
      <w:r>
        <w:rPr>
          <w:rFonts w:hint="eastAsia" w:ascii="宋体" w:hAnsi="宋体" w:eastAsia="宋体" w:cs="宋体"/>
          <w:color w:val="auto"/>
          <w:kern w:val="0"/>
          <w:szCs w:val="21"/>
        </w:rPr>
        <w:fldChar w:fldCharType="separate"/>
      </w: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_Toc9432 </w:instrText>
      </w:r>
      <w:r>
        <w:rPr>
          <w:rFonts w:hint="eastAsia" w:ascii="宋体" w:hAnsi="宋体" w:eastAsia="宋体" w:cs="宋体"/>
          <w:kern w:val="0"/>
          <w:szCs w:val="21"/>
        </w:rPr>
        <w:fldChar w:fldCharType="separate"/>
      </w:r>
      <w:r>
        <w:rPr>
          <w:rFonts w:hint="default" w:ascii="宋体" w:hAnsi="宋体" w:eastAsia="宋体" w:cs="宋体"/>
          <w:lang w:val="en-US"/>
        </w:rPr>
        <w:t xml:space="preserve">第1章 </w:t>
      </w:r>
      <w:r>
        <w:rPr>
          <w:rFonts w:hint="eastAsia" w:ascii="宋体" w:hAnsi="宋体" w:eastAsia="宋体" w:cs="宋体"/>
          <w:lang w:eastAsia="zh-CN"/>
        </w:rPr>
        <w:t>供应商</w:t>
      </w:r>
      <w:r>
        <w:rPr>
          <w:rFonts w:hint="eastAsia" w:ascii="宋体" w:hAnsi="宋体" w:eastAsia="宋体" w:cs="宋体"/>
        </w:rPr>
        <w:t>须知</w:t>
      </w:r>
      <w:r>
        <w:tab/>
      </w:r>
      <w:r>
        <w:fldChar w:fldCharType="begin"/>
      </w:r>
      <w:r>
        <w:instrText xml:space="preserve"> PAGEREF _Toc9432 \h </w:instrText>
      </w:r>
      <w:r>
        <w:fldChar w:fldCharType="separate"/>
      </w:r>
      <w:r>
        <w:t>3</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_Toc8733 </w:instrText>
      </w:r>
      <w:r>
        <w:rPr>
          <w:rFonts w:hint="eastAsia" w:ascii="宋体" w:hAnsi="宋体" w:eastAsia="宋体" w:cs="宋体"/>
          <w:kern w:val="0"/>
          <w:szCs w:val="21"/>
        </w:rPr>
        <w:fldChar w:fldCharType="separate"/>
      </w:r>
      <w:r>
        <w:rPr>
          <w:rFonts w:hint="eastAsia" w:ascii="宋体" w:hAnsi="宋体" w:eastAsia="宋体" w:cs="宋体"/>
        </w:rPr>
        <w:t>一   总 则</w:t>
      </w:r>
      <w:r>
        <w:tab/>
      </w:r>
      <w:r>
        <w:fldChar w:fldCharType="begin"/>
      </w:r>
      <w:r>
        <w:instrText xml:space="preserve"> PAGEREF _Toc8733 \h </w:instrText>
      </w:r>
      <w:r>
        <w:fldChar w:fldCharType="separate"/>
      </w:r>
      <w:r>
        <w:t>3</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_Toc23719 </w:instrText>
      </w:r>
      <w:r>
        <w:rPr>
          <w:rFonts w:hint="eastAsia" w:ascii="宋体" w:hAnsi="宋体" w:eastAsia="宋体" w:cs="宋体"/>
          <w:kern w:val="0"/>
          <w:szCs w:val="21"/>
        </w:rPr>
        <w:fldChar w:fldCharType="separate"/>
      </w:r>
      <w:r>
        <w:rPr>
          <w:rFonts w:hint="eastAsia" w:ascii="宋体" w:hAnsi="宋体" w:eastAsia="宋体" w:cs="宋体"/>
        </w:rPr>
        <w:t>二   招标文件</w:t>
      </w:r>
      <w:r>
        <w:tab/>
      </w:r>
      <w:r>
        <w:fldChar w:fldCharType="begin"/>
      </w:r>
      <w:r>
        <w:instrText xml:space="preserve"> PAGEREF _Toc23719 \h </w:instrText>
      </w:r>
      <w:r>
        <w:fldChar w:fldCharType="separate"/>
      </w:r>
      <w:r>
        <w:t>4</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_Toc7763 </w:instrText>
      </w:r>
      <w:r>
        <w:rPr>
          <w:rFonts w:hint="eastAsia" w:ascii="宋体" w:hAnsi="宋体" w:eastAsia="宋体" w:cs="宋体"/>
          <w:kern w:val="0"/>
          <w:szCs w:val="21"/>
        </w:rPr>
        <w:fldChar w:fldCharType="separate"/>
      </w:r>
      <w:r>
        <w:rPr>
          <w:rFonts w:hint="eastAsia" w:ascii="宋体" w:hAnsi="宋体" w:eastAsia="宋体" w:cs="宋体"/>
        </w:rPr>
        <w:t>三   投标文件的编制</w:t>
      </w:r>
      <w:r>
        <w:tab/>
      </w:r>
      <w:r>
        <w:fldChar w:fldCharType="begin"/>
      </w:r>
      <w:r>
        <w:instrText xml:space="preserve"> PAGEREF _Toc7763 \h </w:instrText>
      </w:r>
      <w:r>
        <w:fldChar w:fldCharType="separate"/>
      </w:r>
      <w:r>
        <w:t>5</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_Toc29193 </w:instrText>
      </w:r>
      <w:r>
        <w:rPr>
          <w:rFonts w:hint="eastAsia" w:ascii="宋体" w:hAnsi="宋体" w:eastAsia="宋体" w:cs="宋体"/>
          <w:kern w:val="0"/>
          <w:szCs w:val="21"/>
        </w:rPr>
        <w:fldChar w:fldCharType="separate"/>
      </w:r>
      <w:r>
        <w:rPr>
          <w:rFonts w:hint="eastAsia" w:ascii="宋体" w:hAnsi="宋体" w:eastAsia="宋体" w:cs="宋体"/>
        </w:rPr>
        <w:t>四   投标文件的递交</w:t>
      </w:r>
      <w:r>
        <w:tab/>
      </w:r>
      <w:r>
        <w:fldChar w:fldCharType="begin"/>
      </w:r>
      <w:r>
        <w:instrText xml:space="preserve"> PAGEREF _Toc29193 \h </w:instrText>
      </w:r>
      <w:r>
        <w:fldChar w:fldCharType="separate"/>
      </w:r>
      <w:r>
        <w:t>8</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_Toc28155 </w:instrText>
      </w:r>
      <w:r>
        <w:rPr>
          <w:rFonts w:hint="eastAsia" w:ascii="宋体" w:hAnsi="宋体" w:eastAsia="宋体" w:cs="宋体"/>
          <w:kern w:val="0"/>
          <w:szCs w:val="21"/>
        </w:rPr>
        <w:fldChar w:fldCharType="separate"/>
      </w:r>
      <w:r>
        <w:rPr>
          <w:rFonts w:hint="eastAsia" w:ascii="宋体" w:hAnsi="宋体" w:eastAsia="宋体" w:cs="宋体"/>
        </w:rPr>
        <w:t>五   开标及评标</w:t>
      </w:r>
      <w:r>
        <w:tab/>
      </w:r>
      <w:r>
        <w:fldChar w:fldCharType="begin"/>
      </w:r>
      <w:r>
        <w:instrText xml:space="preserve"> PAGEREF _Toc28155 \h </w:instrText>
      </w:r>
      <w:r>
        <w:fldChar w:fldCharType="separate"/>
      </w:r>
      <w:r>
        <w:t>8</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_Toc6388 </w:instrText>
      </w:r>
      <w:r>
        <w:rPr>
          <w:rFonts w:hint="eastAsia" w:ascii="宋体" w:hAnsi="宋体" w:eastAsia="宋体" w:cs="宋体"/>
          <w:kern w:val="0"/>
          <w:szCs w:val="21"/>
        </w:rPr>
        <w:fldChar w:fldCharType="separate"/>
      </w:r>
      <w:r>
        <w:rPr>
          <w:rFonts w:hint="eastAsia" w:ascii="宋体" w:hAnsi="宋体" w:eastAsia="宋体" w:cs="宋体"/>
        </w:rPr>
        <w:t>六   确定中标</w:t>
      </w:r>
      <w:r>
        <w:tab/>
      </w:r>
      <w:r>
        <w:fldChar w:fldCharType="begin"/>
      </w:r>
      <w:r>
        <w:instrText xml:space="preserve"> PAGEREF _Toc6388 \h </w:instrText>
      </w:r>
      <w:r>
        <w:fldChar w:fldCharType="separate"/>
      </w:r>
      <w:r>
        <w:t>13</w:t>
      </w:r>
      <w:r>
        <w:fldChar w:fldCharType="end"/>
      </w:r>
      <w:r>
        <w:rPr>
          <w:rFonts w:hint="eastAsia" w:ascii="宋体" w:hAnsi="宋体" w:eastAsia="宋体" w:cs="宋体"/>
          <w:color w:val="auto"/>
          <w:kern w:val="0"/>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_Toc28742 </w:instrText>
      </w:r>
      <w:r>
        <w:rPr>
          <w:rFonts w:hint="eastAsia" w:ascii="宋体" w:hAnsi="宋体" w:eastAsia="宋体" w:cs="宋体"/>
          <w:kern w:val="0"/>
          <w:szCs w:val="21"/>
        </w:rPr>
        <w:fldChar w:fldCharType="separate"/>
      </w:r>
      <w:r>
        <w:rPr>
          <w:rFonts w:hint="eastAsia" w:ascii="宋体" w:hAnsi="宋体" w:eastAsia="宋体" w:cs="宋体"/>
          <w:lang w:eastAsia="zh-CN"/>
        </w:rPr>
        <w:t>第</w:t>
      </w:r>
      <w:r>
        <w:rPr>
          <w:rFonts w:hint="eastAsia" w:ascii="宋体" w:hAnsi="宋体" w:eastAsia="宋体" w:cs="宋体"/>
          <w:lang w:val="en-US" w:eastAsia="zh-CN"/>
        </w:rPr>
        <w:t>2</w:t>
      </w:r>
      <w:r>
        <w:rPr>
          <w:rFonts w:hint="eastAsia" w:ascii="宋体" w:hAnsi="宋体" w:eastAsia="宋体" w:cs="宋体"/>
          <w:lang w:eastAsia="zh-CN"/>
        </w:rPr>
        <w:t>章</w:t>
      </w:r>
      <w:r>
        <w:rPr>
          <w:rFonts w:hint="eastAsia" w:ascii="宋体" w:hAnsi="宋体" w:eastAsia="宋体" w:cs="宋体"/>
          <w:lang w:val="en-US" w:eastAsia="zh-CN"/>
        </w:rPr>
        <w:t xml:space="preserve"> </w:t>
      </w:r>
      <w:r>
        <w:rPr>
          <w:rFonts w:hint="eastAsia" w:ascii="宋体" w:hAnsi="宋体" w:eastAsia="宋体" w:cs="宋体"/>
        </w:rPr>
        <w:t>投标文件格式</w:t>
      </w:r>
      <w:r>
        <w:tab/>
      </w:r>
      <w:r>
        <w:fldChar w:fldCharType="begin"/>
      </w:r>
      <w:r>
        <w:instrText xml:space="preserve"> PAGEREF _Toc28742 \h </w:instrText>
      </w:r>
      <w:r>
        <w:fldChar w:fldCharType="separate"/>
      </w:r>
      <w:r>
        <w:t>19</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_Toc3345 </w:instrText>
      </w:r>
      <w:r>
        <w:rPr>
          <w:rFonts w:hint="eastAsia" w:ascii="宋体" w:hAnsi="宋体" w:eastAsia="宋体" w:cs="宋体"/>
          <w:kern w:val="0"/>
          <w:szCs w:val="21"/>
        </w:rPr>
        <w:fldChar w:fldCharType="separate"/>
      </w:r>
      <w:r>
        <w:rPr>
          <w:rFonts w:hint="eastAsia" w:ascii="宋体" w:hAnsi="宋体" w:eastAsia="宋体" w:cs="宋体"/>
        </w:rPr>
        <w:t>第一部分 开标一览表及资格证明文件</w:t>
      </w:r>
      <w:r>
        <w:tab/>
      </w:r>
      <w:r>
        <w:fldChar w:fldCharType="begin"/>
      </w:r>
      <w:r>
        <w:instrText xml:space="preserve"> PAGEREF _Toc3345 \h </w:instrText>
      </w:r>
      <w:r>
        <w:fldChar w:fldCharType="separate"/>
      </w:r>
      <w:r>
        <w:t>19</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_Toc8671 </w:instrText>
      </w:r>
      <w:r>
        <w:rPr>
          <w:rFonts w:hint="eastAsia" w:ascii="宋体" w:hAnsi="宋体" w:eastAsia="宋体" w:cs="宋体"/>
          <w:kern w:val="0"/>
          <w:szCs w:val="21"/>
        </w:rPr>
        <w:fldChar w:fldCharType="separate"/>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开标一览表</w:t>
      </w:r>
      <w:r>
        <w:tab/>
      </w:r>
      <w:r>
        <w:fldChar w:fldCharType="begin"/>
      </w:r>
      <w:r>
        <w:instrText xml:space="preserve"> PAGEREF _Toc8671 \h </w:instrText>
      </w:r>
      <w:r>
        <w:fldChar w:fldCharType="separate"/>
      </w:r>
      <w:r>
        <w:t>20</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_Toc19203 </w:instrText>
      </w:r>
      <w:r>
        <w:rPr>
          <w:rFonts w:hint="eastAsia" w:ascii="宋体" w:hAnsi="宋体" w:eastAsia="宋体" w:cs="宋体"/>
          <w:kern w:val="0"/>
          <w:szCs w:val="21"/>
        </w:rPr>
        <w:fldChar w:fldCharType="separate"/>
      </w:r>
      <w:r>
        <w:rPr>
          <w:rFonts w:hint="eastAsia" w:ascii="宋体" w:hAnsi="宋体" w:eastAsia="宋体" w:cs="宋体"/>
          <w:kern w:val="0"/>
          <w:szCs w:val="20"/>
          <w:lang w:val="en-US" w:eastAsia="zh-CN" w:bidi="ar-SA"/>
        </w:rPr>
        <w:t>2、具有独立承担民事责任的能力；（投</w:t>
      </w:r>
      <w:bookmarkStart w:id="970" w:name="_GoBack"/>
      <w:bookmarkEnd w:id="970"/>
      <w:r>
        <w:rPr>
          <w:rFonts w:hint="eastAsia" w:ascii="宋体" w:hAnsi="宋体" w:eastAsia="宋体" w:cs="宋体"/>
          <w:kern w:val="0"/>
          <w:szCs w:val="20"/>
          <w:lang w:val="en-US" w:eastAsia="zh-CN" w:bidi="ar-SA"/>
        </w:rPr>
        <w:t>标时，提供在中华人民共和国境内注册的法人或事业单位法人证书或社会团体法人登记证书复印件；如国家另有规定的，则从其规定。）</w:t>
      </w:r>
      <w:r>
        <w:tab/>
      </w:r>
      <w:r>
        <w:fldChar w:fldCharType="begin"/>
      </w:r>
      <w:r>
        <w:instrText xml:space="preserve"> PAGEREF _Toc19203 \h </w:instrText>
      </w:r>
      <w:r>
        <w:fldChar w:fldCharType="separate"/>
      </w:r>
      <w:r>
        <w:t>20</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_Toc30903 </w:instrText>
      </w:r>
      <w:r>
        <w:rPr>
          <w:rFonts w:hint="eastAsia" w:ascii="宋体" w:hAnsi="宋体" w:eastAsia="宋体" w:cs="宋体"/>
          <w:kern w:val="0"/>
          <w:szCs w:val="21"/>
        </w:rPr>
        <w:fldChar w:fldCharType="separate"/>
      </w:r>
      <w:r>
        <w:rPr>
          <w:rFonts w:hint="eastAsia" w:ascii="宋体" w:hAnsi="宋体" w:eastAsia="宋体" w:cs="宋体"/>
          <w:kern w:val="0"/>
          <w:szCs w:val="20"/>
          <w:lang w:val="en-US" w:eastAsia="zh-CN" w:bidi="ar-SA"/>
        </w:rPr>
        <w:t>3、法人代表身份证明及授权书、被授权人身份证；(法人投标需提供法人身份证复印件)；</w:t>
      </w:r>
      <w:r>
        <w:tab/>
      </w:r>
      <w:r>
        <w:fldChar w:fldCharType="begin"/>
      </w:r>
      <w:r>
        <w:instrText xml:space="preserve"> PAGEREF _Toc30903 \h </w:instrText>
      </w:r>
      <w:r>
        <w:fldChar w:fldCharType="separate"/>
      </w:r>
      <w:r>
        <w:t>21</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_Toc18067 </w:instrText>
      </w:r>
      <w:r>
        <w:rPr>
          <w:rFonts w:hint="eastAsia" w:ascii="宋体" w:hAnsi="宋体" w:eastAsia="宋体" w:cs="宋体"/>
          <w:kern w:val="0"/>
          <w:szCs w:val="21"/>
        </w:rPr>
        <w:fldChar w:fldCharType="separate"/>
      </w:r>
      <w:r>
        <w:rPr>
          <w:rFonts w:hint="eastAsia" w:ascii="宋体" w:hAnsi="宋体" w:eastAsia="宋体" w:cs="宋体"/>
          <w:bCs/>
          <w:i w:val="0"/>
          <w:iCs w:val="0"/>
          <w:kern w:val="2"/>
          <w:szCs w:val="24"/>
          <w:lang w:val="en-US" w:eastAsia="zh-CN" w:bidi="ar-SA"/>
        </w:rPr>
        <w:t>4、依法缴纳近6个月内任意1个月的社会保险的凭据；</w:t>
      </w:r>
      <w:r>
        <w:tab/>
      </w:r>
      <w:r>
        <w:fldChar w:fldCharType="begin"/>
      </w:r>
      <w:r>
        <w:instrText xml:space="preserve"> PAGEREF _Toc18067 \h </w:instrText>
      </w:r>
      <w:r>
        <w:fldChar w:fldCharType="separate"/>
      </w:r>
      <w:r>
        <w:t>23</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_Toc1669 </w:instrText>
      </w:r>
      <w:r>
        <w:rPr>
          <w:rFonts w:hint="eastAsia" w:ascii="宋体" w:hAnsi="宋体" w:eastAsia="宋体" w:cs="宋体"/>
          <w:kern w:val="0"/>
          <w:szCs w:val="21"/>
        </w:rPr>
        <w:fldChar w:fldCharType="separate"/>
      </w:r>
      <w:r>
        <w:rPr>
          <w:rFonts w:hint="eastAsia" w:ascii="宋体" w:hAnsi="宋体" w:eastAsia="宋体" w:cs="宋体"/>
          <w:bCs/>
          <w:i w:val="0"/>
          <w:iCs w:val="0"/>
          <w:kern w:val="2"/>
          <w:szCs w:val="24"/>
          <w:lang w:val="en-US" w:eastAsia="zh-CN" w:bidi="ar-SA"/>
        </w:rPr>
        <w:t>5、税务部门出具的近6个月内任意1个月的完税证明；</w:t>
      </w:r>
      <w:r>
        <w:tab/>
      </w:r>
      <w:r>
        <w:fldChar w:fldCharType="begin"/>
      </w:r>
      <w:r>
        <w:instrText xml:space="preserve"> PAGEREF _Toc1669 \h </w:instrText>
      </w:r>
      <w:r>
        <w:fldChar w:fldCharType="separate"/>
      </w:r>
      <w:r>
        <w:t>23</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_Toc32463 </w:instrText>
      </w:r>
      <w:r>
        <w:rPr>
          <w:rFonts w:hint="eastAsia" w:ascii="宋体" w:hAnsi="宋体" w:eastAsia="宋体" w:cs="宋体"/>
          <w:kern w:val="0"/>
          <w:szCs w:val="21"/>
        </w:rPr>
        <w:fldChar w:fldCharType="separate"/>
      </w:r>
      <w:r>
        <w:rPr>
          <w:rFonts w:hint="eastAsia" w:ascii="宋体" w:hAnsi="宋体" w:eastAsia="宋体" w:cs="宋体"/>
          <w:bCs/>
          <w:i w:val="0"/>
          <w:iCs w:val="0"/>
          <w:kern w:val="2"/>
          <w:szCs w:val="24"/>
          <w:lang w:val="en-US" w:eastAsia="zh-CN" w:bidi="ar-SA"/>
        </w:rPr>
        <w:t>6、</w:t>
      </w:r>
      <w:r>
        <w:rPr>
          <w:rFonts w:hint="eastAsia" w:ascii="宋体" w:hAnsi="宋体" w:eastAsia="宋体" w:cs="宋体"/>
          <w:bCs/>
          <w:i w:val="0"/>
          <w:iCs w:val="0"/>
          <w:kern w:val="2"/>
          <w:szCs w:val="24"/>
          <w:highlight w:val="none"/>
          <w:lang w:val="en-US" w:eastAsia="zh-CN" w:bidi="ar-SA"/>
        </w:rPr>
        <w:t>近两年任意一年的财务审计报告，新成立的公司提供近6个月中任意1个月的银行资信证明；</w:t>
      </w:r>
      <w:r>
        <w:tab/>
      </w:r>
      <w:r>
        <w:fldChar w:fldCharType="begin"/>
      </w:r>
      <w:r>
        <w:instrText xml:space="preserve"> PAGEREF _Toc32463 \h </w:instrText>
      </w:r>
      <w:r>
        <w:fldChar w:fldCharType="separate"/>
      </w:r>
      <w:r>
        <w:t>23</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_Toc3968 </w:instrText>
      </w:r>
      <w:r>
        <w:rPr>
          <w:rFonts w:hint="eastAsia" w:ascii="宋体" w:hAnsi="宋体" w:eastAsia="宋体" w:cs="宋体"/>
          <w:kern w:val="0"/>
          <w:szCs w:val="21"/>
        </w:rPr>
        <w:fldChar w:fldCharType="separate"/>
      </w:r>
      <w:r>
        <w:rPr>
          <w:rFonts w:hint="eastAsia" w:ascii="宋体" w:hAnsi="宋体" w:eastAsia="宋体" w:cs="宋体"/>
          <w:bCs/>
          <w:i w:val="0"/>
          <w:iCs w:val="0"/>
          <w:kern w:val="2"/>
          <w:szCs w:val="24"/>
          <w:lang w:val="en-US" w:eastAsia="zh-CN" w:bidi="ar-SA"/>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r>
        <w:tab/>
      </w:r>
      <w:r>
        <w:fldChar w:fldCharType="begin"/>
      </w:r>
      <w:r>
        <w:instrText xml:space="preserve"> PAGEREF _Toc3968 \h </w:instrText>
      </w:r>
      <w:r>
        <w:fldChar w:fldCharType="separate"/>
      </w:r>
      <w:r>
        <w:t>23</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_Toc19180 </w:instrText>
      </w:r>
      <w:r>
        <w:rPr>
          <w:rFonts w:hint="eastAsia" w:ascii="宋体" w:hAnsi="宋体" w:eastAsia="宋体" w:cs="宋体"/>
          <w:kern w:val="0"/>
          <w:szCs w:val="21"/>
        </w:rPr>
        <w:fldChar w:fldCharType="separate"/>
      </w:r>
      <w:r>
        <w:rPr>
          <w:rFonts w:hint="eastAsia" w:ascii="宋体" w:hAnsi="宋体" w:eastAsia="宋体" w:cs="宋体"/>
          <w:bCs/>
          <w:i w:val="0"/>
          <w:iCs w:val="0"/>
          <w:kern w:val="2"/>
          <w:szCs w:val="24"/>
          <w:lang w:val="en-US" w:eastAsia="zh-CN" w:bidi="ar-SA"/>
        </w:rPr>
        <w:t>8、参加政府采购活动前3年内未被列入失信、重大税收违法案件、财政部门禁止参加政府采购活动的承诺书；</w:t>
      </w:r>
      <w:r>
        <w:tab/>
      </w:r>
      <w:r>
        <w:fldChar w:fldCharType="begin"/>
      </w:r>
      <w:r>
        <w:instrText xml:space="preserve"> PAGEREF _Toc19180 \h </w:instrText>
      </w:r>
      <w:r>
        <w:fldChar w:fldCharType="separate"/>
      </w:r>
      <w:r>
        <w:t>23</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_Toc416 </w:instrText>
      </w:r>
      <w:r>
        <w:rPr>
          <w:rFonts w:hint="eastAsia" w:ascii="宋体" w:hAnsi="宋体" w:eastAsia="宋体" w:cs="宋体"/>
          <w:kern w:val="0"/>
          <w:szCs w:val="21"/>
        </w:rPr>
        <w:fldChar w:fldCharType="separate"/>
      </w:r>
      <w:r>
        <w:rPr>
          <w:rFonts w:hint="eastAsia" w:ascii="宋体" w:hAnsi="宋体" w:eastAsia="宋体" w:cs="宋体"/>
          <w:bCs/>
          <w:i w:val="0"/>
          <w:iCs w:val="0"/>
          <w:kern w:val="2"/>
          <w:szCs w:val="24"/>
          <w:lang w:val="en-US" w:eastAsia="zh-CN" w:bidi="ar-SA"/>
        </w:rPr>
        <w:t>9、提供针对本次项目《反商业贿赂承诺书》；</w:t>
      </w:r>
      <w:r>
        <w:tab/>
      </w:r>
      <w:r>
        <w:fldChar w:fldCharType="begin"/>
      </w:r>
      <w:r>
        <w:instrText xml:space="preserve"> PAGEREF _Toc416 \h </w:instrText>
      </w:r>
      <w:r>
        <w:fldChar w:fldCharType="separate"/>
      </w:r>
      <w:r>
        <w:t>24</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_Toc20046 </w:instrText>
      </w:r>
      <w:r>
        <w:rPr>
          <w:rFonts w:hint="eastAsia" w:ascii="宋体" w:hAnsi="宋体" w:eastAsia="宋体" w:cs="宋体"/>
          <w:kern w:val="0"/>
          <w:szCs w:val="21"/>
        </w:rPr>
        <w:fldChar w:fldCharType="separate"/>
      </w:r>
      <w:r>
        <w:rPr>
          <w:rFonts w:hint="eastAsia" w:ascii="宋体" w:hAnsi="宋体" w:eastAsia="宋体" w:cs="宋体"/>
          <w:kern w:val="0"/>
          <w:szCs w:val="20"/>
          <w:lang w:val="en-US" w:eastAsia="zh-CN" w:bidi="ar-SA"/>
        </w:rPr>
        <w:t>10、银行开户许可证复印件或银行基本账户信息(包含：银行账号及开户行名称）；</w:t>
      </w:r>
      <w:r>
        <w:tab/>
      </w:r>
      <w:r>
        <w:fldChar w:fldCharType="begin"/>
      </w:r>
      <w:r>
        <w:instrText xml:space="preserve"> PAGEREF _Toc20046 \h </w:instrText>
      </w:r>
      <w:r>
        <w:fldChar w:fldCharType="separate"/>
      </w:r>
      <w:r>
        <w:t>24</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_Toc21206 </w:instrText>
      </w:r>
      <w:r>
        <w:rPr>
          <w:rFonts w:hint="eastAsia" w:ascii="宋体" w:hAnsi="宋体" w:eastAsia="宋体" w:cs="宋体"/>
          <w:kern w:val="0"/>
          <w:szCs w:val="21"/>
        </w:rPr>
        <w:fldChar w:fldCharType="separate"/>
      </w:r>
      <w:r>
        <w:rPr>
          <w:rFonts w:hint="eastAsia" w:ascii="宋体" w:hAnsi="宋体" w:eastAsia="宋体" w:cs="宋体"/>
          <w:lang w:val="en-US" w:eastAsia="zh-CN"/>
        </w:rPr>
        <w:t>11、</w:t>
      </w:r>
      <w:r>
        <w:rPr>
          <w:rFonts w:hint="eastAsia" w:ascii="宋体" w:hAnsi="宋体" w:eastAsia="宋体" w:cs="宋体"/>
          <w:lang w:eastAsia="zh-CN"/>
        </w:rPr>
        <w:t>投标保证金银行转账回执单等有效凭证；</w:t>
      </w:r>
      <w:r>
        <w:tab/>
      </w:r>
      <w:r>
        <w:fldChar w:fldCharType="begin"/>
      </w:r>
      <w:r>
        <w:instrText xml:space="preserve"> PAGEREF _Toc21206 \h </w:instrText>
      </w:r>
      <w:r>
        <w:fldChar w:fldCharType="separate"/>
      </w:r>
      <w:r>
        <w:t>24</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_Toc3771 </w:instrText>
      </w:r>
      <w:r>
        <w:rPr>
          <w:rFonts w:hint="eastAsia" w:ascii="宋体" w:hAnsi="宋体" w:eastAsia="宋体" w:cs="宋体"/>
          <w:kern w:val="0"/>
          <w:szCs w:val="21"/>
        </w:rPr>
        <w:fldChar w:fldCharType="separate"/>
      </w:r>
      <w:r>
        <w:rPr>
          <w:rFonts w:hint="eastAsia" w:ascii="宋体" w:hAnsi="宋体" w:eastAsia="宋体" w:cs="宋体"/>
          <w:kern w:val="0"/>
          <w:szCs w:val="20"/>
          <w:lang w:val="en-US" w:eastAsia="zh-CN" w:bidi="ar-SA"/>
        </w:rPr>
        <w:t>12、提供有利于投标的其他证明材料。</w:t>
      </w:r>
      <w:r>
        <w:tab/>
      </w:r>
      <w:r>
        <w:fldChar w:fldCharType="begin"/>
      </w:r>
      <w:r>
        <w:instrText xml:space="preserve"> PAGEREF _Toc3771 \h </w:instrText>
      </w:r>
      <w:r>
        <w:fldChar w:fldCharType="separate"/>
      </w:r>
      <w:r>
        <w:t>24</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_Toc8959 </w:instrText>
      </w:r>
      <w:r>
        <w:rPr>
          <w:rFonts w:hint="eastAsia" w:ascii="宋体" w:hAnsi="宋体" w:eastAsia="宋体" w:cs="宋体"/>
          <w:kern w:val="0"/>
          <w:szCs w:val="21"/>
        </w:rPr>
        <w:fldChar w:fldCharType="separate"/>
      </w:r>
      <w:r>
        <w:rPr>
          <w:rFonts w:hint="eastAsia" w:ascii="宋体" w:hAnsi="宋体" w:eastAsia="宋体" w:cs="宋体"/>
          <w:kern w:val="0"/>
        </w:rPr>
        <w:t>第二部分  商务及技术文件</w:t>
      </w:r>
      <w:r>
        <w:tab/>
      </w:r>
      <w:r>
        <w:fldChar w:fldCharType="begin"/>
      </w:r>
      <w:r>
        <w:instrText xml:space="preserve"> PAGEREF _Toc8959 \h </w:instrText>
      </w:r>
      <w:r>
        <w:fldChar w:fldCharType="separate"/>
      </w:r>
      <w:r>
        <w:t>25</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_Toc24837 </w:instrText>
      </w:r>
      <w:r>
        <w:rPr>
          <w:rFonts w:hint="eastAsia" w:ascii="宋体" w:hAnsi="宋体" w:eastAsia="宋体" w:cs="宋体"/>
          <w:kern w:val="0"/>
          <w:szCs w:val="21"/>
        </w:rPr>
        <w:fldChar w:fldCharType="separate"/>
      </w:r>
      <w:r>
        <w:rPr>
          <w:rFonts w:hint="eastAsia" w:ascii="宋体" w:hAnsi="宋体" w:eastAsia="宋体" w:cs="宋体"/>
          <w:bCs/>
          <w:szCs w:val="24"/>
          <w:highlight w:val="none"/>
        </w:rPr>
        <w:t>1、投标书</w:t>
      </w:r>
      <w:r>
        <w:tab/>
      </w:r>
      <w:r>
        <w:fldChar w:fldCharType="begin"/>
      </w:r>
      <w:r>
        <w:instrText xml:space="preserve"> PAGEREF _Toc24837 \h </w:instrText>
      </w:r>
      <w:r>
        <w:fldChar w:fldCharType="separate"/>
      </w:r>
      <w:r>
        <w:t>26</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_Toc32367 </w:instrText>
      </w:r>
      <w:r>
        <w:rPr>
          <w:rFonts w:hint="eastAsia" w:ascii="宋体" w:hAnsi="宋体" w:eastAsia="宋体" w:cs="宋体"/>
          <w:kern w:val="0"/>
          <w:szCs w:val="21"/>
        </w:rPr>
        <w:fldChar w:fldCharType="separate"/>
      </w:r>
      <w:r>
        <w:rPr>
          <w:rFonts w:hint="eastAsia" w:ascii="宋体" w:hAnsi="宋体" w:eastAsia="宋体" w:cs="宋体"/>
          <w:bCs/>
          <w:szCs w:val="24"/>
          <w:highlight w:val="none"/>
        </w:rPr>
        <w:t>2、投标分项报价表</w:t>
      </w:r>
      <w:r>
        <w:tab/>
      </w:r>
      <w:r>
        <w:fldChar w:fldCharType="begin"/>
      </w:r>
      <w:r>
        <w:instrText xml:space="preserve"> PAGEREF _Toc32367 \h </w:instrText>
      </w:r>
      <w:r>
        <w:fldChar w:fldCharType="separate"/>
      </w:r>
      <w:r>
        <w:t>27</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_Toc2029 </w:instrText>
      </w:r>
      <w:r>
        <w:rPr>
          <w:rFonts w:hint="eastAsia" w:ascii="宋体" w:hAnsi="宋体" w:eastAsia="宋体" w:cs="宋体"/>
          <w:kern w:val="0"/>
          <w:szCs w:val="21"/>
        </w:rPr>
        <w:fldChar w:fldCharType="separate"/>
      </w:r>
      <w:r>
        <w:rPr>
          <w:rFonts w:hint="eastAsia" w:ascii="宋体" w:hAnsi="宋体" w:eastAsia="宋体" w:cs="宋体"/>
          <w:bCs/>
          <w:szCs w:val="24"/>
          <w:highlight w:val="none"/>
          <w:lang w:val="en-US" w:eastAsia="zh-CN"/>
        </w:rPr>
        <w:t>3</w:t>
      </w:r>
      <w:r>
        <w:rPr>
          <w:rFonts w:hint="eastAsia" w:ascii="宋体" w:hAnsi="宋体" w:eastAsia="宋体" w:cs="宋体"/>
          <w:bCs/>
          <w:szCs w:val="24"/>
          <w:highlight w:val="none"/>
          <w:lang w:eastAsia="zh-CN"/>
        </w:rPr>
        <w:t>、</w:t>
      </w:r>
      <w:r>
        <w:rPr>
          <w:rFonts w:hint="eastAsia" w:ascii="宋体" w:hAnsi="宋体" w:eastAsia="宋体" w:cs="宋体"/>
          <w:bCs/>
          <w:szCs w:val="24"/>
          <w:highlight w:val="none"/>
          <w:lang w:val="en-US" w:eastAsia="zh-CN"/>
        </w:rPr>
        <w:t>服务</w:t>
      </w:r>
      <w:r>
        <w:rPr>
          <w:rFonts w:hint="eastAsia" w:ascii="宋体" w:hAnsi="宋体" w:eastAsia="宋体" w:cs="宋体"/>
          <w:bCs/>
          <w:szCs w:val="24"/>
          <w:highlight w:val="none"/>
        </w:rPr>
        <w:t>说明一览表</w:t>
      </w:r>
      <w:r>
        <w:tab/>
      </w:r>
      <w:r>
        <w:fldChar w:fldCharType="begin"/>
      </w:r>
      <w:r>
        <w:instrText xml:space="preserve"> PAGEREF _Toc2029 \h </w:instrText>
      </w:r>
      <w:r>
        <w:fldChar w:fldCharType="separate"/>
      </w:r>
      <w:r>
        <w:t>28</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_Toc19889 </w:instrText>
      </w:r>
      <w:r>
        <w:rPr>
          <w:rFonts w:hint="eastAsia" w:ascii="宋体" w:hAnsi="宋体" w:eastAsia="宋体" w:cs="宋体"/>
          <w:kern w:val="0"/>
          <w:szCs w:val="21"/>
        </w:rPr>
        <w:fldChar w:fldCharType="separate"/>
      </w:r>
      <w:r>
        <w:rPr>
          <w:rFonts w:hint="eastAsia" w:ascii="宋体" w:hAnsi="宋体" w:eastAsia="宋体" w:cs="宋体"/>
          <w:bCs/>
          <w:szCs w:val="24"/>
          <w:highlight w:val="none"/>
          <w:lang w:val="en-US" w:eastAsia="zh-CN"/>
        </w:rPr>
        <w:t>4、服务规格偏离表</w:t>
      </w:r>
      <w:r>
        <w:tab/>
      </w:r>
      <w:r>
        <w:fldChar w:fldCharType="begin"/>
      </w:r>
      <w:r>
        <w:instrText xml:space="preserve"> PAGEREF _Toc19889 \h </w:instrText>
      </w:r>
      <w:r>
        <w:fldChar w:fldCharType="separate"/>
      </w:r>
      <w:r>
        <w:t>29</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_Toc32602 </w:instrText>
      </w:r>
      <w:r>
        <w:rPr>
          <w:rFonts w:hint="eastAsia" w:ascii="宋体" w:hAnsi="宋体" w:eastAsia="宋体" w:cs="宋体"/>
          <w:kern w:val="0"/>
          <w:szCs w:val="21"/>
        </w:rPr>
        <w:fldChar w:fldCharType="separate"/>
      </w:r>
      <w:r>
        <w:rPr>
          <w:rFonts w:hint="eastAsia" w:ascii="宋体" w:hAnsi="宋体" w:eastAsia="宋体" w:cs="宋体"/>
          <w:bCs/>
          <w:kern w:val="2"/>
          <w:szCs w:val="24"/>
          <w:highlight w:val="none"/>
          <w:lang w:val="en-US" w:eastAsia="zh-CN" w:bidi="ar-SA"/>
        </w:rPr>
        <w:t>5、商务条款偏离表</w:t>
      </w:r>
      <w:r>
        <w:tab/>
      </w:r>
      <w:r>
        <w:fldChar w:fldCharType="begin"/>
      </w:r>
      <w:r>
        <w:instrText xml:space="preserve"> PAGEREF _Toc32602 \h </w:instrText>
      </w:r>
      <w:r>
        <w:fldChar w:fldCharType="separate"/>
      </w:r>
      <w:r>
        <w:t>30</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_Toc9332 </w:instrText>
      </w:r>
      <w:r>
        <w:rPr>
          <w:rFonts w:hint="eastAsia" w:ascii="宋体" w:hAnsi="宋体" w:eastAsia="宋体" w:cs="宋体"/>
          <w:kern w:val="0"/>
          <w:szCs w:val="21"/>
        </w:rPr>
        <w:fldChar w:fldCharType="separate"/>
      </w:r>
      <w:r>
        <w:rPr>
          <w:rFonts w:hint="eastAsia" w:ascii="宋体" w:hAnsi="宋体" w:eastAsia="宋体" w:cs="宋体"/>
          <w:bCs/>
          <w:kern w:val="2"/>
          <w:szCs w:val="24"/>
          <w:highlight w:val="none"/>
          <w:lang w:val="en-US" w:eastAsia="zh-CN" w:bidi="ar-SA"/>
        </w:rPr>
        <w:t>6-1  中小企业声明函</w:t>
      </w:r>
      <w:r>
        <w:tab/>
      </w:r>
      <w:r>
        <w:fldChar w:fldCharType="begin"/>
      </w:r>
      <w:r>
        <w:instrText xml:space="preserve"> PAGEREF _Toc9332 \h </w:instrText>
      </w:r>
      <w:r>
        <w:fldChar w:fldCharType="separate"/>
      </w:r>
      <w:r>
        <w:t>31</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_Toc32280 </w:instrText>
      </w:r>
      <w:r>
        <w:rPr>
          <w:rFonts w:hint="eastAsia" w:ascii="宋体" w:hAnsi="宋体" w:eastAsia="宋体" w:cs="宋体"/>
          <w:kern w:val="0"/>
          <w:szCs w:val="21"/>
        </w:rPr>
        <w:fldChar w:fldCharType="separate"/>
      </w:r>
      <w:r>
        <w:rPr>
          <w:rFonts w:hint="eastAsia" w:ascii="宋体" w:hAnsi="宋体" w:eastAsia="宋体" w:cs="宋体"/>
          <w:bCs/>
          <w:kern w:val="2"/>
          <w:szCs w:val="24"/>
          <w:highlight w:val="none"/>
          <w:lang w:val="en-US" w:eastAsia="zh-CN" w:bidi="ar-SA"/>
        </w:rPr>
        <w:t>6-2  残疾人福利性单位声明函</w:t>
      </w:r>
      <w:r>
        <w:tab/>
      </w:r>
      <w:r>
        <w:fldChar w:fldCharType="begin"/>
      </w:r>
      <w:r>
        <w:instrText xml:space="preserve"> PAGEREF _Toc32280 \h </w:instrText>
      </w:r>
      <w:r>
        <w:fldChar w:fldCharType="separate"/>
      </w:r>
      <w:r>
        <w:t>32</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_Toc28864 </w:instrText>
      </w:r>
      <w:r>
        <w:rPr>
          <w:rFonts w:hint="eastAsia" w:ascii="宋体" w:hAnsi="宋体" w:eastAsia="宋体" w:cs="宋体"/>
          <w:kern w:val="0"/>
          <w:szCs w:val="21"/>
        </w:rPr>
        <w:fldChar w:fldCharType="separate"/>
      </w:r>
      <w:r>
        <w:rPr>
          <w:rFonts w:hint="eastAsia" w:ascii="宋体" w:hAnsi="宋体" w:eastAsia="宋体" w:cs="宋体"/>
          <w:bCs/>
          <w:kern w:val="2"/>
          <w:szCs w:val="24"/>
          <w:highlight w:val="none"/>
          <w:lang w:val="en-US" w:eastAsia="zh-CN" w:bidi="ar-SA"/>
        </w:rPr>
        <w:t>7、供应商关联单位的说明</w:t>
      </w:r>
      <w:r>
        <w:tab/>
      </w:r>
      <w:r>
        <w:fldChar w:fldCharType="begin"/>
      </w:r>
      <w:r>
        <w:instrText xml:space="preserve"> PAGEREF _Toc28864 \h </w:instrText>
      </w:r>
      <w:r>
        <w:fldChar w:fldCharType="separate"/>
      </w:r>
      <w:r>
        <w:t>32</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_Toc19131 </w:instrText>
      </w:r>
      <w:r>
        <w:rPr>
          <w:rFonts w:hint="eastAsia" w:ascii="宋体" w:hAnsi="宋体" w:eastAsia="宋体" w:cs="宋体"/>
          <w:kern w:val="0"/>
          <w:szCs w:val="21"/>
        </w:rPr>
        <w:fldChar w:fldCharType="separate"/>
      </w:r>
      <w:r>
        <w:rPr>
          <w:rFonts w:hint="eastAsia" w:ascii="宋体" w:hAnsi="宋体" w:eastAsia="宋体" w:cs="宋体"/>
          <w:bCs/>
          <w:kern w:val="2"/>
          <w:szCs w:val="24"/>
          <w:highlight w:val="none"/>
          <w:lang w:val="en-US" w:eastAsia="zh-CN" w:bidi="ar-SA"/>
        </w:rPr>
        <w:t>8、供应商可提供有利于投标的其他资格证明材料。</w:t>
      </w:r>
      <w:r>
        <w:tab/>
      </w:r>
      <w:r>
        <w:fldChar w:fldCharType="begin"/>
      </w:r>
      <w:r>
        <w:instrText xml:space="preserve"> PAGEREF _Toc19131 \h </w:instrText>
      </w:r>
      <w:r>
        <w:fldChar w:fldCharType="separate"/>
      </w:r>
      <w:r>
        <w:t>32</w:t>
      </w:r>
      <w:r>
        <w:fldChar w:fldCharType="end"/>
      </w:r>
      <w:r>
        <w:rPr>
          <w:rFonts w:hint="eastAsia" w:ascii="宋体" w:hAnsi="宋体" w:eastAsia="宋体" w:cs="宋体"/>
          <w:color w:val="auto"/>
          <w:kern w:val="0"/>
          <w:szCs w:val="21"/>
        </w:rPr>
        <w:fldChar w:fldCharType="end"/>
      </w:r>
    </w:p>
    <w:p>
      <w:pPr>
        <w:pStyle w:val="27"/>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_Toc21731 </w:instrText>
      </w:r>
      <w:r>
        <w:rPr>
          <w:rFonts w:hint="eastAsia" w:ascii="宋体" w:hAnsi="宋体" w:eastAsia="宋体" w:cs="宋体"/>
          <w:kern w:val="0"/>
          <w:szCs w:val="21"/>
        </w:rPr>
        <w:fldChar w:fldCharType="separate"/>
      </w:r>
      <w:r>
        <w:rPr>
          <w:rFonts w:hint="eastAsia" w:ascii="宋体" w:hAnsi="宋体" w:eastAsia="宋体" w:cs="宋体"/>
          <w:bCs/>
          <w:kern w:val="2"/>
          <w:szCs w:val="24"/>
          <w:highlight w:val="none"/>
          <w:lang w:val="en-US" w:eastAsia="zh-CN" w:bidi="ar-SA"/>
        </w:rPr>
        <w:t>9、投标文件格式范本</w:t>
      </w:r>
      <w:r>
        <w:tab/>
      </w:r>
      <w:r>
        <w:fldChar w:fldCharType="begin"/>
      </w:r>
      <w:r>
        <w:instrText xml:space="preserve"> PAGEREF _Toc21731 \h </w:instrText>
      </w:r>
      <w:r>
        <w:fldChar w:fldCharType="separate"/>
      </w:r>
      <w:r>
        <w:t>33</w:t>
      </w:r>
      <w:r>
        <w:fldChar w:fldCharType="end"/>
      </w:r>
      <w:r>
        <w:rPr>
          <w:rFonts w:hint="eastAsia" w:ascii="宋体" w:hAnsi="宋体" w:eastAsia="宋体" w:cs="宋体"/>
          <w:color w:val="auto"/>
          <w:kern w:val="0"/>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_Toc9300 </w:instrText>
      </w:r>
      <w:r>
        <w:rPr>
          <w:rFonts w:hint="eastAsia" w:ascii="宋体" w:hAnsi="宋体" w:eastAsia="宋体" w:cs="宋体"/>
          <w:kern w:val="0"/>
          <w:szCs w:val="21"/>
        </w:rPr>
        <w:fldChar w:fldCharType="separate"/>
      </w:r>
      <w:r>
        <w:rPr>
          <w:rFonts w:hint="eastAsia" w:ascii="宋体" w:hAnsi="宋体" w:eastAsia="宋体" w:cs="宋体"/>
          <w:lang w:eastAsia="zh-CN"/>
        </w:rPr>
        <w:t>第</w:t>
      </w:r>
      <w:r>
        <w:rPr>
          <w:rFonts w:hint="eastAsia" w:ascii="宋体" w:hAnsi="宋体" w:cs="宋体"/>
          <w:lang w:val="en-US" w:eastAsia="zh-CN"/>
        </w:rPr>
        <w:t>3</w:t>
      </w:r>
      <w:r>
        <w:rPr>
          <w:rFonts w:hint="eastAsia" w:ascii="宋体" w:hAnsi="宋体" w:eastAsia="宋体" w:cs="宋体"/>
          <w:lang w:eastAsia="zh-CN"/>
        </w:rPr>
        <w:t>章</w:t>
      </w:r>
      <w:r>
        <w:rPr>
          <w:rFonts w:hint="eastAsia" w:ascii="宋体" w:hAnsi="宋体" w:eastAsia="宋体" w:cs="宋体"/>
          <w:lang w:val="en-US" w:eastAsia="zh-CN"/>
        </w:rPr>
        <w:t xml:space="preserve"> </w:t>
      </w:r>
      <w:r>
        <w:rPr>
          <w:rFonts w:hint="eastAsia" w:ascii="宋体" w:hAnsi="宋体" w:eastAsia="宋体" w:cs="宋体"/>
          <w:lang w:eastAsia="zh-CN"/>
        </w:rPr>
        <w:t>投标邀请</w:t>
      </w:r>
      <w:r>
        <w:tab/>
      </w:r>
      <w:r>
        <w:fldChar w:fldCharType="begin"/>
      </w:r>
      <w:r>
        <w:instrText xml:space="preserve"> PAGEREF _Toc9300 \h </w:instrText>
      </w:r>
      <w:r>
        <w:fldChar w:fldCharType="separate"/>
      </w:r>
      <w:r>
        <w:t>35</w:t>
      </w:r>
      <w:r>
        <w:fldChar w:fldCharType="end"/>
      </w:r>
      <w:r>
        <w:rPr>
          <w:rFonts w:hint="eastAsia" w:ascii="宋体" w:hAnsi="宋体" w:eastAsia="宋体" w:cs="宋体"/>
          <w:color w:val="auto"/>
          <w:kern w:val="0"/>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_Toc9525 </w:instrText>
      </w:r>
      <w:r>
        <w:rPr>
          <w:rFonts w:hint="eastAsia" w:ascii="宋体" w:hAnsi="宋体" w:eastAsia="宋体" w:cs="宋体"/>
          <w:kern w:val="0"/>
          <w:szCs w:val="21"/>
        </w:rPr>
        <w:fldChar w:fldCharType="separate"/>
      </w:r>
      <w:r>
        <w:rPr>
          <w:rFonts w:hint="eastAsia" w:ascii="宋体" w:hAnsi="宋体" w:eastAsia="宋体" w:cs="宋体"/>
          <w:lang w:eastAsia="zh-CN"/>
        </w:rPr>
        <w:t>第</w:t>
      </w:r>
      <w:r>
        <w:rPr>
          <w:rFonts w:hint="eastAsia" w:ascii="宋体" w:hAnsi="宋体" w:eastAsia="宋体" w:cs="宋体"/>
          <w:lang w:val="en-US" w:eastAsia="zh-CN"/>
        </w:rPr>
        <w:t xml:space="preserve">4章 </w:t>
      </w:r>
      <w:r>
        <w:rPr>
          <w:rFonts w:hint="eastAsia" w:ascii="宋体" w:hAnsi="宋体" w:eastAsia="宋体" w:cs="宋体"/>
          <w:lang w:eastAsia="zh-CN"/>
        </w:rPr>
        <w:t>供应商</w:t>
      </w:r>
      <w:r>
        <w:rPr>
          <w:rFonts w:hint="eastAsia" w:ascii="宋体" w:hAnsi="宋体" w:eastAsia="宋体" w:cs="宋体"/>
        </w:rPr>
        <w:t>须知资料表</w:t>
      </w:r>
      <w:r>
        <w:tab/>
      </w:r>
      <w:r>
        <w:fldChar w:fldCharType="begin"/>
      </w:r>
      <w:r>
        <w:instrText xml:space="preserve"> PAGEREF _Toc9525 \h </w:instrText>
      </w:r>
      <w:r>
        <w:fldChar w:fldCharType="separate"/>
      </w:r>
      <w:r>
        <w:t>43</w:t>
      </w:r>
      <w:r>
        <w:fldChar w:fldCharType="end"/>
      </w:r>
      <w:r>
        <w:rPr>
          <w:rFonts w:hint="eastAsia" w:ascii="宋体" w:hAnsi="宋体" w:eastAsia="宋体" w:cs="宋体"/>
          <w:color w:val="auto"/>
          <w:kern w:val="0"/>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_Toc30101 </w:instrText>
      </w:r>
      <w:r>
        <w:rPr>
          <w:rFonts w:hint="eastAsia" w:ascii="宋体" w:hAnsi="宋体" w:eastAsia="宋体" w:cs="宋体"/>
          <w:kern w:val="0"/>
          <w:szCs w:val="21"/>
        </w:rPr>
        <w:fldChar w:fldCharType="separate"/>
      </w:r>
      <w:r>
        <w:rPr>
          <w:rFonts w:hint="eastAsia" w:ascii="宋体" w:hAnsi="宋体" w:eastAsia="宋体" w:cs="宋体"/>
        </w:rPr>
        <w:t>第5章</w:t>
      </w:r>
      <w:r>
        <w:rPr>
          <w:rFonts w:hint="eastAsia" w:ascii="宋体" w:hAnsi="宋体" w:eastAsia="宋体" w:cs="宋体"/>
          <w:lang w:val="en-US" w:eastAsia="zh-CN"/>
        </w:rPr>
        <w:t xml:space="preserve"> </w:t>
      </w:r>
      <w:r>
        <w:rPr>
          <w:rFonts w:hint="eastAsia" w:ascii="宋体" w:hAnsi="宋体" w:eastAsia="宋体" w:cs="宋体"/>
          <w:bCs/>
          <w:lang w:val="en-US" w:eastAsia="zh-CN"/>
        </w:rPr>
        <w:t>服务</w:t>
      </w:r>
      <w:r>
        <w:rPr>
          <w:rFonts w:hint="eastAsia" w:ascii="宋体" w:hAnsi="宋体" w:eastAsia="宋体" w:cs="宋体"/>
          <w:bCs/>
        </w:rPr>
        <w:t>需求一览表及技术规格</w:t>
      </w:r>
      <w:r>
        <w:tab/>
      </w:r>
      <w:r>
        <w:fldChar w:fldCharType="begin"/>
      </w:r>
      <w:r>
        <w:instrText xml:space="preserve"> PAGEREF _Toc30101 \h </w:instrText>
      </w:r>
      <w:r>
        <w:fldChar w:fldCharType="separate"/>
      </w:r>
      <w:r>
        <w:t>47</w:t>
      </w:r>
      <w:r>
        <w:fldChar w:fldCharType="end"/>
      </w:r>
      <w:r>
        <w:rPr>
          <w:rFonts w:hint="eastAsia" w:ascii="宋体" w:hAnsi="宋体" w:eastAsia="宋体" w:cs="宋体"/>
          <w:color w:val="auto"/>
          <w:kern w:val="0"/>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_Toc24978 </w:instrText>
      </w:r>
      <w:r>
        <w:rPr>
          <w:rFonts w:hint="eastAsia" w:ascii="宋体" w:hAnsi="宋体" w:eastAsia="宋体" w:cs="宋体"/>
          <w:kern w:val="0"/>
          <w:szCs w:val="21"/>
        </w:rPr>
        <w:fldChar w:fldCharType="separate"/>
      </w:r>
      <w:r>
        <w:rPr>
          <w:rFonts w:hint="eastAsia" w:ascii="宋体" w:hAnsi="宋体" w:eastAsia="宋体" w:cs="宋体"/>
        </w:rPr>
        <w:t>第6章 评标方法和标准</w:t>
      </w:r>
      <w:r>
        <w:tab/>
      </w:r>
      <w:r>
        <w:fldChar w:fldCharType="begin"/>
      </w:r>
      <w:r>
        <w:instrText xml:space="preserve"> PAGEREF _Toc24978 \h </w:instrText>
      </w:r>
      <w:r>
        <w:fldChar w:fldCharType="separate"/>
      </w:r>
      <w:r>
        <w:t>51</w:t>
      </w:r>
      <w:r>
        <w:fldChar w:fldCharType="end"/>
      </w:r>
      <w:r>
        <w:rPr>
          <w:rFonts w:hint="eastAsia" w:ascii="宋体" w:hAnsi="宋体" w:eastAsia="宋体" w:cs="宋体"/>
          <w:color w:val="auto"/>
          <w:kern w:val="0"/>
          <w:szCs w:val="21"/>
        </w:rPr>
        <w:fldChar w:fldCharType="end"/>
      </w:r>
    </w:p>
    <w:p>
      <w:pPr>
        <w:pStyle w:val="23"/>
        <w:keepNext w:val="0"/>
        <w:keepLines w:val="0"/>
        <w:pageBreakBefore w:val="0"/>
        <w:widowControl w:val="0"/>
        <w:tabs>
          <w:tab w:val="right" w:leader="dot" w:pos="8312"/>
        </w:tabs>
        <w:kinsoku/>
        <w:wordWrap/>
        <w:overflowPunct/>
        <w:topLinePunct w:val="0"/>
        <w:autoSpaceDE/>
        <w:autoSpaceDN/>
        <w:bidi w:val="0"/>
        <w:adjustRightInd/>
        <w:snapToGrid/>
        <w:spacing w:line="400" w:lineRule="exact"/>
        <w:textAlignment w:val="auto"/>
      </w:pPr>
      <w:r>
        <w:rPr>
          <w:rFonts w:hint="eastAsia" w:ascii="宋体" w:hAnsi="宋体" w:eastAsia="宋体" w:cs="宋体"/>
          <w:color w:val="auto"/>
          <w:kern w:val="0"/>
          <w:szCs w:val="21"/>
        </w:rPr>
        <w:fldChar w:fldCharType="begin"/>
      </w:r>
      <w:r>
        <w:rPr>
          <w:rFonts w:hint="eastAsia" w:ascii="宋体" w:hAnsi="宋体" w:eastAsia="宋体" w:cs="宋体"/>
          <w:kern w:val="0"/>
          <w:szCs w:val="21"/>
        </w:rPr>
        <w:instrText xml:space="preserve"> HYPERLINK \l _Toc802 </w:instrText>
      </w:r>
      <w:r>
        <w:rPr>
          <w:rFonts w:hint="eastAsia" w:ascii="宋体" w:hAnsi="宋体" w:eastAsia="宋体" w:cs="宋体"/>
          <w:kern w:val="0"/>
          <w:szCs w:val="21"/>
        </w:rPr>
        <w:fldChar w:fldCharType="separate"/>
      </w:r>
      <w:r>
        <w:rPr>
          <w:rFonts w:hint="eastAsia" w:ascii="宋体" w:hAnsi="宋体" w:eastAsia="宋体" w:cs="宋体"/>
          <w:bCs w:val="0"/>
          <w:szCs w:val="32"/>
          <w:lang w:eastAsia="zh-CN"/>
        </w:rPr>
        <w:t>第</w:t>
      </w:r>
      <w:r>
        <w:rPr>
          <w:rFonts w:hint="eastAsia" w:ascii="宋体" w:hAnsi="宋体" w:eastAsia="宋体" w:cs="宋体"/>
          <w:bCs w:val="0"/>
          <w:szCs w:val="32"/>
          <w:lang w:val="en-US" w:eastAsia="zh-CN"/>
        </w:rPr>
        <w:t>7章</w:t>
      </w:r>
      <w:r>
        <w:rPr>
          <w:rFonts w:hint="eastAsia" w:ascii="宋体" w:hAnsi="宋体" w:eastAsia="宋体" w:cs="宋体"/>
          <w:bCs w:val="0"/>
          <w:szCs w:val="22"/>
        </w:rPr>
        <w:t xml:space="preserve"> </w:t>
      </w:r>
      <w:r>
        <w:rPr>
          <w:rFonts w:hint="eastAsia" w:ascii="宋体" w:hAnsi="宋体" w:eastAsia="宋体" w:cs="宋体"/>
          <w:bCs w:val="0"/>
          <w:szCs w:val="32"/>
        </w:rPr>
        <w:t>合同条款</w:t>
      </w:r>
      <w:r>
        <w:tab/>
      </w:r>
      <w:r>
        <w:fldChar w:fldCharType="begin"/>
      </w:r>
      <w:r>
        <w:instrText xml:space="preserve"> PAGEREF _Toc802 \h </w:instrText>
      </w:r>
      <w:r>
        <w:fldChar w:fldCharType="separate"/>
      </w:r>
      <w:r>
        <w:t>62</w:t>
      </w:r>
      <w:r>
        <w:fldChar w:fldCharType="end"/>
      </w:r>
      <w:r>
        <w:rPr>
          <w:rFonts w:hint="eastAsia" w:ascii="宋体" w:hAnsi="宋体" w:eastAsia="宋体" w:cs="宋体"/>
          <w:color w:val="auto"/>
          <w:kern w:val="0"/>
          <w:szCs w:val="21"/>
        </w:rPr>
        <w:fldChar w:fldCharType="end"/>
      </w:r>
    </w:p>
    <w:p>
      <w:pPr>
        <w:pStyle w:val="23"/>
        <w:tabs>
          <w:tab w:val="right" w:leader="dot" w:pos="8312"/>
        </w:tabs>
      </w:pPr>
    </w:p>
    <w:p>
      <w:pPr>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240" w:lineRule="atLeast"/>
        <w:ind w:leftChars="0"/>
        <w:textAlignment w:val="auto"/>
        <w:outlineLvl w:val="9"/>
        <w:rPr>
          <w:rFonts w:hint="eastAsia" w:ascii="宋体" w:hAnsi="宋体" w:eastAsia="宋体" w:cs="宋体"/>
          <w:color w:val="auto"/>
        </w:rPr>
      </w:pPr>
      <w:r>
        <w:rPr>
          <w:rFonts w:hint="eastAsia" w:ascii="宋体" w:hAnsi="宋体" w:eastAsia="宋体" w:cs="宋体"/>
          <w:color w:val="auto"/>
          <w:kern w:val="0"/>
          <w:szCs w:val="21"/>
        </w:rPr>
        <w:fldChar w:fldCharType="end"/>
      </w:r>
      <w:bookmarkStart w:id="0" w:name="_Toc22782"/>
      <w:bookmarkStart w:id="1" w:name="_Toc216582804"/>
      <w:bookmarkStart w:id="2" w:name="_Toc17230"/>
    </w:p>
    <w:p>
      <w:pPr>
        <w:pStyle w:val="4"/>
        <w:keepNext/>
        <w:keepLines/>
        <w:pageBreakBefore w:val="0"/>
        <w:widowControl w:val="0"/>
        <w:numPr>
          <w:ilvl w:val="0"/>
          <w:numId w:val="1"/>
        </w:numPr>
        <w:tabs>
          <w:tab w:val="left" w:pos="0"/>
          <w:tab w:val="clear" w:pos="3134"/>
        </w:tabs>
        <w:kinsoku/>
        <w:wordWrap/>
        <w:overflowPunct/>
        <w:topLinePunct w:val="0"/>
        <w:autoSpaceDE w:val="0"/>
        <w:autoSpaceDN w:val="0"/>
        <w:bidi w:val="0"/>
        <w:adjustRightInd w:val="0"/>
        <w:snapToGrid/>
        <w:spacing w:before="0" w:after="0" w:line="240" w:lineRule="atLeast"/>
        <w:ind w:left="0" w:leftChars="0" w:firstLine="0" w:firstLineChars="0"/>
        <w:textAlignment w:val="auto"/>
        <w:outlineLvl w:val="1"/>
        <w:rPr>
          <w:rFonts w:hint="eastAsia" w:ascii="宋体" w:hAnsi="宋体" w:eastAsia="宋体" w:cs="宋体"/>
          <w:color w:val="auto"/>
        </w:rPr>
      </w:pPr>
      <w:r>
        <w:rPr>
          <w:rFonts w:hint="eastAsia" w:ascii="宋体" w:hAnsi="宋体" w:eastAsia="宋体" w:cs="宋体"/>
          <w:color w:val="auto"/>
          <w:kern w:val="0"/>
          <w:szCs w:val="21"/>
        </w:rPr>
        <w:br w:type="page"/>
      </w:r>
      <w:r>
        <w:rPr>
          <w:rFonts w:hint="eastAsia" w:ascii="宋体" w:hAnsi="宋体" w:eastAsia="宋体" w:cs="宋体"/>
          <w:color w:val="auto"/>
        </w:rPr>
        <w:t xml:space="preserve">  </w:t>
      </w:r>
      <w:bookmarkStart w:id="3" w:name="_Toc9432"/>
      <w:bookmarkStart w:id="4" w:name="_Toc515647756"/>
      <w:r>
        <w:rPr>
          <w:rFonts w:hint="eastAsia" w:ascii="宋体" w:hAnsi="宋体" w:eastAsia="宋体" w:cs="宋体"/>
          <w:color w:val="auto"/>
          <w:lang w:eastAsia="zh-CN"/>
        </w:rPr>
        <w:t>供应商</w:t>
      </w:r>
      <w:r>
        <w:rPr>
          <w:rFonts w:hint="eastAsia" w:ascii="宋体" w:hAnsi="宋体" w:eastAsia="宋体" w:cs="宋体"/>
          <w:color w:val="auto"/>
        </w:rPr>
        <w:t>须知</w:t>
      </w:r>
      <w:bookmarkEnd w:id="0"/>
      <w:bookmarkEnd w:id="1"/>
      <w:bookmarkEnd w:id="2"/>
      <w:bookmarkEnd w:id="3"/>
      <w:bookmarkEnd w:id="4"/>
    </w:p>
    <w:p>
      <w:pPr>
        <w:pStyle w:val="4"/>
        <w:spacing w:before="0" w:line="240" w:lineRule="atLeast"/>
        <w:ind w:left="1080" w:leftChars="257" w:hanging="540"/>
        <w:rPr>
          <w:rFonts w:hint="eastAsia" w:ascii="宋体" w:hAnsi="宋体" w:eastAsia="宋体" w:cs="宋体"/>
          <w:color w:val="auto"/>
        </w:rPr>
      </w:pPr>
      <w:bookmarkStart w:id="5" w:name="_Toc520356143"/>
      <w:bookmarkStart w:id="6" w:name="_Toc515647757"/>
      <w:bookmarkStart w:id="7" w:name="_Toc216582805"/>
      <w:bookmarkStart w:id="8" w:name="_Toc8733"/>
      <w:bookmarkStart w:id="9" w:name="_Toc21015"/>
      <w:bookmarkStart w:id="10" w:name="_Toc21215"/>
      <w:r>
        <w:rPr>
          <w:rFonts w:hint="eastAsia" w:ascii="宋体" w:hAnsi="宋体" w:eastAsia="宋体" w:cs="宋体"/>
          <w:color w:val="auto"/>
          <w:sz w:val="28"/>
        </w:rPr>
        <w:t xml:space="preserve">一   </w:t>
      </w:r>
      <w:bookmarkEnd w:id="5"/>
      <w:bookmarkEnd w:id="6"/>
      <w:bookmarkEnd w:id="7"/>
      <w:r>
        <w:rPr>
          <w:rFonts w:hint="eastAsia" w:ascii="宋体" w:hAnsi="宋体" w:eastAsia="宋体" w:cs="宋体"/>
          <w:color w:val="auto"/>
          <w:sz w:val="28"/>
        </w:rPr>
        <w:t>总 则</w:t>
      </w:r>
      <w:bookmarkEnd w:id="8"/>
      <w:bookmarkEnd w:id="9"/>
      <w:bookmarkEnd w:id="10"/>
    </w:p>
    <w:p>
      <w:pPr>
        <w:pStyle w:val="5"/>
        <w:spacing w:before="0" w:after="0" w:line="380" w:lineRule="exact"/>
        <w:rPr>
          <w:rFonts w:hint="eastAsia" w:ascii="宋体" w:hAnsi="宋体" w:eastAsia="宋体" w:cs="宋体"/>
          <w:color w:val="auto"/>
          <w:u w:val="none"/>
          <w:lang w:eastAsia="zh-CN"/>
        </w:rPr>
      </w:pPr>
      <w:bookmarkStart w:id="11" w:name="_Toc32189"/>
      <w:bookmarkStart w:id="12" w:name="_Toc32623"/>
      <w:bookmarkStart w:id="13" w:name="_Toc515647758"/>
      <w:bookmarkStart w:id="14" w:name="_Toc520356144"/>
      <w:bookmarkStart w:id="15" w:name="_Toc24864"/>
      <w:bookmarkStart w:id="16" w:name="_Toc24454"/>
      <w:bookmarkStart w:id="17" w:name="_Toc14992"/>
      <w:r>
        <w:rPr>
          <w:rFonts w:hint="eastAsia" w:ascii="宋体" w:hAnsi="宋体" w:eastAsia="宋体" w:cs="宋体"/>
          <w:color w:val="auto"/>
          <w:u w:val="none"/>
        </w:rPr>
        <w:t>1.采购人、采购代理机构及</w:t>
      </w:r>
      <w:bookmarkEnd w:id="11"/>
      <w:bookmarkEnd w:id="12"/>
      <w:bookmarkEnd w:id="13"/>
      <w:bookmarkEnd w:id="14"/>
      <w:r>
        <w:rPr>
          <w:rFonts w:hint="eastAsia" w:ascii="宋体" w:hAnsi="宋体" w:eastAsia="宋体" w:cs="宋体"/>
          <w:color w:val="auto"/>
          <w:u w:val="none"/>
          <w:lang w:eastAsia="zh-CN"/>
        </w:rPr>
        <w:t>供应商</w:t>
      </w:r>
      <w:bookmarkEnd w:id="15"/>
      <w:bookmarkEnd w:id="16"/>
      <w:bookmarkEnd w:id="17"/>
    </w:p>
    <w:p>
      <w:pPr>
        <w:numPr>
          <w:ilvl w:val="1"/>
          <w:numId w:val="2"/>
        </w:numPr>
        <w:tabs>
          <w:tab w:val="left" w:pos="0"/>
          <w:tab w:val="clear" w:pos="900"/>
        </w:tabs>
        <w:spacing w:line="380" w:lineRule="exact"/>
        <w:ind w:hanging="898"/>
        <w:rPr>
          <w:rFonts w:hint="eastAsia" w:ascii="宋体" w:hAnsi="宋体" w:eastAsia="宋体" w:cs="宋体"/>
          <w:color w:val="auto"/>
          <w:sz w:val="24"/>
        </w:rPr>
      </w:pPr>
      <w:r>
        <w:rPr>
          <w:rFonts w:hint="eastAsia" w:ascii="宋体" w:hAnsi="宋体" w:eastAsia="宋体" w:cs="宋体"/>
          <w:color w:val="auto"/>
          <w:sz w:val="24"/>
        </w:rPr>
        <w:t xml:space="preserve">    采购人：是指依法开展政府采购活动的国家机关、事业单位、团体组织。</w:t>
      </w:r>
    </w:p>
    <w:p>
      <w:pPr>
        <w:tabs>
          <w:tab w:val="left" w:pos="0"/>
        </w:tabs>
        <w:spacing w:line="380" w:lineRule="exact"/>
        <w:ind w:left="900"/>
        <w:rPr>
          <w:rFonts w:hint="eastAsia" w:ascii="宋体" w:hAnsi="宋体" w:eastAsia="宋体" w:cs="宋体"/>
          <w:color w:val="auto"/>
          <w:sz w:val="24"/>
        </w:rPr>
      </w:pPr>
      <w:r>
        <w:rPr>
          <w:rFonts w:hint="eastAsia" w:ascii="宋体" w:hAnsi="宋体" w:eastAsia="宋体" w:cs="宋体"/>
          <w:color w:val="auto"/>
          <w:sz w:val="24"/>
        </w:rPr>
        <w:t>本项目的采购人见</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w:t>
      </w:r>
    </w:p>
    <w:p>
      <w:pPr>
        <w:numPr>
          <w:ilvl w:val="1"/>
          <w:numId w:val="2"/>
        </w:numPr>
        <w:tabs>
          <w:tab w:val="left" w:pos="0"/>
          <w:tab w:val="clear" w:pos="900"/>
        </w:tabs>
        <w:spacing w:line="380" w:lineRule="exact"/>
        <w:ind w:hanging="898"/>
        <w:rPr>
          <w:rFonts w:hint="eastAsia" w:ascii="宋体" w:hAnsi="宋体" w:eastAsia="宋体" w:cs="宋体"/>
          <w:color w:val="auto"/>
          <w:sz w:val="24"/>
        </w:rPr>
      </w:pPr>
      <w:r>
        <w:rPr>
          <w:rFonts w:hint="eastAsia" w:ascii="宋体" w:hAnsi="宋体" w:eastAsia="宋体" w:cs="宋体"/>
          <w:color w:val="auto"/>
          <w:sz w:val="24"/>
        </w:rPr>
        <w:t xml:space="preserve">    采购代理机构：是指在集中采购机构或从事采购代理业务的社会中介机构。本项目的采购代理机构见</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w:t>
      </w:r>
    </w:p>
    <w:p>
      <w:pPr>
        <w:numPr>
          <w:ilvl w:val="1"/>
          <w:numId w:val="2"/>
        </w:numPr>
        <w:spacing w:line="380" w:lineRule="exact"/>
        <w:ind w:hangingChars="375"/>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：是指向采购人提供货物、工程或者服务的法人、非法人组织或者自然人。本项目的</w:t>
      </w:r>
      <w:r>
        <w:rPr>
          <w:rFonts w:hint="eastAsia" w:ascii="宋体" w:hAnsi="宋体" w:eastAsia="宋体" w:cs="宋体"/>
          <w:color w:val="auto"/>
          <w:sz w:val="24"/>
          <w:lang w:eastAsia="zh-CN"/>
        </w:rPr>
        <w:t>供应商</w:t>
      </w:r>
      <w:r>
        <w:rPr>
          <w:rFonts w:hint="eastAsia" w:ascii="宋体" w:hAnsi="宋体" w:eastAsia="宋体" w:cs="宋体"/>
          <w:color w:val="auto"/>
          <w:sz w:val="24"/>
        </w:rPr>
        <w:t>及其投标</w:t>
      </w:r>
      <w:r>
        <w:rPr>
          <w:rFonts w:hint="eastAsia" w:ascii="宋体" w:hAnsi="宋体" w:eastAsia="宋体" w:cs="宋体"/>
          <w:color w:val="auto"/>
          <w:sz w:val="24"/>
          <w:lang w:eastAsia="zh-CN"/>
        </w:rPr>
        <w:t>服务</w:t>
      </w:r>
      <w:r>
        <w:rPr>
          <w:rFonts w:hint="eastAsia" w:ascii="宋体" w:hAnsi="宋体" w:eastAsia="宋体" w:cs="宋体"/>
          <w:color w:val="auto"/>
          <w:sz w:val="24"/>
        </w:rPr>
        <w:t>须满足以下条件：</w:t>
      </w:r>
    </w:p>
    <w:p>
      <w:pPr>
        <w:spacing w:line="380" w:lineRule="exact"/>
        <w:ind w:left="850" w:hanging="849" w:hangingChars="354"/>
        <w:rPr>
          <w:rFonts w:hint="eastAsia" w:ascii="宋体" w:hAnsi="宋体" w:eastAsia="宋体" w:cs="宋体"/>
          <w:color w:val="auto"/>
          <w:sz w:val="24"/>
        </w:rPr>
      </w:pPr>
      <w:r>
        <w:rPr>
          <w:rFonts w:hint="eastAsia" w:ascii="宋体" w:hAnsi="宋体" w:eastAsia="宋体" w:cs="宋体"/>
          <w:color w:val="auto"/>
          <w:sz w:val="24"/>
        </w:rPr>
        <w:t>1.3.1</w:t>
      </w:r>
      <w:r>
        <w:rPr>
          <w:rFonts w:hint="eastAsia" w:ascii="宋体" w:hAnsi="宋体" w:eastAsia="宋体" w:cs="宋体"/>
          <w:color w:val="auto"/>
          <w:sz w:val="24"/>
        </w:rPr>
        <w:tab/>
      </w:r>
      <w:r>
        <w:rPr>
          <w:rFonts w:hint="eastAsia" w:ascii="宋体" w:hAnsi="宋体" w:eastAsia="宋体" w:cs="宋体"/>
          <w:color w:val="auto"/>
          <w:sz w:val="24"/>
        </w:rPr>
        <w:t>在中华人民共和国境内注册，能够独立承担民事责任，有生产或供应能力的本国供应商。</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1.3.2  具备《中华人民共和国政府采购法》第二十二条关于供应商条件的规定，遵守本项目采购人本级和上级财政部门政府采购的有关规定。</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1.3.3   以采购代理机构认可的方式获得了本项目的招标文件。</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1.3.4   符合</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中规定的其他要求。</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1.3.5   若</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中写明允许采购进口产品，</w:t>
      </w:r>
      <w:r>
        <w:rPr>
          <w:rFonts w:hint="eastAsia" w:ascii="宋体" w:hAnsi="宋体" w:eastAsia="宋体" w:cs="宋体"/>
          <w:color w:val="auto"/>
          <w:sz w:val="24"/>
          <w:lang w:eastAsia="zh-CN"/>
        </w:rPr>
        <w:t>供应商</w:t>
      </w:r>
      <w:r>
        <w:rPr>
          <w:rFonts w:hint="eastAsia" w:ascii="宋体" w:hAnsi="宋体" w:eastAsia="宋体" w:cs="宋体"/>
          <w:color w:val="auto"/>
          <w:sz w:val="24"/>
        </w:rPr>
        <w:t>应保证所投产品可履行合法报通关手续进入中国关境内。</w:t>
      </w:r>
    </w:p>
    <w:p>
      <w:pPr>
        <w:spacing w:line="380" w:lineRule="exact"/>
        <w:ind w:left="899" w:leftChars="428"/>
        <w:rPr>
          <w:rFonts w:hint="eastAsia" w:ascii="宋体" w:hAnsi="宋体" w:eastAsia="宋体" w:cs="宋体"/>
          <w:color w:val="auto"/>
          <w:sz w:val="24"/>
        </w:rPr>
      </w:pPr>
      <w:r>
        <w:rPr>
          <w:rFonts w:hint="eastAsia" w:ascii="宋体" w:hAnsi="宋体" w:eastAsia="宋体" w:cs="宋体"/>
          <w:color w:val="auto"/>
          <w:sz w:val="24"/>
        </w:rPr>
        <w:t>若</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中未写明允许采购进口产品，如</w:t>
      </w:r>
      <w:r>
        <w:rPr>
          <w:rFonts w:hint="eastAsia" w:ascii="宋体" w:hAnsi="宋体" w:eastAsia="宋体" w:cs="宋体"/>
          <w:color w:val="auto"/>
          <w:sz w:val="24"/>
          <w:lang w:eastAsia="zh-CN"/>
        </w:rPr>
        <w:t>供应商</w:t>
      </w:r>
      <w:r>
        <w:rPr>
          <w:rFonts w:hint="eastAsia" w:ascii="宋体" w:hAnsi="宋体" w:eastAsia="宋体" w:cs="宋体"/>
          <w:color w:val="auto"/>
          <w:sz w:val="24"/>
        </w:rPr>
        <w:t>所投产品为进口产品，其投标将被认定为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80" w:lineRule="exact"/>
        <w:ind w:left="840" w:hanging="840" w:hangingChars="350"/>
        <w:rPr>
          <w:rFonts w:hint="eastAsia" w:ascii="宋体" w:hAnsi="宋体" w:eastAsia="宋体" w:cs="宋体"/>
          <w:color w:val="auto"/>
          <w:sz w:val="24"/>
        </w:rPr>
      </w:pPr>
      <w:r>
        <w:rPr>
          <w:rFonts w:hint="eastAsia" w:ascii="宋体" w:hAnsi="宋体" w:eastAsia="宋体" w:cs="宋体"/>
          <w:color w:val="auto"/>
          <w:sz w:val="24"/>
        </w:rPr>
        <w:t>1.3.6  若</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中写明专门面向中小企业采购的，如</w:t>
      </w:r>
      <w:r>
        <w:rPr>
          <w:rFonts w:hint="eastAsia" w:ascii="宋体" w:hAnsi="宋体" w:eastAsia="宋体" w:cs="宋体"/>
          <w:color w:val="auto"/>
          <w:sz w:val="24"/>
          <w:lang w:eastAsia="zh-CN"/>
        </w:rPr>
        <w:t>供应商</w:t>
      </w:r>
      <w:r>
        <w:rPr>
          <w:rFonts w:hint="eastAsia" w:ascii="宋体" w:hAnsi="宋体" w:eastAsia="宋体" w:cs="宋体"/>
          <w:color w:val="auto"/>
          <w:sz w:val="24"/>
        </w:rPr>
        <w:t>为非中小企业且所投产品为非中小企业产品，其投标将被认定为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     如</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中允许联合体投标，对联合体规定如下：</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1.4.1   两个以上供应商可以组成一个投标联合体，以一个</w:t>
      </w:r>
      <w:r>
        <w:rPr>
          <w:rFonts w:hint="eastAsia" w:ascii="宋体" w:hAnsi="宋体" w:eastAsia="宋体" w:cs="宋体"/>
          <w:color w:val="auto"/>
          <w:sz w:val="24"/>
          <w:lang w:eastAsia="zh-CN"/>
        </w:rPr>
        <w:t>供应商</w:t>
      </w:r>
      <w:r>
        <w:rPr>
          <w:rFonts w:hint="eastAsia" w:ascii="宋体" w:hAnsi="宋体" w:eastAsia="宋体" w:cs="宋体"/>
          <w:color w:val="auto"/>
          <w:sz w:val="24"/>
        </w:rPr>
        <w:t>的身份投标。</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1.4.2   联合体各方均应符合《中华人民共和国政府采购法》第二十二条规定的条件。</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1.4.3   采购人根据采购项目对</w:t>
      </w:r>
      <w:r>
        <w:rPr>
          <w:rFonts w:hint="eastAsia" w:ascii="宋体" w:hAnsi="宋体" w:eastAsia="宋体" w:cs="宋体"/>
          <w:color w:val="auto"/>
          <w:sz w:val="24"/>
          <w:lang w:eastAsia="zh-CN"/>
        </w:rPr>
        <w:t>供应商</w:t>
      </w:r>
      <w:r>
        <w:rPr>
          <w:rFonts w:hint="eastAsia" w:ascii="宋体" w:hAnsi="宋体" w:eastAsia="宋体" w:cs="宋体"/>
          <w:color w:val="auto"/>
          <w:sz w:val="24"/>
        </w:rPr>
        <w:t>的特殊要求，联合体中至少应当有一方符合相关规定。</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1.4.4   联合体各方应签订共同投标协议，明确约定联合体各方承担的工作和相应的责任，并将共同投标协议连同作为投标文件第一部分的内容提交。</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1.4.5   大中型企业、其他自然人、法人或者非法人组织与小型、微型企业组成联合体共同参加投标，共同投标协议中应写明小型、微型企业的协议合同金额占到共同投标协议投标总金额的比例。</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1.4.6  联合体中有同类资质的供应商按照联合体分工承担相同工作的，按照较低的资质等级确定联合体的资质等级。</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1.4.7  以联合体形式参加政府采购活动的，联合体各方不得再单独参加或者与其他供应商另外组成联合体参加本项目投标，否则相关投标将被认定为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1.4.8   对联合体投标的其他资格要求见</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1.5    单位负责人为同一人或者存在直接控股、管理关系的不同供应商，其相关投标将被认定为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1.6    为本项目提供过整体设计、规范编制或者项目管理、监理、检测等服务的供应商，不得再参加本项目上述服务以外的其他采购活动。否则其投标将被认定为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1.7</w:t>
      </w:r>
      <w:r>
        <w:rPr>
          <w:rFonts w:hint="eastAsia" w:ascii="宋体" w:hAnsi="宋体" w:eastAsia="宋体" w:cs="宋体"/>
          <w:color w:val="auto"/>
          <w:sz w:val="24"/>
        </w:rPr>
        <w:tab/>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在投标过程中不得向采购人提供、给予任何有价值的物品，影响其正常决策行为。一经发现，其将被认定为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pStyle w:val="5"/>
        <w:spacing w:before="0" w:after="0" w:line="380" w:lineRule="exact"/>
        <w:rPr>
          <w:rFonts w:hint="eastAsia" w:ascii="宋体" w:hAnsi="宋体" w:eastAsia="宋体" w:cs="宋体"/>
          <w:color w:val="auto"/>
          <w:u w:val="none"/>
        </w:rPr>
      </w:pPr>
      <w:bookmarkStart w:id="18" w:name="_Toc12139"/>
      <w:bookmarkStart w:id="19" w:name="_Toc32338"/>
      <w:bookmarkStart w:id="20" w:name="_Toc515647759"/>
      <w:bookmarkStart w:id="21" w:name="_Toc5286"/>
      <w:bookmarkStart w:id="22" w:name="_Toc5527"/>
      <w:bookmarkStart w:id="23" w:name="_Toc3794"/>
      <w:r>
        <w:rPr>
          <w:rFonts w:hint="eastAsia" w:ascii="宋体" w:hAnsi="宋体" w:eastAsia="宋体" w:cs="宋体"/>
          <w:color w:val="auto"/>
          <w:u w:val="none"/>
        </w:rPr>
        <w:t>2.资金来源</w:t>
      </w:r>
      <w:bookmarkEnd w:id="18"/>
      <w:bookmarkEnd w:id="19"/>
      <w:bookmarkEnd w:id="20"/>
      <w:bookmarkEnd w:id="21"/>
      <w:bookmarkEnd w:id="22"/>
      <w:bookmarkEnd w:id="23"/>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2.1</w:t>
      </w:r>
      <w:r>
        <w:rPr>
          <w:rFonts w:hint="eastAsia" w:ascii="宋体" w:hAnsi="宋体" w:eastAsia="宋体" w:cs="宋体"/>
          <w:color w:val="auto"/>
          <w:sz w:val="24"/>
        </w:rPr>
        <w:tab/>
      </w:r>
      <w:r>
        <w:rPr>
          <w:rFonts w:hint="eastAsia" w:ascii="宋体" w:hAnsi="宋体" w:eastAsia="宋体" w:cs="宋体"/>
          <w:color w:val="auto"/>
          <w:sz w:val="24"/>
        </w:rPr>
        <w:t>本项目的采购人已获得足以支付本次招标后所签订的合同项下的资金（包括财政性资金和本项目采购中无法与财政性资金分割的非财政性资金）。</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2.2    项目预算金额和分项或分包最高限价</w:t>
      </w:r>
      <w:r>
        <w:rPr>
          <w:rFonts w:hint="eastAsia" w:ascii="宋体" w:hAnsi="宋体" w:eastAsia="宋体" w:cs="宋体"/>
          <w:color w:val="auto"/>
          <w:sz w:val="24"/>
          <w:u w:val="single"/>
        </w:rPr>
        <w:t>见</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w:t>
      </w:r>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2.3    </w:t>
      </w:r>
      <w:r>
        <w:rPr>
          <w:rFonts w:hint="eastAsia" w:ascii="宋体" w:hAnsi="宋体" w:eastAsia="宋体" w:cs="宋体"/>
          <w:color w:val="auto"/>
          <w:sz w:val="24"/>
          <w:lang w:eastAsia="zh-CN"/>
        </w:rPr>
        <w:t>供应商</w:t>
      </w:r>
      <w:r>
        <w:rPr>
          <w:rFonts w:hint="eastAsia" w:ascii="宋体" w:hAnsi="宋体" w:eastAsia="宋体" w:cs="宋体"/>
          <w:color w:val="auto"/>
          <w:sz w:val="24"/>
        </w:rPr>
        <w:t>报价超过招标文件规定的预算金额或者分项、分包最高限价的，其投标将被认定为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pStyle w:val="5"/>
        <w:spacing w:before="0" w:after="0" w:line="380" w:lineRule="exact"/>
        <w:rPr>
          <w:rFonts w:hint="eastAsia" w:ascii="宋体" w:hAnsi="宋体" w:eastAsia="宋体" w:cs="宋体"/>
          <w:color w:val="auto"/>
          <w:u w:val="none"/>
        </w:rPr>
      </w:pPr>
      <w:bookmarkStart w:id="24" w:name="_Toc29893"/>
      <w:bookmarkStart w:id="25" w:name="_Toc515647760"/>
      <w:bookmarkStart w:id="26" w:name="_Toc15936"/>
      <w:bookmarkStart w:id="27" w:name="_Toc520356145"/>
      <w:bookmarkStart w:id="28" w:name="_Toc7058"/>
      <w:bookmarkStart w:id="29" w:name="_Toc7735"/>
      <w:bookmarkStart w:id="30" w:name="_Toc20526"/>
      <w:r>
        <w:rPr>
          <w:rFonts w:hint="eastAsia" w:ascii="宋体" w:hAnsi="宋体" w:eastAsia="宋体" w:cs="宋体"/>
          <w:color w:val="auto"/>
          <w:u w:val="none"/>
        </w:rPr>
        <w:t>3.投标费用</w:t>
      </w:r>
      <w:bookmarkEnd w:id="24"/>
      <w:bookmarkEnd w:id="25"/>
      <w:bookmarkEnd w:id="26"/>
      <w:bookmarkEnd w:id="27"/>
      <w:bookmarkEnd w:id="28"/>
      <w:bookmarkEnd w:id="29"/>
      <w:bookmarkEnd w:id="30"/>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不论投标的结果如何，</w:t>
      </w:r>
      <w:r>
        <w:rPr>
          <w:rFonts w:hint="eastAsia" w:ascii="宋体" w:hAnsi="宋体" w:eastAsia="宋体" w:cs="宋体"/>
          <w:color w:val="auto"/>
          <w:sz w:val="24"/>
          <w:lang w:eastAsia="zh-CN"/>
        </w:rPr>
        <w:t>供应商</w:t>
      </w:r>
      <w:r>
        <w:rPr>
          <w:rFonts w:hint="eastAsia" w:ascii="宋体" w:hAnsi="宋体" w:eastAsia="宋体" w:cs="宋体"/>
          <w:color w:val="auto"/>
          <w:sz w:val="24"/>
        </w:rPr>
        <w:t>应承担所有与准备和参加投标有关的费用。</w:t>
      </w:r>
    </w:p>
    <w:p>
      <w:pPr>
        <w:pStyle w:val="5"/>
        <w:spacing w:before="0" w:after="0" w:line="380" w:lineRule="exact"/>
        <w:rPr>
          <w:rFonts w:hint="eastAsia" w:ascii="宋体" w:hAnsi="宋体" w:eastAsia="宋体" w:cs="宋体"/>
          <w:color w:val="auto"/>
          <w:u w:val="none"/>
        </w:rPr>
      </w:pPr>
      <w:bookmarkStart w:id="31" w:name="_Toc515647761"/>
      <w:bookmarkStart w:id="32" w:name="_Toc17740"/>
      <w:bookmarkStart w:id="33" w:name="_Toc6116"/>
      <w:bookmarkStart w:id="34" w:name="_Toc4463"/>
      <w:bookmarkStart w:id="35" w:name="_Toc31259"/>
      <w:bookmarkStart w:id="36" w:name="_Toc10258"/>
      <w:r>
        <w:rPr>
          <w:rFonts w:hint="eastAsia" w:ascii="宋体" w:hAnsi="宋体" w:eastAsia="宋体" w:cs="宋体"/>
          <w:color w:val="auto"/>
          <w:u w:val="none"/>
        </w:rPr>
        <w:t>4.适用法律</w:t>
      </w:r>
      <w:bookmarkEnd w:id="31"/>
      <w:bookmarkEnd w:id="32"/>
      <w:bookmarkEnd w:id="33"/>
      <w:bookmarkEnd w:id="34"/>
      <w:bookmarkEnd w:id="35"/>
      <w:bookmarkEnd w:id="36"/>
    </w:p>
    <w:p>
      <w:pPr>
        <w:spacing w:line="3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       本项目采购人、采购代理机构、</w:t>
      </w:r>
      <w:r>
        <w:rPr>
          <w:rFonts w:hint="eastAsia" w:ascii="宋体" w:hAnsi="宋体" w:eastAsia="宋体" w:cs="宋体"/>
          <w:color w:val="auto"/>
          <w:sz w:val="24"/>
          <w:lang w:eastAsia="zh-CN"/>
        </w:rPr>
        <w:t>供应商</w:t>
      </w:r>
      <w:r>
        <w:rPr>
          <w:rFonts w:hint="eastAsia" w:ascii="宋体" w:hAnsi="宋体" w:eastAsia="宋体" w:cs="宋体"/>
          <w:color w:val="auto"/>
          <w:sz w:val="24"/>
        </w:rPr>
        <w:t>、评标委员会的相关行为均受《中华人民共和国政府采购法》、《中华人民共和国政府采购法实施条例》及本项目本级和上级财政部门政府采购有关规定的约束，其权利受到上述法律法规的保护。</w:t>
      </w:r>
    </w:p>
    <w:p>
      <w:pPr>
        <w:spacing w:line="360" w:lineRule="exact"/>
        <w:rPr>
          <w:rFonts w:hint="eastAsia" w:ascii="宋体" w:hAnsi="宋体" w:eastAsia="宋体" w:cs="宋体"/>
          <w:color w:val="auto"/>
          <w:sz w:val="24"/>
        </w:rPr>
      </w:pPr>
    </w:p>
    <w:p>
      <w:pPr>
        <w:pStyle w:val="4"/>
        <w:spacing w:before="0" w:line="360" w:lineRule="auto"/>
        <w:jc w:val="center"/>
        <w:rPr>
          <w:rFonts w:hint="eastAsia" w:ascii="宋体" w:hAnsi="宋体" w:eastAsia="宋体" w:cs="宋体"/>
          <w:color w:val="auto"/>
        </w:rPr>
      </w:pPr>
      <w:bookmarkStart w:id="37" w:name="_Toc520356146"/>
      <w:bookmarkStart w:id="38" w:name="_Toc4365"/>
      <w:bookmarkStart w:id="39" w:name="_Toc515647762"/>
      <w:bookmarkStart w:id="40" w:name="_Toc216582806"/>
      <w:bookmarkStart w:id="41" w:name="_Toc21566"/>
      <w:bookmarkStart w:id="42" w:name="_Toc23719"/>
      <w:r>
        <w:rPr>
          <w:rFonts w:hint="eastAsia" w:ascii="宋体" w:hAnsi="宋体" w:eastAsia="宋体" w:cs="宋体"/>
          <w:color w:val="auto"/>
          <w:sz w:val="28"/>
        </w:rPr>
        <w:t>二   招标文件</w:t>
      </w:r>
      <w:bookmarkEnd w:id="37"/>
      <w:bookmarkEnd w:id="38"/>
      <w:bookmarkEnd w:id="39"/>
      <w:bookmarkEnd w:id="40"/>
      <w:bookmarkEnd w:id="41"/>
      <w:bookmarkEnd w:id="42"/>
    </w:p>
    <w:p>
      <w:pPr>
        <w:pStyle w:val="5"/>
        <w:spacing w:before="0" w:after="0" w:line="360" w:lineRule="exact"/>
        <w:rPr>
          <w:rFonts w:hint="eastAsia" w:ascii="宋体" w:hAnsi="宋体" w:eastAsia="宋体" w:cs="宋体"/>
          <w:color w:val="auto"/>
          <w:u w:val="none"/>
        </w:rPr>
      </w:pPr>
      <w:bookmarkStart w:id="43" w:name="_Toc4541"/>
      <w:bookmarkStart w:id="44" w:name="_Toc14084"/>
      <w:bookmarkStart w:id="45" w:name="_Toc520356147"/>
      <w:bookmarkStart w:id="46" w:name="_Toc6565"/>
      <w:bookmarkStart w:id="47" w:name="_Toc4354"/>
      <w:bookmarkStart w:id="48" w:name="_Toc515647763"/>
      <w:bookmarkStart w:id="49" w:name="_Toc25743"/>
      <w:r>
        <w:rPr>
          <w:rFonts w:hint="eastAsia" w:ascii="宋体" w:hAnsi="宋体" w:eastAsia="宋体" w:cs="宋体"/>
          <w:color w:val="auto"/>
          <w:u w:val="none"/>
        </w:rPr>
        <w:t>5.招标文件构成</w:t>
      </w:r>
      <w:bookmarkEnd w:id="43"/>
      <w:bookmarkEnd w:id="44"/>
      <w:bookmarkEnd w:id="45"/>
      <w:bookmarkEnd w:id="46"/>
      <w:bookmarkEnd w:id="47"/>
      <w:bookmarkEnd w:id="48"/>
      <w:bookmarkEnd w:id="49"/>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5.1</w:t>
      </w:r>
      <w:r>
        <w:rPr>
          <w:rFonts w:hint="eastAsia" w:ascii="宋体" w:hAnsi="宋体" w:eastAsia="宋体" w:cs="宋体"/>
          <w:color w:val="auto"/>
          <w:sz w:val="24"/>
        </w:rPr>
        <w:tab/>
      </w:r>
      <w:r>
        <w:rPr>
          <w:rFonts w:hint="eastAsia" w:ascii="宋体" w:hAnsi="宋体" w:eastAsia="宋体" w:cs="宋体"/>
          <w:color w:val="auto"/>
          <w:sz w:val="24"/>
        </w:rPr>
        <w:t>招标文件分为三册共7章，内容如下：</w:t>
      </w:r>
    </w:p>
    <w:p>
      <w:pPr>
        <w:spacing w:line="360" w:lineRule="exact"/>
        <w:ind w:left="1079" w:leftChars="428" w:hanging="180" w:hangingChars="75"/>
        <w:rPr>
          <w:rFonts w:hint="eastAsia" w:ascii="宋体" w:hAnsi="宋体" w:eastAsia="宋体" w:cs="宋体"/>
          <w:color w:val="auto"/>
          <w:sz w:val="24"/>
        </w:rPr>
      </w:pPr>
      <w:r>
        <w:rPr>
          <w:rFonts w:hint="eastAsia" w:ascii="宋体" w:hAnsi="宋体" w:eastAsia="宋体" w:cs="宋体"/>
          <w:color w:val="auto"/>
          <w:sz w:val="24"/>
        </w:rPr>
        <w:t>第一册</w:t>
      </w:r>
    </w:p>
    <w:p>
      <w:pPr>
        <w:numPr>
          <w:ilvl w:val="0"/>
          <w:numId w:val="3"/>
        </w:numPr>
        <w:tabs>
          <w:tab w:val="left" w:pos="0"/>
        </w:tabs>
        <w:spacing w:line="360" w:lineRule="exact"/>
        <w:ind w:hanging="829"/>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须知</w:t>
      </w:r>
    </w:p>
    <w:p>
      <w:pPr>
        <w:numPr>
          <w:ilvl w:val="0"/>
          <w:numId w:val="3"/>
        </w:numPr>
        <w:spacing w:line="360" w:lineRule="exact"/>
        <w:ind w:left="1081" w:leftChars="429" w:hanging="180"/>
        <w:rPr>
          <w:rFonts w:hint="eastAsia" w:ascii="宋体" w:hAnsi="宋体" w:eastAsia="宋体" w:cs="宋体"/>
          <w:color w:val="auto"/>
          <w:sz w:val="24"/>
        </w:rPr>
      </w:pPr>
      <w:r>
        <w:rPr>
          <w:rFonts w:hint="eastAsia" w:ascii="宋体" w:hAnsi="宋体" w:eastAsia="宋体" w:cs="宋体"/>
          <w:color w:val="auto"/>
          <w:sz w:val="24"/>
        </w:rPr>
        <w:t xml:space="preserve"> 投标文件格式</w:t>
      </w:r>
    </w:p>
    <w:p>
      <w:pPr>
        <w:spacing w:line="360" w:lineRule="exact"/>
        <w:ind w:left="1081" w:leftChars="429" w:hanging="180"/>
        <w:rPr>
          <w:rFonts w:hint="eastAsia" w:ascii="宋体" w:hAnsi="宋体" w:eastAsia="宋体" w:cs="宋体"/>
          <w:color w:val="auto"/>
          <w:sz w:val="24"/>
        </w:rPr>
      </w:pPr>
      <w:r>
        <w:rPr>
          <w:rFonts w:hint="eastAsia" w:ascii="宋体" w:hAnsi="宋体" w:eastAsia="宋体" w:cs="宋体"/>
          <w:color w:val="auto"/>
          <w:sz w:val="24"/>
        </w:rPr>
        <w:t>第二册</w:t>
      </w:r>
    </w:p>
    <w:p>
      <w:pPr>
        <w:numPr>
          <w:ilvl w:val="0"/>
          <w:numId w:val="3"/>
        </w:numPr>
        <w:spacing w:line="360" w:lineRule="exact"/>
        <w:ind w:left="1081" w:leftChars="429" w:hanging="180"/>
        <w:rPr>
          <w:rFonts w:hint="eastAsia" w:ascii="宋体" w:hAnsi="宋体" w:eastAsia="宋体" w:cs="宋体"/>
          <w:color w:val="auto"/>
          <w:sz w:val="24"/>
        </w:rPr>
      </w:pPr>
      <w:r>
        <w:rPr>
          <w:rFonts w:hint="eastAsia" w:ascii="宋体" w:hAnsi="宋体" w:eastAsia="宋体" w:cs="宋体"/>
          <w:color w:val="auto"/>
          <w:sz w:val="24"/>
        </w:rPr>
        <w:t xml:space="preserve"> 投标邀请</w:t>
      </w:r>
    </w:p>
    <w:p>
      <w:pPr>
        <w:numPr>
          <w:ilvl w:val="0"/>
          <w:numId w:val="3"/>
        </w:numPr>
        <w:spacing w:line="360" w:lineRule="exact"/>
        <w:ind w:left="1081" w:leftChars="429" w:hanging="18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须知资料表</w:t>
      </w:r>
    </w:p>
    <w:p>
      <w:pPr>
        <w:numPr>
          <w:ilvl w:val="0"/>
          <w:numId w:val="3"/>
        </w:numPr>
        <w:spacing w:line="360" w:lineRule="exact"/>
        <w:ind w:left="1081" w:leftChars="429" w:hanging="18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服务</w:t>
      </w:r>
      <w:r>
        <w:rPr>
          <w:rFonts w:hint="eastAsia" w:ascii="宋体" w:hAnsi="宋体" w:eastAsia="宋体" w:cs="宋体"/>
          <w:color w:val="auto"/>
          <w:sz w:val="24"/>
        </w:rPr>
        <w:t>需求一览表及技术规格</w:t>
      </w:r>
    </w:p>
    <w:p>
      <w:pPr>
        <w:numPr>
          <w:ilvl w:val="0"/>
          <w:numId w:val="3"/>
        </w:numPr>
        <w:spacing w:line="360" w:lineRule="exact"/>
        <w:ind w:left="1081" w:leftChars="429" w:hanging="180"/>
        <w:rPr>
          <w:rFonts w:hint="eastAsia" w:ascii="宋体" w:hAnsi="宋体" w:eastAsia="宋体" w:cs="宋体"/>
          <w:color w:val="auto"/>
          <w:sz w:val="24"/>
        </w:rPr>
      </w:pPr>
      <w:r>
        <w:rPr>
          <w:rFonts w:hint="eastAsia" w:ascii="宋体" w:hAnsi="宋体" w:eastAsia="宋体" w:cs="宋体"/>
          <w:color w:val="auto"/>
          <w:sz w:val="24"/>
        </w:rPr>
        <w:t xml:space="preserve"> 评标方法和标准</w:t>
      </w:r>
    </w:p>
    <w:p>
      <w:pPr>
        <w:spacing w:line="360" w:lineRule="exact"/>
        <w:ind w:left="901"/>
        <w:rPr>
          <w:rFonts w:hint="eastAsia" w:ascii="宋体" w:hAnsi="宋体" w:eastAsia="宋体" w:cs="宋体"/>
          <w:color w:val="auto"/>
          <w:sz w:val="24"/>
        </w:rPr>
      </w:pPr>
      <w:r>
        <w:rPr>
          <w:rFonts w:hint="eastAsia" w:ascii="宋体" w:hAnsi="宋体" w:eastAsia="宋体" w:cs="宋体"/>
          <w:color w:val="auto"/>
          <w:sz w:val="24"/>
        </w:rPr>
        <w:t>第三册</w:t>
      </w:r>
    </w:p>
    <w:p>
      <w:pPr>
        <w:numPr>
          <w:ilvl w:val="0"/>
          <w:numId w:val="0"/>
        </w:numPr>
        <w:spacing w:line="360" w:lineRule="exact"/>
        <w:ind w:leftChars="442"/>
        <w:rPr>
          <w:rFonts w:hint="eastAsia" w:ascii="宋体" w:hAnsi="宋体" w:eastAsia="宋体" w:cs="宋体"/>
          <w:color w:val="auto"/>
          <w:sz w:val="24"/>
        </w:rPr>
      </w:pPr>
      <w:r>
        <w:rPr>
          <w:rFonts w:hint="eastAsia" w:ascii="宋体" w:hAnsi="宋体" w:eastAsia="宋体" w:cs="宋体"/>
          <w:color w:val="auto"/>
          <w:sz w:val="24"/>
          <w:lang w:eastAsia="zh-CN"/>
        </w:rPr>
        <w:t>第七章</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政府采购合同格式</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5.2</w:t>
      </w:r>
      <w:r>
        <w:rPr>
          <w:rFonts w:hint="eastAsia" w:ascii="宋体" w:hAnsi="宋体" w:eastAsia="宋体" w:cs="宋体"/>
          <w:color w:val="auto"/>
          <w:sz w:val="24"/>
        </w:rPr>
        <w:tab/>
      </w:r>
      <w:r>
        <w:rPr>
          <w:rFonts w:hint="eastAsia" w:ascii="宋体" w:hAnsi="宋体" w:eastAsia="宋体" w:cs="宋体"/>
          <w:color w:val="auto"/>
          <w:sz w:val="24"/>
        </w:rPr>
        <w:t>如本文件的前后内容不一致，以最后描述为准。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5.3    </w:t>
      </w:r>
      <w:r>
        <w:rPr>
          <w:rFonts w:hint="eastAsia" w:ascii="宋体" w:hAnsi="宋体" w:eastAsia="宋体" w:cs="宋体"/>
          <w:color w:val="auto"/>
          <w:sz w:val="24"/>
          <w:lang w:eastAsia="zh-CN"/>
        </w:rPr>
        <w:t>供应商</w:t>
      </w:r>
      <w:r>
        <w:rPr>
          <w:rFonts w:hint="eastAsia" w:ascii="宋体" w:hAnsi="宋体" w:eastAsia="宋体" w:cs="宋体"/>
          <w:color w:val="auto"/>
          <w:sz w:val="24"/>
        </w:rPr>
        <w:t>应认真阅读招标文件所有的事项、格式、条款和技术规范等。如</w:t>
      </w:r>
      <w:r>
        <w:rPr>
          <w:rFonts w:hint="eastAsia" w:ascii="宋体" w:hAnsi="宋体" w:eastAsia="宋体" w:cs="宋体"/>
          <w:color w:val="auto"/>
          <w:sz w:val="24"/>
          <w:lang w:eastAsia="zh-CN"/>
        </w:rPr>
        <w:t>供应商</w:t>
      </w:r>
      <w:r>
        <w:rPr>
          <w:rFonts w:hint="eastAsia" w:ascii="宋体" w:hAnsi="宋体" w:eastAsia="宋体" w:cs="宋体"/>
          <w:color w:val="auto"/>
          <w:sz w:val="24"/>
        </w:rPr>
        <w:t>没有按照招标文件要求提交全部资料，或者投标文件没有对招标文件在各方面都做出实质性响应，可能导致其投标将被认定为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pStyle w:val="5"/>
        <w:spacing w:before="0" w:after="0" w:line="360" w:lineRule="exact"/>
        <w:rPr>
          <w:rFonts w:hint="eastAsia" w:ascii="宋体" w:hAnsi="宋体" w:eastAsia="宋体" w:cs="宋体"/>
          <w:color w:val="auto"/>
          <w:u w:val="none"/>
        </w:rPr>
      </w:pPr>
      <w:bookmarkStart w:id="50" w:name="_Toc520356148"/>
      <w:bookmarkStart w:id="51" w:name="_Toc515904805"/>
      <w:bookmarkStart w:id="52" w:name="_Toc2134"/>
      <w:bookmarkStart w:id="53" w:name="_Toc26044"/>
      <w:bookmarkStart w:id="54" w:name="_Toc13907"/>
      <w:bookmarkStart w:id="55" w:name="_Toc9232"/>
      <w:bookmarkStart w:id="56" w:name="_Toc16358"/>
      <w:r>
        <w:rPr>
          <w:rFonts w:hint="eastAsia" w:ascii="宋体" w:hAnsi="宋体" w:eastAsia="宋体" w:cs="宋体"/>
          <w:color w:val="auto"/>
          <w:u w:val="none"/>
        </w:rPr>
        <w:t>6.招标文件的澄清</w:t>
      </w:r>
      <w:bookmarkEnd w:id="50"/>
      <w:bookmarkEnd w:id="51"/>
      <w:r>
        <w:rPr>
          <w:rFonts w:hint="eastAsia" w:ascii="宋体" w:hAnsi="宋体" w:eastAsia="宋体" w:cs="宋体"/>
          <w:color w:val="auto"/>
          <w:u w:val="none"/>
        </w:rPr>
        <w:t>与修改</w:t>
      </w:r>
      <w:bookmarkEnd w:id="52"/>
      <w:bookmarkEnd w:id="53"/>
      <w:bookmarkEnd w:id="54"/>
      <w:bookmarkEnd w:id="55"/>
      <w:bookmarkEnd w:id="56"/>
    </w:p>
    <w:p>
      <w:pPr>
        <w:pStyle w:val="9"/>
        <w:spacing w:line="360" w:lineRule="exact"/>
        <w:ind w:left="840" w:hanging="840" w:hangingChars="350"/>
        <w:rPr>
          <w:rFonts w:hint="eastAsia" w:ascii="宋体" w:hAnsi="宋体" w:eastAsia="宋体" w:cs="宋体"/>
          <w:color w:val="auto"/>
          <w:szCs w:val="24"/>
        </w:rPr>
      </w:pPr>
      <w:r>
        <w:rPr>
          <w:rFonts w:hint="eastAsia" w:ascii="宋体" w:hAnsi="宋体" w:eastAsia="宋体" w:cs="宋体"/>
          <w:color w:val="auto"/>
          <w:szCs w:val="24"/>
        </w:rPr>
        <w:t>6.1    为了保证对招标文件的澄清和修改满足法律的时限要求，任何要求对招标文件进行澄清的</w:t>
      </w:r>
      <w:r>
        <w:rPr>
          <w:rFonts w:hint="eastAsia" w:ascii="宋体" w:hAnsi="宋体" w:eastAsia="宋体" w:cs="宋体"/>
          <w:color w:val="auto"/>
          <w:szCs w:val="24"/>
          <w:lang w:eastAsia="zh-CN"/>
        </w:rPr>
        <w:t>供应商</w:t>
      </w:r>
      <w:r>
        <w:rPr>
          <w:rFonts w:hint="eastAsia" w:ascii="宋体" w:hAnsi="宋体" w:eastAsia="宋体" w:cs="宋体"/>
          <w:color w:val="auto"/>
          <w:szCs w:val="24"/>
        </w:rPr>
        <w:t>，均应在投标截止期十五日前，以书面形式将澄清要求通知采购人或采购代理机构。</w:t>
      </w:r>
    </w:p>
    <w:p>
      <w:pPr>
        <w:pStyle w:val="9"/>
        <w:spacing w:line="360" w:lineRule="exact"/>
        <w:ind w:left="840" w:hanging="840" w:hangingChars="350"/>
        <w:rPr>
          <w:rFonts w:hint="eastAsia" w:ascii="宋体" w:hAnsi="宋体" w:eastAsia="宋体" w:cs="宋体"/>
          <w:color w:val="auto"/>
          <w:szCs w:val="24"/>
        </w:rPr>
      </w:pPr>
      <w:bookmarkStart w:id="57" w:name="_Ref467378678"/>
      <w:bookmarkStart w:id="58" w:name="_Toc515904806"/>
      <w:bookmarkStart w:id="59" w:name="_Toc520356149"/>
      <w:r>
        <w:rPr>
          <w:rFonts w:hint="eastAsia" w:ascii="宋体" w:hAnsi="宋体" w:eastAsia="宋体" w:cs="宋体"/>
          <w:color w:val="auto"/>
          <w:szCs w:val="24"/>
        </w:rPr>
        <w:t>6.2</w:t>
      </w:r>
      <w:r>
        <w:rPr>
          <w:rFonts w:hint="eastAsia" w:ascii="宋体" w:hAnsi="宋体" w:eastAsia="宋体" w:cs="宋体"/>
          <w:color w:val="auto"/>
          <w:szCs w:val="24"/>
        </w:rPr>
        <w:tab/>
      </w:r>
      <w:r>
        <w:rPr>
          <w:rFonts w:hint="eastAsia" w:ascii="宋体" w:hAnsi="宋体" w:eastAsia="宋体" w:cs="宋体"/>
          <w:color w:val="auto"/>
          <w:szCs w:val="24"/>
        </w:rPr>
        <w:t>采购人可主动地或在解答</w:t>
      </w:r>
      <w:r>
        <w:rPr>
          <w:rFonts w:hint="eastAsia" w:ascii="宋体" w:hAnsi="宋体" w:eastAsia="宋体" w:cs="宋体"/>
          <w:color w:val="auto"/>
          <w:szCs w:val="24"/>
          <w:lang w:eastAsia="zh-CN"/>
        </w:rPr>
        <w:t>供应商</w:t>
      </w:r>
      <w:r>
        <w:rPr>
          <w:rFonts w:hint="eastAsia" w:ascii="宋体" w:hAnsi="宋体" w:eastAsia="宋体" w:cs="宋体"/>
          <w:color w:val="auto"/>
          <w:szCs w:val="24"/>
        </w:rPr>
        <w:t>提出的澄清问题时对招标文件进行澄清或修改。采购代理机构将以发布澄清（更正）公告的方式，澄清或修改招标文件，澄清或修改内容作为招标文件的组成部分。</w:t>
      </w:r>
    </w:p>
    <w:p>
      <w:pPr>
        <w:pStyle w:val="9"/>
        <w:spacing w:line="360" w:lineRule="exact"/>
        <w:ind w:left="840" w:hanging="840" w:hangingChars="350"/>
        <w:rPr>
          <w:rFonts w:hint="eastAsia" w:ascii="宋体" w:hAnsi="宋体" w:eastAsia="宋体" w:cs="宋体"/>
          <w:color w:val="auto"/>
          <w:szCs w:val="24"/>
        </w:rPr>
      </w:pPr>
      <w:r>
        <w:rPr>
          <w:rFonts w:hint="eastAsia" w:ascii="宋体" w:hAnsi="宋体" w:eastAsia="宋体" w:cs="宋体"/>
          <w:color w:val="auto"/>
          <w:szCs w:val="24"/>
        </w:rPr>
        <w:t>6.3</w:t>
      </w:r>
      <w:r>
        <w:rPr>
          <w:rFonts w:hint="eastAsia" w:ascii="宋体" w:hAnsi="宋体" w:eastAsia="宋体" w:cs="宋体"/>
          <w:color w:val="auto"/>
          <w:szCs w:val="24"/>
        </w:rPr>
        <w:tab/>
      </w:r>
      <w:r>
        <w:rPr>
          <w:rFonts w:hint="eastAsia" w:ascii="宋体" w:hAnsi="宋体" w:eastAsia="宋体" w:cs="宋体"/>
          <w:color w:val="auto"/>
          <w:szCs w:val="24"/>
        </w:rPr>
        <w:t>澄清或者修改的内容可能影响投标文件编制的，采购代理机构将以书面形式通知所有购买招标文件的潜在</w:t>
      </w:r>
      <w:r>
        <w:rPr>
          <w:rFonts w:hint="eastAsia" w:ascii="宋体" w:hAnsi="宋体" w:eastAsia="宋体" w:cs="宋体"/>
          <w:color w:val="auto"/>
          <w:szCs w:val="24"/>
          <w:lang w:eastAsia="zh-CN"/>
        </w:rPr>
        <w:t>供应商</w:t>
      </w:r>
      <w:r>
        <w:rPr>
          <w:rFonts w:hint="eastAsia" w:ascii="宋体" w:hAnsi="宋体" w:eastAsia="宋体" w:cs="宋体"/>
          <w:color w:val="auto"/>
          <w:szCs w:val="24"/>
        </w:rPr>
        <w:t>，并对其具有约束力。</w:t>
      </w:r>
      <w:r>
        <w:rPr>
          <w:rFonts w:hint="eastAsia" w:ascii="宋体" w:hAnsi="宋体" w:eastAsia="宋体" w:cs="宋体"/>
          <w:color w:val="auto"/>
          <w:szCs w:val="24"/>
          <w:lang w:eastAsia="zh-CN"/>
        </w:rPr>
        <w:t>供应商</w:t>
      </w:r>
      <w:r>
        <w:rPr>
          <w:rFonts w:hint="eastAsia" w:ascii="宋体" w:hAnsi="宋体" w:eastAsia="宋体" w:cs="宋体"/>
          <w:color w:val="auto"/>
          <w:szCs w:val="24"/>
        </w:rPr>
        <w:t>在收到上述通知后，应及时向采购代理机构回函确认。</w:t>
      </w:r>
    </w:p>
    <w:p>
      <w:pPr>
        <w:pStyle w:val="5"/>
        <w:tabs>
          <w:tab w:val="left" w:pos="900"/>
        </w:tabs>
        <w:spacing w:before="0" w:after="0" w:line="360" w:lineRule="exact"/>
        <w:rPr>
          <w:rFonts w:hint="eastAsia" w:ascii="宋体" w:hAnsi="宋体" w:eastAsia="宋体" w:cs="宋体"/>
          <w:color w:val="auto"/>
          <w:u w:val="none"/>
        </w:rPr>
      </w:pPr>
      <w:bookmarkStart w:id="60" w:name="_Toc11266"/>
      <w:bookmarkStart w:id="61" w:name="_Toc14569"/>
      <w:bookmarkStart w:id="62" w:name="_Toc11557"/>
      <w:bookmarkStart w:id="63" w:name="_Toc7456"/>
      <w:bookmarkStart w:id="64" w:name="_Toc25635"/>
      <w:r>
        <w:rPr>
          <w:rFonts w:hint="eastAsia" w:ascii="宋体" w:hAnsi="宋体" w:eastAsia="宋体" w:cs="宋体"/>
          <w:color w:val="auto"/>
          <w:u w:val="none"/>
        </w:rPr>
        <w:t>7</w:t>
      </w:r>
      <w:bookmarkEnd w:id="57"/>
      <w:bookmarkEnd w:id="58"/>
      <w:bookmarkEnd w:id="59"/>
      <w:r>
        <w:rPr>
          <w:rFonts w:hint="eastAsia" w:ascii="宋体" w:hAnsi="宋体" w:eastAsia="宋体" w:cs="宋体"/>
          <w:color w:val="auto"/>
          <w:u w:val="none"/>
        </w:rPr>
        <w:t>.投标截止时间的顺延</w:t>
      </w:r>
      <w:bookmarkEnd w:id="60"/>
      <w:bookmarkEnd w:id="61"/>
      <w:bookmarkEnd w:id="62"/>
      <w:bookmarkEnd w:id="63"/>
      <w:bookmarkEnd w:id="64"/>
    </w:p>
    <w:p>
      <w:pPr>
        <w:spacing w:line="360" w:lineRule="exact"/>
        <w:ind w:left="900" w:hanging="900" w:hangingChars="375"/>
        <w:rPr>
          <w:rFonts w:hint="eastAsia" w:ascii="宋体" w:hAnsi="宋体" w:eastAsia="宋体" w:cs="宋体"/>
          <w:color w:val="auto"/>
          <w:sz w:val="28"/>
        </w:rPr>
      </w:pPr>
      <w:r>
        <w:rPr>
          <w:rFonts w:hint="eastAsia" w:ascii="宋体" w:hAnsi="宋体" w:eastAsia="宋体" w:cs="宋体"/>
          <w:color w:val="auto"/>
          <w:sz w:val="24"/>
        </w:rPr>
        <w:tab/>
      </w:r>
      <w:r>
        <w:rPr>
          <w:rFonts w:hint="eastAsia" w:ascii="宋体" w:hAnsi="宋体" w:eastAsia="宋体" w:cs="宋体"/>
          <w:color w:val="auto"/>
          <w:sz w:val="24"/>
        </w:rPr>
        <w:t>为使</w:t>
      </w:r>
      <w:r>
        <w:rPr>
          <w:rFonts w:hint="eastAsia" w:ascii="宋体" w:hAnsi="宋体" w:eastAsia="宋体" w:cs="宋体"/>
          <w:color w:val="auto"/>
          <w:sz w:val="24"/>
          <w:lang w:eastAsia="zh-CN"/>
        </w:rPr>
        <w:t>供应商</w:t>
      </w:r>
      <w:r>
        <w:rPr>
          <w:rFonts w:hint="eastAsia" w:ascii="宋体" w:hAnsi="宋体" w:eastAsia="宋体" w:cs="宋体"/>
          <w:color w:val="auto"/>
          <w:sz w:val="24"/>
        </w:rPr>
        <w:t>准备投标时有足够的时间对招标文件的澄清或者修改部分进行研究，采购人将依法决定是否顺延投标截止时间。</w:t>
      </w:r>
      <w:bookmarkStart w:id="65" w:name="_Toc516367020"/>
      <w:bookmarkStart w:id="66" w:name="_Toc30808"/>
      <w:bookmarkStart w:id="67" w:name="_Toc216582807"/>
      <w:bookmarkStart w:id="68" w:name="_Toc7636"/>
      <w:bookmarkStart w:id="69" w:name="_Toc520356150"/>
      <w:bookmarkStart w:id="70" w:name="_Toc515647766"/>
    </w:p>
    <w:p>
      <w:pPr>
        <w:tabs>
          <w:tab w:val="left" w:pos="900"/>
        </w:tabs>
        <w:spacing w:line="360" w:lineRule="exact"/>
        <w:ind w:left="1080" w:leftChars="257" w:hanging="540"/>
        <w:rPr>
          <w:rFonts w:hint="eastAsia" w:ascii="宋体" w:hAnsi="宋体" w:eastAsia="宋体" w:cs="宋体"/>
          <w:color w:val="auto"/>
          <w:sz w:val="28"/>
        </w:rPr>
      </w:pPr>
    </w:p>
    <w:p>
      <w:pPr>
        <w:pStyle w:val="4"/>
        <w:tabs>
          <w:tab w:val="left" w:pos="900"/>
        </w:tabs>
        <w:spacing w:before="0" w:line="360" w:lineRule="exact"/>
        <w:ind w:left="1080" w:leftChars="257" w:hanging="540"/>
        <w:rPr>
          <w:rFonts w:hint="eastAsia" w:ascii="宋体" w:hAnsi="宋体" w:eastAsia="宋体" w:cs="宋体"/>
          <w:color w:val="auto"/>
          <w:sz w:val="28"/>
        </w:rPr>
      </w:pPr>
      <w:bookmarkStart w:id="71" w:name="_Toc7763"/>
      <w:r>
        <w:rPr>
          <w:rFonts w:hint="eastAsia" w:ascii="宋体" w:hAnsi="宋体" w:eastAsia="宋体" w:cs="宋体"/>
          <w:color w:val="auto"/>
          <w:sz w:val="28"/>
        </w:rPr>
        <w:t>三   投标文件</w:t>
      </w:r>
      <w:bookmarkEnd w:id="65"/>
      <w:r>
        <w:rPr>
          <w:rFonts w:hint="eastAsia" w:ascii="宋体" w:hAnsi="宋体" w:eastAsia="宋体" w:cs="宋体"/>
          <w:color w:val="auto"/>
          <w:sz w:val="28"/>
        </w:rPr>
        <w:t>的编制</w:t>
      </w:r>
      <w:bookmarkEnd w:id="66"/>
      <w:bookmarkEnd w:id="67"/>
      <w:bookmarkEnd w:id="68"/>
      <w:bookmarkEnd w:id="69"/>
      <w:bookmarkEnd w:id="70"/>
      <w:bookmarkEnd w:id="71"/>
    </w:p>
    <w:p>
      <w:pPr>
        <w:pStyle w:val="9"/>
        <w:spacing w:line="360" w:lineRule="exact"/>
        <w:rPr>
          <w:rFonts w:hint="eastAsia" w:ascii="宋体" w:hAnsi="宋体" w:eastAsia="宋体" w:cs="宋体"/>
          <w:color w:val="auto"/>
        </w:rPr>
      </w:pPr>
    </w:p>
    <w:p>
      <w:pPr>
        <w:pStyle w:val="5"/>
        <w:tabs>
          <w:tab w:val="left" w:pos="900"/>
        </w:tabs>
        <w:spacing w:before="0" w:after="0" w:line="360" w:lineRule="exact"/>
        <w:rPr>
          <w:rFonts w:hint="eastAsia" w:ascii="宋体" w:hAnsi="宋体" w:eastAsia="宋体" w:cs="宋体"/>
          <w:color w:val="auto"/>
          <w:u w:val="none"/>
        </w:rPr>
      </w:pPr>
      <w:bookmarkStart w:id="72" w:name="_Toc515647767"/>
      <w:bookmarkStart w:id="73" w:name="_Toc893"/>
      <w:bookmarkStart w:id="74" w:name="_Toc7786"/>
      <w:bookmarkStart w:id="75" w:name="_Toc3553"/>
      <w:bookmarkStart w:id="76" w:name="_Toc520356151"/>
      <w:bookmarkStart w:id="77" w:name="_Toc21815"/>
      <w:bookmarkStart w:id="78" w:name="_Toc24289"/>
      <w:bookmarkStart w:id="79" w:name="_Toc516367021"/>
      <w:r>
        <w:rPr>
          <w:rFonts w:hint="eastAsia" w:ascii="宋体" w:hAnsi="宋体" w:eastAsia="宋体" w:cs="宋体"/>
          <w:color w:val="auto"/>
          <w:u w:val="none"/>
        </w:rPr>
        <w:t>8.</w:t>
      </w:r>
      <w:r>
        <w:rPr>
          <w:rFonts w:hint="eastAsia" w:ascii="宋体" w:hAnsi="宋体" w:eastAsia="宋体" w:cs="宋体"/>
          <w:color w:val="auto"/>
          <w:u w:val="none"/>
        </w:rPr>
        <w:tab/>
      </w:r>
      <w:r>
        <w:rPr>
          <w:rFonts w:hint="eastAsia" w:ascii="宋体" w:hAnsi="宋体" w:eastAsia="宋体" w:cs="宋体"/>
          <w:color w:val="auto"/>
          <w:u w:val="none"/>
        </w:rPr>
        <w:t>投标范围及投标文件中标准和计量单位的使用</w:t>
      </w:r>
      <w:bookmarkEnd w:id="72"/>
      <w:bookmarkEnd w:id="73"/>
      <w:bookmarkEnd w:id="74"/>
      <w:bookmarkEnd w:id="75"/>
      <w:bookmarkEnd w:id="76"/>
      <w:bookmarkEnd w:id="77"/>
      <w:bookmarkEnd w:id="78"/>
      <w:bookmarkEnd w:id="79"/>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8.1</w:t>
      </w:r>
      <w:r>
        <w:rPr>
          <w:rFonts w:hint="eastAsia" w:ascii="宋体" w:hAnsi="宋体" w:eastAsia="宋体" w:cs="宋体"/>
          <w:color w:val="auto"/>
          <w:sz w:val="24"/>
        </w:rPr>
        <w:tab/>
      </w:r>
      <w:r>
        <w:rPr>
          <w:rFonts w:hint="eastAsia" w:ascii="宋体" w:hAnsi="宋体" w:eastAsia="宋体" w:cs="宋体"/>
          <w:color w:val="auto"/>
          <w:sz w:val="24"/>
        </w:rPr>
        <w:t>项目有分包的，</w:t>
      </w:r>
      <w:r>
        <w:rPr>
          <w:rFonts w:hint="eastAsia" w:ascii="宋体" w:hAnsi="宋体" w:eastAsia="宋体" w:cs="宋体"/>
          <w:color w:val="auto"/>
          <w:sz w:val="24"/>
          <w:lang w:eastAsia="zh-CN"/>
        </w:rPr>
        <w:t>供应商</w:t>
      </w:r>
      <w:r>
        <w:rPr>
          <w:rFonts w:hint="eastAsia" w:ascii="宋体" w:hAnsi="宋体" w:eastAsia="宋体" w:cs="宋体"/>
          <w:color w:val="auto"/>
          <w:sz w:val="24"/>
        </w:rPr>
        <w:t>可对招标文件其中某一个或几个分包</w:t>
      </w:r>
      <w:r>
        <w:rPr>
          <w:rFonts w:hint="eastAsia" w:ascii="宋体" w:hAnsi="宋体" w:eastAsia="宋体" w:cs="宋体"/>
          <w:color w:val="auto"/>
          <w:sz w:val="24"/>
          <w:lang w:eastAsia="zh-CN"/>
        </w:rPr>
        <w:t>服务</w:t>
      </w:r>
      <w:r>
        <w:rPr>
          <w:rFonts w:hint="eastAsia" w:ascii="宋体" w:hAnsi="宋体" w:eastAsia="宋体" w:cs="宋体"/>
          <w:color w:val="auto"/>
          <w:sz w:val="24"/>
        </w:rPr>
        <w:t>进行投标，除非在</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中另有规定。</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8.2     </w:t>
      </w:r>
      <w:r>
        <w:rPr>
          <w:rFonts w:hint="eastAsia" w:ascii="宋体" w:hAnsi="宋体" w:eastAsia="宋体" w:cs="宋体"/>
          <w:color w:val="auto"/>
          <w:sz w:val="24"/>
          <w:lang w:eastAsia="zh-CN"/>
        </w:rPr>
        <w:t>供应商</w:t>
      </w:r>
      <w:r>
        <w:rPr>
          <w:rFonts w:hint="eastAsia" w:ascii="宋体" w:hAnsi="宋体" w:eastAsia="宋体" w:cs="宋体"/>
          <w:color w:val="auto"/>
          <w:sz w:val="24"/>
        </w:rPr>
        <w:t>应当对所投分包招标文件中“</w:t>
      </w:r>
      <w:r>
        <w:rPr>
          <w:rFonts w:hint="eastAsia" w:ascii="宋体" w:hAnsi="宋体" w:eastAsia="宋体" w:cs="宋体"/>
          <w:color w:val="auto"/>
          <w:sz w:val="24"/>
          <w:highlight w:val="none"/>
        </w:rPr>
        <w:t>服务</w:t>
      </w:r>
      <w:r>
        <w:rPr>
          <w:rFonts w:hint="eastAsia" w:ascii="宋体" w:hAnsi="宋体" w:eastAsia="宋体" w:cs="宋体"/>
          <w:color w:val="auto"/>
          <w:sz w:val="24"/>
          <w:highlight w:val="none"/>
          <w:lang w:eastAsia="zh-CN"/>
        </w:rPr>
        <w:t>内容</w:t>
      </w:r>
      <w:r>
        <w:rPr>
          <w:rFonts w:hint="eastAsia" w:ascii="宋体" w:hAnsi="宋体" w:eastAsia="宋体" w:cs="宋体"/>
          <w:color w:val="auto"/>
          <w:sz w:val="24"/>
        </w:rPr>
        <w:t>”所列的所有内容进行投标，如仅响应某一包中的部分内容，其该包投标将被认定为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8.3     无论招标文件第5章</w:t>
      </w:r>
      <w:r>
        <w:rPr>
          <w:rFonts w:hint="eastAsia" w:ascii="宋体" w:hAnsi="宋体" w:eastAsia="宋体" w:cs="宋体"/>
          <w:color w:val="auto"/>
          <w:sz w:val="24"/>
          <w:lang w:val="en-US" w:eastAsia="zh-CN"/>
        </w:rPr>
        <w:t>服务</w:t>
      </w:r>
      <w:r>
        <w:rPr>
          <w:rFonts w:hint="eastAsia" w:ascii="宋体" w:hAnsi="宋体" w:eastAsia="宋体" w:cs="宋体"/>
          <w:color w:val="auto"/>
          <w:sz w:val="24"/>
        </w:rPr>
        <w:t>需求一览表及技术规格中是否要求，</w:t>
      </w:r>
      <w:r>
        <w:rPr>
          <w:rFonts w:hint="eastAsia" w:ascii="宋体" w:hAnsi="宋体" w:eastAsia="宋体" w:cs="宋体"/>
          <w:color w:val="auto"/>
          <w:sz w:val="24"/>
          <w:lang w:eastAsia="zh-CN"/>
        </w:rPr>
        <w:t>供应商</w:t>
      </w:r>
      <w:r>
        <w:rPr>
          <w:rFonts w:hint="eastAsia" w:ascii="宋体" w:hAnsi="宋体" w:eastAsia="宋体" w:cs="宋体"/>
          <w:color w:val="auto"/>
          <w:sz w:val="24"/>
        </w:rPr>
        <w:t>所投</w:t>
      </w:r>
      <w:r>
        <w:rPr>
          <w:rFonts w:hint="eastAsia" w:ascii="宋体" w:hAnsi="宋体" w:eastAsia="宋体" w:cs="宋体"/>
          <w:color w:val="auto"/>
          <w:sz w:val="24"/>
          <w:lang w:eastAsia="zh-CN"/>
        </w:rPr>
        <w:t>服务</w:t>
      </w:r>
      <w:r>
        <w:rPr>
          <w:rFonts w:hint="eastAsia" w:ascii="宋体" w:hAnsi="宋体" w:eastAsia="宋体" w:cs="宋体"/>
          <w:color w:val="auto"/>
          <w:sz w:val="24"/>
        </w:rPr>
        <w:t>均应符合国家强制性标准。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8.4     除招标文件中有特殊要求外，投标文件中所使用的计量单位，应采用中华人民共和国法定计量单位。</w:t>
      </w:r>
    </w:p>
    <w:p>
      <w:pPr>
        <w:pStyle w:val="5"/>
        <w:tabs>
          <w:tab w:val="left" w:pos="900"/>
        </w:tabs>
        <w:spacing w:before="0" w:after="0" w:line="360" w:lineRule="exact"/>
        <w:rPr>
          <w:rFonts w:hint="eastAsia" w:ascii="宋体" w:hAnsi="宋体" w:eastAsia="宋体" w:cs="宋体"/>
          <w:color w:val="auto"/>
          <w:u w:val="none"/>
        </w:rPr>
      </w:pPr>
      <w:bookmarkStart w:id="80" w:name="_Ref467306195"/>
      <w:bookmarkStart w:id="81" w:name="_Ref467306676"/>
      <w:bookmarkStart w:id="82" w:name="_Toc516367022"/>
      <w:bookmarkStart w:id="83" w:name="_Toc515647768"/>
      <w:bookmarkStart w:id="84" w:name="_Toc19009"/>
      <w:bookmarkStart w:id="85" w:name="_Toc12722"/>
      <w:bookmarkStart w:id="86" w:name="_Toc3908"/>
      <w:bookmarkStart w:id="87" w:name="_Toc520356152"/>
      <w:bookmarkStart w:id="88" w:name="_Toc28307"/>
      <w:bookmarkStart w:id="89" w:name="_Toc10364"/>
      <w:r>
        <w:rPr>
          <w:rFonts w:hint="eastAsia" w:ascii="宋体" w:hAnsi="宋体" w:eastAsia="宋体" w:cs="宋体"/>
          <w:color w:val="auto"/>
          <w:u w:val="none"/>
        </w:rPr>
        <w:t>9.投标文件</w:t>
      </w:r>
      <w:bookmarkEnd w:id="80"/>
      <w:bookmarkEnd w:id="81"/>
      <w:bookmarkEnd w:id="82"/>
      <w:r>
        <w:rPr>
          <w:rFonts w:hint="eastAsia" w:ascii="宋体" w:hAnsi="宋体" w:eastAsia="宋体" w:cs="宋体"/>
          <w:color w:val="auto"/>
          <w:u w:val="none"/>
        </w:rPr>
        <w:t>构成</w:t>
      </w:r>
      <w:bookmarkEnd w:id="83"/>
      <w:bookmarkEnd w:id="84"/>
      <w:bookmarkEnd w:id="85"/>
      <w:bookmarkEnd w:id="86"/>
      <w:bookmarkEnd w:id="87"/>
      <w:bookmarkEnd w:id="88"/>
      <w:bookmarkEnd w:id="89"/>
    </w:p>
    <w:p>
      <w:pPr>
        <w:tabs>
          <w:tab w:val="left" w:pos="900"/>
          <w:tab w:val="left" w:pos="5580"/>
        </w:tabs>
        <w:spacing w:line="360" w:lineRule="exact"/>
        <w:ind w:left="960" w:hanging="960" w:hangingChars="400"/>
        <w:jc w:val="left"/>
        <w:rPr>
          <w:rFonts w:hint="eastAsia" w:ascii="宋体" w:hAnsi="宋体" w:eastAsia="宋体" w:cs="宋体"/>
          <w:color w:val="auto"/>
          <w:sz w:val="24"/>
          <w:u w:val="single"/>
        </w:rPr>
      </w:pPr>
      <w:bookmarkStart w:id="90" w:name="_Ref467052588"/>
      <w:r>
        <w:rPr>
          <w:rFonts w:hint="eastAsia" w:ascii="宋体" w:hAnsi="宋体" w:eastAsia="宋体" w:cs="宋体"/>
          <w:color w:val="auto"/>
          <w:sz w:val="24"/>
        </w:rPr>
        <w:t xml:space="preserve">9.1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应完整地按招标文件提供的投标文件格式及要求遍写投标文件，投标文件应包括“开标一览表及资格证明文件”和“商务及技术文件”两部分，两部分</w:t>
      </w:r>
      <w:r>
        <w:rPr>
          <w:rFonts w:hint="eastAsia" w:ascii="宋体" w:hAnsi="宋体" w:eastAsia="宋体" w:cs="宋体"/>
          <w:color w:val="auto"/>
          <w:sz w:val="24"/>
          <w:u w:val="single"/>
          <w:lang w:val="en-US" w:eastAsia="zh-CN"/>
        </w:rPr>
        <w:t>合订成一册</w:t>
      </w:r>
      <w:r>
        <w:rPr>
          <w:rFonts w:hint="eastAsia" w:ascii="宋体" w:hAnsi="宋体" w:eastAsia="宋体" w:cs="宋体"/>
          <w:color w:val="auto"/>
          <w:sz w:val="24"/>
          <w:u w:val="single"/>
        </w:rPr>
        <w:t>，密封递交。</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应承担封装失误产生的任何后果。</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9.2    上述文件应按照招标文件规定的格式填写、签署和盖章。</w:t>
      </w:r>
    </w:p>
    <w:bookmarkEnd w:id="90"/>
    <w:p>
      <w:pPr>
        <w:pStyle w:val="5"/>
        <w:tabs>
          <w:tab w:val="left" w:pos="900"/>
        </w:tabs>
        <w:spacing w:before="0" w:after="0" w:line="360" w:lineRule="exact"/>
        <w:rPr>
          <w:rFonts w:hint="eastAsia" w:ascii="宋体" w:hAnsi="宋体" w:eastAsia="宋体" w:cs="宋体"/>
          <w:color w:val="auto"/>
          <w:u w:val="none"/>
        </w:rPr>
      </w:pPr>
      <w:bookmarkStart w:id="91" w:name="_Toc515647769"/>
      <w:bookmarkStart w:id="92" w:name="_Toc10379"/>
      <w:bookmarkStart w:id="93" w:name="_Toc21355"/>
      <w:bookmarkStart w:id="94" w:name="_Toc11381"/>
      <w:bookmarkStart w:id="95" w:name="_Toc4601"/>
      <w:bookmarkStart w:id="96" w:name="_Toc30586"/>
      <w:bookmarkStart w:id="97" w:name="_Toc520356153"/>
      <w:bookmarkStart w:id="98" w:name="_Toc516367023"/>
      <w:r>
        <w:rPr>
          <w:rFonts w:hint="eastAsia" w:ascii="宋体" w:hAnsi="宋体" w:eastAsia="宋体" w:cs="宋体"/>
          <w:color w:val="auto"/>
          <w:u w:val="none"/>
        </w:rPr>
        <w:t>10.</w:t>
      </w:r>
      <w:r>
        <w:rPr>
          <w:rFonts w:hint="eastAsia" w:ascii="宋体" w:hAnsi="宋体" w:eastAsia="宋体" w:cs="宋体"/>
          <w:color w:val="auto"/>
          <w:u w:val="none"/>
        </w:rPr>
        <w:tab/>
      </w:r>
      <w:r>
        <w:rPr>
          <w:rFonts w:hint="eastAsia" w:ascii="宋体" w:hAnsi="宋体" w:eastAsia="宋体" w:cs="宋体"/>
          <w:color w:val="auto"/>
          <w:u w:val="none"/>
        </w:rPr>
        <w:t>证明投标的的合格性和符合招标文件规定的技术文件</w:t>
      </w:r>
      <w:bookmarkEnd w:id="91"/>
      <w:bookmarkEnd w:id="92"/>
      <w:bookmarkEnd w:id="93"/>
      <w:bookmarkEnd w:id="94"/>
      <w:bookmarkEnd w:id="95"/>
      <w:bookmarkEnd w:id="96"/>
      <w:bookmarkEnd w:id="97"/>
      <w:bookmarkEnd w:id="98"/>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10.1</w:t>
      </w:r>
      <w:r>
        <w:rPr>
          <w:rFonts w:hint="eastAsia" w:ascii="宋体" w:hAnsi="宋体" w:eastAsia="宋体" w:cs="宋体"/>
          <w:color w:val="auto"/>
          <w:sz w:val="24"/>
        </w:rPr>
        <w:tab/>
      </w:r>
      <w:r>
        <w:rPr>
          <w:rFonts w:hint="eastAsia" w:ascii="宋体" w:hAnsi="宋体" w:eastAsia="宋体" w:cs="宋体"/>
          <w:color w:val="auto"/>
          <w:sz w:val="24"/>
          <w:lang w:eastAsia="zh-CN"/>
        </w:rPr>
        <w:t>供应商</w:t>
      </w:r>
      <w:r>
        <w:rPr>
          <w:rFonts w:hint="eastAsia" w:ascii="宋体" w:hAnsi="宋体" w:eastAsia="宋体" w:cs="宋体"/>
          <w:color w:val="auto"/>
          <w:sz w:val="24"/>
        </w:rPr>
        <w:t>应提交证明文件，证明其投标内容符合招标文件规定。该证明文件是投标文件的一部分。</w:t>
      </w:r>
    </w:p>
    <w:p>
      <w:pPr>
        <w:spacing w:line="360" w:lineRule="exact"/>
        <w:ind w:left="900" w:hanging="900" w:hangingChars="375"/>
        <w:rPr>
          <w:rFonts w:hint="eastAsia" w:ascii="宋体" w:hAnsi="宋体" w:eastAsia="宋体" w:cs="宋体"/>
          <w:color w:val="auto"/>
          <w:sz w:val="24"/>
        </w:rPr>
      </w:pPr>
      <w:bookmarkStart w:id="99" w:name="_Ref467306244"/>
      <w:r>
        <w:rPr>
          <w:rFonts w:hint="eastAsia" w:ascii="宋体" w:hAnsi="宋体" w:eastAsia="宋体" w:cs="宋体"/>
          <w:color w:val="auto"/>
          <w:sz w:val="24"/>
        </w:rPr>
        <w:t>10.2</w:t>
      </w:r>
      <w:r>
        <w:rPr>
          <w:rFonts w:hint="eastAsia" w:ascii="宋体" w:hAnsi="宋体" w:eastAsia="宋体" w:cs="宋体"/>
          <w:color w:val="auto"/>
          <w:sz w:val="24"/>
        </w:rPr>
        <w:tab/>
      </w:r>
      <w:r>
        <w:rPr>
          <w:rFonts w:hint="eastAsia" w:ascii="宋体" w:hAnsi="宋体" w:eastAsia="宋体" w:cs="宋体"/>
          <w:color w:val="auto"/>
          <w:sz w:val="24"/>
        </w:rPr>
        <w:t>上款所述的证明文件，可以是文字资料、图纸和数据，</w:t>
      </w:r>
      <w:bookmarkEnd w:id="99"/>
      <w:r>
        <w:rPr>
          <w:rFonts w:hint="eastAsia" w:ascii="宋体" w:hAnsi="宋体" w:eastAsia="宋体" w:cs="宋体"/>
          <w:color w:val="auto"/>
          <w:sz w:val="24"/>
        </w:rPr>
        <w:t>它包括：</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10.2.1</w:t>
      </w:r>
      <w:r>
        <w:rPr>
          <w:rFonts w:hint="eastAsia" w:ascii="宋体" w:hAnsi="宋体" w:eastAsia="宋体" w:cs="宋体"/>
          <w:color w:val="auto"/>
          <w:sz w:val="24"/>
        </w:rPr>
        <w:tab/>
      </w:r>
      <w:r>
        <w:rPr>
          <w:rFonts w:hint="eastAsia" w:ascii="宋体" w:hAnsi="宋体" w:eastAsia="宋体" w:cs="宋体"/>
          <w:color w:val="auto"/>
          <w:sz w:val="24"/>
        </w:rPr>
        <w:t>服务内容的详细说明：</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10.2.2</w:t>
      </w:r>
      <w:r>
        <w:rPr>
          <w:rFonts w:hint="eastAsia" w:ascii="宋体" w:hAnsi="宋体" w:eastAsia="宋体" w:cs="宋体"/>
          <w:color w:val="auto"/>
          <w:sz w:val="24"/>
        </w:rPr>
        <w:tab/>
      </w:r>
      <w:r>
        <w:rPr>
          <w:rFonts w:hint="eastAsia" w:ascii="宋体" w:hAnsi="宋体" w:eastAsia="宋体" w:cs="宋体"/>
          <w:color w:val="auto"/>
          <w:sz w:val="24"/>
        </w:rPr>
        <w:t>从采购单位开始使用至招标文件规定的服务期内正常、连续地使用所必须的备品库。</w:t>
      </w:r>
    </w:p>
    <w:p>
      <w:pPr>
        <w:pStyle w:val="5"/>
        <w:spacing w:before="0" w:after="0" w:line="360" w:lineRule="exact"/>
        <w:rPr>
          <w:rFonts w:hint="eastAsia" w:ascii="宋体" w:hAnsi="宋体" w:eastAsia="宋体" w:cs="宋体"/>
          <w:color w:val="auto"/>
          <w:u w:val="none"/>
        </w:rPr>
      </w:pPr>
      <w:bookmarkStart w:id="100" w:name="_Toc14440"/>
      <w:bookmarkStart w:id="101" w:name="_Toc30792"/>
      <w:bookmarkStart w:id="102" w:name="_Toc1151"/>
      <w:bookmarkStart w:id="103" w:name="_Toc520356155"/>
      <w:bookmarkStart w:id="104" w:name="_Toc515647770"/>
      <w:bookmarkStart w:id="105" w:name="_Toc23231"/>
      <w:bookmarkStart w:id="106" w:name="_Toc2248"/>
      <w:r>
        <w:rPr>
          <w:rFonts w:hint="eastAsia" w:ascii="宋体" w:hAnsi="宋体" w:eastAsia="宋体" w:cs="宋体"/>
          <w:color w:val="auto"/>
          <w:u w:val="none"/>
        </w:rPr>
        <w:t>11.投标报价</w:t>
      </w:r>
      <w:bookmarkEnd w:id="100"/>
      <w:bookmarkEnd w:id="101"/>
      <w:bookmarkEnd w:id="102"/>
      <w:bookmarkEnd w:id="103"/>
      <w:bookmarkEnd w:id="104"/>
      <w:bookmarkEnd w:id="105"/>
      <w:bookmarkEnd w:id="106"/>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hanging="900" w:hangingChars="375"/>
        <w:textAlignment w:val="auto"/>
        <w:rPr>
          <w:rFonts w:hint="eastAsia" w:ascii="宋体" w:hAnsi="宋体" w:eastAsia="宋体" w:cs="宋体"/>
          <w:color w:val="auto"/>
          <w:sz w:val="24"/>
          <w:highlight w:val="none"/>
        </w:rPr>
      </w:pPr>
      <w:bookmarkStart w:id="107" w:name="_Toc520356156"/>
      <w:bookmarkStart w:id="108" w:name="_Ref467306513"/>
      <w:bookmarkStart w:id="109" w:name="_Toc11514"/>
      <w:bookmarkStart w:id="110" w:name="_Toc17788"/>
      <w:bookmarkStart w:id="111" w:name="_Toc515647771"/>
      <w:r>
        <w:rPr>
          <w:rFonts w:hint="eastAsia" w:ascii="宋体" w:hAnsi="宋体" w:eastAsia="宋体" w:cs="宋体"/>
          <w:color w:val="auto"/>
          <w:sz w:val="24"/>
          <w:highlight w:val="none"/>
        </w:rPr>
        <w:t>11.1</w:t>
      </w:r>
      <w:r>
        <w:rPr>
          <w:rFonts w:hint="eastAsia" w:ascii="宋体" w:hAnsi="宋体" w:eastAsia="宋体" w:cs="宋体"/>
          <w:color w:val="auto"/>
          <w:sz w:val="24"/>
          <w:highlight w:val="none"/>
        </w:rPr>
        <w:tab/>
      </w:r>
      <w:r>
        <w:rPr>
          <w:rFonts w:hint="eastAsia" w:ascii="宋体" w:hAnsi="宋体" w:eastAsia="宋体" w:cs="宋体"/>
          <w:color w:val="auto"/>
          <w:sz w:val="24"/>
        </w:rPr>
        <w:t>所有投标均以人民币报价。</w:t>
      </w:r>
      <w:r>
        <w:rPr>
          <w:rFonts w:hint="eastAsia" w:ascii="宋体" w:hAnsi="宋体" w:eastAsia="宋体" w:cs="宋体"/>
          <w:color w:val="auto"/>
          <w:sz w:val="24"/>
          <w:lang w:eastAsia="zh-CN"/>
        </w:rPr>
        <w:t>投标供应商</w:t>
      </w:r>
      <w:r>
        <w:rPr>
          <w:rFonts w:hint="eastAsia" w:ascii="宋体" w:hAnsi="宋体" w:eastAsia="宋体" w:cs="宋体"/>
          <w:color w:val="auto"/>
          <w:sz w:val="24"/>
        </w:rPr>
        <w:t>的投标报价应遵守《中华人民共和国价格法》。同时，根据《中华人民共和国政府采购法》第二条的规定，为保证公平竞争，如有主体部分的赠与行为，其投标将被认定为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hanging="900" w:hangingChars="3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应在投标分项报价表上标明投标相关</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的单价（如适用）和总价，并由法定代表人或其授权代表签署。</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hanging="900" w:hangingChars="3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投标分项报价表上的价格应按下列方式填写；</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hanging="900" w:hangingChars="3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z w:val="24"/>
          <w:highlight w:val="none"/>
        </w:rPr>
        <w:tab/>
      </w:r>
      <w:r>
        <w:rPr>
          <w:rFonts w:hint="eastAsia" w:ascii="宋体" w:hAnsi="宋体" w:eastAsia="宋体" w:cs="宋体"/>
          <w:color w:val="auto"/>
          <w:sz w:val="24"/>
          <w:highlight w:val="none"/>
          <w:lang w:eastAsia="zh-CN"/>
        </w:rPr>
        <w:t>投标供应商</w:t>
      </w:r>
      <w:r>
        <w:rPr>
          <w:rFonts w:hint="eastAsia" w:ascii="宋体" w:hAnsi="宋体" w:eastAsia="宋体" w:cs="宋体"/>
          <w:color w:val="auto"/>
          <w:sz w:val="24"/>
          <w:highlight w:val="none"/>
        </w:rPr>
        <w:t>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hanging="900" w:hangingChars="3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每种</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只能有一个投标报价。采购人不接受具有附加条件的报价。</w:t>
      </w:r>
    </w:p>
    <w:p>
      <w:pPr>
        <w:pStyle w:val="5"/>
        <w:spacing w:before="0" w:after="0" w:line="360" w:lineRule="exact"/>
        <w:rPr>
          <w:rFonts w:hint="eastAsia" w:ascii="宋体" w:hAnsi="宋体" w:eastAsia="宋体" w:cs="宋体"/>
          <w:color w:val="auto"/>
          <w:u w:val="none"/>
        </w:rPr>
      </w:pPr>
      <w:bookmarkStart w:id="112" w:name="_Toc7354"/>
      <w:bookmarkStart w:id="113" w:name="_Toc24399"/>
      <w:bookmarkStart w:id="114" w:name="_Toc4857"/>
      <w:r>
        <w:rPr>
          <w:rFonts w:hint="eastAsia" w:ascii="宋体" w:hAnsi="宋体" w:eastAsia="宋体" w:cs="宋体"/>
          <w:color w:val="auto"/>
          <w:u w:val="none"/>
        </w:rPr>
        <w:t>12.投标保证金</w:t>
      </w:r>
      <w:bookmarkEnd w:id="107"/>
      <w:bookmarkEnd w:id="108"/>
      <w:bookmarkEnd w:id="109"/>
      <w:bookmarkEnd w:id="110"/>
      <w:bookmarkEnd w:id="111"/>
      <w:bookmarkEnd w:id="112"/>
      <w:bookmarkEnd w:id="113"/>
      <w:bookmarkEnd w:id="114"/>
    </w:p>
    <w:p>
      <w:pPr>
        <w:spacing w:line="360" w:lineRule="exact"/>
        <w:ind w:left="900" w:hanging="900" w:hangingChars="375"/>
        <w:rPr>
          <w:rFonts w:hint="eastAsia" w:ascii="宋体" w:hAnsi="宋体" w:eastAsia="宋体" w:cs="宋体"/>
          <w:color w:val="auto"/>
          <w:sz w:val="24"/>
        </w:rPr>
      </w:pPr>
      <w:bookmarkStart w:id="115" w:name="_Ref467306302"/>
      <w:r>
        <w:rPr>
          <w:rFonts w:hint="eastAsia" w:ascii="宋体" w:hAnsi="宋体" w:eastAsia="宋体" w:cs="宋体"/>
          <w:color w:val="auto"/>
          <w:sz w:val="24"/>
        </w:rPr>
        <w:t>12.1</w:t>
      </w:r>
      <w:r>
        <w:rPr>
          <w:rFonts w:hint="eastAsia" w:ascii="宋体" w:hAnsi="宋体" w:eastAsia="宋体" w:cs="宋体"/>
          <w:color w:val="auto"/>
          <w:sz w:val="24"/>
        </w:rPr>
        <w:tab/>
      </w:r>
      <w:r>
        <w:rPr>
          <w:rFonts w:hint="eastAsia" w:ascii="宋体" w:hAnsi="宋体" w:eastAsia="宋体" w:cs="宋体"/>
          <w:color w:val="auto"/>
          <w:sz w:val="24"/>
          <w:lang w:eastAsia="zh-CN"/>
        </w:rPr>
        <w:t>供应商</w:t>
      </w:r>
      <w:r>
        <w:rPr>
          <w:rFonts w:hint="eastAsia" w:ascii="宋体" w:hAnsi="宋体" w:eastAsia="宋体" w:cs="宋体"/>
          <w:color w:val="auto"/>
          <w:sz w:val="24"/>
        </w:rPr>
        <w:t>应提交</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中规定的投标保证金</w:t>
      </w:r>
      <w:bookmarkEnd w:id="115"/>
      <w:r>
        <w:rPr>
          <w:rFonts w:hint="eastAsia" w:ascii="宋体" w:hAnsi="宋体" w:eastAsia="宋体" w:cs="宋体"/>
          <w:color w:val="auto"/>
          <w:sz w:val="24"/>
        </w:rPr>
        <w:t>，并作为其投标的一部分。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12.2</w:t>
      </w:r>
      <w:r>
        <w:rPr>
          <w:rFonts w:hint="eastAsia" w:ascii="宋体" w:hAnsi="宋体" w:eastAsia="宋体" w:cs="宋体"/>
          <w:color w:val="auto"/>
          <w:sz w:val="24"/>
        </w:rPr>
        <w:tab/>
      </w:r>
      <w:r>
        <w:rPr>
          <w:rFonts w:hint="eastAsia" w:ascii="宋体" w:hAnsi="宋体" w:eastAsia="宋体" w:cs="宋体"/>
          <w:color w:val="auto"/>
          <w:sz w:val="24"/>
          <w:lang w:eastAsia="zh-CN"/>
        </w:rPr>
        <w:t>供应商</w:t>
      </w:r>
      <w:r>
        <w:rPr>
          <w:rFonts w:hint="eastAsia" w:ascii="宋体" w:hAnsi="宋体" w:eastAsia="宋体" w:cs="宋体"/>
          <w:color w:val="auto"/>
          <w:sz w:val="24"/>
        </w:rPr>
        <w:t>存在下列情形的，投标保证金不予退还：</w:t>
      </w:r>
    </w:p>
    <w:p>
      <w:pPr>
        <w:pStyle w:val="16"/>
        <w:tabs>
          <w:tab w:val="left" w:pos="2240"/>
        </w:tabs>
        <w:spacing w:line="360" w:lineRule="exact"/>
        <w:ind w:left="1079" w:leftChars="371" w:hanging="300" w:hangingChars="125"/>
        <w:rPr>
          <w:rFonts w:hint="eastAsia" w:ascii="宋体" w:hAnsi="宋体" w:eastAsia="宋体" w:cs="宋体"/>
          <w:color w:val="auto"/>
          <w:sz w:val="24"/>
        </w:rPr>
      </w:pPr>
      <w:r>
        <w:rPr>
          <w:rFonts w:hint="eastAsia" w:ascii="宋体" w:hAnsi="宋体" w:eastAsia="宋体" w:cs="宋体"/>
          <w:color w:val="auto"/>
          <w:sz w:val="24"/>
        </w:rPr>
        <w:t>（1）在投标有效期内，撤销投标的；</w:t>
      </w:r>
    </w:p>
    <w:p>
      <w:pPr>
        <w:pStyle w:val="16"/>
        <w:tabs>
          <w:tab w:val="left" w:pos="2240"/>
        </w:tabs>
        <w:spacing w:line="360" w:lineRule="exact"/>
        <w:ind w:left="1079" w:leftChars="371" w:hanging="300" w:hangingChars="125"/>
        <w:rPr>
          <w:rFonts w:hint="eastAsia" w:ascii="宋体" w:hAnsi="宋体" w:eastAsia="宋体" w:cs="宋体"/>
          <w:color w:val="auto"/>
          <w:sz w:val="24"/>
        </w:rPr>
      </w:pPr>
      <w:r>
        <w:rPr>
          <w:rFonts w:hint="eastAsia" w:ascii="宋体" w:hAnsi="宋体" w:eastAsia="宋体" w:cs="宋体"/>
          <w:color w:val="auto"/>
          <w:sz w:val="24"/>
        </w:rPr>
        <w:t>（2）中标后不按本须知第30条的规定与采购人签订合同的；</w:t>
      </w:r>
    </w:p>
    <w:p>
      <w:pPr>
        <w:pStyle w:val="16"/>
        <w:tabs>
          <w:tab w:val="left" w:pos="2240"/>
        </w:tabs>
        <w:spacing w:line="360" w:lineRule="exact"/>
        <w:ind w:left="1079" w:leftChars="371" w:hanging="300" w:hangingChars="125"/>
        <w:rPr>
          <w:rFonts w:hint="eastAsia" w:ascii="宋体" w:hAnsi="宋体" w:eastAsia="宋体" w:cs="宋体"/>
          <w:color w:val="auto"/>
          <w:sz w:val="24"/>
        </w:rPr>
      </w:pPr>
      <w:r>
        <w:rPr>
          <w:rFonts w:hint="eastAsia" w:ascii="宋体" w:hAnsi="宋体" w:eastAsia="宋体" w:cs="宋体"/>
          <w:color w:val="auto"/>
          <w:sz w:val="24"/>
        </w:rPr>
        <w:t>（3）中标后不按本须知第31条的规定提交履约保证金的；</w:t>
      </w:r>
    </w:p>
    <w:p>
      <w:pPr>
        <w:pStyle w:val="16"/>
        <w:tabs>
          <w:tab w:val="left" w:pos="2240"/>
        </w:tabs>
        <w:spacing w:line="360" w:lineRule="exact"/>
        <w:ind w:left="1079" w:leftChars="371" w:hanging="300" w:hangingChars="125"/>
        <w:rPr>
          <w:rFonts w:hint="eastAsia" w:ascii="宋体" w:hAnsi="宋体" w:eastAsia="宋体" w:cs="宋体"/>
          <w:color w:val="auto"/>
          <w:sz w:val="24"/>
        </w:rPr>
      </w:pPr>
      <w:r>
        <w:rPr>
          <w:rFonts w:hint="eastAsia" w:ascii="宋体" w:hAnsi="宋体" w:eastAsia="宋体" w:cs="宋体"/>
          <w:color w:val="auto"/>
          <w:sz w:val="24"/>
        </w:rPr>
        <w:t>（4）中标后不按本须知第32条的规定缴纳中标服务费的；</w:t>
      </w:r>
    </w:p>
    <w:p>
      <w:pPr>
        <w:pStyle w:val="16"/>
        <w:tabs>
          <w:tab w:val="left" w:pos="2240"/>
        </w:tabs>
        <w:spacing w:line="360" w:lineRule="exact"/>
        <w:ind w:left="1079" w:leftChars="371" w:hanging="300" w:hangingChars="125"/>
        <w:rPr>
          <w:rFonts w:hint="eastAsia" w:ascii="宋体" w:hAnsi="宋体" w:eastAsia="宋体" w:cs="宋体"/>
          <w:color w:val="auto"/>
          <w:sz w:val="24"/>
        </w:rPr>
      </w:pPr>
      <w:r>
        <w:rPr>
          <w:rFonts w:hint="eastAsia" w:ascii="宋体" w:hAnsi="宋体" w:eastAsia="宋体" w:cs="宋体"/>
          <w:color w:val="auto"/>
          <w:sz w:val="24"/>
        </w:rPr>
        <w:t>（5）存在其他违法违规行为的。</w:t>
      </w:r>
    </w:p>
    <w:p>
      <w:pPr>
        <w:spacing w:line="360" w:lineRule="exact"/>
        <w:ind w:left="900" w:hanging="900" w:hangingChars="375"/>
        <w:rPr>
          <w:rFonts w:hint="eastAsia" w:ascii="宋体" w:hAnsi="宋体" w:eastAsia="宋体" w:cs="宋体"/>
          <w:color w:val="auto"/>
          <w:sz w:val="24"/>
        </w:rPr>
      </w:pPr>
      <w:bookmarkStart w:id="116" w:name="_Ref467306336"/>
      <w:r>
        <w:rPr>
          <w:rFonts w:hint="eastAsia" w:ascii="宋体" w:hAnsi="宋体" w:eastAsia="宋体" w:cs="宋体"/>
          <w:color w:val="auto"/>
          <w:sz w:val="24"/>
        </w:rPr>
        <w:t>12.3</w:t>
      </w:r>
      <w:r>
        <w:rPr>
          <w:rFonts w:hint="eastAsia" w:ascii="宋体" w:hAnsi="宋体" w:eastAsia="宋体" w:cs="宋体"/>
          <w:color w:val="auto"/>
          <w:sz w:val="24"/>
        </w:rPr>
        <w:tab/>
      </w:r>
      <w:bookmarkEnd w:id="116"/>
      <w:r>
        <w:rPr>
          <w:rFonts w:hint="eastAsia" w:ascii="宋体" w:hAnsi="宋体" w:eastAsia="宋体" w:cs="宋体"/>
          <w:color w:val="auto"/>
          <w:sz w:val="24"/>
        </w:rPr>
        <w:t>政府采购信用担保试点范围内的项目，接受符合财政部门规定的政府采购投标担保函原件。</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12.4</w:t>
      </w:r>
      <w:r>
        <w:rPr>
          <w:rFonts w:hint="eastAsia" w:ascii="宋体" w:hAnsi="宋体" w:eastAsia="宋体" w:cs="宋体"/>
          <w:color w:val="auto"/>
          <w:sz w:val="24"/>
        </w:rPr>
        <w:tab/>
      </w:r>
      <w:r>
        <w:rPr>
          <w:rFonts w:hint="eastAsia" w:ascii="宋体" w:hAnsi="宋体" w:eastAsia="宋体" w:cs="宋体"/>
          <w:color w:val="auto"/>
          <w:sz w:val="24"/>
          <w:lang w:eastAsia="zh-CN"/>
        </w:rPr>
        <w:t>供应商</w:t>
      </w:r>
      <w:r>
        <w:rPr>
          <w:rFonts w:hint="eastAsia" w:ascii="宋体" w:hAnsi="宋体" w:eastAsia="宋体" w:cs="宋体"/>
          <w:color w:val="auto"/>
          <w:sz w:val="24"/>
        </w:rPr>
        <w:t>未按本须知第12.1和12.3条规定提交投标保证金的，其投标将被认定为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12.4.1  采用电汇形式的，一般可以实时入账。</w:t>
      </w:r>
    </w:p>
    <w:p>
      <w:pPr>
        <w:spacing w:line="360" w:lineRule="exact"/>
        <w:ind w:left="960" w:hanging="960" w:hangingChars="400"/>
        <w:jc w:val="left"/>
        <w:rPr>
          <w:rFonts w:hint="eastAsia" w:ascii="宋体" w:hAnsi="宋体" w:eastAsia="宋体" w:cs="宋体"/>
          <w:color w:val="auto"/>
          <w:sz w:val="24"/>
        </w:rPr>
      </w:pPr>
      <w:r>
        <w:rPr>
          <w:rFonts w:hint="eastAsia" w:ascii="宋体" w:hAnsi="宋体" w:eastAsia="宋体" w:cs="宋体"/>
          <w:color w:val="auto"/>
          <w:sz w:val="24"/>
        </w:rPr>
        <w:t>12.4.2  采用支票形式的，</w:t>
      </w:r>
      <w:r>
        <w:rPr>
          <w:rFonts w:hint="eastAsia" w:ascii="宋体" w:hAnsi="宋体" w:eastAsia="宋体" w:cs="宋体"/>
          <w:color w:val="auto"/>
          <w:sz w:val="24"/>
          <w:lang w:eastAsia="zh-CN"/>
        </w:rPr>
        <w:t>供应商</w:t>
      </w:r>
      <w:r>
        <w:rPr>
          <w:rFonts w:hint="eastAsia" w:ascii="宋体" w:hAnsi="宋体" w:eastAsia="宋体" w:cs="宋体"/>
          <w:color w:val="auto"/>
          <w:sz w:val="24"/>
        </w:rPr>
        <w:t>则应充分考虑支票入账时间，以确保投标保证金能按时进入指定账户。根据银行信息交换和付款时间，支票从递交至实际入账一般需要4-5个工作日。如</w:t>
      </w:r>
      <w:r>
        <w:rPr>
          <w:rFonts w:hint="eastAsia" w:ascii="宋体" w:hAnsi="宋体" w:eastAsia="宋体" w:cs="宋体"/>
          <w:color w:val="auto"/>
          <w:sz w:val="24"/>
          <w:lang w:eastAsia="zh-CN"/>
        </w:rPr>
        <w:t>供应商</w:t>
      </w:r>
      <w:r>
        <w:rPr>
          <w:rFonts w:hint="eastAsia" w:ascii="宋体" w:hAnsi="宋体" w:eastAsia="宋体" w:cs="宋体"/>
          <w:color w:val="auto"/>
          <w:sz w:val="24"/>
        </w:rPr>
        <w:t>未及时提交支票或支票不符合银行委托收款要求（如污损、折叠、胶装等），导致投标保证金不能按时进入指定账户的，将按照招标文件的第22.2条相关规定处理。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12.5   联合体投标的，可以由联合体中的一方或者共同提交投标保证金。以一方名义提交投标保证金的，对联合体各方均具有约束力。</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12.6</w:t>
      </w:r>
      <w:r>
        <w:rPr>
          <w:rFonts w:hint="eastAsia" w:ascii="宋体" w:hAnsi="宋体" w:eastAsia="宋体" w:cs="宋体"/>
          <w:color w:val="auto"/>
          <w:sz w:val="24"/>
        </w:rPr>
        <w:tab/>
      </w:r>
      <w:r>
        <w:rPr>
          <w:rFonts w:hint="eastAsia" w:ascii="宋体" w:hAnsi="宋体" w:eastAsia="宋体" w:cs="宋体"/>
          <w:color w:val="auto"/>
          <w:sz w:val="24"/>
        </w:rPr>
        <w:t>投标保证金的退还</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12.6.1  中标人应在与采购人签订合同之日起5个工作日内，及时联系保证金收受机构办理投标保证金无息退还手续。</w:t>
      </w:r>
    </w:p>
    <w:p>
      <w:pPr>
        <w:spacing w:line="36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12.6.2  未中标</w:t>
      </w:r>
      <w:r>
        <w:rPr>
          <w:rFonts w:hint="eastAsia" w:ascii="宋体" w:hAnsi="宋体" w:eastAsia="宋体" w:cs="宋体"/>
          <w:color w:val="auto"/>
          <w:sz w:val="24"/>
          <w:lang w:eastAsia="zh-CN"/>
        </w:rPr>
        <w:t>供应商</w:t>
      </w:r>
      <w:r>
        <w:rPr>
          <w:rFonts w:hint="eastAsia" w:ascii="宋体" w:hAnsi="宋体" w:eastAsia="宋体" w:cs="宋体"/>
          <w:color w:val="auto"/>
          <w:sz w:val="24"/>
        </w:rPr>
        <w:t>的投标保证金将在中标通知书发出之日暨中标结果公告公布之日起5个工作日内无息退还。</w:t>
      </w:r>
      <w:r>
        <w:rPr>
          <w:rFonts w:hint="eastAsia" w:ascii="宋体" w:hAnsi="宋体" w:eastAsia="宋体" w:cs="宋体"/>
          <w:color w:val="auto"/>
          <w:sz w:val="24"/>
          <w:lang w:eastAsia="zh-CN"/>
        </w:rPr>
        <w:t>供应商</w:t>
      </w:r>
      <w:r>
        <w:rPr>
          <w:rFonts w:hint="eastAsia" w:ascii="宋体" w:hAnsi="宋体" w:eastAsia="宋体" w:cs="宋体"/>
          <w:color w:val="auto"/>
          <w:sz w:val="24"/>
        </w:rPr>
        <w:t>应及时联系保证金收受机构办理退还投标保证金手续。</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12.6.3  政府采购投标担保函不予退回。</w:t>
      </w:r>
    </w:p>
    <w:p>
      <w:pPr>
        <w:spacing w:line="36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12.7    因投标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rPr>
        <w:t>自身原因导致无法及时退还的，采购人或采购代理机构将不承担相应责任。</w:t>
      </w:r>
    </w:p>
    <w:p>
      <w:pPr>
        <w:pStyle w:val="5"/>
        <w:spacing w:before="0" w:after="0" w:line="360" w:lineRule="exact"/>
        <w:rPr>
          <w:rFonts w:hint="eastAsia" w:ascii="宋体" w:hAnsi="宋体" w:eastAsia="宋体" w:cs="宋体"/>
          <w:color w:val="auto"/>
          <w:u w:val="none"/>
        </w:rPr>
      </w:pPr>
      <w:bookmarkStart w:id="117" w:name="_Toc28330"/>
      <w:bookmarkStart w:id="118" w:name="_Toc23590"/>
      <w:bookmarkStart w:id="119" w:name="_Toc32569"/>
      <w:bookmarkStart w:id="120" w:name="_Toc520356157"/>
      <w:bookmarkStart w:id="121" w:name="_Toc515647772"/>
      <w:bookmarkStart w:id="122" w:name="_Toc27817"/>
      <w:bookmarkStart w:id="123" w:name="_Toc24080"/>
      <w:r>
        <w:rPr>
          <w:rFonts w:hint="eastAsia" w:ascii="宋体" w:hAnsi="宋体" w:eastAsia="宋体" w:cs="宋体"/>
          <w:color w:val="auto"/>
          <w:u w:val="none"/>
        </w:rPr>
        <w:t>13.投标有效期</w:t>
      </w:r>
      <w:bookmarkEnd w:id="117"/>
      <w:bookmarkEnd w:id="118"/>
      <w:bookmarkEnd w:id="119"/>
      <w:bookmarkEnd w:id="120"/>
      <w:bookmarkEnd w:id="121"/>
      <w:bookmarkEnd w:id="122"/>
      <w:bookmarkEnd w:id="123"/>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13.1</w:t>
      </w:r>
      <w:r>
        <w:rPr>
          <w:rFonts w:hint="eastAsia" w:ascii="宋体" w:hAnsi="宋体" w:eastAsia="宋体" w:cs="宋体"/>
          <w:color w:val="auto"/>
          <w:sz w:val="24"/>
        </w:rPr>
        <w:tab/>
      </w:r>
      <w:r>
        <w:rPr>
          <w:rFonts w:hint="eastAsia" w:ascii="宋体" w:hAnsi="宋体" w:eastAsia="宋体" w:cs="宋体"/>
          <w:color w:val="auto"/>
          <w:sz w:val="24"/>
        </w:rPr>
        <w:t>投标应在</w:t>
      </w:r>
      <w:r>
        <w:rPr>
          <w:rFonts w:hint="eastAsia" w:ascii="宋体" w:hAnsi="宋体" w:eastAsia="宋体" w:cs="宋体"/>
          <w:color w:val="auto"/>
          <w:sz w:val="24"/>
          <w:u w:val="single"/>
        </w:rPr>
        <w:t>供应商须知资料表</w:t>
      </w:r>
      <w:r>
        <w:rPr>
          <w:rFonts w:hint="eastAsia" w:ascii="宋体" w:hAnsi="宋体" w:eastAsia="宋体" w:cs="宋体"/>
          <w:color w:val="auto"/>
          <w:sz w:val="24"/>
        </w:rPr>
        <w:t>中规定时间内保持有效。投标有效期不满足要求的投标，其投标将被认定为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13.2</w:t>
      </w:r>
      <w:r>
        <w:rPr>
          <w:rFonts w:hint="eastAsia" w:ascii="宋体" w:hAnsi="宋体" w:eastAsia="宋体" w:cs="宋体"/>
          <w:color w:val="auto"/>
          <w:sz w:val="24"/>
        </w:rPr>
        <w:tab/>
      </w:r>
      <w:r>
        <w:rPr>
          <w:rFonts w:hint="eastAsia" w:ascii="宋体" w:hAnsi="宋体" w:eastAsia="宋体" w:cs="宋体"/>
          <w:color w:val="auto"/>
          <w:sz w:val="24"/>
        </w:rPr>
        <w:t>为保证有充分时间签订合同，采购人或采购代理机构可根据实际情况，在原投标有效期截止之前，要求</w:t>
      </w:r>
      <w:r>
        <w:rPr>
          <w:rFonts w:hint="eastAsia" w:ascii="宋体" w:hAnsi="宋体" w:eastAsia="宋体" w:cs="宋体"/>
          <w:color w:val="auto"/>
          <w:sz w:val="24"/>
          <w:lang w:eastAsia="zh-CN"/>
        </w:rPr>
        <w:t>供应商</w:t>
      </w:r>
      <w:r>
        <w:rPr>
          <w:rFonts w:hint="eastAsia" w:ascii="宋体" w:hAnsi="宋体" w:eastAsia="宋体" w:cs="宋体"/>
          <w:color w:val="auto"/>
          <w:sz w:val="24"/>
        </w:rPr>
        <w:t>延长投标文件的有效期。接受该要求的</w:t>
      </w:r>
      <w:r>
        <w:rPr>
          <w:rFonts w:hint="eastAsia" w:ascii="宋体" w:hAnsi="宋体" w:eastAsia="宋体" w:cs="宋体"/>
          <w:color w:val="auto"/>
          <w:sz w:val="24"/>
          <w:lang w:eastAsia="zh-CN"/>
        </w:rPr>
        <w:t>供应商</w:t>
      </w:r>
      <w:r>
        <w:rPr>
          <w:rFonts w:hint="eastAsia" w:ascii="宋体" w:hAnsi="宋体" w:eastAsia="宋体" w:cs="宋体"/>
          <w:color w:val="auto"/>
          <w:sz w:val="24"/>
        </w:rPr>
        <w:t>将不会被要求和允许修正其投标，且本须知中有关投标保证金的要求须在延长的有效期内继续有效。</w:t>
      </w:r>
      <w:r>
        <w:rPr>
          <w:rFonts w:hint="eastAsia" w:ascii="宋体" w:hAnsi="宋体" w:eastAsia="宋体" w:cs="宋体"/>
          <w:color w:val="auto"/>
          <w:sz w:val="24"/>
          <w:lang w:eastAsia="zh-CN"/>
        </w:rPr>
        <w:t>供应商</w:t>
      </w:r>
      <w:r>
        <w:rPr>
          <w:rFonts w:hint="eastAsia" w:ascii="宋体" w:hAnsi="宋体" w:eastAsia="宋体" w:cs="宋体"/>
          <w:color w:val="auto"/>
          <w:sz w:val="24"/>
        </w:rPr>
        <w:t>可以拒绝延长投标有效期的要求，其投标保证金将及时无息退还。上述要求和答复都应以书面形式提交。</w:t>
      </w:r>
    </w:p>
    <w:p>
      <w:pPr>
        <w:pStyle w:val="5"/>
        <w:spacing w:before="0" w:after="0" w:line="360" w:lineRule="exact"/>
        <w:rPr>
          <w:rFonts w:hint="eastAsia" w:ascii="宋体" w:hAnsi="宋体" w:eastAsia="宋体" w:cs="宋体"/>
          <w:color w:val="auto"/>
          <w:u w:val="none"/>
        </w:rPr>
      </w:pPr>
      <w:bookmarkStart w:id="124" w:name="_Toc520356158"/>
      <w:bookmarkStart w:id="125" w:name="_Toc22392"/>
      <w:bookmarkStart w:id="126" w:name="_Toc493"/>
      <w:bookmarkStart w:id="127" w:name="_Toc515647773"/>
      <w:bookmarkStart w:id="128" w:name="_Toc17074"/>
      <w:bookmarkStart w:id="129" w:name="_Toc5802"/>
      <w:bookmarkStart w:id="130" w:name="_Toc3873"/>
      <w:r>
        <w:rPr>
          <w:rFonts w:hint="eastAsia" w:ascii="宋体" w:hAnsi="宋体" w:eastAsia="宋体" w:cs="宋体"/>
          <w:color w:val="auto"/>
          <w:u w:val="none"/>
        </w:rPr>
        <w:t>14.投标文件的签署</w:t>
      </w:r>
      <w:bookmarkEnd w:id="124"/>
      <w:r>
        <w:rPr>
          <w:rFonts w:hint="eastAsia" w:ascii="宋体" w:hAnsi="宋体" w:eastAsia="宋体" w:cs="宋体"/>
          <w:color w:val="auto"/>
          <w:u w:val="none"/>
        </w:rPr>
        <w:t>及规定</w:t>
      </w:r>
      <w:bookmarkEnd w:id="125"/>
      <w:bookmarkEnd w:id="126"/>
      <w:bookmarkEnd w:id="127"/>
      <w:bookmarkEnd w:id="128"/>
      <w:bookmarkEnd w:id="129"/>
      <w:bookmarkEnd w:id="130"/>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14.1</w:t>
      </w:r>
      <w:r>
        <w:rPr>
          <w:rFonts w:hint="eastAsia" w:ascii="宋体" w:hAnsi="宋体" w:eastAsia="宋体" w:cs="宋体"/>
          <w:color w:val="auto"/>
          <w:sz w:val="24"/>
        </w:rPr>
        <w:tab/>
      </w:r>
      <w:r>
        <w:rPr>
          <w:rFonts w:hint="eastAsia" w:ascii="宋体" w:hAnsi="宋体" w:eastAsia="宋体" w:cs="宋体"/>
          <w:color w:val="auto"/>
          <w:sz w:val="24"/>
          <w:lang w:eastAsia="zh-CN"/>
        </w:rPr>
        <w:t>供应商</w:t>
      </w:r>
      <w:r>
        <w:rPr>
          <w:rFonts w:hint="eastAsia" w:ascii="宋体" w:hAnsi="宋体" w:eastAsia="宋体" w:cs="宋体"/>
          <w:color w:val="auto"/>
          <w:sz w:val="24"/>
        </w:rPr>
        <w:t>应按</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的规定，准备和递交投标文件资格证明文件、商务和技术文件正本、副本、开标一览表和电子文档，每份资格证明文件、商务和技术文件封皮须清楚地标明“正本”或“副本”。若正本和副本不符，以正本为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14.2</w:t>
      </w:r>
      <w:r>
        <w:rPr>
          <w:rFonts w:hint="eastAsia" w:ascii="宋体" w:hAnsi="宋体" w:eastAsia="宋体" w:cs="宋体"/>
          <w:color w:val="auto"/>
          <w:sz w:val="24"/>
        </w:rPr>
        <w:tab/>
      </w:r>
      <w:r>
        <w:rPr>
          <w:rFonts w:hint="eastAsia" w:ascii="宋体" w:hAnsi="宋体" w:eastAsia="宋体" w:cs="宋体"/>
          <w:color w:val="auto"/>
          <w:sz w:val="24"/>
        </w:rPr>
        <w:t>投标文件的正本需打印或用不褪色墨水书写，并由</w:t>
      </w:r>
      <w:r>
        <w:rPr>
          <w:rFonts w:hint="eastAsia" w:ascii="宋体" w:hAnsi="宋体" w:eastAsia="宋体" w:cs="宋体"/>
          <w:color w:val="auto"/>
          <w:sz w:val="24"/>
          <w:lang w:eastAsia="zh-CN"/>
        </w:rPr>
        <w:t>供应商</w:t>
      </w:r>
      <w:r>
        <w:rPr>
          <w:rFonts w:hint="eastAsia" w:ascii="宋体" w:hAnsi="宋体" w:eastAsia="宋体" w:cs="宋体"/>
          <w:color w:val="auto"/>
          <w:sz w:val="24"/>
        </w:rPr>
        <w:t>的法定代表人或经其正式委托代理人按招标文件规定在投标文件上</w:t>
      </w: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lang w:eastAsia="zh-CN"/>
        </w:rPr>
        <w:t>或盖章，</w:t>
      </w:r>
      <w:r>
        <w:rPr>
          <w:rFonts w:hint="eastAsia" w:ascii="宋体" w:hAnsi="宋体" w:eastAsia="宋体" w:cs="宋体"/>
          <w:color w:val="auto"/>
          <w:sz w:val="24"/>
          <w:highlight w:val="none"/>
        </w:rPr>
        <w:t>并加盖单位</w:t>
      </w:r>
      <w:r>
        <w:rPr>
          <w:rFonts w:hint="eastAsia" w:ascii="宋体" w:hAnsi="宋体" w:eastAsia="宋体" w:cs="宋体"/>
          <w:color w:val="auto"/>
          <w:sz w:val="24"/>
          <w:highlight w:val="none"/>
          <w:lang w:eastAsia="zh-CN"/>
        </w:rPr>
        <w:t>鲜</w:t>
      </w:r>
      <w:r>
        <w:rPr>
          <w:rFonts w:hint="eastAsia" w:ascii="宋体" w:hAnsi="宋体" w:eastAsia="宋体" w:cs="宋体"/>
          <w:color w:val="auto"/>
          <w:sz w:val="24"/>
          <w:highlight w:val="none"/>
        </w:rPr>
        <w:t>章。</w:t>
      </w:r>
      <w:r>
        <w:rPr>
          <w:rFonts w:hint="eastAsia" w:ascii="宋体" w:hAnsi="宋体" w:eastAsia="宋体" w:cs="宋体"/>
          <w:color w:val="auto"/>
          <w:sz w:val="24"/>
        </w:rPr>
        <w:t>委托代理人须持有书面的“法定代表人授权委托书”，并将其附在投标文件中。如对投标文件进行了修改，则应由</w:t>
      </w:r>
      <w:r>
        <w:rPr>
          <w:rFonts w:hint="eastAsia" w:ascii="宋体" w:hAnsi="宋体" w:eastAsia="宋体" w:cs="宋体"/>
          <w:color w:val="auto"/>
          <w:sz w:val="24"/>
          <w:lang w:eastAsia="zh-CN"/>
        </w:rPr>
        <w:t>供应商</w:t>
      </w:r>
      <w:r>
        <w:rPr>
          <w:rFonts w:hint="eastAsia" w:ascii="宋体" w:hAnsi="宋体" w:eastAsia="宋体" w:cs="宋体"/>
          <w:color w:val="auto"/>
          <w:sz w:val="24"/>
        </w:rPr>
        <w:t>的法定代表人或其委托代理人在每一修改处签字。投标文件的副本可采用正本的复印件。</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14.3    所有投标文件采用不可拆装的胶订方式装订，否则其投标将被认定为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14.4</w:t>
      </w:r>
      <w:r>
        <w:rPr>
          <w:rFonts w:hint="eastAsia" w:ascii="宋体" w:hAnsi="宋体" w:eastAsia="宋体" w:cs="宋体"/>
          <w:color w:val="auto"/>
          <w:sz w:val="24"/>
        </w:rPr>
        <w:tab/>
      </w:r>
      <w:r>
        <w:rPr>
          <w:rFonts w:hint="eastAsia" w:ascii="宋体" w:hAnsi="宋体" w:eastAsia="宋体" w:cs="宋体"/>
          <w:color w:val="auto"/>
          <w:sz w:val="24"/>
        </w:rPr>
        <w:t>投标文件因字迹潦草、表达不清或装订不当所引起的后果由</w:t>
      </w:r>
      <w:r>
        <w:rPr>
          <w:rFonts w:hint="eastAsia" w:ascii="宋体" w:hAnsi="宋体" w:eastAsia="宋体" w:cs="宋体"/>
          <w:color w:val="auto"/>
          <w:sz w:val="24"/>
          <w:lang w:eastAsia="zh-CN"/>
        </w:rPr>
        <w:t>供应商</w:t>
      </w:r>
      <w:r>
        <w:rPr>
          <w:rFonts w:hint="eastAsia" w:ascii="宋体" w:hAnsi="宋体" w:eastAsia="宋体" w:cs="宋体"/>
          <w:color w:val="auto"/>
          <w:sz w:val="24"/>
        </w:rPr>
        <w:t>负责。</w:t>
      </w:r>
      <w:bookmarkStart w:id="131" w:name="_Toc520356159"/>
      <w:bookmarkStart w:id="132" w:name="_Toc16865"/>
      <w:bookmarkStart w:id="133" w:name="_Toc216582808"/>
      <w:bookmarkStart w:id="134" w:name="_Toc11179"/>
      <w:bookmarkStart w:id="135" w:name="_Toc515647774"/>
    </w:p>
    <w:p>
      <w:pPr>
        <w:spacing w:line="360" w:lineRule="exact"/>
        <w:ind w:left="1080" w:leftChars="257" w:hanging="540"/>
        <w:rPr>
          <w:rFonts w:hint="eastAsia" w:ascii="宋体" w:hAnsi="宋体" w:eastAsia="宋体" w:cs="宋体"/>
          <w:color w:val="auto"/>
          <w:sz w:val="24"/>
        </w:rPr>
      </w:pPr>
    </w:p>
    <w:p>
      <w:pPr>
        <w:pStyle w:val="4"/>
        <w:spacing w:before="0" w:line="360" w:lineRule="exact"/>
        <w:ind w:left="1080" w:leftChars="257" w:hanging="540"/>
        <w:rPr>
          <w:rFonts w:hint="eastAsia" w:ascii="宋体" w:hAnsi="宋体" w:eastAsia="宋体" w:cs="宋体"/>
          <w:color w:val="auto"/>
        </w:rPr>
      </w:pPr>
      <w:bookmarkStart w:id="136" w:name="_Toc29193"/>
      <w:r>
        <w:rPr>
          <w:rFonts w:hint="eastAsia" w:ascii="宋体" w:hAnsi="宋体" w:eastAsia="宋体" w:cs="宋体"/>
          <w:color w:val="auto"/>
          <w:sz w:val="24"/>
        </w:rPr>
        <w:t>四   投标文件的递交</w:t>
      </w:r>
      <w:bookmarkEnd w:id="131"/>
      <w:bookmarkEnd w:id="132"/>
      <w:bookmarkEnd w:id="133"/>
      <w:bookmarkEnd w:id="134"/>
      <w:bookmarkEnd w:id="135"/>
      <w:bookmarkEnd w:id="136"/>
    </w:p>
    <w:p>
      <w:pPr>
        <w:pStyle w:val="5"/>
        <w:spacing w:before="0" w:after="0" w:line="360" w:lineRule="exact"/>
        <w:rPr>
          <w:rFonts w:hint="eastAsia" w:ascii="宋体" w:hAnsi="宋体" w:eastAsia="宋体" w:cs="宋体"/>
          <w:color w:val="auto"/>
          <w:u w:val="none"/>
        </w:rPr>
      </w:pPr>
      <w:bookmarkStart w:id="137" w:name="_Toc520356160"/>
      <w:bookmarkStart w:id="138" w:name="_Toc32337"/>
      <w:bookmarkStart w:id="139" w:name="_Toc8085"/>
      <w:bookmarkStart w:id="140" w:name="_Toc515647775"/>
      <w:bookmarkStart w:id="141" w:name="_Toc21645"/>
      <w:bookmarkStart w:id="142" w:name="_Toc10184"/>
      <w:bookmarkStart w:id="143" w:name="_Toc30690"/>
      <w:r>
        <w:rPr>
          <w:rFonts w:hint="eastAsia" w:ascii="宋体" w:hAnsi="宋体" w:eastAsia="宋体" w:cs="宋体"/>
          <w:color w:val="auto"/>
          <w:u w:val="none"/>
        </w:rPr>
        <w:t>15.投标文件的密封和标记</w:t>
      </w:r>
      <w:bookmarkEnd w:id="137"/>
      <w:bookmarkEnd w:id="138"/>
      <w:bookmarkEnd w:id="139"/>
      <w:bookmarkEnd w:id="140"/>
      <w:bookmarkEnd w:id="141"/>
      <w:bookmarkEnd w:id="142"/>
      <w:bookmarkEnd w:id="143"/>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15.1   为方便开标及进行资格审查，</w:t>
      </w:r>
      <w:r>
        <w:rPr>
          <w:rFonts w:hint="eastAsia" w:ascii="宋体" w:hAnsi="宋体" w:eastAsia="宋体" w:cs="宋体"/>
          <w:color w:val="auto"/>
          <w:sz w:val="24"/>
          <w:lang w:eastAsia="zh-CN"/>
        </w:rPr>
        <w:t>供应商</w:t>
      </w:r>
      <w:r>
        <w:rPr>
          <w:rFonts w:hint="eastAsia" w:ascii="宋体" w:hAnsi="宋体" w:eastAsia="宋体" w:cs="宋体"/>
          <w:color w:val="auto"/>
          <w:sz w:val="24"/>
        </w:rPr>
        <w:t>应将投标文件第一部分和第二部分的内容</w:t>
      </w:r>
      <w:r>
        <w:rPr>
          <w:rFonts w:hint="eastAsia" w:ascii="宋体" w:hAnsi="宋体" w:eastAsia="宋体" w:cs="宋体"/>
          <w:color w:val="auto"/>
          <w:sz w:val="24"/>
          <w:lang w:val="en-US" w:eastAsia="zh-CN"/>
        </w:rPr>
        <w:t>合订成一册</w:t>
      </w:r>
      <w:r>
        <w:rPr>
          <w:rFonts w:hint="eastAsia" w:ascii="宋体" w:hAnsi="宋体" w:eastAsia="宋体" w:cs="宋体"/>
          <w:color w:val="auto"/>
          <w:sz w:val="24"/>
        </w:rPr>
        <w:t>密封提交，并在封皮正面标明“</w:t>
      </w:r>
      <w:r>
        <w:rPr>
          <w:rFonts w:hint="eastAsia" w:ascii="宋体" w:hAnsi="宋体" w:eastAsia="宋体" w:cs="宋体"/>
          <w:color w:val="auto"/>
          <w:sz w:val="24"/>
          <w:lang w:val="en-US" w:eastAsia="zh-CN"/>
        </w:rPr>
        <w:t>投标</w:t>
      </w:r>
      <w:r>
        <w:rPr>
          <w:rFonts w:hint="eastAsia" w:ascii="宋体" w:hAnsi="宋体" w:eastAsia="宋体" w:cs="宋体"/>
          <w:color w:val="auto"/>
          <w:sz w:val="24"/>
        </w:rPr>
        <w:t>文件”字样。</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15.2   所有包装封皮和信封上均应：</w:t>
      </w:r>
    </w:p>
    <w:p>
      <w:pPr>
        <w:spacing w:line="360" w:lineRule="exact"/>
        <w:ind w:left="898" w:leftChars="399" w:hanging="60" w:hangingChars="25"/>
        <w:rPr>
          <w:rFonts w:hint="eastAsia" w:ascii="宋体" w:hAnsi="宋体" w:eastAsia="宋体" w:cs="宋体"/>
          <w:color w:val="auto"/>
          <w:sz w:val="24"/>
        </w:rPr>
      </w:pPr>
      <w:r>
        <w:rPr>
          <w:rFonts w:hint="eastAsia" w:ascii="宋体" w:hAnsi="宋体" w:eastAsia="宋体" w:cs="宋体"/>
          <w:color w:val="auto"/>
          <w:sz w:val="24"/>
        </w:rPr>
        <w:t>（1）注明招标公告或投标邀请书中指明的项目名称、</w:t>
      </w:r>
      <w:r>
        <w:rPr>
          <w:rFonts w:hint="eastAsia" w:ascii="宋体" w:hAnsi="宋体" w:eastAsia="宋体" w:cs="宋体"/>
          <w:color w:val="auto"/>
          <w:sz w:val="24"/>
          <w:lang w:eastAsia="zh-CN"/>
        </w:rPr>
        <w:t>项目编号</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名称和“在（开标时间）之前不得启封”的字样。</w:t>
      </w:r>
    </w:p>
    <w:p>
      <w:pPr>
        <w:spacing w:line="360" w:lineRule="exact"/>
        <w:ind w:left="898" w:leftChars="399" w:hanging="60" w:hangingChars="25"/>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b/>
          <w:bCs/>
          <w:color w:val="auto"/>
          <w:sz w:val="24"/>
        </w:rPr>
        <w:t>在封口处加盖供应商单位</w:t>
      </w:r>
      <w:r>
        <w:rPr>
          <w:rFonts w:hint="eastAsia" w:ascii="宋体" w:hAnsi="宋体" w:eastAsia="宋体" w:cs="宋体"/>
          <w:b/>
          <w:bCs/>
          <w:color w:val="auto"/>
          <w:sz w:val="24"/>
          <w:lang w:eastAsia="zh-CN"/>
        </w:rPr>
        <w:t>鲜</w:t>
      </w:r>
      <w:r>
        <w:rPr>
          <w:rFonts w:hint="eastAsia" w:ascii="宋体" w:hAnsi="宋体" w:eastAsia="宋体" w:cs="宋体"/>
          <w:b/>
          <w:bCs/>
          <w:color w:val="auto"/>
          <w:sz w:val="24"/>
        </w:rPr>
        <w:t>章。</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15.3    如果</w:t>
      </w:r>
      <w:r>
        <w:rPr>
          <w:rFonts w:hint="eastAsia" w:ascii="宋体" w:hAnsi="宋体" w:eastAsia="宋体" w:cs="宋体"/>
          <w:color w:val="auto"/>
          <w:sz w:val="24"/>
          <w:lang w:eastAsia="zh-CN"/>
        </w:rPr>
        <w:t>供应商</w:t>
      </w:r>
      <w:r>
        <w:rPr>
          <w:rFonts w:hint="eastAsia" w:ascii="宋体" w:hAnsi="宋体" w:eastAsia="宋体" w:cs="宋体"/>
          <w:color w:val="auto"/>
          <w:sz w:val="24"/>
        </w:rPr>
        <w:t>未按上述要求密封</w:t>
      </w:r>
      <w:r>
        <w:rPr>
          <w:rFonts w:hint="eastAsia" w:ascii="宋体" w:hAnsi="宋体" w:eastAsia="宋体" w:cs="宋体"/>
          <w:color w:val="auto"/>
          <w:sz w:val="24"/>
          <w:lang w:eastAsia="zh-CN"/>
        </w:rPr>
        <w:t>和标记</w:t>
      </w:r>
      <w:r>
        <w:rPr>
          <w:rFonts w:hint="eastAsia" w:ascii="宋体" w:hAnsi="宋体" w:eastAsia="宋体" w:cs="宋体"/>
          <w:color w:val="auto"/>
          <w:sz w:val="24"/>
        </w:rPr>
        <w:t>的，将被拒绝接收。</w:t>
      </w:r>
    </w:p>
    <w:p>
      <w:pPr>
        <w:pStyle w:val="5"/>
        <w:spacing w:before="0" w:after="0" w:line="360" w:lineRule="exact"/>
        <w:rPr>
          <w:rFonts w:hint="eastAsia" w:ascii="宋体" w:hAnsi="宋体" w:eastAsia="宋体" w:cs="宋体"/>
          <w:color w:val="auto"/>
          <w:u w:val="none"/>
        </w:rPr>
      </w:pPr>
      <w:bookmarkStart w:id="144" w:name="_Toc515647776"/>
      <w:bookmarkStart w:id="145" w:name="_Toc12751"/>
      <w:bookmarkStart w:id="146" w:name="_Toc12057"/>
      <w:bookmarkStart w:id="147" w:name="_Toc27288"/>
      <w:bookmarkStart w:id="148" w:name="_Toc22926"/>
      <w:bookmarkStart w:id="149" w:name="_Toc520356161"/>
      <w:bookmarkStart w:id="150" w:name="_Toc9840"/>
      <w:r>
        <w:rPr>
          <w:rFonts w:hint="eastAsia" w:ascii="宋体" w:hAnsi="宋体" w:eastAsia="宋体" w:cs="宋体"/>
          <w:color w:val="auto"/>
          <w:u w:val="none"/>
        </w:rPr>
        <w:t>16.投标截止</w:t>
      </w:r>
      <w:bookmarkEnd w:id="144"/>
      <w:bookmarkEnd w:id="145"/>
      <w:bookmarkEnd w:id="146"/>
      <w:bookmarkEnd w:id="147"/>
      <w:bookmarkEnd w:id="148"/>
      <w:bookmarkEnd w:id="149"/>
      <w:bookmarkEnd w:id="150"/>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16.1</w:t>
      </w:r>
      <w:r>
        <w:rPr>
          <w:rFonts w:hint="eastAsia" w:ascii="宋体" w:hAnsi="宋体" w:eastAsia="宋体" w:cs="宋体"/>
          <w:color w:val="auto"/>
          <w:sz w:val="24"/>
        </w:rPr>
        <w:tab/>
      </w:r>
      <w:r>
        <w:rPr>
          <w:rFonts w:hint="eastAsia" w:ascii="宋体" w:hAnsi="宋体" w:eastAsia="宋体" w:cs="宋体"/>
          <w:color w:val="auto"/>
          <w:sz w:val="24"/>
          <w:lang w:eastAsia="zh-CN"/>
        </w:rPr>
        <w:t>供应商</w:t>
      </w:r>
      <w:r>
        <w:rPr>
          <w:rFonts w:hint="eastAsia" w:ascii="宋体" w:hAnsi="宋体" w:eastAsia="宋体" w:cs="宋体"/>
          <w:color w:val="auto"/>
          <w:sz w:val="24"/>
        </w:rPr>
        <w:t>应在</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须知资料表中</w:t>
      </w:r>
      <w:r>
        <w:rPr>
          <w:rFonts w:hint="eastAsia" w:ascii="宋体" w:hAnsi="宋体" w:eastAsia="宋体" w:cs="宋体"/>
          <w:color w:val="auto"/>
          <w:sz w:val="24"/>
        </w:rPr>
        <w:t>规定的截止时间前，将投标文件递交到招标公告中规定的地点。</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16.2</w:t>
      </w:r>
      <w:r>
        <w:rPr>
          <w:rFonts w:hint="eastAsia" w:ascii="宋体" w:hAnsi="宋体" w:eastAsia="宋体" w:cs="宋体"/>
          <w:color w:val="auto"/>
          <w:sz w:val="24"/>
        </w:rPr>
        <w:tab/>
      </w:r>
      <w:r>
        <w:rPr>
          <w:rFonts w:hint="eastAsia" w:ascii="宋体" w:hAnsi="宋体" w:eastAsia="宋体" w:cs="宋体"/>
          <w:color w:val="auto"/>
          <w:sz w:val="24"/>
        </w:rPr>
        <w:t>采购人和采购代理机构有权按本须知的规定，延迟投标截止时间。在此情况下，采购人、采购代理机构和</w:t>
      </w:r>
      <w:r>
        <w:rPr>
          <w:rFonts w:hint="eastAsia" w:ascii="宋体" w:hAnsi="宋体" w:eastAsia="宋体" w:cs="宋体"/>
          <w:color w:val="auto"/>
          <w:sz w:val="24"/>
          <w:lang w:eastAsia="zh-CN"/>
        </w:rPr>
        <w:t>供应商</w:t>
      </w:r>
      <w:r>
        <w:rPr>
          <w:rFonts w:hint="eastAsia" w:ascii="宋体" w:hAnsi="宋体" w:eastAsia="宋体" w:cs="宋体"/>
          <w:color w:val="auto"/>
          <w:sz w:val="24"/>
        </w:rPr>
        <w:t>受投标截止时间制约的所有权利和义务均应延长至新的截止时间。</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16.3</w:t>
      </w:r>
      <w:r>
        <w:rPr>
          <w:rFonts w:hint="eastAsia" w:ascii="宋体" w:hAnsi="宋体" w:eastAsia="宋体" w:cs="宋体"/>
          <w:color w:val="auto"/>
          <w:sz w:val="24"/>
        </w:rPr>
        <w:tab/>
      </w:r>
      <w:r>
        <w:rPr>
          <w:rFonts w:hint="eastAsia" w:ascii="宋体" w:hAnsi="宋体" w:eastAsia="宋体" w:cs="宋体"/>
          <w:color w:val="auto"/>
          <w:sz w:val="24"/>
        </w:rPr>
        <w:t>采购人和采购代理机构将拒绝接收在投标截止时间后送达的投标文件。</w:t>
      </w:r>
    </w:p>
    <w:p>
      <w:pPr>
        <w:pStyle w:val="5"/>
        <w:spacing w:before="0" w:after="0" w:line="360" w:lineRule="exact"/>
        <w:rPr>
          <w:rFonts w:hint="eastAsia" w:ascii="宋体" w:hAnsi="宋体" w:eastAsia="宋体" w:cs="宋体"/>
          <w:color w:val="auto"/>
          <w:u w:val="none"/>
        </w:rPr>
      </w:pPr>
      <w:bookmarkStart w:id="151" w:name="_Toc19272"/>
      <w:bookmarkStart w:id="152" w:name="_Toc24859"/>
      <w:bookmarkStart w:id="153" w:name="_Toc15698"/>
      <w:bookmarkStart w:id="154" w:name="_Toc520356162"/>
      <w:bookmarkStart w:id="155" w:name="_Toc515647777"/>
      <w:bookmarkStart w:id="156" w:name="_Toc18537"/>
      <w:bookmarkStart w:id="157" w:name="_Toc24275"/>
      <w:r>
        <w:rPr>
          <w:rFonts w:hint="eastAsia" w:ascii="宋体" w:hAnsi="宋体" w:eastAsia="宋体" w:cs="宋体"/>
          <w:color w:val="auto"/>
          <w:u w:val="none"/>
        </w:rPr>
        <w:t>17.投标文件的接收、修改与撤回</w:t>
      </w:r>
      <w:bookmarkEnd w:id="151"/>
      <w:bookmarkEnd w:id="152"/>
      <w:bookmarkEnd w:id="153"/>
      <w:bookmarkEnd w:id="154"/>
      <w:bookmarkEnd w:id="155"/>
      <w:bookmarkEnd w:id="156"/>
      <w:bookmarkEnd w:id="157"/>
    </w:p>
    <w:p>
      <w:pPr>
        <w:spacing w:line="360" w:lineRule="exact"/>
        <w:ind w:left="900" w:hanging="900" w:hangingChars="375"/>
        <w:rPr>
          <w:rFonts w:hint="eastAsia" w:ascii="宋体" w:hAnsi="宋体" w:eastAsia="宋体" w:cs="宋体"/>
          <w:color w:val="auto"/>
        </w:rPr>
      </w:pPr>
      <w:r>
        <w:rPr>
          <w:rFonts w:hint="eastAsia" w:ascii="宋体" w:hAnsi="宋体" w:eastAsia="宋体" w:cs="宋体"/>
          <w:color w:val="auto"/>
          <w:sz w:val="24"/>
        </w:rPr>
        <w:t>17.1</w:t>
      </w:r>
      <w:r>
        <w:rPr>
          <w:rFonts w:hint="eastAsia" w:ascii="宋体" w:hAnsi="宋体" w:eastAsia="宋体" w:cs="宋体"/>
          <w:color w:val="auto"/>
          <w:sz w:val="24"/>
        </w:rPr>
        <w:tab/>
      </w:r>
      <w:r>
        <w:rPr>
          <w:rFonts w:hint="eastAsia" w:ascii="宋体" w:hAnsi="宋体" w:eastAsia="宋体" w:cs="宋体"/>
          <w:color w:val="auto"/>
          <w:sz w:val="24"/>
        </w:rPr>
        <w:t>在投标截止时间后送达的投标文件的，采购人和采购代理机构将拒绝接收。</w:t>
      </w:r>
    </w:p>
    <w:p>
      <w:pPr>
        <w:spacing w:line="360" w:lineRule="exact"/>
        <w:ind w:left="840" w:hanging="840" w:hangingChars="350"/>
        <w:rPr>
          <w:rFonts w:hint="eastAsia" w:ascii="宋体" w:hAnsi="宋体" w:eastAsia="宋体" w:cs="宋体"/>
          <w:color w:val="auto"/>
          <w:sz w:val="24"/>
        </w:rPr>
      </w:pPr>
      <w:r>
        <w:rPr>
          <w:rFonts w:hint="eastAsia" w:ascii="宋体" w:hAnsi="宋体" w:eastAsia="宋体" w:cs="宋体"/>
          <w:color w:val="auto"/>
          <w:sz w:val="24"/>
          <w:highlight w:val="none"/>
        </w:rPr>
        <w:t>17.2</w:t>
      </w:r>
      <w:r>
        <w:rPr>
          <w:rFonts w:hint="eastAsia" w:ascii="宋体" w:hAnsi="宋体" w:eastAsia="宋体" w:cs="宋体"/>
          <w:color w:val="auto"/>
          <w:sz w:val="24"/>
        </w:rPr>
        <w:tab/>
      </w:r>
      <w:r>
        <w:rPr>
          <w:rFonts w:hint="eastAsia" w:ascii="宋体" w:hAnsi="宋体" w:eastAsia="宋体" w:cs="宋体"/>
          <w:color w:val="auto"/>
          <w:sz w:val="24"/>
        </w:rPr>
        <w:t>投标文件以后，如果</w:t>
      </w:r>
      <w:r>
        <w:rPr>
          <w:rFonts w:hint="eastAsia" w:ascii="宋体" w:hAnsi="宋体" w:eastAsia="宋体" w:cs="宋体"/>
          <w:color w:val="auto"/>
          <w:sz w:val="24"/>
          <w:lang w:eastAsia="zh-CN"/>
        </w:rPr>
        <w:t>供应商</w:t>
      </w:r>
      <w:r>
        <w:rPr>
          <w:rFonts w:hint="eastAsia" w:ascii="宋体" w:hAnsi="宋体" w:eastAsia="宋体" w:cs="宋体"/>
          <w:color w:val="auto"/>
          <w:sz w:val="24"/>
        </w:rPr>
        <w:t>要进行修改或撤回投标，须提出书面申请并在投标截止时间前送达开标地点，</w:t>
      </w:r>
      <w:r>
        <w:rPr>
          <w:rFonts w:hint="eastAsia" w:ascii="宋体" w:hAnsi="宋体" w:eastAsia="宋体" w:cs="宋体"/>
          <w:color w:val="auto"/>
          <w:sz w:val="24"/>
          <w:lang w:eastAsia="zh-CN"/>
        </w:rPr>
        <w:t>供应商</w:t>
      </w:r>
      <w:r>
        <w:rPr>
          <w:rFonts w:hint="eastAsia" w:ascii="宋体" w:hAnsi="宋体" w:eastAsia="宋体" w:cs="宋体"/>
          <w:color w:val="auto"/>
          <w:sz w:val="24"/>
        </w:rPr>
        <w:t>对投标文件的修改或撤回通知应按本须知规定编制、密封、标记。</w:t>
      </w:r>
    </w:p>
    <w:p>
      <w:pPr>
        <w:spacing w:line="360" w:lineRule="exact"/>
        <w:ind w:left="735" w:leftChars="350" w:firstLine="120" w:firstLineChars="50"/>
        <w:rPr>
          <w:rFonts w:hint="eastAsia" w:ascii="宋体" w:hAnsi="宋体" w:eastAsia="宋体" w:cs="宋体"/>
          <w:color w:val="auto"/>
          <w:sz w:val="24"/>
        </w:rPr>
      </w:pPr>
      <w:r>
        <w:rPr>
          <w:rFonts w:hint="eastAsia" w:ascii="宋体" w:hAnsi="宋体" w:eastAsia="宋体" w:cs="宋体"/>
          <w:color w:val="auto"/>
          <w:sz w:val="24"/>
        </w:rPr>
        <w:t>采购人和采购代理机构将予以接收，并视为投标文件的组成部分。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17.</w:t>
      </w:r>
      <w:r>
        <w:rPr>
          <w:rFonts w:hint="eastAsia" w:ascii="宋体" w:hAnsi="宋体" w:eastAsia="宋体" w:cs="宋体"/>
          <w:color w:val="auto"/>
          <w:sz w:val="24"/>
          <w:lang w:val="en-US" w:eastAsia="zh-CN"/>
        </w:rPr>
        <w:t>3</w:t>
      </w:r>
      <w:r>
        <w:rPr>
          <w:rFonts w:hint="eastAsia" w:ascii="宋体" w:hAnsi="宋体" w:eastAsia="宋体" w:cs="宋体"/>
          <w:color w:val="auto"/>
          <w:sz w:val="24"/>
        </w:rPr>
        <w:tab/>
      </w:r>
      <w:r>
        <w:rPr>
          <w:rFonts w:hint="eastAsia" w:ascii="宋体" w:hAnsi="宋体" w:eastAsia="宋体" w:cs="宋体"/>
          <w:color w:val="auto"/>
          <w:sz w:val="24"/>
        </w:rPr>
        <w:t>在投标截止期之后，采购人和采购代理机构不接受</w:t>
      </w:r>
      <w:r>
        <w:rPr>
          <w:rFonts w:hint="eastAsia" w:ascii="宋体" w:hAnsi="宋体" w:eastAsia="宋体" w:cs="宋体"/>
          <w:color w:val="auto"/>
          <w:sz w:val="24"/>
          <w:lang w:eastAsia="zh-CN"/>
        </w:rPr>
        <w:t>供应商</w:t>
      </w:r>
      <w:r>
        <w:rPr>
          <w:rFonts w:hint="eastAsia" w:ascii="宋体" w:hAnsi="宋体" w:eastAsia="宋体" w:cs="宋体"/>
          <w:color w:val="auto"/>
          <w:sz w:val="24"/>
        </w:rPr>
        <w:t>主动对其投标文件做任何修改。</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17.</w:t>
      </w:r>
      <w:r>
        <w:rPr>
          <w:rFonts w:hint="eastAsia" w:ascii="宋体" w:hAnsi="宋体" w:eastAsia="宋体" w:cs="宋体"/>
          <w:color w:val="auto"/>
          <w:sz w:val="24"/>
          <w:lang w:val="en-US" w:eastAsia="zh-CN"/>
        </w:rPr>
        <w:t>4</w:t>
      </w:r>
      <w:r>
        <w:rPr>
          <w:rFonts w:hint="eastAsia" w:ascii="宋体" w:hAnsi="宋体" w:eastAsia="宋体" w:cs="宋体"/>
          <w:color w:val="auto"/>
          <w:sz w:val="24"/>
        </w:rPr>
        <w:tab/>
      </w:r>
      <w:r>
        <w:rPr>
          <w:rFonts w:hint="eastAsia" w:ascii="宋体" w:hAnsi="宋体" w:eastAsia="宋体" w:cs="宋体"/>
          <w:color w:val="auto"/>
          <w:sz w:val="24"/>
        </w:rPr>
        <w:t>采购人和采购代理机构对所接收投标文件概不退回。</w:t>
      </w:r>
    </w:p>
    <w:p>
      <w:pPr>
        <w:spacing w:line="280" w:lineRule="exact"/>
        <w:rPr>
          <w:rFonts w:hint="eastAsia" w:ascii="宋体" w:hAnsi="宋体" w:eastAsia="宋体" w:cs="宋体"/>
          <w:color w:val="auto"/>
          <w:sz w:val="24"/>
        </w:rPr>
      </w:pPr>
    </w:p>
    <w:p>
      <w:pPr>
        <w:pStyle w:val="4"/>
        <w:spacing w:before="0" w:line="280" w:lineRule="exact"/>
        <w:ind w:left="1080" w:leftChars="257" w:hanging="540"/>
        <w:rPr>
          <w:rFonts w:hint="eastAsia" w:ascii="宋体" w:hAnsi="宋体" w:eastAsia="宋体" w:cs="宋体"/>
          <w:color w:val="auto"/>
        </w:rPr>
      </w:pPr>
      <w:bookmarkStart w:id="158" w:name="_Toc216582809"/>
      <w:bookmarkStart w:id="159" w:name="_Toc12436"/>
      <w:bookmarkStart w:id="160" w:name="_Toc28398"/>
      <w:bookmarkStart w:id="161" w:name="_Toc515647778"/>
      <w:bookmarkStart w:id="162" w:name="_Toc520356163"/>
      <w:bookmarkStart w:id="163" w:name="_Toc28155"/>
      <w:r>
        <w:rPr>
          <w:rFonts w:hint="eastAsia" w:ascii="宋体" w:hAnsi="宋体" w:eastAsia="宋体" w:cs="宋体"/>
          <w:color w:val="auto"/>
          <w:sz w:val="24"/>
        </w:rPr>
        <w:t>五   开标及评标</w:t>
      </w:r>
      <w:bookmarkEnd w:id="158"/>
      <w:bookmarkEnd w:id="159"/>
      <w:bookmarkEnd w:id="160"/>
      <w:bookmarkEnd w:id="161"/>
      <w:bookmarkEnd w:id="162"/>
      <w:bookmarkEnd w:id="163"/>
    </w:p>
    <w:p>
      <w:pPr>
        <w:pStyle w:val="5"/>
        <w:numPr>
          <w:ilvl w:val="0"/>
          <w:numId w:val="4"/>
        </w:numPr>
        <w:spacing w:line="280" w:lineRule="exact"/>
        <w:rPr>
          <w:rFonts w:hint="eastAsia" w:ascii="宋体" w:hAnsi="宋体" w:eastAsia="宋体" w:cs="宋体"/>
          <w:color w:val="auto"/>
        </w:rPr>
      </w:pPr>
      <w:bookmarkStart w:id="164" w:name="_Toc22985"/>
      <w:bookmarkStart w:id="165" w:name="_Toc1321"/>
      <w:bookmarkStart w:id="166" w:name="_Toc25345"/>
      <w:bookmarkStart w:id="167" w:name="_Toc520356164"/>
      <w:bookmarkStart w:id="168" w:name="_Toc23541"/>
      <w:bookmarkStart w:id="169" w:name="_Toc515647779"/>
      <w:bookmarkStart w:id="170" w:name="_Toc7186"/>
      <w:r>
        <w:rPr>
          <w:rFonts w:hint="eastAsia" w:ascii="宋体" w:hAnsi="宋体" w:eastAsia="宋体" w:cs="宋体"/>
          <w:color w:val="auto"/>
          <w:u w:val="none"/>
        </w:rPr>
        <w:t>开标</w:t>
      </w:r>
      <w:bookmarkEnd w:id="164"/>
      <w:bookmarkEnd w:id="165"/>
      <w:bookmarkEnd w:id="166"/>
      <w:bookmarkEnd w:id="167"/>
      <w:bookmarkEnd w:id="168"/>
      <w:bookmarkEnd w:id="169"/>
      <w:bookmarkEnd w:id="170"/>
    </w:p>
    <w:p>
      <w:pPr>
        <w:numPr>
          <w:ilvl w:val="1"/>
          <w:numId w:val="4"/>
        </w:numPr>
        <w:spacing w:line="28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采购人和采购代理机构将按</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中规定的开标时间和地点组织公开开标并邀请所有</w:t>
      </w:r>
      <w:r>
        <w:rPr>
          <w:rFonts w:hint="eastAsia" w:ascii="宋体" w:hAnsi="宋体" w:eastAsia="宋体" w:cs="宋体"/>
          <w:color w:val="auto"/>
          <w:sz w:val="24"/>
          <w:lang w:eastAsia="zh-CN"/>
        </w:rPr>
        <w:t>供应商</w:t>
      </w:r>
      <w:r>
        <w:rPr>
          <w:rFonts w:hint="eastAsia" w:ascii="宋体" w:hAnsi="宋体" w:eastAsia="宋体" w:cs="宋体"/>
          <w:color w:val="auto"/>
          <w:sz w:val="24"/>
        </w:rPr>
        <w:t>代表参加。</w:t>
      </w:r>
    </w:p>
    <w:p>
      <w:pPr>
        <w:spacing w:line="360" w:lineRule="exact"/>
        <w:ind w:left="735" w:leftChars="350" w:firstLine="120" w:firstLineChars="5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不足3家的，不得开标。</w:t>
      </w:r>
    </w:p>
    <w:p>
      <w:pPr>
        <w:spacing w:line="36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18.2   开标时，由</w:t>
      </w:r>
      <w:r>
        <w:rPr>
          <w:rFonts w:hint="eastAsia" w:ascii="宋体" w:hAnsi="宋体" w:eastAsia="宋体" w:cs="宋体"/>
          <w:color w:val="auto"/>
          <w:sz w:val="24"/>
          <w:lang w:eastAsia="zh-CN"/>
        </w:rPr>
        <w:t>供应商</w:t>
      </w:r>
      <w:r>
        <w:rPr>
          <w:rFonts w:hint="eastAsia" w:ascii="宋体" w:hAnsi="宋体" w:eastAsia="宋体" w:cs="宋体"/>
          <w:color w:val="auto"/>
          <w:sz w:val="24"/>
        </w:rPr>
        <w:t>或其推选的代表检查自己或所代表的投标文件的密封情况，经记录后，由采购人或采购代理机构当众拆封投标文件第一部分，宣读</w:t>
      </w:r>
      <w:r>
        <w:rPr>
          <w:rFonts w:hint="eastAsia" w:ascii="宋体" w:hAnsi="宋体" w:eastAsia="宋体" w:cs="宋体"/>
          <w:color w:val="auto"/>
          <w:sz w:val="24"/>
          <w:lang w:eastAsia="zh-CN"/>
        </w:rPr>
        <w:t>供应商</w:t>
      </w:r>
      <w:r>
        <w:rPr>
          <w:rFonts w:hint="eastAsia" w:ascii="宋体" w:hAnsi="宋体" w:eastAsia="宋体" w:cs="宋体"/>
          <w:color w:val="auto"/>
          <w:sz w:val="24"/>
        </w:rPr>
        <w:t>名称、投标价格及招标文件规定的内容。对于</w:t>
      </w:r>
      <w:r>
        <w:rPr>
          <w:rFonts w:hint="eastAsia" w:ascii="宋体" w:hAnsi="宋体" w:eastAsia="宋体" w:cs="宋体"/>
          <w:color w:val="auto"/>
          <w:sz w:val="24"/>
          <w:lang w:eastAsia="zh-CN"/>
        </w:rPr>
        <w:t>供应商</w:t>
      </w:r>
      <w:r>
        <w:rPr>
          <w:rFonts w:hint="eastAsia" w:ascii="宋体" w:hAnsi="宋体" w:eastAsia="宋体" w:cs="宋体"/>
          <w:color w:val="auto"/>
          <w:sz w:val="24"/>
        </w:rPr>
        <w:t>在投标截止期前递交的投标声明，在开标时当众宣读，评标时有效。</w:t>
      </w:r>
    </w:p>
    <w:p>
      <w:pPr>
        <w:spacing w:line="360" w:lineRule="exact"/>
        <w:ind w:left="1079" w:leftChars="428" w:hanging="180" w:hangingChars="75"/>
        <w:rPr>
          <w:rFonts w:hint="eastAsia" w:ascii="宋体" w:hAnsi="宋体" w:eastAsia="宋体" w:cs="宋体"/>
          <w:color w:val="auto"/>
          <w:sz w:val="24"/>
        </w:rPr>
      </w:pPr>
      <w:r>
        <w:rPr>
          <w:rFonts w:hint="eastAsia" w:ascii="宋体" w:hAnsi="宋体" w:eastAsia="宋体" w:cs="宋体"/>
          <w:color w:val="auto"/>
          <w:sz w:val="24"/>
        </w:rPr>
        <w:t>未宣读投标价格、价格折扣等实质内容，评标时不予承认。</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18.3    采购人或采购代理机构将对开标过程进行记录</w:t>
      </w:r>
      <w:bookmarkStart w:id="171" w:name="_Toc520356165"/>
      <w:r>
        <w:rPr>
          <w:rFonts w:hint="eastAsia" w:ascii="宋体" w:hAnsi="宋体" w:eastAsia="宋体" w:cs="宋体"/>
          <w:color w:val="auto"/>
          <w:sz w:val="24"/>
        </w:rPr>
        <w:t>，由参加开标的各</w:t>
      </w:r>
      <w:r>
        <w:rPr>
          <w:rFonts w:hint="eastAsia" w:ascii="宋体" w:hAnsi="宋体" w:eastAsia="宋体" w:cs="宋体"/>
          <w:color w:val="auto"/>
          <w:sz w:val="24"/>
          <w:lang w:eastAsia="zh-CN"/>
        </w:rPr>
        <w:t>供应商</w:t>
      </w:r>
      <w:r>
        <w:rPr>
          <w:rFonts w:hint="eastAsia" w:ascii="宋体" w:hAnsi="宋体" w:eastAsia="宋体" w:cs="宋体"/>
          <w:color w:val="auto"/>
          <w:sz w:val="24"/>
        </w:rPr>
        <w:t>代表和相关工作人员签字确认，并存档备查。</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18.4    </w:t>
      </w:r>
      <w:r>
        <w:rPr>
          <w:rFonts w:hint="eastAsia" w:ascii="宋体" w:hAnsi="宋体" w:eastAsia="宋体" w:cs="宋体"/>
          <w:color w:val="auto"/>
          <w:sz w:val="24"/>
          <w:lang w:eastAsia="zh-CN"/>
        </w:rPr>
        <w:t>供应商</w:t>
      </w:r>
      <w:r>
        <w:rPr>
          <w:rFonts w:hint="eastAsia" w:ascii="宋体" w:hAnsi="宋体" w:eastAsia="宋体" w:cs="宋体"/>
          <w:color w:val="auto"/>
          <w:sz w:val="24"/>
        </w:rPr>
        <w:t>代表对开标过程和开标记录有疑义，以及认为采购人、采购代理机构相关工作人员有需要回避的情形的，应当场提出询问或者回避申请。</w:t>
      </w:r>
    </w:p>
    <w:p>
      <w:pPr>
        <w:pStyle w:val="5"/>
        <w:spacing w:before="0" w:after="0" w:line="360" w:lineRule="exact"/>
        <w:rPr>
          <w:rFonts w:hint="eastAsia" w:ascii="宋体" w:hAnsi="宋体" w:eastAsia="宋体" w:cs="宋体"/>
          <w:color w:val="auto"/>
          <w:u w:val="none"/>
        </w:rPr>
      </w:pPr>
      <w:bookmarkStart w:id="172" w:name="_Toc21372"/>
      <w:bookmarkStart w:id="173" w:name="_Toc7496"/>
      <w:bookmarkStart w:id="174" w:name="_Toc515647780"/>
      <w:bookmarkStart w:id="175" w:name="_Toc29721"/>
      <w:bookmarkStart w:id="176" w:name="_Toc19296"/>
      <w:bookmarkStart w:id="177" w:name="_Toc10892"/>
      <w:r>
        <w:rPr>
          <w:rFonts w:hint="eastAsia" w:ascii="宋体" w:hAnsi="宋体" w:eastAsia="宋体" w:cs="宋体"/>
          <w:color w:val="auto"/>
          <w:u w:val="none"/>
        </w:rPr>
        <w:t>19.</w:t>
      </w:r>
      <w:bookmarkEnd w:id="171"/>
      <w:r>
        <w:rPr>
          <w:rFonts w:hint="eastAsia" w:ascii="宋体" w:hAnsi="宋体" w:eastAsia="宋体" w:cs="宋体"/>
          <w:color w:val="auto"/>
          <w:u w:val="none"/>
        </w:rPr>
        <w:t>资格审查及组建评标委员会</w:t>
      </w:r>
      <w:bookmarkEnd w:id="172"/>
      <w:bookmarkEnd w:id="173"/>
      <w:bookmarkEnd w:id="174"/>
      <w:bookmarkEnd w:id="175"/>
      <w:bookmarkEnd w:id="176"/>
      <w:bookmarkEnd w:id="177"/>
    </w:p>
    <w:p>
      <w:pPr>
        <w:spacing w:line="360" w:lineRule="exact"/>
        <w:ind w:left="960" w:hanging="960" w:hangingChars="400"/>
        <w:rPr>
          <w:rFonts w:hint="eastAsia" w:ascii="宋体" w:hAnsi="宋体" w:eastAsia="宋体" w:cs="宋体"/>
          <w:color w:val="auto"/>
          <w:sz w:val="24"/>
        </w:rPr>
      </w:pPr>
      <w:r>
        <w:rPr>
          <w:rFonts w:hint="eastAsia" w:ascii="宋体" w:hAnsi="宋体" w:eastAsia="宋体" w:cs="宋体"/>
          <w:color w:val="auto"/>
          <w:sz w:val="24"/>
        </w:rPr>
        <w:t>19.1    采购人或采购代理机构依据法律法规和招标文件中规定的内容，对</w:t>
      </w:r>
      <w:r>
        <w:rPr>
          <w:rFonts w:hint="eastAsia" w:ascii="宋体" w:hAnsi="宋体" w:eastAsia="宋体" w:cs="宋体"/>
          <w:color w:val="auto"/>
          <w:sz w:val="24"/>
          <w:lang w:eastAsia="zh-CN"/>
        </w:rPr>
        <w:t>供应商</w:t>
      </w:r>
      <w:r>
        <w:rPr>
          <w:rFonts w:hint="eastAsia" w:ascii="宋体" w:hAnsi="宋体" w:eastAsia="宋体" w:cs="宋体"/>
          <w:color w:val="auto"/>
          <w:sz w:val="24"/>
        </w:rPr>
        <w:t>及其</w:t>
      </w:r>
      <w:r>
        <w:rPr>
          <w:rFonts w:hint="eastAsia" w:ascii="宋体" w:hAnsi="宋体" w:eastAsia="宋体" w:cs="宋体"/>
          <w:color w:val="auto"/>
          <w:sz w:val="24"/>
          <w:lang w:eastAsia="zh-CN"/>
        </w:rPr>
        <w:t>服务</w:t>
      </w:r>
      <w:r>
        <w:rPr>
          <w:rFonts w:hint="eastAsia" w:ascii="宋体" w:hAnsi="宋体" w:eastAsia="宋体" w:cs="宋体"/>
          <w:color w:val="auto"/>
          <w:sz w:val="24"/>
        </w:rPr>
        <w:t>的资格进行审查，</w:t>
      </w:r>
      <w:r>
        <w:rPr>
          <w:rFonts w:hint="eastAsia" w:ascii="宋体" w:hAnsi="宋体" w:eastAsia="宋体" w:cs="宋体"/>
          <w:b/>
          <w:bCs/>
          <w:color w:val="auto"/>
          <w:sz w:val="24"/>
        </w:rPr>
        <w:t>本项目审查内容如下</w:t>
      </w:r>
      <w:r>
        <w:rPr>
          <w:rFonts w:hint="eastAsia" w:ascii="宋体" w:hAnsi="宋体" w:cs="宋体"/>
          <w:b/>
          <w:bCs/>
          <w:color w:val="auto"/>
          <w:sz w:val="24"/>
          <w:lang w:val="en-US" w:eastAsia="zh-CN"/>
        </w:rPr>
        <w:t>(</w:t>
      </w:r>
      <w:r>
        <w:rPr>
          <w:rFonts w:hint="eastAsia" w:ascii="宋体" w:hAnsi="宋体" w:eastAsia="宋体" w:cs="宋体"/>
          <w:b/>
          <w:bCs/>
          <w:i w:val="0"/>
          <w:iCs w:val="0"/>
          <w:color w:val="auto"/>
          <w:kern w:val="2"/>
          <w:sz w:val="24"/>
          <w:szCs w:val="24"/>
          <w:lang w:val="en-US" w:eastAsia="zh-CN" w:bidi="ar-SA"/>
        </w:rPr>
        <w:t>开标时须携带证明资料原件或复印件加盖公章</w:t>
      </w:r>
      <w:r>
        <w:rPr>
          <w:rFonts w:hint="eastAsia" w:ascii="宋体" w:hAnsi="宋体" w:cs="宋体"/>
          <w:b/>
          <w:bCs/>
          <w:color w:val="auto"/>
          <w:sz w:val="24"/>
          <w:lang w:val="en-US" w:eastAsia="zh-CN"/>
        </w:rPr>
        <w:t>)</w:t>
      </w:r>
      <w:r>
        <w:rPr>
          <w:rFonts w:hint="eastAsia" w:ascii="宋体" w:hAnsi="宋体" w:eastAsia="宋体" w:cs="宋体"/>
          <w:b/>
          <w:bCs/>
          <w:color w:val="auto"/>
          <w:sz w:val="24"/>
        </w:rPr>
        <w:t>：</w:t>
      </w:r>
    </w:p>
    <w:p>
      <w:pPr>
        <w:keepNext w:val="0"/>
        <w:keepLines w:val="0"/>
        <w:pageBreakBefore w:val="0"/>
        <w:kinsoku/>
        <w:wordWrap/>
        <w:overflowPunct/>
        <w:topLinePunct w:val="0"/>
        <w:autoSpaceDE/>
        <w:autoSpaceDN/>
        <w:bidi w:val="0"/>
        <w:adjustRightInd/>
        <w:spacing w:line="400" w:lineRule="exact"/>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合格</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的其他资格要求（开标时须携带证明资料</w:t>
      </w:r>
      <w:r>
        <w:rPr>
          <w:rFonts w:hint="eastAsia" w:ascii="宋体" w:hAnsi="宋体" w:eastAsia="宋体" w:cs="宋体"/>
          <w:b/>
          <w:bCs/>
          <w:color w:val="auto"/>
          <w:sz w:val="24"/>
          <w:highlight w:val="none"/>
          <w:lang w:val="en-US" w:eastAsia="zh-CN"/>
        </w:rPr>
        <w:t>原件或复印件加盖公章</w:t>
      </w:r>
      <w:r>
        <w:rPr>
          <w:rFonts w:hint="eastAsia" w:ascii="宋体" w:hAnsi="宋体" w:eastAsia="宋体" w:cs="宋体"/>
          <w:b/>
          <w:bCs/>
          <w:color w:val="auto"/>
          <w:sz w:val="24"/>
          <w:highlight w:val="none"/>
        </w:rPr>
        <w:t>）：</w:t>
      </w: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79" w:leftChars="228" w:right="0" w:rightChars="0" w:firstLine="0" w:firstLineChars="0"/>
        <w:jc w:val="left"/>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1.具有独立承担民事责任的能力；（投标时，提供在中华人民共和国境内注册的法人或事业单位法人证书或社会团体法人登记证书复印件；如国家另有规定的，则从其规定。）</w:t>
      </w: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79" w:leftChars="228" w:right="0" w:rightChars="0" w:firstLine="0" w:firstLineChars="0"/>
        <w:jc w:val="left"/>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2.法人代表身份证明及授权书、被授权人身份证；(法人投标需提供法人身份证复印件)；</w:t>
      </w: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79" w:leftChars="228" w:right="0" w:rightChars="0" w:firstLine="0" w:firstLineChars="0"/>
        <w:jc w:val="left"/>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3.依法缴纳近6个月内任意1个月的社会保险的凭据；</w:t>
      </w: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79" w:leftChars="228" w:right="0" w:rightChars="0" w:firstLine="0" w:firstLineChars="0"/>
        <w:jc w:val="left"/>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4.税务部门出具的近6个月内任意1个月的完税证明；</w:t>
      </w: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79" w:leftChars="228" w:right="0" w:rightChars="0"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lang w:val="en-US" w:eastAsia="zh-CN" w:bidi="ar-SA"/>
        </w:rPr>
        <w:t>5</w:t>
      </w:r>
      <w:r>
        <w:rPr>
          <w:rFonts w:hint="eastAsia" w:ascii="宋体" w:hAnsi="宋体" w:eastAsia="宋体" w:cs="宋体"/>
          <w:b/>
          <w:bCs/>
          <w:i w:val="0"/>
          <w:iCs w:val="0"/>
          <w:color w:val="auto"/>
          <w:kern w:val="2"/>
          <w:sz w:val="24"/>
          <w:szCs w:val="24"/>
          <w:highlight w:val="none"/>
          <w:lang w:val="en-US" w:eastAsia="zh-CN" w:bidi="ar-SA"/>
        </w:rPr>
        <w:t>.近两年任意一年的财务审计报告，新成立的公司提供近6个月中任意1个月的银行资信证明；</w:t>
      </w: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79" w:leftChars="228" w:right="0" w:rightChars="0" w:firstLine="0" w:firstLineChars="0"/>
        <w:jc w:val="left"/>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6.根据《财政部关于在政府采购活动中查询及使用信用记录有关问题的通知》（财库﹝2016﹞125号）的要求，凡拟参加本次招标项目的供应商，如在“信用中国”网站（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代理机构或采购人现场查询为准）；</w:t>
      </w: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79" w:leftChars="228" w:right="0" w:rightChars="0" w:firstLine="0" w:firstLineChars="0"/>
        <w:jc w:val="left"/>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7.参加政府采购活动前3年内未被列入失信、重大税收违法案件、财政部门禁止参加政府采购活动的承诺书；</w:t>
      </w: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79" w:leftChars="228" w:right="0" w:rightChars="0" w:firstLine="0" w:firstLineChars="0"/>
        <w:jc w:val="left"/>
        <w:textAlignment w:val="auto"/>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8.提供针对本次项目《反商业贿赂承诺书》；</w:t>
      </w: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479" w:leftChars="228" w:right="0" w:rightChars="0" w:firstLine="0" w:firstLineChars="0"/>
        <w:jc w:val="left"/>
        <w:textAlignment w:val="auto"/>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9.</w:t>
      </w:r>
      <w:r>
        <w:rPr>
          <w:rFonts w:hint="eastAsia" w:ascii="宋体" w:hAnsi="宋体" w:cs="宋体"/>
          <w:b/>
          <w:bCs/>
          <w:i w:val="0"/>
          <w:iCs w:val="0"/>
          <w:color w:val="auto"/>
          <w:kern w:val="2"/>
          <w:sz w:val="24"/>
          <w:szCs w:val="24"/>
          <w:highlight w:val="none"/>
          <w:lang w:val="en-US" w:eastAsia="zh-CN" w:bidi="ar-SA"/>
        </w:rPr>
        <w:t>投标保证金银行转账回执单等有效凭证</w:t>
      </w:r>
      <w:r>
        <w:rPr>
          <w:rFonts w:hint="eastAsia" w:ascii="宋体" w:hAnsi="宋体" w:eastAsia="宋体" w:cs="宋体"/>
          <w:b/>
          <w:bCs/>
          <w:i w:val="0"/>
          <w:iCs w:val="0"/>
          <w:color w:val="auto"/>
          <w:kern w:val="2"/>
          <w:sz w:val="24"/>
          <w:szCs w:val="24"/>
          <w:highlight w:val="none"/>
          <w:lang w:val="en-US" w:eastAsia="zh-CN" w:bidi="ar-SA"/>
        </w:rPr>
        <w:t>。</w:t>
      </w:r>
    </w:p>
    <w:p>
      <w:pPr>
        <w:spacing w:line="360" w:lineRule="exact"/>
        <w:ind w:left="857" w:leftChars="2" w:hanging="853"/>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各供应商应注意以下事项：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 xml:space="preserve">A：本项目要求各投标供应商“提供税务部门出具的近6个月内任意1个月的完税证明；”，若供应商某月税收为零申报，须提供加盖税务局公章的无欠税证明或申报成功网页截图（供应商可自主登录“国家税务总局电子税务局”12366.chinatax.gov.cn/bsfw/onlinetaxation/main——税费申报及缴纳——申报结果查询）。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B</w:t>
      </w:r>
      <w:r>
        <w:rPr>
          <w:rFonts w:hint="eastAsia" w:ascii="宋体" w:hAnsi="宋体" w:eastAsia="宋体" w:cs="宋体"/>
          <w:b/>
          <w:bCs/>
          <w:color w:val="auto"/>
          <w:kern w:val="2"/>
          <w:sz w:val="22"/>
          <w:szCs w:val="22"/>
          <w:highlight w:val="none"/>
          <w:lang w:val="en-US" w:eastAsia="zh-CN" w:bidi="ar-SA"/>
        </w:rPr>
        <w:t>：税务局代收的社保缴费证明不可作为本项目的完税证明（“税种”不可为养老保险、医疗保险、失业保险、工伤保险和生育保险）。</w:t>
      </w:r>
    </w:p>
    <w:p>
      <w:pPr>
        <w:spacing w:line="360" w:lineRule="exact"/>
        <w:ind w:left="857" w:leftChars="2" w:hanging="853"/>
        <w:rPr>
          <w:rFonts w:hint="eastAsia" w:ascii="宋体" w:hAnsi="宋体" w:eastAsia="宋体" w:cs="宋体"/>
          <w:color w:val="auto"/>
          <w:sz w:val="24"/>
        </w:rPr>
      </w:pPr>
      <w:r>
        <w:rPr>
          <w:rFonts w:hint="eastAsia" w:ascii="宋体" w:hAnsi="宋体" w:eastAsia="宋体" w:cs="宋体"/>
          <w:color w:val="auto"/>
          <w:sz w:val="24"/>
        </w:rPr>
        <w:t>19.2   采购人或采购代理机构将在开标前1个工作日至投标截止后1小时的期间内查询</w:t>
      </w:r>
      <w:r>
        <w:rPr>
          <w:rFonts w:hint="eastAsia" w:ascii="宋体" w:hAnsi="宋体" w:eastAsia="宋体" w:cs="宋体"/>
          <w:color w:val="auto"/>
          <w:sz w:val="24"/>
          <w:lang w:eastAsia="zh-CN"/>
        </w:rPr>
        <w:t>供应商</w:t>
      </w:r>
      <w:r>
        <w:rPr>
          <w:rFonts w:hint="eastAsia" w:ascii="宋体" w:hAnsi="宋体" w:eastAsia="宋体" w:cs="宋体"/>
          <w:color w:val="auto"/>
          <w:sz w:val="24"/>
        </w:rPr>
        <w:t>的信用记录。</w:t>
      </w:r>
      <w:r>
        <w:rPr>
          <w:rFonts w:hint="eastAsia" w:ascii="宋体" w:hAnsi="宋体" w:eastAsia="宋体" w:cs="宋体"/>
          <w:color w:val="auto"/>
          <w:sz w:val="24"/>
          <w:lang w:eastAsia="zh-CN"/>
        </w:rPr>
        <w:t>供应商</w:t>
      </w:r>
      <w:r>
        <w:rPr>
          <w:rFonts w:hint="eastAsia" w:ascii="宋体" w:hAnsi="宋体" w:eastAsia="宋体" w:cs="宋体"/>
          <w:color w:val="auto"/>
          <w:sz w:val="24"/>
        </w:rPr>
        <w:t>存在不良信用记录的，其投标将被认定为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60" w:lineRule="exact"/>
        <w:ind w:left="720" w:hanging="720" w:hangingChars="300"/>
        <w:rPr>
          <w:rFonts w:hint="eastAsia" w:ascii="宋体" w:hAnsi="宋体" w:eastAsia="宋体" w:cs="宋体"/>
          <w:color w:val="auto"/>
          <w:sz w:val="24"/>
        </w:rPr>
      </w:pPr>
      <w:r>
        <w:rPr>
          <w:rFonts w:hint="eastAsia" w:ascii="宋体" w:hAnsi="宋体" w:eastAsia="宋体" w:cs="宋体"/>
          <w:color w:val="auto"/>
          <w:sz w:val="24"/>
        </w:rPr>
        <w:t>19.2.1 不良信用记录指：投标供应商在“信用中国”网站（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w:t>
      </w:r>
    </w:p>
    <w:p>
      <w:pPr>
        <w:spacing w:line="360" w:lineRule="exact"/>
        <w:ind w:left="849" w:leftChars="401" w:hanging="7" w:hangingChars="3"/>
        <w:rPr>
          <w:rFonts w:hint="eastAsia" w:ascii="宋体" w:hAnsi="宋体" w:eastAsia="宋体" w:cs="宋体"/>
          <w:color w:val="auto"/>
          <w:sz w:val="24"/>
        </w:rPr>
      </w:pPr>
      <w:r>
        <w:rPr>
          <w:rFonts w:hint="eastAsia" w:ascii="宋体" w:hAnsi="宋体" w:eastAsia="宋体" w:cs="宋体"/>
          <w:color w:val="auto"/>
          <w:sz w:val="24"/>
        </w:rPr>
        <w:t>以联合体形式参加投标的，联合体任何成员存在以上不良信用记录的，联合体投标将被认定为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pStyle w:val="9"/>
        <w:spacing w:line="360" w:lineRule="exact"/>
        <w:ind w:left="850" w:hanging="849" w:hangingChars="354"/>
        <w:jc w:val="both"/>
        <w:rPr>
          <w:rFonts w:hint="eastAsia" w:ascii="宋体" w:hAnsi="宋体" w:eastAsia="宋体" w:cs="宋体"/>
          <w:color w:val="auto"/>
        </w:rPr>
      </w:pPr>
      <w:r>
        <w:rPr>
          <w:rFonts w:hint="eastAsia" w:ascii="宋体" w:hAnsi="宋体" w:eastAsia="宋体" w:cs="宋体"/>
          <w:color w:val="auto"/>
        </w:rPr>
        <w:t>19.2.2 查询及记录方式：采购人或采购代理机构经办人将查询网页打印、签字并存档备查。</w:t>
      </w:r>
      <w:r>
        <w:rPr>
          <w:rFonts w:hint="eastAsia" w:ascii="宋体" w:hAnsi="宋体" w:eastAsia="宋体" w:cs="宋体"/>
          <w:color w:val="auto"/>
          <w:lang w:eastAsia="zh-CN"/>
        </w:rPr>
        <w:t>供应商</w:t>
      </w:r>
      <w:r>
        <w:rPr>
          <w:rFonts w:hint="eastAsia" w:ascii="宋体" w:hAnsi="宋体" w:eastAsia="宋体" w:cs="宋体"/>
          <w:color w:val="auto"/>
        </w:rPr>
        <w:t>不良信用记录以采购人或采购代理机构查询结果为准。</w:t>
      </w:r>
    </w:p>
    <w:p>
      <w:pPr>
        <w:pStyle w:val="9"/>
        <w:spacing w:line="360" w:lineRule="exact"/>
        <w:ind w:left="850" w:leftChars="405" w:firstLine="0"/>
        <w:jc w:val="both"/>
        <w:rPr>
          <w:rFonts w:hint="eastAsia" w:ascii="宋体" w:hAnsi="宋体" w:eastAsia="宋体" w:cs="宋体"/>
          <w:color w:val="auto"/>
        </w:rPr>
      </w:pPr>
      <w:r>
        <w:rPr>
          <w:rFonts w:hint="eastAsia" w:ascii="宋体" w:hAnsi="宋体" w:eastAsia="宋体" w:cs="宋体"/>
          <w:color w:val="auto"/>
        </w:rPr>
        <w:t>在本招标文件规定的查询时间之后，网站信息发生的任何变更均不再作</w:t>
      </w:r>
    </w:p>
    <w:p>
      <w:pPr>
        <w:pStyle w:val="9"/>
        <w:spacing w:line="360" w:lineRule="exact"/>
        <w:ind w:left="850" w:leftChars="405" w:firstLine="0"/>
        <w:jc w:val="both"/>
        <w:rPr>
          <w:rFonts w:hint="eastAsia" w:ascii="宋体" w:hAnsi="宋体" w:eastAsia="宋体" w:cs="宋体"/>
          <w:color w:val="auto"/>
        </w:rPr>
      </w:pPr>
      <w:r>
        <w:rPr>
          <w:rFonts w:hint="eastAsia" w:ascii="宋体" w:hAnsi="宋体" w:eastAsia="宋体" w:cs="宋体"/>
          <w:color w:val="auto"/>
        </w:rPr>
        <w:t>为评标依据。</w:t>
      </w:r>
    </w:p>
    <w:p>
      <w:pPr>
        <w:pStyle w:val="9"/>
        <w:spacing w:line="360" w:lineRule="exact"/>
        <w:ind w:left="958" w:leftChars="456" w:firstLine="0"/>
        <w:jc w:val="both"/>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自行提供的与网站信息不一致的其他证明材料亦不作为资格审查依据。</w:t>
      </w:r>
    </w:p>
    <w:p>
      <w:pPr>
        <w:spacing w:line="360" w:lineRule="exact"/>
        <w:ind w:left="850" w:hanging="849" w:hangingChars="354"/>
        <w:rPr>
          <w:rFonts w:hint="eastAsia" w:ascii="宋体" w:hAnsi="宋体" w:eastAsia="宋体" w:cs="宋体"/>
          <w:color w:val="auto"/>
          <w:sz w:val="24"/>
        </w:rPr>
      </w:pPr>
      <w:r>
        <w:rPr>
          <w:rFonts w:hint="eastAsia" w:ascii="宋体" w:hAnsi="宋体" w:eastAsia="宋体" w:cs="宋体"/>
          <w:color w:val="auto"/>
          <w:sz w:val="24"/>
        </w:rPr>
        <w:t xml:space="preserve">19.3   </w:t>
      </w:r>
      <w:bookmarkStart w:id="178" w:name="_Toc520356166"/>
      <w:r>
        <w:rPr>
          <w:rFonts w:hint="eastAsia" w:ascii="宋体" w:hAnsi="宋体" w:eastAsia="宋体" w:cs="宋体"/>
          <w:color w:val="auto"/>
          <w:sz w:val="24"/>
        </w:rPr>
        <w:t>按照《中华人民共和国政府采购法》、《中华人民共和国政府采购法实施条例》及本项目本级和上级财政部门的有关规定依法</w:t>
      </w:r>
      <w:r>
        <w:rPr>
          <w:rFonts w:hint="eastAsia" w:ascii="宋体" w:hAnsi="宋体" w:cs="宋体"/>
          <w:color w:val="auto"/>
          <w:sz w:val="24"/>
          <w:lang w:val="en-US" w:eastAsia="zh-CN"/>
        </w:rPr>
        <w:t>组建7</w:t>
      </w:r>
      <w:r>
        <w:rPr>
          <w:rFonts w:hint="eastAsia" w:ascii="宋体" w:hAnsi="宋体" w:eastAsia="宋体" w:cs="宋体"/>
          <w:color w:val="auto"/>
          <w:sz w:val="24"/>
          <w:lang w:val="en-US" w:eastAsia="zh-CN"/>
        </w:rPr>
        <w:t>名</w:t>
      </w:r>
      <w:r>
        <w:rPr>
          <w:rFonts w:hint="eastAsia" w:ascii="宋体" w:hAnsi="宋体" w:eastAsia="宋体" w:cs="宋体"/>
          <w:color w:val="auto"/>
          <w:sz w:val="24"/>
          <w:lang w:eastAsia="zh-CN"/>
        </w:rPr>
        <w:t>评标</w:t>
      </w:r>
      <w:r>
        <w:rPr>
          <w:rFonts w:hint="eastAsia" w:ascii="宋体" w:hAnsi="宋体" w:eastAsia="宋体" w:cs="宋体"/>
          <w:color w:val="auto"/>
          <w:sz w:val="24"/>
        </w:rPr>
        <w:t>小组，负责</w:t>
      </w:r>
      <w:r>
        <w:rPr>
          <w:rFonts w:hint="eastAsia" w:ascii="宋体" w:hAnsi="宋体" w:eastAsia="宋体" w:cs="宋体"/>
          <w:color w:val="auto"/>
          <w:sz w:val="24"/>
          <w:lang w:eastAsia="zh-CN"/>
        </w:rPr>
        <w:t>评标</w:t>
      </w:r>
      <w:r>
        <w:rPr>
          <w:rFonts w:hint="eastAsia" w:ascii="宋体" w:hAnsi="宋体" w:eastAsia="宋体" w:cs="宋体"/>
          <w:color w:val="auto"/>
          <w:sz w:val="24"/>
        </w:rPr>
        <w:t>工作。</w:t>
      </w:r>
    </w:p>
    <w:p>
      <w:pPr>
        <w:pStyle w:val="5"/>
        <w:spacing w:before="0" w:after="0" w:line="360" w:lineRule="exact"/>
        <w:rPr>
          <w:rFonts w:hint="eastAsia" w:ascii="宋体" w:hAnsi="宋体" w:eastAsia="宋体" w:cs="宋体"/>
          <w:b/>
          <w:bCs/>
          <w:color w:val="auto"/>
          <w:bdr w:val="single" w:color="auto" w:sz="4" w:space="0"/>
        </w:rPr>
      </w:pPr>
      <w:bookmarkStart w:id="179" w:name="_Toc19949"/>
      <w:bookmarkStart w:id="180" w:name="_Toc1632"/>
      <w:bookmarkStart w:id="181" w:name="_Toc7275"/>
      <w:bookmarkStart w:id="182" w:name="_Toc16303"/>
      <w:bookmarkStart w:id="183" w:name="_Toc28479"/>
      <w:bookmarkStart w:id="184" w:name="_Toc515647781"/>
      <w:r>
        <w:rPr>
          <w:rFonts w:hint="eastAsia" w:ascii="宋体" w:hAnsi="宋体" w:eastAsia="宋体" w:cs="宋体"/>
          <w:color w:val="auto"/>
          <w:u w:val="none"/>
        </w:rPr>
        <w:t>20.投标文件</w:t>
      </w:r>
      <w:bookmarkEnd w:id="178"/>
      <w:r>
        <w:rPr>
          <w:rFonts w:hint="eastAsia" w:ascii="宋体" w:hAnsi="宋体" w:eastAsia="宋体" w:cs="宋体"/>
          <w:color w:val="auto"/>
          <w:u w:val="none"/>
        </w:rPr>
        <w:t>符合性审查与澄清</w:t>
      </w:r>
      <w:bookmarkEnd w:id="179"/>
      <w:bookmarkEnd w:id="180"/>
      <w:bookmarkEnd w:id="181"/>
      <w:bookmarkEnd w:id="182"/>
      <w:bookmarkEnd w:id="183"/>
      <w:bookmarkEnd w:id="184"/>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20.1   符合性审查是指依据招标文件的规定，从投标文件的有效性和完整性对招标文件的响应程度进行审查，以确定是否对招标文件的实质性要求做出响应。</w:t>
      </w:r>
      <w:bookmarkStart w:id="185" w:name="_Hlt522424701"/>
      <w:bookmarkEnd w:id="185"/>
      <w:bookmarkStart w:id="186" w:name="_Toc520356167"/>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20.2</w:t>
      </w:r>
      <w:r>
        <w:rPr>
          <w:rFonts w:hint="eastAsia" w:ascii="宋体" w:hAnsi="宋体" w:eastAsia="宋体" w:cs="宋体"/>
          <w:color w:val="auto"/>
          <w:sz w:val="24"/>
        </w:rPr>
        <w:tab/>
      </w:r>
      <w:r>
        <w:rPr>
          <w:rFonts w:hint="eastAsia" w:ascii="宋体" w:hAnsi="宋体" w:eastAsia="宋体" w:cs="宋体"/>
          <w:color w:val="auto"/>
          <w:sz w:val="24"/>
        </w:rPr>
        <w:t>投标文件的澄清</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20.2.1  在评标期间，评标委员会将以书面方式要求</w:t>
      </w:r>
      <w:r>
        <w:rPr>
          <w:rFonts w:hint="eastAsia" w:ascii="宋体" w:hAnsi="宋体" w:eastAsia="宋体" w:cs="宋体"/>
          <w:color w:val="auto"/>
          <w:sz w:val="24"/>
          <w:lang w:eastAsia="zh-CN"/>
        </w:rPr>
        <w:t>供应商</w:t>
      </w:r>
      <w:r>
        <w:rPr>
          <w:rFonts w:hint="eastAsia" w:ascii="宋体" w:hAnsi="宋体" w:eastAsia="宋体" w:cs="宋体"/>
          <w:color w:val="auto"/>
          <w:sz w:val="24"/>
        </w:rPr>
        <w:t>对其投标文件中含义不明确、对同类问题表述不一致或者有明显文字和计算错误的内容，以及评标委员会认为</w:t>
      </w:r>
      <w:r>
        <w:rPr>
          <w:rFonts w:hint="eastAsia" w:ascii="宋体" w:hAnsi="宋体" w:eastAsia="宋体" w:cs="宋体"/>
          <w:color w:val="auto"/>
          <w:sz w:val="24"/>
          <w:lang w:eastAsia="zh-CN"/>
        </w:rPr>
        <w:t>供应商</w:t>
      </w:r>
      <w:r>
        <w:rPr>
          <w:rFonts w:hint="eastAsia" w:ascii="宋体" w:hAnsi="宋体" w:eastAsia="宋体" w:cs="宋体"/>
          <w:color w:val="auto"/>
          <w:sz w:val="24"/>
        </w:rPr>
        <w:t>的报价明显低于其他通过符合性检查</w:t>
      </w:r>
      <w:r>
        <w:rPr>
          <w:rFonts w:hint="eastAsia" w:ascii="宋体" w:hAnsi="宋体" w:eastAsia="宋体" w:cs="宋体"/>
          <w:color w:val="auto"/>
          <w:sz w:val="24"/>
          <w:lang w:eastAsia="zh-CN"/>
        </w:rPr>
        <w:t>供应商</w:t>
      </w:r>
      <w:r>
        <w:rPr>
          <w:rFonts w:hint="eastAsia" w:ascii="宋体" w:hAnsi="宋体" w:eastAsia="宋体" w:cs="宋体"/>
          <w:color w:val="auto"/>
          <w:sz w:val="24"/>
        </w:rPr>
        <w:t>的报价，有可能影响履约的情况作必要的澄清、说明或补正。</w:t>
      </w:r>
      <w:r>
        <w:rPr>
          <w:rFonts w:hint="eastAsia" w:ascii="宋体" w:hAnsi="宋体" w:eastAsia="宋体" w:cs="宋体"/>
          <w:color w:val="auto"/>
          <w:sz w:val="24"/>
          <w:lang w:eastAsia="zh-CN"/>
        </w:rPr>
        <w:t>供应商</w:t>
      </w:r>
      <w:r>
        <w:rPr>
          <w:rFonts w:hint="eastAsia" w:ascii="宋体" w:hAnsi="宋体" w:eastAsia="宋体" w:cs="宋体"/>
          <w:color w:val="auto"/>
          <w:sz w:val="24"/>
        </w:rPr>
        <w:t>的澄清、说明或补正应在评标委员会规定的时间内以书面方式进行，并不得超出投标文件范围或者改变投标文件的实质性内容。</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20.2.2  </w:t>
      </w:r>
      <w:r>
        <w:rPr>
          <w:rFonts w:hint="eastAsia" w:ascii="宋体" w:hAnsi="宋体" w:eastAsia="宋体" w:cs="宋体"/>
          <w:color w:val="auto"/>
          <w:sz w:val="24"/>
          <w:lang w:eastAsia="zh-CN"/>
        </w:rPr>
        <w:t>供应商</w:t>
      </w:r>
      <w:r>
        <w:rPr>
          <w:rFonts w:hint="eastAsia" w:ascii="宋体" w:hAnsi="宋体" w:eastAsia="宋体" w:cs="宋体"/>
          <w:color w:val="auto"/>
          <w:sz w:val="24"/>
        </w:rPr>
        <w:t>的的澄清、说明或补正将作为投标文件的一部分。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20.3  投标文件报价出现前后不一致的，按照下列规定修正：</w:t>
      </w:r>
    </w:p>
    <w:p>
      <w:pPr>
        <w:spacing w:line="360" w:lineRule="exact"/>
        <w:ind w:left="1020" w:hanging="1020" w:hangingChars="425"/>
        <w:rPr>
          <w:rFonts w:hint="eastAsia" w:ascii="宋体" w:hAnsi="宋体" w:eastAsia="宋体" w:cs="宋体"/>
          <w:color w:val="auto"/>
          <w:sz w:val="24"/>
        </w:rPr>
      </w:pPr>
      <w:r>
        <w:rPr>
          <w:rFonts w:hint="eastAsia" w:ascii="宋体" w:hAnsi="宋体" w:eastAsia="宋体" w:cs="宋体"/>
          <w:color w:val="auto"/>
          <w:sz w:val="24"/>
        </w:rPr>
        <w:t>　　   （一）投标文件中开标一览表（报价表）内容与投标文件中相应内容不一致的，以开标一览表（报价表）为准；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（二）大写金额和小写金额不一致的，以大写金额为准；</w:t>
      </w:r>
    </w:p>
    <w:p>
      <w:pPr>
        <w:spacing w:line="360" w:lineRule="exact"/>
        <w:ind w:left="1020" w:hanging="1020" w:hangingChars="425"/>
        <w:rPr>
          <w:rFonts w:hint="eastAsia" w:ascii="宋体" w:hAnsi="宋体" w:eastAsia="宋体" w:cs="宋体"/>
          <w:color w:val="auto"/>
          <w:sz w:val="24"/>
        </w:rPr>
      </w:pPr>
      <w:r>
        <w:rPr>
          <w:rFonts w:hint="eastAsia" w:ascii="宋体" w:hAnsi="宋体" w:eastAsia="宋体" w:cs="宋体"/>
          <w:color w:val="auto"/>
          <w:sz w:val="24"/>
        </w:rPr>
        <w:t>　   　（三）单价金额小数点或者百分比有明显错位的，以开标一览表的总价为准，并修改单价；</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（四）总价金额与按单价汇总金额不一致的，以单价金额计算结果为准。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同时出现两种以上不一致的，按照前款规定的顺序修正。修正后的报价按照第20.2条的规定经</w:t>
      </w:r>
      <w:r>
        <w:rPr>
          <w:rFonts w:hint="eastAsia" w:ascii="宋体" w:hAnsi="宋体" w:eastAsia="宋体" w:cs="宋体"/>
          <w:color w:val="auto"/>
          <w:sz w:val="24"/>
          <w:lang w:eastAsia="zh-CN"/>
        </w:rPr>
        <w:t>供应商</w:t>
      </w:r>
      <w:r>
        <w:rPr>
          <w:rFonts w:hint="eastAsia" w:ascii="宋体" w:hAnsi="宋体" w:eastAsia="宋体" w:cs="宋体"/>
          <w:color w:val="auto"/>
          <w:sz w:val="24"/>
        </w:rPr>
        <w:t>确认后产生约束力，</w:t>
      </w:r>
      <w:r>
        <w:rPr>
          <w:rFonts w:hint="eastAsia" w:ascii="宋体" w:hAnsi="宋体" w:eastAsia="宋体" w:cs="宋体"/>
          <w:color w:val="auto"/>
          <w:sz w:val="24"/>
          <w:lang w:eastAsia="zh-CN"/>
        </w:rPr>
        <w:t>供应商</w:t>
      </w:r>
      <w:r>
        <w:rPr>
          <w:rFonts w:hint="eastAsia" w:ascii="宋体" w:hAnsi="宋体" w:eastAsia="宋体" w:cs="宋体"/>
          <w:color w:val="auto"/>
          <w:sz w:val="24"/>
        </w:rPr>
        <w:t>不确认的，其投标将被认定为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60" w:lineRule="exact"/>
        <w:ind w:left="735" w:leftChars="350" w:firstLine="120" w:firstLineChars="50"/>
        <w:rPr>
          <w:rFonts w:hint="eastAsia" w:ascii="宋体" w:hAnsi="宋体" w:eastAsia="宋体" w:cs="宋体"/>
          <w:color w:val="auto"/>
          <w:sz w:val="24"/>
        </w:rPr>
      </w:pPr>
      <w:r>
        <w:rPr>
          <w:rFonts w:hint="eastAsia" w:ascii="宋体" w:hAnsi="宋体" w:eastAsia="宋体" w:cs="宋体"/>
          <w:color w:val="auto"/>
          <w:sz w:val="24"/>
        </w:rPr>
        <w:t>对不同文字文本投标文件的解释发生异议的，以中文文本为准。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20.4   如一个分包内只有一种产品，不同</w:t>
      </w:r>
      <w:r>
        <w:rPr>
          <w:rFonts w:hint="eastAsia" w:ascii="宋体" w:hAnsi="宋体" w:eastAsia="宋体" w:cs="宋体"/>
          <w:color w:val="auto"/>
          <w:sz w:val="24"/>
          <w:lang w:eastAsia="zh-CN"/>
        </w:rPr>
        <w:t>供应商</w:t>
      </w:r>
      <w:r>
        <w:rPr>
          <w:rFonts w:hint="eastAsia" w:ascii="宋体" w:hAnsi="宋体" w:eastAsia="宋体" w:cs="宋体"/>
          <w:color w:val="auto"/>
          <w:sz w:val="24"/>
        </w:rPr>
        <w:t>所投产品为同一品牌的，按如下方式处理：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20.4.1  如本项目使用最低评标价法，提供相同品牌产品的不同</w:t>
      </w:r>
      <w:r>
        <w:rPr>
          <w:rFonts w:hint="eastAsia" w:ascii="宋体" w:hAnsi="宋体" w:eastAsia="宋体" w:cs="宋体"/>
          <w:color w:val="auto"/>
          <w:sz w:val="24"/>
          <w:lang w:eastAsia="zh-CN"/>
        </w:rPr>
        <w:t>供应商</w:t>
      </w:r>
      <w:r>
        <w:rPr>
          <w:rFonts w:hint="eastAsia" w:ascii="宋体" w:hAnsi="宋体" w:eastAsia="宋体" w:cs="宋体"/>
          <w:color w:val="auto"/>
          <w:sz w:val="24"/>
        </w:rPr>
        <w:t>以其中通过资格审查、符合性审查且报价最低的参加评标；报价相同的，由采购人或者采购人委托评标委员会按照招标文件中评标办法规定的方式确定一个参加评标的</w:t>
      </w:r>
      <w:r>
        <w:rPr>
          <w:rFonts w:hint="eastAsia" w:ascii="宋体" w:hAnsi="宋体" w:eastAsia="宋体" w:cs="宋体"/>
          <w:color w:val="auto"/>
          <w:sz w:val="24"/>
          <w:lang w:eastAsia="zh-CN"/>
        </w:rPr>
        <w:t>供应商</w:t>
      </w:r>
      <w:r>
        <w:rPr>
          <w:rFonts w:hint="eastAsia" w:ascii="宋体" w:hAnsi="宋体" w:eastAsia="宋体" w:cs="宋体"/>
          <w:color w:val="auto"/>
          <w:sz w:val="24"/>
        </w:rPr>
        <w:t>；未规定的采取随机抽取方式确定，其他投标将被认定为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20.4.2  如本项目使用综合评分法，提供相同品牌产品且通过资格审查、符合性审查的不同</w:t>
      </w:r>
      <w:r>
        <w:rPr>
          <w:rFonts w:hint="eastAsia" w:ascii="宋体" w:hAnsi="宋体" w:eastAsia="宋体" w:cs="宋体"/>
          <w:color w:val="auto"/>
          <w:sz w:val="24"/>
          <w:lang w:eastAsia="zh-CN"/>
        </w:rPr>
        <w:t>供应商</w:t>
      </w:r>
      <w:r>
        <w:rPr>
          <w:rFonts w:hint="eastAsia" w:ascii="宋体" w:hAnsi="宋体" w:eastAsia="宋体" w:cs="宋体"/>
          <w:color w:val="auto"/>
          <w:sz w:val="24"/>
        </w:rPr>
        <w:t>，按一家</w:t>
      </w:r>
      <w:r>
        <w:rPr>
          <w:rFonts w:hint="eastAsia" w:ascii="宋体" w:hAnsi="宋体" w:eastAsia="宋体" w:cs="宋体"/>
          <w:color w:val="auto"/>
          <w:sz w:val="24"/>
          <w:lang w:eastAsia="zh-CN"/>
        </w:rPr>
        <w:t>供应商</w:t>
      </w:r>
      <w:r>
        <w:rPr>
          <w:rFonts w:hint="eastAsia" w:ascii="宋体" w:hAnsi="宋体" w:eastAsia="宋体" w:cs="宋体"/>
          <w:color w:val="auto"/>
          <w:sz w:val="24"/>
        </w:rPr>
        <w:t>计算，评审后得分最高的同品牌</w:t>
      </w:r>
      <w:r>
        <w:rPr>
          <w:rFonts w:hint="eastAsia" w:ascii="宋体" w:hAnsi="宋体" w:eastAsia="宋体" w:cs="宋体"/>
          <w:color w:val="auto"/>
          <w:sz w:val="24"/>
          <w:lang w:eastAsia="zh-CN"/>
        </w:rPr>
        <w:t>供应商</w:t>
      </w:r>
      <w:r>
        <w:rPr>
          <w:rFonts w:hint="eastAsia" w:ascii="宋体" w:hAnsi="宋体" w:eastAsia="宋体" w:cs="宋体"/>
          <w:color w:val="auto"/>
          <w:sz w:val="24"/>
        </w:rPr>
        <w:t>获得中标人推荐资格；评审得分相同的，由采购人或者采购人委托评标委员会按照招标文件中评标办法规定的方式确定一个</w:t>
      </w:r>
      <w:r>
        <w:rPr>
          <w:rFonts w:hint="eastAsia" w:ascii="宋体" w:hAnsi="宋体" w:eastAsia="宋体" w:cs="宋体"/>
          <w:color w:val="auto"/>
          <w:sz w:val="24"/>
          <w:lang w:eastAsia="zh-CN"/>
        </w:rPr>
        <w:t>供应商</w:t>
      </w:r>
      <w:r>
        <w:rPr>
          <w:rFonts w:hint="eastAsia" w:ascii="宋体" w:hAnsi="宋体" w:eastAsia="宋体" w:cs="宋体"/>
          <w:color w:val="auto"/>
          <w:sz w:val="24"/>
        </w:rPr>
        <w:t>获得中标人推荐资格；未规定的采取随机抽取方式确定，其他同品牌</w:t>
      </w:r>
      <w:r>
        <w:rPr>
          <w:rFonts w:hint="eastAsia" w:ascii="宋体" w:hAnsi="宋体" w:eastAsia="宋体" w:cs="宋体"/>
          <w:color w:val="auto"/>
          <w:sz w:val="24"/>
          <w:lang w:eastAsia="zh-CN"/>
        </w:rPr>
        <w:t>供应商</w:t>
      </w:r>
      <w:r>
        <w:rPr>
          <w:rFonts w:hint="eastAsia" w:ascii="宋体" w:hAnsi="宋体" w:eastAsia="宋体" w:cs="宋体"/>
          <w:color w:val="auto"/>
          <w:sz w:val="24"/>
        </w:rPr>
        <w:t>不作为中标候选人。</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所投产品如被列入财政部与国家主管部门颁发的节能产品目录或环境标志产品目录或无线局域网产品目录，应提供相关证明，在评标时予以优先采购，具体优先采购办法见第六章评标方法和标准。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        如采购人所采购产品为政府强制采购的节能产品，</w:t>
      </w:r>
      <w:r>
        <w:rPr>
          <w:rFonts w:hint="eastAsia" w:ascii="宋体" w:hAnsi="宋体" w:eastAsia="宋体" w:cs="宋体"/>
          <w:color w:val="auto"/>
          <w:sz w:val="24"/>
          <w:lang w:eastAsia="zh-CN"/>
        </w:rPr>
        <w:t>供应商</w:t>
      </w:r>
      <w:r>
        <w:rPr>
          <w:rFonts w:hint="eastAsia" w:ascii="宋体" w:hAnsi="宋体" w:eastAsia="宋体" w:cs="宋体"/>
          <w:color w:val="auto"/>
          <w:sz w:val="24"/>
        </w:rPr>
        <w:t>所投产品的品牌及型号必须为清单中有效期内产品并提供证明文件，否则其投标将被认定为</w:t>
      </w:r>
      <w:r>
        <w:rPr>
          <w:rFonts w:hint="eastAsia" w:ascii="宋体" w:hAnsi="宋体" w:eastAsia="宋体" w:cs="宋体"/>
          <w:b/>
          <w:bCs/>
          <w:color w:val="auto"/>
          <w:sz w:val="24"/>
        </w:rPr>
        <w:t>投标无效</w:t>
      </w:r>
      <w:r>
        <w:rPr>
          <w:rFonts w:hint="eastAsia" w:ascii="宋体" w:hAnsi="宋体" w:eastAsia="宋体" w:cs="宋体"/>
          <w:color w:val="auto"/>
          <w:sz w:val="24"/>
        </w:rPr>
        <w:t>。</w:t>
      </w:r>
    </w:p>
    <w:p>
      <w:pPr>
        <w:pStyle w:val="5"/>
        <w:spacing w:before="0" w:after="0" w:line="360" w:lineRule="exact"/>
        <w:rPr>
          <w:rFonts w:hint="eastAsia" w:ascii="宋体" w:hAnsi="宋体" w:eastAsia="宋体" w:cs="宋体"/>
          <w:color w:val="auto"/>
          <w:u w:val="none"/>
        </w:rPr>
      </w:pPr>
      <w:bookmarkStart w:id="187" w:name="_Toc9469"/>
      <w:bookmarkStart w:id="188" w:name="_Toc25822"/>
      <w:bookmarkStart w:id="189" w:name="_Toc6364"/>
      <w:bookmarkStart w:id="190" w:name="_Toc515647782"/>
      <w:bookmarkStart w:id="191" w:name="_Toc23839"/>
      <w:bookmarkStart w:id="192" w:name="_Toc12879"/>
      <w:r>
        <w:rPr>
          <w:rFonts w:hint="eastAsia" w:ascii="宋体" w:hAnsi="宋体" w:eastAsia="宋体" w:cs="宋体"/>
          <w:color w:val="auto"/>
          <w:u w:val="none"/>
        </w:rPr>
        <w:t>21.投标偏离</w:t>
      </w:r>
      <w:bookmarkEnd w:id="187"/>
      <w:bookmarkEnd w:id="188"/>
      <w:bookmarkEnd w:id="189"/>
      <w:bookmarkEnd w:id="190"/>
      <w:bookmarkEnd w:id="191"/>
      <w:bookmarkEnd w:id="192"/>
    </w:p>
    <w:p>
      <w:pPr>
        <w:spacing w:line="360" w:lineRule="exact"/>
        <w:ind w:left="848" w:leftChars="99" w:hanging="640" w:hangingChars="267"/>
        <w:rPr>
          <w:rFonts w:hint="eastAsia" w:ascii="宋体" w:hAnsi="宋体" w:eastAsia="宋体" w:cs="宋体"/>
          <w:color w:val="auto"/>
        </w:rPr>
      </w:pPr>
      <w:r>
        <w:rPr>
          <w:rFonts w:hint="eastAsia" w:ascii="宋体" w:hAnsi="宋体" w:eastAsia="宋体" w:cs="宋体"/>
          <w:color w:val="auto"/>
          <w:sz w:val="24"/>
        </w:rPr>
        <w:t xml:space="preserve">     评标委员会可以接受投标文件中不构成实质性偏离的不正规或不一致。</w:t>
      </w:r>
      <w:bookmarkStart w:id="193" w:name="_Toc515647783"/>
      <w:bookmarkStart w:id="194" w:name="_Toc4950"/>
      <w:bookmarkStart w:id="195" w:name="_Toc6092"/>
    </w:p>
    <w:p>
      <w:pPr>
        <w:pStyle w:val="5"/>
        <w:spacing w:before="0" w:after="0" w:line="360" w:lineRule="exact"/>
        <w:rPr>
          <w:rFonts w:hint="eastAsia" w:ascii="宋体" w:hAnsi="宋体" w:eastAsia="宋体" w:cs="宋体"/>
          <w:color w:val="auto"/>
          <w:u w:val="none"/>
        </w:rPr>
      </w:pPr>
      <w:bookmarkStart w:id="196" w:name="_Toc12709"/>
      <w:bookmarkStart w:id="197" w:name="_Toc11126"/>
      <w:bookmarkStart w:id="198" w:name="_Toc2648"/>
      <w:r>
        <w:rPr>
          <w:rFonts w:hint="eastAsia" w:ascii="宋体" w:hAnsi="宋体" w:eastAsia="宋体" w:cs="宋体"/>
          <w:color w:val="auto"/>
          <w:u w:val="none"/>
        </w:rPr>
        <w:t>22.投标</w:t>
      </w:r>
      <w:bookmarkEnd w:id="193"/>
      <w:r>
        <w:rPr>
          <w:rFonts w:hint="eastAsia" w:ascii="宋体" w:hAnsi="宋体" w:eastAsia="宋体" w:cs="宋体"/>
          <w:color w:val="auto"/>
          <w:u w:val="none"/>
        </w:rPr>
        <w:t>无效</w:t>
      </w:r>
      <w:bookmarkEnd w:id="194"/>
      <w:bookmarkEnd w:id="195"/>
      <w:bookmarkEnd w:id="196"/>
      <w:bookmarkEnd w:id="197"/>
      <w:bookmarkEnd w:id="198"/>
    </w:p>
    <w:p>
      <w:pPr>
        <w:spacing w:line="360" w:lineRule="exact"/>
        <w:ind w:left="852" w:leftChars="-23" w:hanging="900" w:hangingChars="375"/>
        <w:rPr>
          <w:rFonts w:hint="eastAsia" w:ascii="宋体" w:hAnsi="宋体" w:eastAsia="宋体" w:cs="宋体"/>
          <w:color w:val="auto"/>
          <w:sz w:val="24"/>
        </w:rPr>
      </w:pPr>
      <w:r>
        <w:rPr>
          <w:rFonts w:hint="eastAsia" w:ascii="宋体" w:hAnsi="宋体" w:eastAsia="宋体" w:cs="宋体"/>
          <w:color w:val="auto"/>
          <w:sz w:val="24"/>
        </w:rPr>
        <w:t>22.1  评标委员会决定投标的响应性只根据招标文件要求、投标文件内容及财政主管部门指定相关信息发布媒体。</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22.2</w:t>
      </w:r>
      <w:r>
        <w:rPr>
          <w:rFonts w:hint="eastAsia" w:ascii="宋体" w:hAnsi="宋体" w:eastAsia="宋体" w:cs="宋体"/>
          <w:color w:val="auto"/>
          <w:sz w:val="24"/>
        </w:rPr>
        <w:tab/>
      </w:r>
      <w:r>
        <w:rPr>
          <w:rFonts w:hint="eastAsia" w:ascii="宋体" w:hAnsi="宋体" w:eastAsia="宋体" w:cs="宋体"/>
          <w:b/>
          <w:bCs/>
          <w:color w:val="auto"/>
          <w:sz w:val="24"/>
        </w:rPr>
        <w:t>如发现下列情况之一的，其投标将被认定为投标无效</w:t>
      </w:r>
      <w:r>
        <w:rPr>
          <w:rFonts w:hint="eastAsia" w:ascii="宋体" w:hAnsi="宋体" w:eastAsia="宋体" w:cs="宋体"/>
          <w:color w:val="auto"/>
          <w:sz w:val="24"/>
        </w:rPr>
        <w:t>：</w:t>
      </w:r>
    </w:p>
    <w:p>
      <w:pPr>
        <w:numPr>
          <w:ilvl w:val="0"/>
          <w:numId w:val="5"/>
        </w:numPr>
        <w:spacing w:line="360" w:lineRule="exact"/>
        <w:ind w:left="1230" w:leftChars="0" w:hanging="180" w:firstLineChars="0"/>
        <w:rPr>
          <w:rFonts w:hint="eastAsia" w:ascii="宋体" w:hAnsi="宋体" w:eastAsia="宋体" w:cs="宋体"/>
          <w:b/>
          <w:bCs/>
          <w:color w:val="auto"/>
          <w:sz w:val="24"/>
        </w:rPr>
      </w:pPr>
      <w:r>
        <w:rPr>
          <w:rFonts w:hint="eastAsia" w:ascii="宋体" w:hAnsi="宋体" w:eastAsia="宋体" w:cs="宋体"/>
          <w:b/>
          <w:bCs/>
          <w:color w:val="auto"/>
          <w:sz w:val="24"/>
        </w:rPr>
        <w:t>未按招标文件规定的形式和金额提交投标保证金的；</w:t>
      </w:r>
    </w:p>
    <w:p>
      <w:pPr>
        <w:numPr>
          <w:ilvl w:val="0"/>
          <w:numId w:val="5"/>
        </w:numPr>
        <w:spacing w:line="360" w:lineRule="exact"/>
        <w:ind w:left="1230" w:leftChars="0" w:hanging="180" w:firstLineChars="0"/>
        <w:rPr>
          <w:rFonts w:hint="eastAsia" w:ascii="宋体" w:hAnsi="宋体" w:eastAsia="宋体" w:cs="宋体"/>
          <w:b/>
          <w:bCs/>
          <w:color w:val="auto"/>
          <w:sz w:val="24"/>
        </w:rPr>
      </w:pPr>
      <w:r>
        <w:rPr>
          <w:rFonts w:hint="eastAsia" w:ascii="宋体" w:hAnsi="宋体" w:eastAsia="宋体" w:cs="宋体"/>
          <w:b/>
          <w:bCs/>
          <w:color w:val="auto"/>
          <w:sz w:val="24"/>
        </w:rPr>
        <w:t>未按照招标文件规定要求签署、盖章的；</w:t>
      </w:r>
    </w:p>
    <w:p>
      <w:pPr>
        <w:numPr>
          <w:ilvl w:val="0"/>
          <w:numId w:val="5"/>
        </w:numPr>
        <w:spacing w:line="360" w:lineRule="exact"/>
        <w:ind w:left="1230" w:leftChars="0" w:hanging="180" w:firstLineChars="0"/>
        <w:rPr>
          <w:rFonts w:hint="eastAsia" w:ascii="宋体" w:hAnsi="宋体" w:eastAsia="宋体" w:cs="宋体"/>
          <w:b/>
          <w:bCs/>
          <w:color w:val="auto"/>
          <w:sz w:val="24"/>
        </w:rPr>
      </w:pPr>
      <w:r>
        <w:rPr>
          <w:rFonts w:hint="eastAsia" w:ascii="宋体" w:hAnsi="宋体" w:eastAsia="宋体" w:cs="宋体"/>
          <w:b/>
          <w:bCs/>
          <w:color w:val="auto"/>
          <w:sz w:val="24"/>
        </w:rPr>
        <w:t>与其他</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串通投标，或者与招标人串通投标；</w:t>
      </w:r>
    </w:p>
    <w:p>
      <w:pPr>
        <w:numPr>
          <w:ilvl w:val="0"/>
          <w:numId w:val="5"/>
        </w:numPr>
        <w:spacing w:line="360" w:lineRule="exact"/>
        <w:ind w:left="1230" w:leftChars="0" w:hanging="180" w:firstLineChars="0"/>
        <w:rPr>
          <w:rFonts w:hint="eastAsia" w:ascii="宋体" w:hAnsi="宋体" w:eastAsia="宋体" w:cs="宋体"/>
          <w:b/>
          <w:bCs/>
          <w:color w:val="auto"/>
          <w:sz w:val="24"/>
        </w:rPr>
      </w:pPr>
      <w:r>
        <w:rPr>
          <w:rFonts w:hint="eastAsia" w:ascii="宋体" w:hAnsi="宋体" w:eastAsia="宋体" w:cs="宋体"/>
          <w:b/>
          <w:bCs/>
          <w:color w:val="auto"/>
          <w:sz w:val="24"/>
        </w:rPr>
        <w:t>属于招标文件规定的其他投标无效情形；</w:t>
      </w:r>
    </w:p>
    <w:p>
      <w:pPr>
        <w:numPr>
          <w:ilvl w:val="0"/>
          <w:numId w:val="5"/>
        </w:numPr>
        <w:spacing w:line="360" w:lineRule="exact"/>
        <w:ind w:left="1230" w:leftChars="0" w:hanging="180" w:firstLineChars="0"/>
        <w:rPr>
          <w:rFonts w:hint="eastAsia" w:ascii="宋体" w:hAnsi="宋体" w:eastAsia="宋体" w:cs="宋体"/>
          <w:b/>
          <w:bCs/>
          <w:color w:val="auto"/>
          <w:sz w:val="24"/>
        </w:rPr>
      </w:pPr>
      <w:r>
        <w:rPr>
          <w:rFonts w:hint="eastAsia" w:ascii="宋体" w:hAnsi="宋体" w:eastAsia="宋体" w:cs="宋体"/>
          <w:b/>
          <w:bCs/>
          <w:color w:val="auto"/>
          <w:sz w:val="24"/>
        </w:rPr>
        <w:t>评标委员会认为</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的报价明显低于其他通过符合性检查</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的报价，有可能影响履约的，且</w:t>
      </w:r>
      <w:r>
        <w:rPr>
          <w:rFonts w:hint="eastAsia" w:ascii="宋体" w:hAnsi="宋体" w:eastAsia="宋体" w:cs="宋体"/>
          <w:b/>
          <w:bCs/>
          <w:color w:val="auto"/>
          <w:sz w:val="24"/>
          <w:lang w:eastAsia="zh-CN"/>
        </w:rPr>
        <w:t>供应商</w:t>
      </w:r>
      <w:r>
        <w:rPr>
          <w:rFonts w:hint="eastAsia" w:ascii="宋体" w:hAnsi="宋体" w:eastAsia="宋体" w:cs="宋体"/>
          <w:b/>
          <w:bCs/>
          <w:color w:val="auto"/>
          <w:sz w:val="24"/>
        </w:rPr>
        <w:t>未按照规定证明其报价合理性的；</w:t>
      </w:r>
    </w:p>
    <w:p>
      <w:pPr>
        <w:numPr>
          <w:ilvl w:val="0"/>
          <w:numId w:val="5"/>
        </w:numPr>
        <w:spacing w:line="360" w:lineRule="exact"/>
        <w:ind w:left="1230" w:leftChars="0" w:hanging="180" w:firstLineChars="0"/>
        <w:rPr>
          <w:rFonts w:hint="eastAsia" w:ascii="宋体" w:hAnsi="宋体" w:eastAsia="宋体" w:cs="宋体"/>
          <w:b/>
          <w:bCs/>
          <w:color w:val="auto"/>
          <w:sz w:val="24"/>
        </w:rPr>
      </w:pPr>
      <w:r>
        <w:rPr>
          <w:rFonts w:hint="eastAsia" w:ascii="宋体" w:hAnsi="宋体" w:eastAsia="宋体" w:cs="宋体"/>
          <w:b/>
          <w:bCs/>
          <w:color w:val="auto"/>
          <w:sz w:val="24"/>
        </w:rPr>
        <w:t>投标文件含有采购人不能接受的附加条件的；</w:t>
      </w:r>
    </w:p>
    <w:p>
      <w:pPr>
        <w:numPr>
          <w:ilvl w:val="0"/>
          <w:numId w:val="5"/>
        </w:numPr>
        <w:tabs>
          <w:tab w:val="left" w:pos="0"/>
        </w:tabs>
        <w:spacing w:line="360" w:lineRule="exact"/>
        <w:ind w:left="1230" w:leftChars="0" w:hanging="180" w:firstLineChars="0"/>
        <w:rPr>
          <w:rFonts w:hint="eastAsia" w:ascii="宋体" w:hAnsi="宋体" w:eastAsia="宋体" w:cs="宋体"/>
          <w:b/>
          <w:bCs/>
          <w:color w:val="auto"/>
          <w:sz w:val="24"/>
        </w:rPr>
      </w:pPr>
      <w:r>
        <w:rPr>
          <w:rFonts w:hint="eastAsia" w:ascii="宋体" w:hAnsi="宋体" w:eastAsia="宋体" w:cs="宋体"/>
          <w:b/>
          <w:bCs/>
          <w:color w:val="auto"/>
          <w:sz w:val="24"/>
        </w:rPr>
        <w:t>不符合法规和招标文件中规定的其他实质性要求的。</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highlight w:val="none"/>
        </w:rPr>
        <w:t xml:space="preserve">22.3   </w:t>
      </w:r>
      <w:r>
        <w:rPr>
          <w:rFonts w:hint="eastAsia" w:ascii="宋体" w:hAnsi="宋体" w:eastAsia="宋体" w:cs="宋体"/>
          <w:color w:val="auto"/>
          <w:sz w:val="24"/>
        </w:rPr>
        <w:t>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（1）供应商直接或者间接从采购人或者采购代理机构处获得其他供应商的相关情况并修改其投标文件或者投标文件；</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（2）供应商按照采购人或者采购代理机构的授意撤换、修改投标文件或者投标文件；</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（3）供应商之间协商报价、技术方案等投标文件或者投标文件的实质性内容；</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（4）属于同一集团、协会、商会等组织成员的供应商按照该组织要求协同参加政府采购活动；</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（5）供应商之间事先约定由某一特定供应商中标、成交；</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（6）供应商之间商定部分供应商放弃参加政府采购活动或者放弃中标、成交；</w:t>
      </w:r>
    </w:p>
    <w:p>
      <w:pPr>
        <w:spacing w:line="360" w:lineRule="exact"/>
        <w:ind w:left="900" w:hanging="900" w:hangingChars="375"/>
        <w:rPr>
          <w:rFonts w:hint="eastAsia" w:ascii="宋体" w:hAnsi="宋体" w:eastAsia="宋体" w:cs="宋体"/>
          <w:b w:val="0"/>
          <w:bCs w:val="0"/>
        </w:rPr>
      </w:pPr>
      <w:r>
        <w:rPr>
          <w:rFonts w:hint="eastAsia" w:ascii="宋体" w:hAnsi="宋体" w:eastAsia="宋体" w:cs="宋体"/>
          <w:color w:val="auto"/>
          <w:sz w:val="24"/>
        </w:rPr>
        <w:t>　　 （7）供应商与采购人或者采购代理机构之间、供应商相互之间，为谋求特定供应商中标、成交或者排斥其他供应商的其他串通行为。</w:t>
      </w:r>
    </w:p>
    <w:p>
      <w:pPr>
        <w:pStyle w:val="5"/>
        <w:spacing w:before="0" w:after="0" w:line="360" w:lineRule="exact"/>
        <w:rPr>
          <w:rFonts w:hint="eastAsia" w:ascii="宋体" w:hAnsi="宋体" w:eastAsia="宋体" w:cs="宋体"/>
          <w:color w:val="auto"/>
          <w:u w:val="none"/>
        </w:rPr>
      </w:pPr>
      <w:bookmarkStart w:id="199" w:name="_Toc22941"/>
      <w:bookmarkStart w:id="200" w:name="_Toc6137"/>
      <w:bookmarkStart w:id="201" w:name="_Toc515647784"/>
      <w:bookmarkStart w:id="202" w:name="_Toc30623"/>
      <w:bookmarkStart w:id="203" w:name="_Toc6489"/>
      <w:bookmarkStart w:id="204" w:name="_Toc13652"/>
      <w:r>
        <w:rPr>
          <w:rFonts w:hint="eastAsia" w:ascii="宋体" w:hAnsi="宋体" w:eastAsia="宋体" w:cs="宋体"/>
          <w:color w:val="auto"/>
          <w:u w:val="none"/>
        </w:rPr>
        <w:t>23.</w:t>
      </w:r>
      <w:bookmarkEnd w:id="186"/>
      <w:r>
        <w:rPr>
          <w:rFonts w:hint="eastAsia" w:ascii="宋体" w:hAnsi="宋体" w:eastAsia="宋体" w:cs="宋体"/>
          <w:color w:val="auto"/>
          <w:u w:val="none"/>
        </w:rPr>
        <w:t>比较与评价</w:t>
      </w:r>
      <w:bookmarkEnd w:id="199"/>
      <w:bookmarkEnd w:id="200"/>
      <w:bookmarkEnd w:id="201"/>
      <w:bookmarkEnd w:id="202"/>
      <w:bookmarkEnd w:id="203"/>
      <w:bookmarkEnd w:id="204"/>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23.1</w:t>
      </w:r>
      <w:r>
        <w:rPr>
          <w:rFonts w:hint="eastAsia" w:ascii="宋体" w:hAnsi="宋体" w:eastAsia="宋体" w:cs="宋体"/>
          <w:color w:val="auto"/>
          <w:sz w:val="24"/>
        </w:rPr>
        <w:tab/>
      </w:r>
      <w:r>
        <w:rPr>
          <w:rFonts w:hint="eastAsia" w:ascii="宋体" w:hAnsi="宋体" w:eastAsia="宋体" w:cs="宋体"/>
          <w:color w:val="auto"/>
          <w:sz w:val="24"/>
        </w:rPr>
        <w:t>经符合性审查合格的投标文件，评标委员会将根据招标文件确定的评标方法和标准，对其技术部分和商务部分作进一步的比较和评价。</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23.2  </w:t>
      </w:r>
      <w:r>
        <w:rPr>
          <w:rFonts w:hint="eastAsia" w:ascii="宋体" w:hAnsi="宋体" w:eastAsia="宋体" w:cs="宋体"/>
          <w:color w:val="auto"/>
          <w:sz w:val="24"/>
        </w:rPr>
        <w:tab/>
      </w:r>
      <w:r>
        <w:rPr>
          <w:rFonts w:hint="eastAsia" w:ascii="宋体" w:hAnsi="宋体" w:eastAsia="宋体" w:cs="宋体"/>
          <w:color w:val="auto"/>
          <w:sz w:val="24"/>
        </w:rPr>
        <w:t>评标严格按照招标文件的要求和条件进行。根据实际情况，在</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中规定采用下列一种评标方法，详细评标标准见招标文件第六章：</w:t>
      </w:r>
    </w:p>
    <w:p>
      <w:pPr>
        <w:pStyle w:val="16"/>
        <w:spacing w:line="360" w:lineRule="exact"/>
        <w:ind w:left="899" w:leftChars="342" w:hanging="181"/>
        <w:rPr>
          <w:rFonts w:hint="eastAsia" w:ascii="宋体" w:hAnsi="宋体" w:eastAsia="宋体" w:cs="宋体"/>
          <w:color w:val="auto"/>
          <w:sz w:val="24"/>
          <w:szCs w:val="24"/>
        </w:rPr>
      </w:pPr>
      <w:r>
        <w:rPr>
          <w:rFonts w:hint="eastAsia" w:ascii="宋体" w:hAnsi="宋体" w:eastAsia="宋体" w:cs="宋体"/>
          <w:color w:val="auto"/>
          <w:sz w:val="24"/>
          <w:szCs w:val="24"/>
        </w:rPr>
        <w:t>（1） 最低评标价法，是指投标文件满足招标文件全部实质性要求，且投标报价最低的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为中标候选人的评标方法。</w:t>
      </w:r>
    </w:p>
    <w:p>
      <w:pPr>
        <w:pStyle w:val="16"/>
        <w:spacing w:line="360" w:lineRule="exact"/>
        <w:ind w:left="898" w:leftChars="342" w:hanging="180"/>
        <w:rPr>
          <w:rFonts w:hint="eastAsia" w:ascii="宋体" w:hAnsi="宋体" w:eastAsia="宋体" w:cs="宋体"/>
          <w:color w:val="auto"/>
          <w:sz w:val="24"/>
          <w:szCs w:val="24"/>
        </w:rPr>
      </w:pPr>
      <w:r>
        <w:rPr>
          <w:rFonts w:hint="eastAsia" w:ascii="宋体" w:hAnsi="宋体" w:eastAsia="宋体" w:cs="宋体"/>
          <w:color w:val="auto"/>
          <w:sz w:val="24"/>
          <w:szCs w:val="24"/>
        </w:rPr>
        <w:t>（2） 综合评分法，是指投标文件满足招标文件全部实质性要求，且按照评审因素的量化指标评审得分最高的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为中标候选人的评标方法。</w:t>
      </w:r>
    </w:p>
    <w:p>
      <w:pPr>
        <w:pStyle w:val="16"/>
        <w:shd w:val="clear" w:color="auto" w:fill="auto"/>
        <w:spacing w:line="360" w:lineRule="exact"/>
        <w:ind w:left="239" w:leftChars="114" w:firstLine="513" w:firstLineChars="213"/>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lang w:val="en-US" w:eastAsia="zh-CN"/>
        </w:rPr>
        <w:t>本项目采用综合评分法。</w:t>
      </w:r>
    </w:p>
    <w:p>
      <w:pPr>
        <w:pStyle w:val="16"/>
        <w:shd w:val="clear" w:color="auto" w:fill="auto"/>
        <w:spacing w:line="360" w:lineRule="exact"/>
        <w:ind w:left="900" w:hanging="900" w:hangingChars="375"/>
        <w:rPr>
          <w:rFonts w:hint="eastAsia" w:ascii="宋体" w:hAnsi="宋体" w:eastAsia="宋体" w:cs="宋体"/>
          <w:color w:val="auto"/>
          <w:sz w:val="24"/>
          <w:szCs w:val="24"/>
          <w:highlight w:val="none"/>
        </w:rPr>
      </w:pPr>
      <w:r>
        <w:rPr>
          <w:rFonts w:hint="eastAsia" w:ascii="宋体" w:hAnsi="宋体" w:eastAsia="宋体" w:cs="宋体"/>
          <w:color w:val="auto"/>
          <w:sz w:val="24"/>
          <w:szCs w:val="24"/>
        </w:rPr>
        <w:t xml:space="preserve">23.3   </w:t>
      </w:r>
      <w:r>
        <w:rPr>
          <w:rFonts w:hint="eastAsia" w:ascii="宋体" w:hAnsi="宋体" w:eastAsia="宋体" w:cs="宋体"/>
          <w:color w:val="auto"/>
          <w:sz w:val="24"/>
          <w:szCs w:val="24"/>
          <w:highlight w:val="none"/>
        </w:rPr>
        <w:t>根据《政府采购促进中小企业发展管理办法》（财库[2020]46号）、《财政部 司法部关于政府采购支持监狱企业发展有关问题的通知》（财库〔2014〕68号）和《三部门联合发布关于促进残疾人就业政府采购政策的通知》（</w:t>
      </w:r>
      <w:bookmarkStart w:id="205" w:name="sendNo"/>
      <w:r>
        <w:rPr>
          <w:rFonts w:hint="eastAsia" w:ascii="宋体" w:hAnsi="宋体" w:eastAsia="宋体" w:cs="宋体"/>
          <w:bCs/>
          <w:color w:val="auto"/>
          <w:sz w:val="24"/>
          <w:szCs w:val="24"/>
          <w:highlight w:val="none"/>
        </w:rPr>
        <w:t>财库〔</w:t>
      </w:r>
      <w:bookmarkEnd w:id="205"/>
      <w:r>
        <w:rPr>
          <w:rFonts w:hint="eastAsia" w:ascii="宋体" w:hAnsi="宋体" w:eastAsia="宋体" w:cs="宋体"/>
          <w:bCs/>
          <w:color w:val="auto"/>
          <w:sz w:val="24"/>
          <w:szCs w:val="24"/>
          <w:highlight w:val="none"/>
        </w:rPr>
        <w:t>2017〕141号</w:t>
      </w:r>
      <w:r>
        <w:rPr>
          <w:rFonts w:hint="eastAsia" w:ascii="宋体" w:hAnsi="宋体" w:eastAsia="宋体" w:cs="宋体"/>
          <w:color w:val="auto"/>
          <w:sz w:val="24"/>
          <w:szCs w:val="24"/>
          <w:highlight w:val="none"/>
        </w:rPr>
        <w:t>）的规定，对满足价格扣除条件且在投标文件中提交了《</w:t>
      </w:r>
      <w:r>
        <w:rPr>
          <w:rFonts w:hint="eastAsia" w:ascii="宋体" w:hAnsi="宋体" w:eastAsia="宋体" w:cs="宋体"/>
          <w:color w:val="auto"/>
          <w:sz w:val="24"/>
          <w:szCs w:val="24"/>
          <w:highlight w:val="none"/>
          <w:lang w:eastAsia="zh-CN"/>
        </w:rPr>
        <w:t>中小企业声明函</w:t>
      </w:r>
      <w:r>
        <w:rPr>
          <w:rFonts w:hint="eastAsia" w:ascii="宋体" w:hAnsi="宋体" w:eastAsia="宋体" w:cs="宋体"/>
          <w:color w:val="auto"/>
          <w:sz w:val="24"/>
          <w:szCs w:val="24"/>
          <w:highlight w:val="none"/>
        </w:rPr>
        <w:t>》或省级以上监狱管理局、戒毒管理局（含新疆生产建设兵团）出具的属于监狱企业的证明文件的</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，其投标报价扣除</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%后参与评审。</w:t>
      </w:r>
    </w:p>
    <w:p>
      <w:pPr>
        <w:pStyle w:val="5"/>
        <w:spacing w:before="0" w:after="0" w:line="340" w:lineRule="exact"/>
        <w:rPr>
          <w:rFonts w:hint="eastAsia" w:ascii="宋体" w:hAnsi="宋体" w:eastAsia="宋体" w:cs="宋体"/>
          <w:color w:val="auto"/>
          <w:u w:val="none"/>
        </w:rPr>
      </w:pPr>
      <w:bookmarkStart w:id="206" w:name="_Toc520356168"/>
      <w:bookmarkStart w:id="207" w:name="_Toc7772"/>
      <w:bookmarkStart w:id="208" w:name="_Toc18463"/>
      <w:bookmarkStart w:id="209" w:name="_Toc11957"/>
      <w:bookmarkStart w:id="210" w:name="_Toc9378"/>
      <w:bookmarkStart w:id="211" w:name="_Toc515647785"/>
      <w:bookmarkStart w:id="212" w:name="_Toc20227"/>
      <w:r>
        <w:rPr>
          <w:rFonts w:hint="eastAsia" w:ascii="宋体" w:hAnsi="宋体" w:eastAsia="宋体" w:cs="宋体"/>
          <w:color w:val="auto"/>
          <w:u w:val="none"/>
        </w:rPr>
        <w:t>24</w:t>
      </w:r>
      <w:bookmarkEnd w:id="206"/>
      <w:r>
        <w:rPr>
          <w:rFonts w:hint="eastAsia" w:ascii="宋体" w:hAnsi="宋体" w:eastAsia="宋体" w:cs="宋体"/>
          <w:color w:val="auto"/>
          <w:u w:val="none"/>
        </w:rPr>
        <w:t>.废标</w:t>
      </w:r>
      <w:bookmarkEnd w:id="207"/>
      <w:bookmarkEnd w:id="208"/>
      <w:bookmarkEnd w:id="209"/>
      <w:bookmarkEnd w:id="210"/>
      <w:bookmarkEnd w:id="211"/>
      <w:bookmarkEnd w:id="212"/>
    </w:p>
    <w:p>
      <w:pPr>
        <w:spacing w:line="340" w:lineRule="exact"/>
        <w:ind w:left="898" w:leftChars="399" w:hanging="60" w:hangingChars="25"/>
        <w:rPr>
          <w:rFonts w:hint="eastAsia" w:ascii="宋体" w:hAnsi="宋体" w:eastAsia="宋体" w:cs="宋体"/>
          <w:color w:val="auto"/>
          <w:sz w:val="24"/>
        </w:rPr>
      </w:pPr>
      <w:r>
        <w:rPr>
          <w:rFonts w:hint="eastAsia" w:ascii="宋体" w:hAnsi="宋体" w:eastAsia="宋体" w:cs="宋体"/>
          <w:b/>
          <w:bCs/>
          <w:color w:val="auto"/>
          <w:sz w:val="24"/>
        </w:rPr>
        <w:t>出现下列情形之一，将导致项目废标：</w:t>
      </w:r>
      <w:r>
        <w:rPr>
          <w:rFonts w:hint="eastAsia" w:ascii="宋体" w:hAnsi="宋体" w:eastAsia="宋体" w:cs="宋体"/>
          <w:color w:val="auto"/>
          <w:sz w:val="24"/>
        </w:rPr>
        <w:t xml:space="preserve"> </w:t>
      </w:r>
    </w:p>
    <w:p>
      <w:pPr>
        <w:spacing w:line="34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（1）符合专业条件的供应商或者对招标文件做实质性响应的供应商不足三家；</w:t>
      </w:r>
    </w:p>
    <w:p>
      <w:pPr>
        <w:spacing w:line="34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（2）出现影响采购公正的违法、违规行为的；</w:t>
      </w:r>
    </w:p>
    <w:p>
      <w:pPr>
        <w:spacing w:line="340" w:lineRule="exact"/>
        <w:ind w:firstLine="840" w:firstLineChars="35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供应商</w:t>
      </w:r>
      <w:r>
        <w:rPr>
          <w:rFonts w:hint="eastAsia" w:ascii="宋体" w:hAnsi="宋体" w:eastAsia="宋体" w:cs="宋体"/>
          <w:color w:val="auto"/>
          <w:sz w:val="24"/>
        </w:rPr>
        <w:t>的报价均超过了采购预算，采购人不能支付的；</w:t>
      </w:r>
    </w:p>
    <w:p>
      <w:pPr>
        <w:spacing w:line="340" w:lineRule="exact"/>
        <w:ind w:firstLine="840" w:firstLineChars="350"/>
        <w:rPr>
          <w:rFonts w:hint="eastAsia" w:ascii="宋体" w:hAnsi="宋体" w:eastAsia="宋体" w:cs="宋体"/>
          <w:color w:val="auto"/>
          <w:sz w:val="24"/>
        </w:rPr>
      </w:pPr>
      <w:r>
        <w:rPr>
          <w:rFonts w:hint="eastAsia" w:ascii="宋体" w:hAnsi="宋体" w:eastAsia="宋体" w:cs="宋体"/>
          <w:color w:val="auto"/>
          <w:sz w:val="24"/>
        </w:rPr>
        <w:t xml:space="preserve">（4）因重大变故，采购任务取消的。   </w:t>
      </w:r>
    </w:p>
    <w:p>
      <w:pPr>
        <w:pStyle w:val="5"/>
        <w:spacing w:before="0" w:after="0" w:line="340" w:lineRule="exact"/>
        <w:rPr>
          <w:rFonts w:hint="eastAsia" w:ascii="宋体" w:hAnsi="宋体" w:eastAsia="宋体" w:cs="宋体"/>
          <w:color w:val="auto"/>
          <w:u w:val="none"/>
        </w:rPr>
      </w:pPr>
      <w:bookmarkStart w:id="213" w:name="_Toc21314"/>
      <w:bookmarkStart w:id="214" w:name="_Toc15945"/>
      <w:bookmarkStart w:id="215" w:name="_Toc31289"/>
      <w:bookmarkStart w:id="216" w:name="_Toc24972"/>
      <w:bookmarkStart w:id="217" w:name="_Toc26646"/>
      <w:bookmarkStart w:id="218" w:name="_Toc515647786"/>
      <w:bookmarkStart w:id="219" w:name="_Toc520356169"/>
      <w:r>
        <w:rPr>
          <w:rFonts w:hint="eastAsia" w:ascii="宋体" w:hAnsi="宋体" w:eastAsia="宋体" w:cs="宋体"/>
          <w:color w:val="auto"/>
          <w:u w:val="none"/>
        </w:rPr>
        <w:t>25.保密原则</w:t>
      </w:r>
      <w:bookmarkEnd w:id="213"/>
      <w:bookmarkEnd w:id="214"/>
      <w:bookmarkEnd w:id="215"/>
      <w:bookmarkEnd w:id="216"/>
      <w:bookmarkEnd w:id="217"/>
      <w:bookmarkEnd w:id="218"/>
    </w:p>
    <w:p>
      <w:pPr>
        <w:spacing w:line="34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25.1</w:t>
      </w:r>
      <w:r>
        <w:rPr>
          <w:rFonts w:hint="eastAsia" w:ascii="宋体" w:hAnsi="宋体" w:eastAsia="宋体" w:cs="宋体"/>
          <w:color w:val="auto"/>
          <w:sz w:val="24"/>
        </w:rPr>
        <w:tab/>
      </w:r>
      <w:r>
        <w:rPr>
          <w:rFonts w:hint="eastAsia" w:ascii="宋体" w:hAnsi="宋体" w:eastAsia="宋体" w:cs="宋体"/>
          <w:color w:val="auto"/>
          <w:sz w:val="24"/>
        </w:rPr>
        <w:t>评标将在严格保密的情况下进行。</w:t>
      </w:r>
    </w:p>
    <w:p>
      <w:pPr>
        <w:spacing w:line="34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25.2</w:t>
      </w:r>
      <w:r>
        <w:rPr>
          <w:rFonts w:hint="eastAsia" w:ascii="宋体" w:hAnsi="宋体" w:eastAsia="宋体" w:cs="宋体"/>
          <w:color w:val="auto"/>
          <w:sz w:val="24"/>
        </w:rPr>
        <w:tab/>
      </w:r>
      <w:r>
        <w:rPr>
          <w:rFonts w:hint="eastAsia" w:ascii="宋体" w:hAnsi="宋体" w:eastAsia="宋体" w:cs="宋体"/>
          <w:color w:val="auto"/>
          <w:sz w:val="24"/>
        </w:rPr>
        <w:t>政府采购评审专家应当遵守评审工作纪律，不得泄露评审文件、评审情况和评审中获悉的商业秘密。</w:t>
      </w:r>
    </w:p>
    <w:p>
      <w:pPr>
        <w:spacing w:line="340" w:lineRule="exact"/>
        <w:ind w:left="1080" w:leftChars="257" w:hanging="540"/>
        <w:rPr>
          <w:rFonts w:hint="eastAsia" w:ascii="宋体" w:hAnsi="宋体" w:eastAsia="宋体" w:cs="宋体"/>
          <w:color w:val="auto"/>
          <w:sz w:val="24"/>
        </w:rPr>
      </w:pPr>
    </w:p>
    <w:p>
      <w:pPr>
        <w:pStyle w:val="4"/>
        <w:spacing w:before="0" w:line="340" w:lineRule="exact"/>
        <w:ind w:left="1080" w:leftChars="257" w:hanging="540"/>
        <w:rPr>
          <w:rFonts w:hint="eastAsia" w:ascii="宋体" w:hAnsi="宋体" w:eastAsia="宋体" w:cs="宋体"/>
          <w:color w:val="auto"/>
          <w:sz w:val="24"/>
        </w:rPr>
      </w:pPr>
      <w:bookmarkStart w:id="220" w:name="_Toc515647787"/>
      <w:bookmarkStart w:id="221" w:name="_Toc6388"/>
      <w:bookmarkStart w:id="222" w:name="_Toc12143"/>
      <w:bookmarkStart w:id="223" w:name="_Toc216582810"/>
      <w:bookmarkStart w:id="224" w:name="_Toc23904"/>
      <w:r>
        <w:rPr>
          <w:rFonts w:hint="eastAsia" w:ascii="宋体" w:hAnsi="宋体" w:eastAsia="宋体" w:cs="宋体"/>
          <w:color w:val="auto"/>
          <w:sz w:val="24"/>
        </w:rPr>
        <w:t xml:space="preserve">六   </w:t>
      </w:r>
      <w:bookmarkEnd w:id="219"/>
      <w:r>
        <w:rPr>
          <w:rFonts w:hint="eastAsia" w:ascii="宋体" w:hAnsi="宋体" w:eastAsia="宋体" w:cs="宋体"/>
          <w:color w:val="auto"/>
          <w:sz w:val="24"/>
        </w:rPr>
        <w:t>确定中标</w:t>
      </w:r>
      <w:bookmarkEnd w:id="220"/>
      <w:bookmarkEnd w:id="221"/>
      <w:bookmarkEnd w:id="222"/>
      <w:bookmarkEnd w:id="223"/>
      <w:bookmarkEnd w:id="224"/>
    </w:p>
    <w:p>
      <w:pPr>
        <w:pStyle w:val="9"/>
        <w:spacing w:line="340" w:lineRule="exact"/>
        <w:rPr>
          <w:rFonts w:hint="eastAsia" w:ascii="宋体" w:hAnsi="宋体" w:eastAsia="宋体" w:cs="宋体"/>
          <w:color w:val="auto"/>
        </w:rPr>
      </w:pPr>
    </w:p>
    <w:p>
      <w:pPr>
        <w:pStyle w:val="5"/>
        <w:spacing w:before="0" w:after="0" w:line="340" w:lineRule="exact"/>
        <w:rPr>
          <w:rFonts w:hint="eastAsia" w:ascii="宋体" w:hAnsi="宋体" w:eastAsia="宋体" w:cs="宋体"/>
          <w:color w:val="auto"/>
          <w:u w:val="none"/>
        </w:rPr>
      </w:pPr>
      <w:bookmarkStart w:id="225" w:name="_Toc24975"/>
      <w:bookmarkStart w:id="226" w:name="_Toc23617"/>
      <w:bookmarkStart w:id="227" w:name="_Toc23762"/>
      <w:bookmarkStart w:id="228" w:name="_Toc23314"/>
      <w:bookmarkStart w:id="229" w:name="_Ref467307010"/>
      <w:bookmarkStart w:id="230" w:name="_Toc26675"/>
      <w:bookmarkStart w:id="231" w:name="_Toc515647788"/>
      <w:bookmarkStart w:id="232" w:name="_Toc520356170"/>
      <w:r>
        <w:rPr>
          <w:rFonts w:hint="eastAsia" w:ascii="宋体" w:hAnsi="宋体" w:eastAsia="宋体" w:cs="宋体"/>
          <w:color w:val="auto"/>
          <w:u w:val="none"/>
        </w:rPr>
        <w:t>26.中标候选人的确定原则及标准</w:t>
      </w:r>
      <w:bookmarkEnd w:id="225"/>
      <w:bookmarkEnd w:id="226"/>
      <w:bookmarkEnd w:id="227"/>
      <w:bookmarkEnd w:id="228"/>
      <w:bookmarkEnd w:id="229"/>
      <w:bookmarkEnd w:id="230"/>
      <w:bookmarkEnd w:id="231"/>
      <w:bookmarkEnd w:id="232"/>
    </w:p>
    <w:p>
      <w:pPr>
        <w:spacing w:line="34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除第28条规定外，对实质上响应招标文件的</w:t>
      </w:r>
      <w:r>
        <w:rPr>
          <w:rFonts w:hint="eastAsia" w:ascii="宋体" w:hAnsi="宋体" w:eastAsia="宋体" w:cs="宋体"/>
          <w:color w:val="auto"/>
          <w:sz w:val="24"/>
          <w:lang w:eastAsia="zh-CN"/>
        </w:rPr>
        <w:t>供应商</w:t>
      </w:r>
      <w:r>
        <w:rPr>
          <w:rFonts w:hint="eastAsia" w:ascii="宋体" w:hAnsi="宋体" w:eastAsia="宋体" w:cs="宋体"/>
          <w:color w:val="auto"/>
          <w:sz w:val="24"/>
        </w:rPr>
        <w:t>按下列方法进行排序，确定投标候选人：</w:t>
      </w:r>
    </w:p>
    <w:p>
      <w:pPr>
        <w:spacing w:line="340" w:lineRule="exact"/>
        <w:ind w:left="901"/>
        <w:rPr>
          <w:rFonts w:hint="eastAsia" w:ascii="宋体" w:hAnsi="宋体" w:eastAsia="宋体" w:cs="宋体"/>
          <w:color w:val="auto"/>
          <w:sz w:val="24"/>
        </w:rPr>
      </w:pPr>
      <w:bookmarkStart w:id="233" w:name="_Toc520356171"/>
      <w:bookmarkStart w:id="234" w:name="_Toc515647789"/>
      <w:r>
        <w:rPr>
          <w:rFonts w:hint="eastAsia" w:ascii="宋体" w:hAnsi="宋体" w:eastAsia="宋体" w:cs="宋体"/>
          <w:color w:val="auto"/>
          <w:sz w:val="24"/>
        </w:rPr>
        <w:t>（1）采用最低评标价法的，除了算术修正和落实政府采购政策需进行的价格扣除外，不对</w:t>
      </w:r>
      <w:r>
        <w:rPr>
          <w:rFonts w:hint="eastAsia" w:ascii="宋体" w:hAnsi="宋体" w:eastAsia="宋体" w:cs="宋体"/>
          <w:color w:val="auto"/>
          <w:sz w:val="24"/>
          <w:lang w:eastAsia="zh-CN"/>
        </w:rPr>
        <w:t>供应商</w:t>
      </w:r>
      <w:r>
        <w:rPr>
          <w:rFonts w:hint="eastAsia" w:ascii="宋体" w:hAnsi="宋体" w:eastAsia="宋体" w:cs="宋体"/>
          <w:color w:val="auto"/>
          <w:sz w:val="24"/>
        </w:rPr>
        <w:t>的投标价格进行任何调整。评标结果按修正和扣除后的投标报价由低到高顺序排列。报价相同的处理方式详见招标文件第6章。</w:t>
      </w:r>
    </w:p>
    <w:p>
      <w:pPr>
        <w:spacing w:line="340" w:lineRule="exact"/>
        <w:ind w:left="901"/>
        <w:rPr>
          <w:rFonts w:hint="eastAsia" w:ascii="宋体" w:hAnsi="宋体" w:eastAsia="宋体" w:cs="宋体"/>
          <w:color w:val="auto"/>
          <w:sz w:val="24"/>
        </w:rPr>
      </w:pPr>
      <w:r>
        <w:rPr>
          <w:rFonts w:hint="eastAsia" w:ascii="宋体" w:hAnsi="宋体" w:eastAsia="宋体" w:cs="宋体"/>
          <w:color w:val="auto"/>
          <w:sz w:val="24"/>
        </w:rPr>
        <w:t>（2）采用综合评分法的，评标结果按评审后得分由高到低顺序排列。得分相同的，按修正和扣除后的投标报价由低到高顺序排列。得分与投标报价均相同的处理方式详见招标文件第6章。</w:t>
      </w:r>
    </w:p>
    <w:p>
      <w:pPr>
        <w:pStyle w:val="2"/>
        <w:ind w:firstLine="964" w:firstLineChars="400"/>
        <w:rPr>
          <w:rFonts w:hint="eastAsia" w:ascii="宋体" w:hAnsi="宋体" w:eastAsia="宋体" w:cs="宋体"/>
          <w:highlight w:val="none"/>
        </w:rPr>
      </w:pPr>
      <w:r>
        <w:rPr>
          <w:rFonts w:hint="eastAsia" w:ascii="宋体" w:hAnsi="宋体" w:eastAsia="宋体" w:cs="宋体"/>
          <w:b/>
          <w:bCs/>
          <w:color w:val="auto"/>
          <w:sz w:val="24"/>
          <w:highlight w:val="none"/>
        </w:rPr>
        <w:t>本项目采用综合评分法，其中价格占2</w:t>
      </w:r>
      <w:r>
        <w:rPr>
          <w:rFonts w:hint="eastAsia" w:ascii="宋体" w:hAnsi="宋体" w:eastAsia="宋体" w:cs="宋体"/>
          <w:b/>
          <w:bCs/>
          <w:color w:val="auto"/>
          <w:sz w:val="24"/>
          <w:highlight w:val="none"/>
          <w:lang w:val="en-US"/>
        </w:rPr>
        <w:t>0</w:t>
      </w:r>
      <w:r>
        <w:rPr>
          <w:rFonts w:hint="eastAsia" w:ascii="宋体" w:hAnsi="宋体" w:eastAsia="宋体" w:cs="宋体"/>
          <w:b/>
          <w:bCs/>
          <w:color w:val="auto"/>
          <w:sz w:val="24"/>
          <w:highlight w:val="none"/>
        </w:rPr>
        <w:t>%，商务占</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%，技术占</w:t>
      </w:r>
      <w:r>
        <w:rPr>
          <w:rFonts w:hint="eastAsia" w:ascii="宋体" w:hAnsi="宋体" w:eastAsia="宋体" w:cs="宋体"/>
          <w:b/>
          <w:bCs/>
          <w:color w:val="auto"/>
          <w:sz w:val="24"/>
          <w:highlight w:val="none"/>
          <w:lang w:val="en-US" w:eastAsia="zh-CN"/>
        </w:rPr>
        <w:t>70</w:t>
      </w:r>
      <w:r>
        <w:rPr>
          <w:rFonts w:hint="eastAsia" w:ascii="宋体" w:hAnsi="宋体" w:eastAsia="宋体" w:cs="宋体"/>
          <w:b/>
          <w:bCs/>
          <w:color w:val="auto"/>
          <w:sz w:val="24"/>
          <w:highlight w:val="none"/>
        </w:rPr>
        <w:t>%。</w:t>
      </w:r>
    </w:p>
    <w:p>
      <w:pPr>
        <w:pStyle w:val="5"/>
        <w:tabs>
          <w:tab w:val="left" w:pos="900"/>
        </w:tabs>
        <w:spacing w:before="0" w:after="0" w:line="360" w:lineRule="exact"/>
        <w:rPr>
          <w:rFonts w:hint="eastAsia" w:ascii="宋体" w:hAnsi="宋体" w:eastAsia="宋体" w:cs="宋体"/>
          <w:color w:val="auto"/>
          <w:u w:val="none"/>
        </w:rPr>
      </w:pPr>
      <w:bookmarkStart w:id="235" w:name="_Toc9653"/>
      <w:bookmarkStart w:id="236" w:name="_Toc18540"/>
      <w:bookmarkStart w:id="237" w:name="_Toc17761"/>
      <w:bookmarkStart w:id="238" w:name="_Toc23951"/>
      <w:bookmarkStart w:id="239" w:name="_Toc15306"/>
      <w:r>
        <w:rPr>
          <w:rFonts w:hint="eastAsia" w:ascii="宋体" w:hAnsi="宋体" w:eastAsia="宋体" w:cs="宋体"/>
          <w:color w:val="auto"/>
          <w:u w:val="none"/>
        </w:rPr>
        <w:t>27</w:t>
      </w:r>
      <w:bookmarkEnd w:id="233"/>
      <w:r>
        <w:rPr>
          <w:rFonts w:hint="eastAsia" w:ascii="宋体" w:hAnsi="宋体" w:eastAsia="宋体" w:cs="宋体"/>
          <w:color w:val="auto"/>
          <w:u w:val="none"/>
        </w:rPr>
        <w:t>.确定中标候选人和中标人</w:t>
      </w:r>
      <w:bookmarkEnd w:id="234"/>
      <w:bookmarkEnd w:id="235"/>
      <w:bookmarkEnd w:id="236"/>
      <w:bookmarkEnd w:id="237"/>
      <w:bookmarkEnd w:id="238"/>
      <w:bookmarkEnd w:id="239"/>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评标委员会将根据评</w:t>
      </w:r>
      <w:r>
        <w:rPr>
          <w:rFonts w:hint="eastAsia" w:ascii="宋体" w:hAnsi="宋体" w:eastAsia="宋体" w:cs="宋体"/>
          <w:color w:val="auto"/>
          <w:sz w:val="21"/>
          <w:szCs w:val="21"/>
        </w:rPr>
        <w:t>标</w:t>
      </w:r>
      <w:r>
        <w:rPr>
          <w:rFonts w:hint="eastAsia" w:ascii="宋体" w:hAnsi="宋体" w:eastAsia="宋体" w:cs="宋体"/>
          <w:color w:val="auto"/>
          <w:sz w:val="24"/>
        </w:rPr>
        <w:t>标准，按</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须知资料表中</w:t>
      </w:r>
      <w:r>
        <w:rPr>
          <w:rFonts w:hint="eastAsia" w:ascii="宋体" w:hAnsi="宋体" w:eastAsia="宋体" w:cs="宋体"/>
          <w:color w:val="auto"/>
          <w:sz w:val="24"/>
        </w:rPr>
        <w:t>规定数量推荐中标候选人；或根据采购人的委托，直接确定中标人。</w:t>
      </w:r>
    </w:p>
    <w:p>
      <w:pPr>
        <w:pStyle w:val="5"/>
        <w:tabs>
          <w:tab w:val="left" w:pos="900"/>
        </w:tabs>
        <w:spacing w:before="0" w:after="0" w:line="360" w:lineRule="exact"/>
        <w:rPr>
          <w:rFonts w:hint="eastAsia" w:ascii="宋体" w:hAnsi="宋体" w:eastAsia="宋体" w:cs="宋体"/>
          <w:color w:val="auto"/>
          <w:u w:val="none"/>
        </w:rPr>
      </w:pPr>
      <w:bookmarkStart w:id="240" w:name="_Ref467306874"/>
      <w:bookmarkStart w:id="241" w:name="_Toc520356173"/>
      <w:bookmarkStart w:id="242" w:name="_Toc9045"/>
      <w:bookmarkStart w:id="243" w:name="_Toc515647790"/>
      <w:bookmarkStart w:id="244" w:name="_Toc3113"/>
      <w:bookmarkStart w:id="245" w:name="_Toc23209"/>
      <w:bookmarkStart w:id="246" w:name="_Toc8389"/>
      <w:bookmarkStart w:id="247" w:name="_Toc28562"/>
      <w:r>
        <w:rPr>
          <w:rFonts w:hint="eastAsia" w:ascii="宋体" w:hAnsi="宋体" w:eastAsia="宋体" w:cs="宋体"/>
          <w:color w:val="auto"/>
          <w:u w:val="none"/>
        </w:rPr>
        <w:t>28.</w:t>
      </w:r>
      <w:bookmarkEnd w:id="240"/>
      <w:bookmarkEnd w:id="241"/>
      <w:r>
        <w:rPr>
          <w:rFonts w:hint="eastAsia" w:ascii="宋体" w:hAnsi="宋体" w:eastAsia="宋体" w:cs="宋体"/>
          <w:color w:val="auto"/>
          <w:u w:val="none"/>
        </w:rPr>
        <w:t>采购任务取消</w:t>
      </w:r>
      <w:bookmarkEnd w:id="242"/>
      <w:bookmarkEnd w:id="243"/>
      <w:bookmarkEnd w:id="244"/>
      <w:bookmarkEnd w:id="245"/>
      <w:bookmarkEnd w:id="246"/>
      <w:bookmarkEnd w:id="247"/>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ab/>
      </w:r>
      <w:r>
        <w:rPr>
          <w:rFonts w:hint="eastAsia" w:ascii="宋体" w:hAnsi="宋体" w:eastAsia="宋体" w:cs="宋体"/>
          <w:color w:val="auto"/>
          <w:sz w:val="24"/>
        </w:rPr>
        <w:t>因重大变故采购任务取消时，采购人有权拒绝任何</w:t>
      </w:r>
      <w:r>
        <w:rPr>
          <w:rFonts w:hint="eastAsia" w:ascii="宋体" w:hAnsi="宋体" w:eastAsia="宋体" w:cs="宋体"/>
          <w:color w:val="auto"/>
          <w:sz w:val="24"/>
          <w:lang w:eastAsia="zh-CN"/>
        </w:rPr>
        <w:t>供应商</w:t>
      </w:r>
      <w:r>
        <w:rPr>
          <w:rFonts w:hint="eastAsia" w:ascii="宋体" w:hAnsi="宋体" w:eastAsia="宋体" w:cs="宋体"/>
          <w:color w:val="auto"/>
          <w:sz w:val="24"/>
        </w:rPr>
        <w:t>中标，且对受影响的</w:t>
      </w:r>
      <w:r>
        <w:rPr>
          <w:rFonts w:hint="eastAsia" w:ascii="宋体" w:hAnsi="宋体" w:eastAsia="宋体" w:cs="宋体"/>
          <w:color w:val="auto"/>
          <w:sz w:val="24"/>
          <w:lang w:eastAsia="zh-CN"/>
        </w:rPr>
        <w:t>供应商</w:t>
      </w:r>
      <w:r>
        <w:rPr>
          <w:rFonts w:hint="eastAsia" w:ascii="宋体" w:hAnsi="宋体" w:eastAsia="宋体" w:cs="宋体"/>
          <w:color w:val="auto"/>
          <w:sz w:val="24"/>
        </w:rPr>
        <w:t>不承担任何责任。</w:t>
      </w:r>
      <w:bookmarkStart w:id="248" w:name="_Toc520356174"/>
    </w:p>
    <w:p>
      <w:pPr>
        <w:pStyle w:val="5"/>
        <w:spacing w:before="0" w:after="0" w:line="360" w:lineRule="exact"/>
        <w:rPr>
          <w:rFonts w:hint="eastAsia" w:ascii="宋体" w:hAnsi="宋体" w:eastAsia="宋体" w:cs="宋体"/>
          <w:color w:val="auto"/>
          <w:u w:val="none"/>
        </w:rPr>
      </w:pPr>
      <w:bookmarkStart w:id="249" w:name="_Toc4012"/>
      <w:bookmarkStart w:id="250" w:name="_Toc1928"/>
      <w:bookmarkStart w:id="251" w:name="_Toc515647791"/>
      <w:bookmarkStart w:id="252" w:name="_Toc23304"/>
      <w:bookmarkStart w:id="253" w:name="_Toc31099"/>
      <w:bookmarkStart w:id="254" w:name="_Toc30170"/>
      <w:r>
        <w:rPr>
          <w:rFonts w:hint="eastAsia" w:ascii="宋体" w:hAnsi="宋体" w:eastAsia="宋体" w:cs="宋体"/>
          <w:color w:val="auto"/>
          <w:u w:val="none"/>
        </w:rPr>
        <w:t>29.中标通知书</w:t>
      </w:r>
      <w:bookmarkEnd w:id="248"/>
      <w:r>
        <w:rPr>
          <w:rFonts w:hint="eastAsia" w:ascii="宋体" w:hAnsi="宋体" w:eastAsia="宋体" w:cs="宋体"/>
          <w:color w:val="auto"/>
          <w:u w:val="none"/>
        </w:rPr>
        <w:t>和招标结果通知书</w:t>
      </w:r>
      <w:bookmarkEnd w:id="249"/>
      <w:bookmarkEnd w:id="250"/>
      <w:bookmarkEnd w:id="251"/>
      <w:bookmarkEnd w:id="252"/>
      <w:bookmarkEnd w:id="253"/>
      <w:bookmarkEnd w:id="254"/>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29.1</w:t>
      </w:r>
      <w:r>
        <w:rPr>
          <w:rFonts w:hint="eastAsia" w:ascii="宋体" w:hAnsi="宋体" w:eastAsia="宋体" w:cs="宋体"/>
          <w:color w:val="auto"/>
          <w:sz w:val="24"/>
        </w:rPr>
        <w:tab/>
      </w:r>
      <w:r>
        <w:rPr>
          <w:rFonts w:hint="eastAsia" w:ascii="宋体" w:hAnsi="宋体" w:eastAsia="宋体" w:cs="宋体"/>
          <w:color w:val="auto"/>
          <w:sz w:val="24"/>
        </w:rPr>
        <w:t>在投标有效期内，中标人确定后，采购人或者采购代理机构发布中标公告，同时以书面形式向中标人发出中标通知书。</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29.2</w:t>
      </w:r>
      <w:r>
        <w:rPr>
          <w:rFonts w:hint="eastAsia" w:ascii="宋体" w:hAnsi="宋体" w:eastAsia="宋体" w:cs="宋体"/>
          <w:color w:val="auto"/>
          <w:sz w:val="24"/>
        </w:rPr>
        <w:tab/>
      </w:r>
      <w:r>
        <w:rPr>
          <w:rFonts w:hint="eastAsia" w:ascii="宋体" w:hAnsi="宋体" w:eastAsia="宋体" w:cs="宋体"/>
          <w:color w:val="auto"/>
          <w:sz w:val="24"/>
        </w:rPr>
        <w:t>中标通知书是合同的组成部分。</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29.3    招标结果通知书和中标通知书同时发出。招标结果通知书中将告知未通过资格审查的</w:t>
      </w:r>
      <w:r>
        <w:rPr>
          <w:rFonts w:hint="eastAsia" w:ascii="宋体" w:hAnsi="宋体" w:eastAsia="宋体" w:cs="宋体"/>
          <w:color w:val="auto"/>
          <w:sz w:val="24"/>
          <w:lang w:eastAsia="zh-CN"/>
        </w:rPr>
        <w:t>供应商</w:t>
      </w:r>
      <w:r>
        <w:rPr>
          <w:rFonts w:hint="eastAsia" w:ascii="宋体" w:hAnsi="宋体" w:eastAsia="宋体" w:cs="宋体"/>
          <w:color w:val="auto"/>
          <w:sz w:val="24"/>
        </w:rPr>
        <w:t>未通过的原因；采用综合评分法评审的，还将告知未中标人本人的评审得分和排序。</w:t>
      </w:r>
    </w:p>
    <w:p>
      <w:pPr>
        <w:pStyle w:val="5"/>
        <w:spacing w:before="0" w:after="0" w:line="360" w:lineRule="exact"/>
        <w:rPr>
          <w:rFonts w:hint="eastAsia" w:ascii="宋体" w:hAnsi="宋体" w:eastAsia="宋体" w:cs="宋体"/>
          <w:color w:val="auto"/>
          <w:kern w:val="2"/>
          <w:sz w:val="24"/>
          <w:szCs w:val="24"/>
          <w:u w:val="none"/>
          <w:lang w:val="en-US" w:eastAsia="zh-CN" w:bidi="ar-SA"/>
        </w:rPr>
      </w:pPr>
      <w:bookmarkStart w:id="255" w:name="_Toc1304"/>
      <w:bookmarkStart w:id="256" w:name="_Toc515647792"/>
      <w:bookmarkStart w:id="257" w:name="_Ref467307204"/>
      <w:bookmarkStart w:id="258" w:name="_Ref467306377"/>
      <w:bookmarkStart w:id="259" w:name="_Toc691"/>
      <w:bookmarkStart w:id="260" w:name="_Toc520356175"/>
      <w:bookmarkStart w:id="261" w:name="_Ref467307062"/>
      <w:bookmarkStart w:id="262" w:name="_Toc20984"/>
      <w:bookmarkStart w:id="263" w:name="_Ref467306978"/>
      <w:bookmarkStart w:id="264" w:name="_Toc790"/>
      <w:bookmarkStart w:id="265" w:name="_Toc7779"/>
      <w:r>
        <w:rPr>
          <w:rFonts w:hint="eastAsia" w:ascii="宋体" w:hAnsi="宋体" w:eastAsia="宋体" w:cs="宋体"/>
          <w:color w:val="auto"/>
          <w:kern w:val="2"/>
          <w:sz w:val="24"/>
          <w:szCs w:val="24"/>
          <w:u w:val="none"/>
          <w:lang w:val="en-US" w:eastAsia="zh-CN" w:bidi="ar-SA"/>
        </w:rPr>
        <w:t>30.签订合同</w:t>
      </w:r>
      <w:bookmarkEnd w:id="255"/>
      <w:bookmarkEnd w:id="256"/>
      <w:bookmarkEnd w:id="257"/>
      <w:bookmarkEnd w:id="258"/>
      <w:bookmarkEnd w:id="259"/>
      <w:bookmarkEnd w:id="260"/>
      <w:bookmarkEnd w:id="261"/>
      <w:bookmarkEnd w:id="262"/>
      <w:bookmarkEnd w:id="263"/>
      <w:bookmarkEnd w:id="264"/>
      <w:bookmarkEnd w:id="265"/>
    </w:p>
    <w:p>
      <w:pPr>
        <w:spacing w:line="360" w:lineRule="exact"/>
        <w:ind w:left="900" w:hanging="900" w:hangingChars="375"/>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30.1</w:t>
      </w:r>
      <w:r>
        <w:rPr>
          <w:rFonts w:hint="eastAsia" w:ascii="宋体" w:hAnsi="宋体" w:eastAsia="宋体" w:cs="宋体"/>
          <w:color w:val="auto"/>
          <w:kern w:val="2"/>
          <w:sz w:val="24"/>
          <w:szCs w:val="24"/>
          <w:u w:val="none"/>
          <w:lang w:val="en-US" w:eastAsia="zh-CN" w:bidi="ar-SA"/>
        </w:rPr>
        <w:tab/>
      </w:r>
      <w:r>
        <w:rPr>
          <w:rFonts w:hint="eastAsia" w:ascii="宋体" w:hAnsi="宋体" w:eastAsia="宋体" w:cs="宋体"/>
          <w:color w:val="auto"/>
          <w:kern w:val="2"/>
          <w:sz w:val="24"/>
          <w:szCs w:val="24"/>
          <w:u w:val="none"/>
          <w:lang w:val="en-US" w:eastAsia="zh-CN" w:bidi="ar-SA"/>
        </w:rPr>
        <w:t>中标人应当自发出中标通知书之日起30日内，与采购人签订合同。</w:t>
      </w:r>
    </w:p>
    <w:p>
      <w:pPr>
        <w:spacing w:line="360" w:lineRule="exact"/>
        <w:ind w:left="900" w:hanging="900" w:hangingChars="375"/>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30.2</w:t>
      </w:r>
      <w:r>
        <w:rPr>
          <w:rFonts w:hint="eastAsia" w:ascii="宋体" w:hAnsi="宋体" w:eastAsia="宋体" w:cs="宋体"/>
          <w:color w:val="auto"/>
          <w:kern w:val="2"/>
          <w:sz w:val="24"/>
          <w:szCs w:val="24"/>
          <w:u w:val="none"/>
          <w:lang w:val="en-US" w:eastAsia="zh-CN" w:bidi="ar-SA"/>
        </w:rPr>
        <w:tab/>
      </w:r>
      <w:bookmarkStart w:id="266" w:name="_Ref467307090"/>
      <w:bookmarkStart w:id="267" w:name="_Toc520356176"/>
      <w:bookmarkStart w:id="268" w:name="_Ref467306425"/>
      <w:r>
        <w:rPr>
          <w:rFonts w:hint="eastAsia" w:ascii="宋体" w:hAnsi="宋体" w:eastAsia="宋体" w:cs="宋体"/>
          <w:color w:val="auto"/>
          <w:kern w:val="2"/>
          <w:sz w:val="24"/>
          <w:szCs w:val="24"/>
          <w:u w:val="none"/>
          <w:lang w:val="en-US" w:eastAsia="zh-CN" w:bidi="ar-SA"/>
        </w:rPr>
        <w:t>招标文件、中标人的投标文件及其澄清文件等，均为签订合同的依据。</w:t>
      </w:r>
    </w:p>
    <w:p>
      <w:pPr>
        <w:spacing w:line="360" w:lineRule="exact"/>
        <w:ind w:left="900" w:hanging="900" w:hangingChars="375"/>
        <w:rPr>
          <w:rFonts w:hint="eastAsia" w:ascii="宋体" w:hAnsi="宋体" w:eastAsia="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30.3   中标人拒绝与采购人签订合同的，采购人可以按照评审报告推荐的中标候选人名单排序，确定下一中标候选人为中标人，也可以重新开展政府采购活动。</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30.4   当出现法规规定的</w:t>
      </w:r>
      <w:r>
        <w:rPr>
          <w:rFonts w:hint="eastAsia" w:ascii="宋体" w:hAnsi="宋体" w:eastAsia="宋体" w:cs="宋体"/>
          <w:b/>
          <w:color w:val="auto"/>
          <w:sz w:val="24"/>
        </w:rPr>
        <w:t>中标无效或中标结果无效</w:t>
      </w:r>
      <w:r>
        <w:rPr>
          <w:rFonts w:hint="eastAsia" w:ascii="宋体" w:hAnsi="宋体" w:eastAsia="宋体" w:cs="宋体"/>
          <w:color w:val="auto"/>
          <w:sz w:val="24"/>
        </w:rPr>
        <w:t>情形时，采购人可与排名下一位的中标候选人另行签订合同，或依法重新开展采购活动。</w:t>
      </w:r>
    </w:p>
    <w:p>
      <w:pPr>
        <w:pStyle w:val="5"/>
        <w:spacing w:before="0" w:after="0" w:line="360" w:lineRule="exact"/>
        <w:rPr>
          <w:rFonts w:hint="eastAsia" w:ascii="宋体" w:hAnsi="宋体" w:eastAsia="宋体" w:cs="宋体"/>
          <w:color w:val="auto"/>
          <w:u w:val="none"/>
        </w:rPr>
      </w:pPr>
      <w:bookmarkStart w:id="269" w:name="_Toc13089"/>
      <w:bookmarkStart w:id="270" w:name="_Toc24223"/>
      <w:bookmarkStart w:id="271" w:name="_Toc515647793"/>
      <w:bookmarkStart w:id="272" w:name="_Toc6897"/>
      <w:bookmarkStart w:id="273" w:name="_Toc14080"/>
      <w:bookmarkStart w:id="274" w:name="_Toc22555"/>
      <w:r>
        <w:rPr>
          <w:rFonts w:hint="eastAsia" w:ascii="宋体" w:hAnsi="宋体" w:eastAsia="宋体" w:cs="宋体"/>
          <w:color w:val="auto"/>
          <w:u w:val="none"/>
        </w:rPr>
        <w:t>31.履约保证金</w:t>
      </w:r>
      <w:bookmarkEnd w:id="266"/>
      <w:bookmarkEnd w:id="267"/>
      <w:bookmarkEnd w:id="268"/>
      <w:bookmarkEnd w:id="269"/>
      <w:bookmarkEnd w:id="270"/>
      <w:bookmarkEnd w:id="271"/>
      <w:bookmarkEnd w:id="272"/>
      <w:bookmarkEnd w:id="273"/>
      <w:bookmarkEnd w:id="274"/>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31.1</w:t>
      </w:r>
      <w:r>
        <w:rPr>
          <w:rFonts w:hint="eastAsia" w:ascii="宋体" w:hAnsi="宋体" w:eastAsia="宋体" w:cs="宋体"/>
          <w:color w:val="auto"/>
          <w:sz w:val="24"/>
        </w:rPr>
        <w:tab/>
      </w:r>
      <w:r>
        <w:rPr>
          <w:rFonts w:hint="eastAsia" w:ascii="宋体" w:hAnsi="宋体" w:eastAsia="宋体" w:cs="宋体"/>
          <w:color w:val="auto"/>
          <w:sz w:val="24"/>
        </w:rPr>
        <w:t>中标人应按照</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规定向采购人缴纳履约保证金（如采用保函形式，格式见本章附件1）。</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31.2</w:t>
      </w:r>
      <w:r>
        <w:rPr>
          <w:rFonts w:hint="eastAsia" w:ascii="宋体" w:hAnsi="宋体" w:eastAsia="宋体" w:cs="宋体"/>
          <w:color w:val="auto"/>
          <w:sz w:val="24"/>
        </w:rPr>
        <w:tab/>
      </w:r>
      <w:r>
        <w:rPr>
          <w:rFonts w:hint="eastAsia" w:ascii="宋体" w:hAnsi="宋体" w:eastAsia="宋体" w:cs="宋体"/>
          <w:color w:val="auto"/>
          <w:sz w:val="24"/>
        </w:rPr>
        <w:t>政府采购利用担保试点范围内的项目，除31.1规定的情形外，中标人也可以按照财政部门的规定，向采购人提供合格的履约担保函（格式见本章附件2）。</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31.3   如果中标人没有按照上述履约保证金的规定执行，将视为放弃中标资格，中标人的投标保证金将不予退还。在此情况下，采购人可确定下一候选人为中标人，也可以重新开展采购活动。</w:t>
      </w:r>
    </w:p>
    <w:p>
      <w:pPr>
        <w:pStyle w:val="5"/>
        <w:spacing w:before="0" w:after="0" w:line="360" w:lineRule="exact"/>
        <w:rPr>
          <w:rFonts w:hint="eastAsia" w:ascii="宋体" w:hAnsi="宋体" w:eastAsia="宋体" w:cs="宋体"/>
          <w:color w:val="auto"/>
          <w:u w:val="none"/>
        </w:rPr>
      </w:pPr>
      <w:bookmarkStart w:id="275" w:name="_Toc3090"/>
      <w:bookmarkStart w:id="276" w:name="_Toc515647794"/>
      <w:bookmarkStart w:id="277" w:name="_Toc1355"/>
      <w:bookmarkStart w:id="278" w:name="_Toc25287"/>
      <w:bookmarkStart w:id="279" w:name="_Toc13530"/>
      <w:bookmarkStart w:id="280" w:name="_Toc29408"/>
      <w:r>
        <w:rPr>
          <w:rFonts w:hint="eastAsia" w:ascii="宋体" w:hAnsi="宋体" w:eastAsia="宋体" w:cs="宋体"/>
          <w:color w:val="auto"/>
          <w:u w:val="none"/>
        </w:rPr>
        <w:t>32.中标服务费</w:t>
      </w:r>
      <w:bookmarkEnd w:id="275"/>
      <w:bookmarkEnd w:id="276"/>
      <w:bookmarkEnd w:id="277"/>
      <w:bookmarkEnd w:id="278"/>
      <w:bookmarkEnd w:id="279"/>
      <w:bookmarkEnd w:id="280"/>
    </w:p>
    <w:p>
      <w:pPr>
        <w:spacing w:line="360" w:lineRule="exact"/>
        <w:ind w:left="840" w:leftChars="200" w:hanging="420" w:hangingChars="175"/>
        <w:rPr>
          <w:rFonts w:hint="eastAsia" w:ascii="宋体" w:hAnsi="宋体" w:eastAsia="宋体" w:cs="宋体"/>
          <w:color w:val="auto"/>
          <w:sz w:val="24"/>
        </w:rPr>
      </w:pPr>
      <w:r>
        <w:rPr>
          <w:rFonts w:hint="eastAsia" w:ascii="宋体" w:hAnsi="宋体" w:eastAsia="宋体" w:cs="宋体"/>
          <w:color w:val="auto"/>
          <w:sz w:val="24"/>
        </w:rPr>
        <w:t xml:space="preserve">   中标人须按照</w:t>
      </w:r>
      <w:r>
        <w:rPr>
          <w:rFonts w:hint="eastAsia" w:ascii="宋体" w:hAnsi="宋体" w:eastAsia="宋体" w:cs="宋体"/>
          <w:color w:val="auto"/>
          <w:sz w:val="24"/>
          <w:u w:val="single"/>
        </w:rPr>
        <w:t>投标须知资料表</w:t>
      </w:r>
      <w:r>
        <w:rPr>
          <w:rFonts w:hint="eastAsia" w:ascii="宋体" w:hAnsi="宋体" w:eastAsia="宋体" w:cs="宋体"/>
          <w:color w:val="auto"/>
          <w:sz w:val="24"/>
        </w:rPr>
        <w:t>规定，向采购代理机构支付中标服务费。</w:t>
      </w:r>
    </w:p>
    <w:p>
      <w:pPr>
        <w:pStyle w:val="5"/>
        <w:spacing w:before="0" w:after="0" w:line="360" w:lineRule="exact"/>
        <w:rPr>
          <w:rFonts w:hint="eastAsia" w:ascii="宋体" w:hAnsi="宋体" w:eastAsia="宋体" w:cs="宋体"/>
          <w:color w:val="auto"/>
          <w:u w:val="none"/>
        </w:rPr>
      </w:pPr>
      <w:bookmarkStart w:id="281" w:name="_Toc515647795"/>
      <w:bookmarkStart w:id="282" w:name="_Toc18608"/>
      <w:bookmarkStart w:id="283" w:name="_Toc6923"/>
      <w:bookmarkStart w:id="284" w:name="_Toc7049"/>
      <w:bookmarkStart w:id="285" w:name="_Toc19991"/>
      <w:bookmarkStart w:id="286" w:name="_Toc10678"/>
      <w:r>
        <w:rPr>
          <w:rFonts w:hint="eastAsia" w:ascii="宋体" w:hAnsi="宋体" w:eastAsia="宋体" w:cs="宋体"/>
          <w:color w:val="auto"/>
          <w:u w:val="none"/>
        </w:rPr>
        <w:t>33.政府采购信用担保</w:t>
      </w:r>
      <w:bookmarkEnd w:id="281"/>
      <w:bookmarkEnd w:id="282"/>
      <w:bookmarkEnd w:id="283"/>
      <w:bookmarkEnd w:id="284"/>
      <w:bookmarkEnd w:id="285"/>
      <w:bookmarkEnd w:id="286"/>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33.1   本项目是否属于信用担保试点范围见</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w:t>
      </w:r>
    </w:p>
    <w:p>
      <w:pPr>
        <w:spacing w:line="360" w:lineRule="exact"/>
        <w:ind w:left="850" w:hanging="849" w:hangingChars="354"/>
        <w:rPr>
          <w:rFonts w:hint="eastAsia" w:ascii="宋体" w:hAnsi="宋体" w:eastAsia="宋体" w:cs="宋体"/>
          <w:color w:val="auto"/>
          <w:sz w:val="24"/>
        </w:rPr>
      </w:pPr>
      <w:r>
        <w:rPr>
          <w:rFonts w:hint="eastAsia" w:ascii="宋体" w:hAnsi="宋体" w:eastAsia="宋体" w:cs="宋体"/>
          <w:color w:val="auto"/>
          <w:sz w:val="24"/>
        </w:rPr>
        <w:t>33.2   如属于政府采购信用担保试点范围内，中小型企业</w:t>
      </w:r>
      <w:r>
        <w:rPr>
          <w:rFonts w:hint="eastAsia" w:ascii="宋体" w:hAnsi="宋体" w:eastAsia="宋体" w:cs="宋体"/>
          <w:color w:val="auto"/>
          <w:sz w:val="24"/>
          <w:lang w:eastAsia="zh-CN"/>
        </w:rPr>
        <w:t>供应商</w:t>
      </w:r>
      <w:r>
        <w:rPr>
          <w:rFonts w:hint="eastAsia" w:ascii="宋体" w:hAnsi="宋体" w:eastAsia="宋体" w:cs="宋体"/>
          <w:color w:val="auto"/>
          <w:sz w:val="24"/>
        </w:rPr>
        <w:t>可以自由按照财政部门的规定，采用投标担保、履约担保和融资担保。</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33.2.1 </w:t>
      </w:r>
      <w:r>
        <w:rPr>
          <w:rFonts w:hint="eastAsia" w:ascii="宋体" w:hAnsi="宋体" w:eastAsia="宋体" w:cs="宋体"/>
          <w:color w:val="auto"/>
          <w:sz w:val="24"/>
          <w:lang w:eastAsia="zh-CN"/>
        </w:rPr>
        <w:t>供应商</w:t>
      </w:r>
      <w:r>
        <w:rPr>
          <w:rFonts w:hint="eastAsia" w:ascii="宋体" w:hAnsi="宋体" w:eastAsia="宋体" w:cs="宋体"/>
          <w:color w:val="auto"/>
          <w:sz w:val="24"/>
        </w:rPr>
        <w:t>递交的投标担保函和履约担保函应符合本招标文件的规定。</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33.2.2 中标人可以采取融资担保的形式为政府采购项目履约进行融资。</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33.2.3 合格的政府采购专业信用担保机构名单见</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w:t>
      </w:r>
      <w:r>
        <w:rPr>
          <w:rFonts w:hint="eastAsia" w:ascii="宋体" w:hAnsi="宋体" w:eastAsia="宋体" w:cs="宋体"/>
          <w:color w:val="auto"/>
          <w:sz w:val="24"/>
        </w:rPr>
        <w:t>。</w:t>
      </w:r>
    </w:p>
    <w:p>
      <w:pPr>
        <w:pStyle w:val="5"/>
        <w:spacing w:before="0" w:after="0" w:line="360" w:lineRule="exact"/>
        <w:rPr>
          <w:rFonts w:hint="eastAsia" w:ascii="宋体" w:hAnsi="宋体" w:eastAsia="宋体" w:cs="宋体"/>
          <w:color w:val="auto"/>
          <w:u w:val="none"/>
        </w:rPr>
      </w:pPr>
      <w:bookmarkStart w:id="287" w:name="_Toc15656"/>
      <w:bookmarkStart w:id="288" w:name="_Toc18719"/>
      <w:bookmarkStart w:id="289" w:name="_Toc2133"/>
      <w:bookmarkStart w:id="290" w:name="_Toc23999"/>
      <w:bookmarkStart w:id="291" w:name="_Toc515647796"/>
      <w:bookmarkStart w:id="292" w:name="_Toc9412"/>
      <w:r>
        <w:rPr>
          <w:rFonts w:hint="eastAsia" w:ascii="宋体" w:hAnsi="宋体" w:eastAsia="宋体" w:cs="宋体"/>
          <w:color w:val="auto"/>
          <w:u w:val="none"/>
        </w:rPr>
        <w:t>34.廉洁自律规定</w:t>
      </w:r>
      <w:bookmarkEnd w:id="287"/>
      <w:bookmarkEnd w:id="288"/>
      <w:bookmarkEnd w:id="289"/>
      <w:bookmarkEnd w:id="290"/>
      <w:bookmarkEnd w:id="291"/>
      <w:bookmarkEnd w:id="292"/>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34.1   采购代理机构工作人员不得以不正当手段获取政府采购代理业务，不得与采购人、供应商恶意串通操纵政府采购活动。</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34.2   采购代理机构工作人员不得接受采购人或者供应商组织的宴请、旅游、娱乐，不得收受礼品、现金、有价证券等，不得向采购人或者供应商报销应当由个人承担的费用。</w:t>
      </w:r>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34.3   为强化采购代理机构内部监督机制，供应商可按</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须知资料表中的</w:t>
      </w:r>
      <w:r>
        <w:rPr>
          <w:rFonts w:hint="eastAsia" w:ascii="宋体" w:hAnsi="宋体" w:eastAsia="宋体" w:cs="宋体"/>
          <w:color w:val="auto"/>
          <w:sz w:val="24"/>
        </w:rPr>
        <w:t>监督电话和邮箱，反映采购代理机构的廉洁自律等问题。</w:t>
      </w:r>
    </w:p>
    <w:p>
      <w:pPr>
        <w:pStyle w:val="5"/>
        <w:spacing w:before="0" w:after="0" w:line="360" w:lineRule="exact"/>
        <w:rPr>
          <w:rFonts w:hint="eastAsia" w:ascii="宋体" w:hAnsi="宋体" w:eastAsia="宋体" w:cs="宋体"/>
          <w:color w:val="auto"/>
          <w:u w:val="none"/>
        </w:rPr>
      </w:pPr>
      <w:bookmarkStart w:id="293" w:name="_Toc12429"/>
      <w:bookmarkStart w:id="294" w:name="_Toc25071"/>
      <w:bookmarkStart w:id="295" w:name="_Toc11586"/>
      <w:bookmarkStart w:id="296" w:name="_Toc515647797"/>
      <w:bookmarkStart w:id="297" w:name="_Toc756"/>
      <w:bookmarkStart w:id="298" w:name="_Toc25480"/>
      <w:r>
        <w:rPr>
          <w:rFonts w:hint="eastAsia" w:ascii="宋体" w:hAnsi="宋体" w:eastAsia="宋体" w:cs="宋体"/>
          <w:color w:val="auto"/>
          <w:u w:val="none"/>
        </w:rPr>
        <w:t>35.人员回避</w:t>
      </w:r>
      <w:bookmarkEnd w:id="293"/>
      <w:bookmarkEnd w:id="294"/>
      <w:bookmarkEnd w:id="295"/>
      <w:bookmarkEnd w:id="296"/>
      <w:bookmarkEnd w:id="297"/>
      <w:bookmarkEnd w:id="298"/>
    </w:p>
    <w:p>
      <w:pPr>
        <w:spacing w:line="360" w:lineRule="exact"/>
        <w:ind w:left="900" w:hanging="900" w:hangingChars="375"/>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认为采购人员及其相关人员有法律法规所列与其他供应商有利害关系的，可以向采购人或采购代理机构书面提出回避申请，并说明理由。</w:t>
      </w:r>
    </w:p>
    <w:p>
      <w:pPr>
        <w:pStyle w:val="5"/>
        <w:spacing w:before="0" w:after="0" w:line="360" w:lineRule="exact"/>
        <w:rPr>
          <w:rFonts w:hint="eastAsia" w:ascii="宋体" w:hAnsi="宋体" w:eastAsia="宋体" w:cs="宋体"/>
          <w:color w:val="auto"/>
          <w:u w:val="none"/>
        </w:rPr>
      </w:pPr>
      <w:bookmarkStart w:id="299" w:name="_Toc448"/>
      <w:bookmarkStart w:id="300" w:name="_Toc28470"/>
      <w:bookmarkStart w:id="301" w:name="_Toc11115"/>
      <w:bookmarkStart w:id="302" w:name="_Toc10666"/>
      <w:bookmarkStart w:id="303" w:name="_Toc1148"/>
      <w:bookmarkStart w:id="304" w:name="_Toc515647798"/>
      <w:r>
        <w:rPr>
          <w:rFonts w:hint="eastAsia" w:ascii="宋体" w:hAnsi="宋体" w:eastAsia="宋体" w:cs="宋体"/>
          <w:color w:val="auto"/>
          <w:u w:val="none"/>
        </w:rPr>
        <w:t>36.质疑与接收</w:t>
      </w:r>
      <w:bookmarkEnd w:id="299"/>
      <w:bookmarkEnd w:id="300"/>
      <w:bookmarkEnd w:id="301"/>
      <w:bookmarkEnd w:id="302"/>
      <w:bookmarkEnd w:id="303"/>
      <w:bookmarkEnd w:id="304"/>
    </w:p>
    <w:p>
      <w:pPr>
        <w:shd w:val="clear" w:color="auto" w:fill="auto"/>
        <w:spacing w:line="360" w:lineRule="exact"/>
        <w:ind w:left="720"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pStyle w:val="91"/>
        <w:shd w:val="clear" w:color="auto" w:fill="auto"/>
        <w:spacing w:line="360" w:lineRule="exact"/>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pPr>
        <w:pStyle w:val="91"/>
        <w:shd w:val="clear" w:color="auto" w:fill="auto"/>
        <w:spacing w:line="360" w:lineRule="exact"/>
        <w:ind w:left="720" w:hanging="720" w:hangingChars="300"/>
        <w:rPr>
          <w:rFonts w:hint="eastAsia" w:ascii="宋体" w:hAnsi="宋体" w:eastAsia="宋体" w:cs="宋体"/>
          <w:color w:val="auto"/>
          <w:highlight w:val="none"/>
        </w:rPr>
      </w:pPr>
      <w:r>
        <w:rPr>
          <w:rFonts w:hint="eastAsia" w:ascii="宋体" w:hAnsi="宋体" w:eastAsia="宋体" w:cs="宋体"/>
          <w:color w:val="auto"/>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pPr>
        <w:shd w:val="clear" w:color="auto" w:fill="auto"/>
        <w:spacing w:line="360" w:lineRule="exact"/>
        <w:ind w:left="720"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pPr>
        <w:shd w:val="clear" w:color="auto" w:fill="auto"/>
        <w:spacing w:line="360" w:lineRule="exact"/>
        <w:ind w:left="720"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36.5  采购代理机构质疑函接收部门、联系电话和通讯地址, 见</w:t>
      </w:r>
      <w:r>
        <w:rPr>
          <w:rFonts w:hint="eastAsia" w:ascii="宋体" w:hAnsi="宋体" w:eastAsia="宋体" w:cs="宋体"/>
          <w:color w:val="auto"/>
          <w:sz w:val="24"/>
          <w:highlight w:val="none"/>
          <w:u w:val="single"/>
        </w:rPr>
        <w:t>供应商须知资料表。</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36.6   供应商认为采购文件、采购过程和中标结果使自己的权益受到损害的，可以在知道或者应知其权益受到损害之日起7个工作日内，以书面形式向采购方提出质疑。供应商应知其权益受到损害之日，是指：</w:t>
      </w:r>
    </w:p>
    <w:p>
      <w:pPr>
        <w:shd w:val="clear" w:color="auto" w:fill="auto"/>
        <w:spacing w:line="360" w:lineRule="exact"/>
        <w:ind w:left="718" w:leftChars="342"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（一）对可以质疑的采购文件提出质疑的，为收到采购文件之日或者采购文件公告期限届满之日；</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（二）对采购过程提出质疑的，为各采购程序环节结束之日；</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（三）对中标结果提出质疑的，为中标结果公告期限届满之日。</w:t>
      </w:r>
    </w:p>
    <w:p>
      <w:pPr>
        <w:shd w:val="clear" w:color="auto" w:fill="auto"/>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36.7   供应商有权提出一次质疑，不能多次提出。</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36.8   对可以质疑的采购文件提出质疑的，质疑人为参与本项目的报价方或潜在报价方。可质疑的文件为采购公告以及采购文件（包括属于其组成部分的澄清、修改、补充文件和评审标准、合同文本等）。</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pPr>
        <w:shd w:val="clear" w:color="auto" w:fill="auto"/>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36.10  提出质疑应当符合下列条件：</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（一）质疑主体应当符合有关规定；</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（二）在质疑法定期限内提出；</w:t>
      </w:r>
    </w:p>
    <w:p>
      <w:pPr>
        <w:shd w:val="clear" w:color="auto" w:fill="auto"/>
        <w:spacing w:line="360" w:lineRule="exact"/>
        <w:ind w:left="718" w:leftChars="342"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（三）属于可以提出质疑的政府采购事项受理范围和本项目采购人的管辖权范围；</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（四）政府采购法律、法规、规章规定的其他条件。</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36.11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36.12  质疑人所提供的证明材料应当具有真实性、合法性以及与质疑事项的关联性和证明力，否则不能作为认定该质疑事项成立的依据。</w:t>
      </w:r>
    </w:p>
    <w:p>
      <w:pPr>
        <w:shd w:val="clear" w:color="auto" w:fill="auto"/>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36.13 质疑人提出质疑时应当提交质疑函。质疑函包括下列内容：</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（一）提出质疑的质疑人的名称、地址、邮编、联系人及联系电话等；</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（二）质疑项目的名称、编号；</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（三）质疑事项；</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（四）事实依据和证明材料；</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（五）法律依据；</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（六）提出质疑的日期。</w:t>
      </w:r>
    </w:p>
    <w:p>
      <w:pPr>
        <w:shd w:val="clear" w:color="auto" w:fill="auto"/>
        <w:spacing w:line="360" w:lineRule="exact"/>
        <w:ind w:left="718" w:leftChars="342"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36.14  质疑人可以委托代理人进行质疑。代理人应当提交授权委托书。授权委托书应当载明委托代理的具体权限、期限和相关事项。</w:t>
      </w:r>
    </w:p>
    <w:p>
      <w:pPr>
        <w:shd w:val="clear" w:color="auto" w:fill="auto"/>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36.15  质疑的审查和受理</w:t>
      </w:r>
    </w:p>
    <w:p>
      <w:pPr>
        <w:shd w:val="clear" w:color="auto" w:fill="auto"/>
        <w:spacing w:line="360" w:lineRule="exact"/>
        <w:ind w:left="718" w:leftChars="342"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采购方在收到质疑函后应当及时审查是否符合质疑受理条件，对符合质疑受理条件的，及时予以受理。</w:t>
      </w:r>
    </w:p>
    <w:p>
      <w:pPr>
        <w:shd w:val="clear" w:color="auto" w:fill="auto"/>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36.16  对不符合质疑受理条件的，分别按照下列不同情形予以处理：</w:t>
      </w:r>
    </w:p>
    <w:p>
      <w:pPr>
        <w:shd w:val="clear" w:color="auto" w:fill="auto"/>
        <w:spacing w:line="360" w:lineRule="exact"/>
        <w:ind w:left="718" w:leftChars="342"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（一）质疑函内容不符合规定的，告知质疑人进行修改并重新提出质疑。修改后质疑事项仍不具体、不明确或者最终递交质疑函的时间超过质疑法定期限的，不予受理；</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（二）质疑主体不符合有关规定的，告知质疑人不予受理；</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（三）超过质疑法定期限提出质疑的，告知质疑人不予受理；</w:t>
      </w:r>
    </w:p>
    <w:p>
      <w:pPr>
        <w:shd w:val="clear" w:color="auto" w:fill="auto"/>
        <w:spacing w:line="360" w:lineRule="exact"/>
        <w:ind w:left="718" w:leftChars="342"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（四）对不属于可以提出质疑的政府采购事项提出质疑的，告知质疑人不予受理；</w:t>
      </w:r>
    </w:p>
    <w:p>
      <w:pPr>
        <w:shd w:val="clear" w:color="auto" w:fill="auto"/>
        <w:spacing w:line="360" w:lineRule="exact"/>
        <w:ind w:left="718" w:leftChars="342" w:firstLine="0" w:firstLine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（五）质疑不属于本项目采购方管辖的，告知质疑人向有管辖权的采购人提出质疑；</w:t>
      </w:r>
    </w:p>
    <w:p>
      <w:pPr>
        <w:shd w:val="clear" w:color="auto" w:fill="auto"/>
        <w:spacing w:line="360" w:lineRule="exact"/>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（六）质疑不符合其他条件的，告知质疑人不予受理。</w:t>
      </w:r>
    </w:p>
    <w:p>
      <w:pPr>
        <w:shd w:val="clear" w:color="auto" w:fill="auto"/>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36.17  质疑的处理和答复</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36.18  采购方受理质疑后，将及时把质疑函发送给被质疑人，并要求其在一定限期内提交书面答复，同时提供有关证据、依据和相关材料。</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36.19  对于质疑事项中涉及的问题较多、情况比较复杂的，为了全面查清事实、取得充分的证据，采购方认为有必要时，可以进行调查取证或者组织质证。</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36.20  对评审过程、中标结果提出质疑的，采购方可以组织原评审委员会协助答复质疑。</w:t>
      </w:r>
    </w:p>
    <w:p>
      <w:pPr>
        <w:shd w:val="clear" w:color="auto" w:fill="auto"/>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36.21  质疑处理过程中，质疑人书面申请撤回质疑的，将终止质疑处理程序。</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36.22  质疑人拒绝配合采购方依法对质疑进行调查处理的，采购方将按质疑人自动撤回质疑处理；被质疑人拒绝配合采购方依法对质疑进行调查处理的，采购方将视同其认可质疑事项。</w:t>
      </w:r>
    </w:p>
    <w:p>
      <w:pPr>
        <w:shd w:val="clear" w:color="auto" w:fill="auto"/>
        <w:spacing w:line="360" w:lineRule="exact"/>
        <w:ind w:left="720" w:hanging="720" w:hanging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36.23  质疑人拒绝配合采购方依法对质疑进行调查处理的，采购方将按质疑人自动撤回质疑处理；被质疑人拒绝配合采购方依法对质疑进行调查处理的，采购方将视同其认可质疑事项。</w:t>
      </w:r>
    </w:p>
    <w:p>
      <w:pPr>
        <w:shd w:val="clear" w:color="auto" w:fill="auto"/>
        <w:spacing w:line="360" w:lineRule="exact"/>
        <w:jc w:val="left"/>
        <w:rPr>
          <w:rFonts w:hint="eastAsia" w:ascii="宋体" w:hAnsi="宋体" w:eastAsia="宋体" w:cs="宋体"/>
          <w:b/>
          <w:bCs/>
          <w:color w:val="auto"/>
          <w:highlight w:val="none"/>
        </w:rPr>
      </w:pPr>
      <w:r>
        <w:rPr>
          <w:rFonts w:hint="eastAsia" w:ascii="宋体" w:hAnsi="宋体" w:eastAsia="宋体" w:cs="宋体"/>
          <w:color w:val="auto"/>
          <w:sz w:val="24"/>
          <w:highlight w:val="none"/>
        </w:rPr>
        <w:t xml:space="preserve">36.24  采购方将在正式受理质疑后7个工作日内作出答复。 </w:t>
      </w:r>
    </w:p>
    <w:p>
      <w:pPr>
        <w:pStyle w:val="91"/>
        <w:shd w:val="clear" w:color="auto" w:fill="auto"/>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36.25 质疑答复应当包括下列内容：</w:t>
      </w:r>
    </w:p>
    <w:p>
      <w:pPr>
        <w:pStyle w:val="91"/>
        <w:shd w:val="clear" w:color="auto" w:fill="auto"/>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（一）质疑人的姓名或者名称；</w:t>
      </w:r>
    </w:p>
    <w:p>
      <w:pPr>
        <w:pStyle w:val="91"/>
        <w:shd w:val="clear" w:color="auto" w:fill="auto"/>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（二）收到质疑函的日期、质疑项目名称及编号；</w:t>
      </w:r>
    </w:p>
    <w:p>
      <w:pPr>
        <w:pStyle w:val="91"/>
        <w:shd w:val="clear" w:color="auto" w:fill="auto"/>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（三）质疑事项、质疑答复的具体内容、事实依据和法律依据；</w:t>
      </w:r>
    </w:p>
    <w:p>
      <w:pPr>
        <w:pStyle w:val="91"/>
        <w:shd w:val="clear" w:color="auto" w:fill="auto"/>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（四）告知质疑供应商依法投诉的权利；</w:t>
      </w:r>
    </w:p>
    <w:p>
      <w:pPr>
        <w:pStyle w:val="91"/>
        <w:shd w:val="clear" w:color="auto" w:fill="auto"/>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（五）质疑答复人名称；</w:t>
      </w:r>
    </w:p>
    <w:p>
      <w:pPr>
        <w:pStyle w:val="91"/>
        <w:shd w:val="clear" w:color="auto" w:fill="auto"/>
        <w:spacing w:line="3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（六）答复质疑的日期。</w:t>
      </w:r>
    </w:p>
    <w:p>
      <w:pPr>
        <w:pStyle w:val="91"/>
        <w:shd w:val="clear" w:color="auto" w:fill="auto"/>
        <w:spacing w:line="360" w:lineRule="exact"/>
        <w:ind w:firstLine="480" w:firstLineChars="200"/>
        <w:rPr>
          <w:rFonts w:hint="eastAsia" w:ascii="宋体" w:hAnsi="宋体" w:eastAsia="宋体" w:cs="宋体"/>
          <w:color w:val="auto"/>
          <w:highlight w:val="none"/>
        </w:rPr>
      </w:pPr>
    </w:p>
    <w:p>
      <w:pPr>
        <w:shd w:val="clear" w:color="auto" w:fill="auto"/>
        <w:spacing w:line="360" w:lineRule="exact"/>
        <w:jc w:val="center"/>
        <w:outlineLvl w:val="2"/>
        <w:rPr>
          <w:rFonts w:hint="eastAsia" w:ascii="宋体" w:hAnsi="宋体" w:eastAsia="宋体" w:cs="宋体"/>
          <w:b/>
          <w:bCs/>
          <w:color w:val="auto"/>
          <w:sz w:val="24"/>
          <w:highlight w:val="none"/>
        </w:rPr>
      </w:pPr>
      <w:bookmarkStart w:id="305" w:name="_Toc29320"/>
      <w:bookmarkStart w:id="306" w:name="_Toc25636"/>
      <w:bookmarkStart w:id="307" w:name="_Toc9437"/>
      <w:bookmarkStart w:id="308" w:name="_Toc27601"/>
      <w:bookmarkStart w:id="309" w:name="_Toc12693"/>
      <w:bookmarkStart w:id="310" w:name="_Toc32049"/>
      <w:bookmarkStart w:id="311" w:name="_Toc16553"/>
      <w:bookmarkStart w:id="312" w:name="_Toc30558"/>
      <w:bookmarkStart w:id="313" w:name="_Toc30093"/>
      <w:bookmarkStart w:id="314" w:name="_Toc13698"/>
      <w:bookmarkStart w:id="315" w:name="_Toc8353"/>
      <w:bookmarkStart w:id="316" w:name="_Toc11297"/>
      <w:bookmarkStart w:id="317" w:name="_Toc14412"/>
      <w:bookmarkStart w:id="318" w:name="_Toc14960"/>
      <w:bookmarkStart w:id="319" w:name="_Toc1133"/>
      <w:bookmarkStart w:id="320" w:name="_Toc23411"/>
      <w:bookmarkStart w:id="321" w:name="_Toc12088"/>
      <w:bookmarkStart w:id="322" w:name="_Toc14893"/>
      <w:r>
        <w:rPr>
          <w:rFonts w:hint="eastAsia" w:ascii="宋体" w:hAnsi="宋体" w:eastAsia="宋体" w:cs="宋体"/>
          <w:b/>
          <w:bCs/>
          <w:color w:val="auto"/>
          <w:sz w:val="24"/>
          <w:highlight w:val="none"/>
        </w:rPr>
        <w:t>质疑函范本</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hd w:val="clear" w:color="auto" w:fill="auto"/>
        <w:adjustRightInd w:val="0"/>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hd w:val="clear" w:color="auto" w:fill="auto"/>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hd w:val="clear" w:color="auto" w:fill="auto"/>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hd w:val="clear" w:color="auto" w:fill="auto"/>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hd w:val="clear" w:color="auto" w:fill="auto"/>
        <w:adjustRightInd w:val="0"/>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hd w:val="clear" w:color="auto" w:fill="auto"/>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hd w:val="clear" w:color="auto" w:fill="auto"/>
        <w:adjustRightInd w:val="0"/>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hd w:val="clear" w:color="auto" w:fill="auto"/>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single"/>
        </w:rPr>
        <w:t xml:space="preserve">                                                    </w:t>
      </w:r>
    </w:p>
    <w:p>
      <w:pPr>
        <w:shd w:val="clear" w:color="auto" w:fill="auto"/>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hd w:val="clear" w:color="auto" w:fill="auto"/>
        <w:adjustRightInd w:val="0"/>
        <w:snapToGrid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hd w:val="clear" w:color="auto" w:fill="auto"/>
        <w:adjustRightInd w:val="0"/>
        <w:snapToGrid w:val="0"/>
        <w:spacing w:line="36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hd w:val="clear" w:color="auto" w:fill="auto"/>
        <w:adjustRightInd w:val="0"/>
        <w:snapToGrid w:val="0"/>
        <w:spacing w:line="360" w:lineRule="exact"/>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single"/>
        </w:rPr>
        <w:t xml:space="preserve">                                               </w:t>
      </w:r>
    </w:p>
    <w:p>
      <w:pPr>
        <w:shd w:val="clear" w:color="auto" w:fill="auto"/>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hd w:val="clear" w:color="auto" w:fill="auto"/>
        <w:spacing w:line="36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日期：    </w:t>
      </w:r>
    </w:p>
    <w:p>
      <w:pPr>
        <w:shd w:val="clear" w:color="auto" w:fill="auto"/>
        <w:spacing w:line="3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hd w:val="clear" w:color="auto" w:fill="auto"/>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hd w:val="clear" w:color="auto" w:fill="auto"/>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hd w:val="clear" w:color="auto" w:fill="auto"/>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hd w:val="clear" w:color="auto" w:fill="auto"/>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hd w:val="clear" w:color="auto" w:fill="auto"/>
        <w:spacing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pStyle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bookmarkStart w:id="323" w:name="_Toc728"/>
      <w:bookmarkStart w:id="324" w:name="_Toc702"/>
      <w:bookmarkStart w:id="325" w:name="_Toc216582812"/>
      <w:bookmarkStart w:id="326" w:name="_Toc515647802"/>
    </w:p>
    <w:p>
      <w:pPr>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lang w:eastAsia="zh-CN"/>
        </w:rPr>
      </w:pPr>
    </w:p>
    <w:p>
      <w:pPr>
        <w:rPr>
          <w:rFonts w:hint="eastAsia" w:ascii="宋体" w:hAnsi="宋体" w:eastAsia="宋体" w:cs="宋体"/>
          <w:color w:val="auto"/>
          <w:lang w:eastAsia="zh-CN"/>
        </w:rPr>
      </w:pPr>
    </w:p>
    <w:p>
      <w:pPr>
        <w:pStyle w:val="3"/>
        <w:keepNext/>
        <w:keepLines/>
        <w:pageBreakBefore w:val="0"/>
        <w:widowControl w:val="0"/>
        <w:numPr>
          <w:ilvl w:val="0"/>
          <w:numId w:val="0"/>
        </w:numPr>
        <w:kinsoku/>
        <w:wordWrap/>
        <w:overflowPunct/>
        <w:topLinePunct w:val="0"/>
        <w:autoSpaceDE w:val="0"/>
        <w:autoSpaceDN w:val="0"/>
        <w:bidi w:val="0"/>
        <w:adjustRightInd w:val="0"/>
        <w:snapToGrid/>
        <w:spacing w:before="0" w:after="0" w:line="360" w:lineRule="exact"/>
        <w:ind w:firstLine="2891" w:firstLineChars="900"/>
        <w:jc w:val="both"/>
        <w:textAlignment w:val="auto"/>
        <w:rPr>
          <w:rFonts w:hint="eastAsia" w:ascii="宋体" w:hAnsi="宋体" w:eastAsia="宋体" w:cs="宋体"/>
          <w:color w:val="auto"/>
        </w:rPr>
      </w:pPr>
      <w:bookmarkStart w:id="327" w:name="_Toc28742"/>
      <w:r>
        <w:rPr>
          <w:rFonts w:hint="eastAsia" w:ascii="宋体" w:hAnsi="宋体" w:eastAsia="宋体" w:cs="宋体"/>
          <w:color w:val="auto"/>
          <w:lang w:eastAsia="zh-CN"/>
        </w:rPr>
        <w:t>第</w:t>
      </w:r>
      <w:r>
        <w:rPr>
          <w:rFonts w:hint="eastAsia" w:ascii="宋体" w:hAnsi="宋体" w:eastAsia="宋体" w:cs="宋体"/>
          <w:color w:val="auto"/>
          <w:lang w:val="en-US" w:eastAsia="zh-CN"/>
        </w:rPr>
        <w:t>2</w:t>
      </w:r>
      <w:r>
        <w:rPr>
          <w:rFonts w:hint="eastAsia" w:ascii="宋体" w:hAnsi="宋体" w:eastAsia="宋体" w:cs="宋体"/>
          <w:color w:val="auto"/>
          <w:lang w:eastAsia="zh-CN"/>
        </w:rPr>
        <w:t>章</w:t>
      </w:r>
      <w:r>
        <w:rPr>
          <w:rFonts w:hint="eastAsia" w:ascii="宋体" w:hAnsi="宋体" w:eastAsia="宋体" w:cs="宋体"/>
          <w:color w:val="auto"/>
          <w:lang w:val="en-US" w:eastAsia="zh-CN"/>
        </w:rPr>
        <w:t xml:space="preserve"> </w:t>
      </w:r>
      <w:r>
        <w:rPr>
          <w:rFonts w:hint="eastAsia" w:ascii="宋体" w:hAnsi="宋体" w:eastAsia="宋体" w:cs="宋体"/>
          <w:color w:val="auto"/>
        </w:rPr>
        <w:t>投标文件格式</w:t>
      </w:r>
      <w:bookmarkEnd w:id="323"/>
      <w:bookmarkEnd w:id="324"/>
      <w:bookmarkEnd w:id="325"/>
      <w:bookmarkEnd w:id="326"/>
      <w:bookmarkEnd w:id="327"/>
    </w:p>
    <w:p>
      <w:pPr>
        <w:pStyle w:val="4"/>
        <w:spacing w:before="0" w:line="360" w:lineRule="exact"/>
        <w:ind w:firstLine="2409" w:firstLineChars="1000"/>
        <w:jc w:val="both"/>
        <w:rPr>
          <w:rFonts w:hint="eastAsia" w:ascii="宋体" w:hAnsi="宋体" w:eastAsia="宋体" w:cs="宋体"/>
          <w:color w:val="auto"/>
          <w:sz w:val="24"/>
        </w:rPr>
      </w:pPr>
      <w:bookmarkStart w:id="328" w:name="_Toc18974"/>
      <w:bookmarkStart w:id="329" w:name="_Toc515647803"/>
      <w:bookmarkStart w:id="330" w:name="_Toc3345"/>
      <w:bookmarkStart w:id="331" w:name="_Toc6538"/>
      <w:bookmarkStart w:id="332" w:name="_Toc18694"/>
      <w:r>
        <w:rPr>
          <w:rFonts w:hint="eastAsia" w:ascii="宋体" w:hAnsi="宋体" w:eastAsia="宋体" w:cs="宋体"/>
          <w:color w:val="auto"/>
          <w:sz w:val="24"/>
        </w:rPr>
        <w:t>第一部分 开标一览表及资格证明文件</w:t>
      </w:r>
      <w:bookmarkEnd w:id="328"/>
      <w:bookmarkEnd w:id="329"/>
      <w:bookmarkEnd w:id="330"/>
      <w:bookmarkEnd w:id="331"/>
      <w:bookmarkEnd w:id="332"/>
    </w:p>
    <w:p>
      <w:pPr>
        <w:tabs>
          <w:tab w:val="left" w:pos="5580"/>
        </w:tabs>
        <w:spacing w:line="360" w:lineRule="exact"/>
        <w:ind w:left="1" w:firstLine="564" w:firstLineChars="235"/>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开标一览表;</w:t>
      </w:r>
    </w:p>
    <w:p>
      <w:pPr>
        <w:tabs>
          <w:tab w:val="left" w:pos="5580"/>
        </w:tabs>
        <w:spacing w:line="360" w:lineRule="exact"/>
        <w:ind w:left="1" w:firstLine="564" w:firstLineChars="23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2、具有独立承担民事责任的能力；（投标时，提供在中华人民共和国境内注册的法人或事业单位法人证书或社会团体法人登记证书复印件；如国家另有规定的，则从其规定。）</w:t>
      </w:r>
    </w:p>
    <w:p>
      <w:pPr>
        <w:tabs>
          <w:tab w:val="left" w:pos="5580"/>
        </w:tabs>
        <w:spacing w:line="360" w:lineRule="exact"/>
        <w:ind w:left="1" w:firstLine="564" w:firstLineChars="23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3、法人代表身份证明及授权书、被授权人身份证；(法人投标需提供法人身份证复印件)；</w:t>
      </w:r>
    </w:p>
    <w:p>
      <w:pPr>
        <w:tabs>
          <w:tab w:val="left" w:pos="5580"/>
        </w:tabs>
        <w:spacing w:line="360" w:lineRule="exact"/>
        <w:ind w:left="1" w:firstLine="564" w:firstLineChars="23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4、依法缴纳近6个月内任意1个月的社会保险的凭据；</w:t>
      </w:r>
    </w:p>
    <w:p>
      <w:pPr>
        <w:tabs>
          <w:tab w:val="left" w:pos="5580"/>
        </w:tabs>
        <w:spacing w:line="360" w:lineRule="exact"/>
        <w:ind w:left="1" w:firstLine="564" w:firstLineChars="23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5、税务部门出具的近6个月内任意1个月的完税证明；</w:t>
      </w:r>
    </w:p>
    <w:p>
      <w:pPr>
        <w:tabs>
          <w:tab w:val="left" w:pos="5580"/>
        </w:tabs>
        <w:spacing w:line="360" w:lineRule="exact"/>
        <w:ind w:left="1" w:firstLine="564" w:firstLineChars="235"/>
        <w:rPr>
          <w:rFonts w:hint="eastAsia" w:ascii="宋体" w:hAnsi="宋体" w:eastAsia="宋体" w:cs="宋体"/>
          <w:color w:val="auto"/>
          <w:sz w:val="24"/>
          <w:highlight w:val="none"/>
          <w:lang w:val="en-US"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highlight w:val="none"/>
          <w:lang w:val="en-US" w:eastAsia="zh-CN"/>
        </w:rPr>
        <w:t>近两年任意一年的财务审计报告，新成立的公司提供近6个月中任意1个月的银行资信证明；</w:t>
      </w:r>
    </w:p>
    <w:p>
      <w:pPr>
        <w:tabs>
          <w:tab w:val="left" w:pos="5580"/>
        </w:tabs>
        <w:spacing w:line="360" w:lineRule="exact"/>
        <w:ind w:left="1" w:firstLine="564" w:firstLineChars="23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代理机构或采购人现场查询为准）；</w:t>
      </w:r>
    </w:p>
    <w:p>
      <w:pPr>
        <w:tabs>
          <w:tab w:val="left" w:pos="5580"/>
        </w:tabs>
        <w:spacing w:line="360" w:lineRule="exact"/>
        <w:ind w:left="1" w:firstLine="564" w:firstLineChars="23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8、参加政府采购活动前3年内未被列入失信、重大税收违法案件、财政部门禁止参加政府采购活动的承诺书；</w:t>
      </w:r>
    </w:p>
    <w:p>
      <w:pPr>
        <w:tabs>
          <w:tab w:val="left" w:pos="5580"/>
        </w:tabs>
        <w:spacing w:line="360" w:lineRule="exact"/>
        <w:ind w:left="1" w:firstLine="564" w:firstLineChars="23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9、提供针对本次项目《反商业贿赂承诺书》；</w:t>
      </w:r>
    </w:p>
    <w:p>
      <w:pPr>
        <w:pStyle w:val="12"/>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10、银行开户许可证复印件或银行基本账户信息(包含：银行账号及开户行名称）；</w:t>
      </w:r>
    </w:p>
    <w:p>
      <w:pPr>
        <w:tabs>
          <w:tab w:val="left" w:pos="5580"/>
        </w:tabs>
        <w:spacing w:line="360" w:lineRule="exact"/>
        <w:ind w:left="1" w:firstLine="564" w:firstLineChars="23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w:t>
      </w:r>
      <w:r>
        <w:rPr>
          <w:rFonts w:hint="eastAsia" w:ascii="宋体" w:hAnsi="宋体" w:cs="宋体"/>
          <w:color w:val="auto"/>
          <w:sz w:val="24"/>
          <w:lang w:val="en-US" w:eastAsia="zh-CN"/>
        </w:rPr>
        <w:t>投标保证金银行转账回执单等有效凭证</w:t>
      </w:r>
      <w:r>
        <w:rPr>
          <w:rFonts w:hint="eastAsia" w:ascii="宋体" w:hAnsi="宋体" w:eastAsia="宋体" w:cs="宋体"/>
          <w:color w:val="auto"/>
          <w:sz w:val="24"/>
          <w:lang w:val="en-US" w:eastAsia="zh-CN"/>
        </w:rPr>
        <w:t>。</w:t>
      </w:r>
    </w:p>
    <w:p>
      <w:pPr>
        <w:tabs>
          <w:tab w:val="left" w:pos="5580"/>
        </w:tabs>
        <w:spacing w:line="360" w:lineRule="exact"/>
        <w:ind w:left="1" w:firstLine="564" w:firstLineChars="235"/>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12、提供有利于投标的其他证明材料；</w:t>
      </w:r>
    </w:p>
    <w:p>
      <w:pPr>
        <w:spacing w:line="360" w:lineRule="exact"/>
        <w:ind w:left="857" w:leftChars="2" w:hanging="853"/>
        <w:rPr>
          <w:rFonts w:hint="eastAsia" w:ascii="宋体" w:hAnsi="宋体" w:eastAsia="宋体" w:cs="宋体"/>
          <w:b/>
          <w:bCs/>
          <w:color w:val="auto"/>
          <w:kern w:val="2"/>
          <w:sz w:val="22"/>
          <w:szCs w:val="22"/>
          <w:highlight w:val="none"/>
          <w:lang w:val="en-US" w:eastAsia="zh-CN" w:bidi="ar-SA"/>
        </w:rPr>
      </w:pPr>
      <w:bookmarkStart w:id="333" w:name="_Toc30524"/>
      <w:bookmarkStart w:id="334" w:name="_Toc16568"/>
      <w:bookmarkStart w:id="335" w:name="_Toc515647804"/>
      <w:bookmarkStart w:id="336" w:name="_Toc15957"/>
      <w:r>
        <w:rPr>
          <w:rFonts w:hint="eastAsia" w:ascii="宋体" w:hAnsi="宋体" w:eastAsia="宋体" w:cs="宋体"/>
          <w:b/>
          <w:bCs/>
          <w:color w:val="auto"/>
          <w:kern w:val="2"/>
          <w:sz w:val="22"/>
          <w:szCs w:val="22"/>
          <w:highlight w:val="none"/>
          <w:lang w:val="en-US" w:eastAsia="zh-CN" w:bidi="ar-SA"/>
        </w:rPr>
        <w:t>各供应商应注意以下事项：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 xml:space="preserve">A：本项目要求各投标供应商“提供税务部门出具的近6个月内任意1个月的完税证明；”，若供应商某月税收为零申报，须提供加盖税务局公章的无欠税证明或申报成功网页截图（供应商可自主登录“国家税务总局电子税务局”12366.chinatax.gov.cn/bsfw/onlinetaxation/main——税费申报及缴纳——申报结果查询）。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cs="宋体"/>
          <w:b/>
          <w:bCs/>
          <w:color w:val="auto"/>
          <w:kern w:val="2"/>
          <w:sz w:val="22"/>
          <w:szCs w:val="22"/>
          <w:highlight w:val="none"/>
          <w:lang w:val="en-US" w:eastAsia="zh-CN" w:bidi="ar-SA"/>
        </w:rPr>
        <w:t>B</w:t>
      </w:r>
      <w:r>
        <w:rPr>
          <w:rFonts w:hint="eastAsia" w:ascii="宋体" w:hAnsi="宋体" w:eastAsia="宋体" w:cs="宋体"/>
          <w:b/>
          <w:bCs/>
          <w:color w:val="auto"/>
          <w:kern w:val="2"/>
          <w:sz w:val="22"/>
          <w:szCs w:val="22"/>
          <w:highlight w:val="none"/>
          <w:lang w:val="en-US" w:eastAsia="zh-CN" w:bidi="ar-SA"/>
        </w:rPr>
        <w:t>：税务局代收的社保缴费证明不可作为本项目的完税证明（“税种”不可为养老保险、医疗保险、失业保险、工伤保险和生育保险）。</w:t>
      </w:r>
    </w:p>
    <w:p>
      <w:pPr>
        <w:pStyle w:val="4"/>
        <w:spacing w:before="0" w:line="240" w:lineRule="atLeast"/>
        <w:ind w:left="1080" w:leftChars="257" w:hanging="540"/>
        <w:rPr>
          <w:rFonts w:hint="eastAsia" w:ascii="宋体" w:hAnsi="宋体" w:eastAsia="宋体" w:cs="宋体"/>
          <w:color w:val="auto"/>
          <w:sz w:val="24"/>
        </w:rPr>
      </w:pPr>
      <w:bookmarkStart w:id="337" w:name="_Toc8671"/>
      <w:r>
        <w:rPr>
          <w:rFonts w:hint="eastAsia" w:ascii="宋体" w:hAnsi="宋体" w:eastAsia="宋体" w:cs="宋体"/>
          <w:color w:val="auto"/>
          <w:sz w:val="24"/>
        </w:rPr>
        <w:t>1</w:t>
      </w:r>
      <w:r>
        <w:rPr>
          <w:rFonts w:hint="eastAsia" w:ascii="宋体" w:hAnsi="宋体" w:eastAsia="宋体" w:cs="宋体"/>
          <w:color w:val="auto"/>
          <w:sz w:val="24"/>
          <w:lang w:eastAsia="zh-CN"/>
        </w:rPr>
        <w:t>、</w:t>
      </w:r>
      <w:r>
        <w:rPr>
          <w:rFonts w:hint="eastAsia" w:ascii="宋体" w:hAnsi="宋体" w:eastAsia="宋体" w:cs="宋体"/>
          <w:color w:val="auto"/>
          <w:sz w:val="24"/>
        </w:rPr>
        <w:t>开标一览表</w:t>
      </w:r>
      <w:bookmarkEnd w:id="333"/>
      <w:bookmarkEnd w:id="334"/>
      <w:bookmarkEnd w:id="335"/>
      <w:bookmarkEnd w:id="336"/>
      <w:bookmarkEnd w:id="337"/>
    </w:p>
    <w:p>
      <w:pPr>
        <w:pStyle w:val="16"/>
        <w:tabs>
          <w:tab w:val="left" w:pos="5580"/>
        </w:tabs>
        <w:spacing w:line="240" w:lineRule="atLeast"/>
        <w:rPr>
          <w:rFonts w:hint="eastAsia" w:ascii="宋体" w:hAnsi="宋体" w:eastAsia="宋体" w:cs="宋体"/>
          <w:color w:val="auto"/>
          <w:sz w:val="24"/>
          <w:szCs w:val="24"/>
        </w:rPr>
      </w:pPr>
    </w:p>
    <w:p>
      <w:pPr>
        <w:pStyle w:val="9"/>
        <w:tabs>
          <w:tab w:val="left" w:pos="5580"/>
        </w:tabs>
        <w:spacing w:line="240" w:lineRule="atLeast"/>
        <w:ind w:left="1080" w:leftChars="257" w:hanging="540"/>
        <w:jc w:val="center"/>
        <w:rPr>
          <w:rFonts w:hint="eastAsia" w:ascii="宋体" w:hAnsi="宋体" w:eastAsia="宋体" w:cs="宋体"/>
          <w:color w:val="auto"/>
        </w:rPr>
      </w:pPr>
      <w:bookmarkStart w:id="338" w:name="_Hlt520356241"/>
      <w:bookmarkEnd w:id="338"/>
      <w:bookmarkStart w:id="339" w:name="_Toc494296984"/>
      <w:bookmarkStart w:id="340" w:name="_Toc520356217"/>
      <w:bookmarkStart w:id="341" w:name="_Ref467988698"/>
      <w:bookmarkStart w:id="342" w:name="_Toc480942349"/>
      <w:bookmarkStart w:id="343" w:name="_Toc216582813"/>
      <w:r>
        <w:rPr>
          <w:rFonts w:hint="eastAsia" w:ascii="宋体" w:hAnsi="宋体" w:eastAsia="宋体" w:cs="宋体"/>
          <w:b/>
          <w:color w:val="auto"/>
        </w:rPr>
        <w:t>开标一览表</w:t>
      </w:r>
      <w:bookmarkEnd w:id="339"/>
    </w:p>
    <w:p>
      <w:pPr>
        <w:tabs>
          <w:tab w:val="left" w:pos="1800"/>
          <w:tab w:val="left" w:pos="5580"/>
        </w:tabs>
        <w:spacing w:line="240" w:lineRule="atLeast"/>
        <w:ind w:left="1080" w:leftChars="257" w:right="-867" w:rightChars="-413" w:hanging="540"/>
        <w:rPr>
          <w:rFonts w:hint="eastAsia" w:ascii="宋体" w:hAnsi="宋体" w:eastAsia="宋体" w:cs="宋体"/>
          <w:color w:val="auto"/>
          <w:sz w:val="24"/>
        </w:rPr>
      </w:pPr>
      <w:r>
        <w:rPr>
          <w:rFonts w:hint="eastAsia" w:ascii="宋体" w:hAnsi="宋体" w:eastAsia="宋体" w:cs="宋体"/>
          <w:color w:val="auto"/>
          <w:sz w:val="24"/>
        </w:rPr>
        <w:t xml:space="preserve">项目名称：　                 </w:t>
      </w:r>
    </w:p>
    <w:p>
      <w:pPr>
        <w:tabs>
          <w:tab w:val="left" w:pos="1800"/>
          <w:tab w:val="left" w:pos="5580"/>
        </w:tabs>
        <w:spacing w:line="240" w:lineRule="atLeast"/>
        <w:ind w:right="-867" w:rightChars="-413"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项目编号</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包号：</w:t>
      </w:r>
    </w:p>
    <w:tbl>
      <w:tblPr>
        <w:tblStyle w:val="34"/>
        <w:tblW w:w="10137" w:type="dxa"/>
        <w:tblInd w:w="-1051" w:type="dxa"/>
        <w:tblLayout w:type="fixed"/>
        <w:tblCellMar>
          <w:top w:w="0" w:type="dxa"/>
          <w:left w:w="0" w:type="dxa"/>
          <w:bottom w:w="0" w:type="dxa"/>
          <w:right w:w="0" w:type="dxa"/>
        </w:tblCellMar>
      </w:tblPr>
      <w:tblGrid>
        <w:gridCol w:w="1866"/>
        <w:gridCol w:w="2247"/>
        <w:gridCol w:w="1866"/>
        <w:gridCol w:w="1542"/>
        <w:gridCol w:w="1498"/>
        <w:gridCol w:w="1118"/>
      </w:tblGrid>
      <w:tr>
        <w:tblPrEx>
          <w:tblCellMar>
            <w:top w:w="0" w:type="dxa"/>
            <w:left w:w="0" w:type="dxa"/>
            <w:bottom w:w="0" w:type="dxa"/>
            <w:right w:w="0" w:type="dxa"/>
          </w:tblCellMar>
        </w:tblPrEx>
        <w:trPr>
          <w:trHeight w:val="847" w:hRule="atLeast"/>
        </w:trPr>
        <w:tc>
          <w:tcPr>
            <w:tcW w:w="1866" w:type="dxa"/>
            <w:tcBorders>
              <w:top w:val="single" w:color="auto" w:sz="4" w:space="0"/>
              <w:left w:val="single" w:color="auto" w:sz="4" w:space="0"/>
              <w:bottom w:val="single" w:color="auto" w:sz="8" w:space="0"/>
              <w:right w:val="single" w:color="auto" w:sz="4" w:space="0"/>
            </w:tcBorders>
            <w:noWrap w:val="0"/>
            <w:vAlign w:val="center"/>
          </w:tcPr>
          <w:p>
            <w:pPr>
              <w:tabs>
                <w:tab w:val="left" w:pos="5580"/>
              </w:tabs>
              <w:spacing w:line="240" w:lineRule="atLeast"/>
              <w:ind w:right="-199"/>
              <w:jc w:val="center"/>
              <w:rPr>
                <w:rFonts w:hint="eastAsia" w:ascii="宋体" w:hAnsi="宋体" w:eastAsia="宋体" w:cs="宋体"/>
                <w:color w:val="auto"/>
                <w:sz w:val="24"/>
              </w:rPr>
            </w:pPr>
            <w:r>
              <w:rPr>
                <w:rFonts w:hint="eastAsia" w:ascii="宋体" w:hAnsi="宋体" w:eastAsia="宋体" w:cs="宋体"/>
                <w:color w:val="auto"/>
                <w:sz w:val="24"/>
                <w:lang w:val="en-US" w:eastAsia="zh-CN"/>
              </w:rPr>
              <w:t>服务</w:t>
            </w:r>
            <w:r>
              <w:rPr>
                <w:rFonts w:hint="eastAsia" w:ascii="宋体" w:hAnsi="宋体" w:eastAsia="宋体" w:cs="宋体"/>
                <w:color w:val="auto"/>
                <w:sz w:val="24"/>
              </w:rPr>
              <w:t>名称</w:t>
            </w:r>
          </w:p>
        </w:tc>
        <w:tc>
          <w:tcPr>
            <w:tcW w:w="2247" w:type="dxa"/>
            <w:tcBorders>
              <w:top w:val="single" w:color="auto" w:sz="4" w:space="0"/>
              <w:left w:val="single" w:color="auto" w:sz="8" w:space="0"/>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投标</w:t>
            </w:r>
            <w:r>
              <w:rPr>
                <w:rFonts w:hint="eastAsia" w:ascii="宋体" w:hAnsi="宋体" w:eastAsia="宋体" w:cs="宋体"/>
                <w:color w:val="auto"/>
                <w:sz w:val="24"/>
              </w:rPr>
              <w:t>总价</w:t>
            </w:r>
            <w:r>
              <w:rPr>
                <w:rFonts w:hint="eastAsia" w:ascii="宋体" w:hAnsi="宋体" w:cs="宋体"/>
                <w:color w:val="auto"/>
                <w:sz w:val="24"/>
                <w:lang w:eastAsia="zh-CN"/>
              </w:rPr>
              <w:t>（元）</w:t>
            </w:r>
          </w:p>
        </w:tc>
        <w:tc>
          <w:tcPr>
            <w:tcW w:w="1866"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eastAsia="宋体" w:cs="宋体"/>
                <w:color w:val="auto"/>
                <w:sz w:val="24"/>
              </w:rPr>
            </w:pPr>
            <w:r>
              <w:rPr>
                <w:rFonts w:hint="eastAsia" w:ascii="宋体" w:hAnsi="宋体" w:eastAsia="宋体" w:cs="宋体"/>
                <w:color w:val="auto"/>
                <w:sz w:val="24"/>
                <w:lang w:eastAsia="zh-CN"/>
              </w:rPr>
              <w:t>投标</w:t>
            </w:r>
            <w:r>
              <w:rPr>
                <w:rFonts w:hint="eastAsia" w:ascii="宋体" w:hAnsi="宋体" w:eastAsia="宋体" w:cs="宋体"/>
                <w:color w:val="auto"/>
                <w:sz w:val="24"/>
              </w:rPr>
              <w:t>保证金</w:t>
            </w:r>
          </w:p>
        </w:tc>
        <w:tc>
          <w:tcPr>
            <w:tcW w:w="1542"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eastAsia="宋体" w:cs="宋体"/>
                <w:color w:val="auto"/>
                <w:sz w:val="24"/>
                <w:highlight w:val="yellow"/>
                <w:lang w:val="en-US" w:eastAsia="zh-CN"/>
              </w:rPr>
            </w:pPr>
            <w:r>
              <w:rPr>
                <w:rFonts w:hint="eastAsia" w:ascii="宋体" w:hAnsi="宋体" w:eastAsia="宋体" w:cs="宋体"/>
                <w:color w:val="auto"/>
                <w:sz w:val="24"/>
                <w:highlight w:val="none"/>
                <w:lang w:val="en-US" w:eastAsia="zh-CN"/>
              </w:rPr>
              <w:t>服务期</w:t>
            </w:r>
          </w:p>
        </w:tc>
        <w:tc>
          <w:tcPr>
            <w:tcW w:w="1498" w:type="dxa"/>
            <w:tcBorders>
              <w:top w:val="single" w:color="auto" w:sz="8" w:space="0"/>
              <w:left w:val="nil"/>
              <w:bottom w:val="single" w:color="auto" w:sz="8" w:space="0"/>
              <w:right w:val="single" w:color="auto" w:sz="4" w:space="0"/>
            </w:tcBorders>
            <w:noWrap w:val="0"/>
            <w:vAlign w:val="center"/>
          </w:tcPr>
          <w:p>
            <w:pPr>
              <w:tabs>
                <w:tab w:val="left" w:pos="5580"/>
              </w:tabs>
              <w:spacing w:line="240" w:lineRule="atLeast"/>
              <w:jc w:val="center"/>
              <w:rPr>
                <w:rFonts w:hint="eastAsia" w:ascii="宋体" w:hAnsi="宋体" w:eastAsia="宋体" w:cs="宋体"/>
                <w:color w:val="auto"/>
                <w:sz w:val="24"/>
                <w:highlight w:val="yellow"/>
                <w:lang w:val="en-US"/>
              </w:rPr>
            </w:pPr>
            <w:r>
              <w:rPr>
                <w:rFonts w:hint="eastAsia" w:ascii="宋体" w:hAnsi="宋体" w:eastAsia="宋体" w:cs="宋体"/>
                <w:color w:val="auto"/>
                <w:sz w:val="24"/>
                <w:highlight w:val="none"/>
                <w:lang w:val="en-US" w:eastAsia="zh-CN"/>
              </w:rPr>
              <w:t>服务地点</w:t>
            </w:r>
          </w:p>
        </w:tc>
        <w:tc>
          <w:tcPr>
            <w:tcW w:w="1118" w:type="dxa"/>
            <w:tcBorders>
              <w:top w:val="single" w:color="auto" w:sz="8" w:space="0"/>
              <w:left w:val="single" w:color="auto" w:sz="4" w:space="0"/>
              <w:bottom w:val="single" w:color="auto" w:sz="8" w:space="0"/>
              <w:right w:val="single" w:color="auto" w:sz="8" w:space="0"/>
            </w:tcBorders>
            <w:noWrap w:val="0"/>
            <w:vAlign w:val="center"/>
          </w:tcPr>
          <w:p>
            <w:pPr>
              <w:tabs>
                <w:tab w:val="left" w:pos="5580"/>
              </w:tabs>
              <w:spacing w:line="240" w:lineRule="atLeast"/>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CellMar>
            <w:top w:w="0" w:type="dxa"/>
            <w:left w:w="0" w:type="dxa"/>
            <w:bottom w:w="0" w:type="dxa"/>
            <w:right w:w="0" w:type="dxa"/>
          </w:tblCellMar>
        </w:tblPrEx>
        <w:trPr>
          <w:cantSplit/>
          <w:trHeight w:val="2246" w:hRule="atLeast"/>
        </w:trPr>
        <w:tc>
          <w:tcPr>
            <w:tcW w:w="1866" w:type="dxa"/>
            <w:tcBorders>
              <w:top w:val="single" w:color="auto" w:sz="8" w:space="0"/>
              <w:left w:val="single" w:color="auto" w:sz="4" w:space="0"/>
              <w:bottom w:val="single" w:color="auto" w:sz="4" w:space="0"/>
              <w:right w:val="single" w:color="auto" w:sz="4" w:space="0"/>
            </w:tcBorders>
            <w:noWrap w:val="0"/>
            <w:vAlign w:val="center"/>
          </w:tcPr>
          <w:p>
            <w:pPr>
              <w:tabs>
                <w:tab w:val="left" w:pos="5580"/>
              </w:tabs>
              <w:spacing w:line="240" w:lineRule="atLeast"/>
              <w:ind w:left="1080" w:leftChars="257" w:hanging="540"/>
              <w:jc w:val="center"/>
              <w:rPr>
                <w:rFonts w:hint="eastAsia" w:ascii="宋体" w:hAnsi="宋体" w:eastAsia="宋体" w:cs="宋体"/>
                <w:color w:val="auto"/>
                <w:sz w:val="24"/>
              </w:rPr>
            </w:pPr>
          </w:p>
        </w:tc>
        <w:tc>
          <w:tcPr>
            <w:tcW w:w="2247" w:type="dxa"/>
            <w:tcBorders>
              <w:top w:val="single" w:color="auto" w:sz="8" w:space="0"/>
              <w:left w:val="single" w:color="auto" w:sz="8" w:space="0"/>
              <w:bottom w:val="single" w:color="auto" w:sz="4" w:space="0"/>
              <w:right w:val="single" w:color="auto" w:sz="4" w:space="0"/>
            </w:tcBorders>
            <w:noWrap w:val="0"/>
            <w:vAlign w:val="center"/>
          </w:tcPr>
          <w:p>
            <w:pPr>
              <w:tabs>
                <w:tab w:val="left" w:pos="5580"/>
              </w:tabs>
              <w:spacing w:line="240" w:lineRule="atLeast"/>
              <w:jc w:val="left"/>
              <w:rPr>
                <w:rFonts w:hint="eastAsia" w:ascii="宋体" w:hAnsi="宋体" w:eastAsia="宋体" w:cs="宋体"/>
                <w:color w:val="auto"/>
                <w:sz w:val="24"/>
              </w:rPr>
            </w:pPr>
            <w:r>
              <w:rPr>
                <w:rFonts w:hint="eastAsia" w:ascii="宋体" w:hAnsi="宋体" w:eastAsia="宋体" w:cs="宋体"/>
                <w:color w:val="auto"/>
                <w:sz w:val="24"/>
              </w:rPr>
              <w:t>大写：</w:t>
            </w:r>
          </w:p>
          <w:p>
            <w:pPr>
              <w:tabs>
                <w:tab w:val="left" w:pos="5580"/>
              </w:tabs>
              <w:spacing w:line="240" w:lineRule="atLeast"/>
              <w:jc w:val="left"/>
              <w:rPr>
                <w:rFonts w:hint="eastAsia" w:ascii="宋体" w:hAnsi="宋体" w:eastAsia="宋体" w:cs="宋体"/>
                <w:color w:val="auto"/>
                <w:sz w:val="24"/>
              </w:rPr>
            </w:pPr>
            <w:r>
              <w:rPr>
                <w:rFonts w:hint="eastAsia" w:ascii="宋体" w:hAnsi="宋体" w:eastAsia="宋体" w:cs="宋体"/>
                <w:color w:val="auto"/>
                <w:sz w:val="24"/>
              </w:rPr>
              <w:t>小写：</w:t>
            </w:r>
          </w:p>
        </w:tc>
        <w:tc>
          <w:tcPr>
            <w:tcW w:w="1866"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80" w:leftChars="257" w:hanging="540"/>
              <w:jc w:val="center"/>
              <w:rPr>
                <w:rFonts w:hint="eastAsia" w:ascii="宋体" w:hAnsi="宋体" w:eastAsia="宋体" w:cs="宋体"/>
                <w:color w:val="auto"/>
                <w:sz w:val="24"/>
              </w:rPr>
            </w:pPr>
          </w:p>
        </w:tc>
        <w:tc>
          <w:tcPr>
            <w:tcW w:w="1542"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80" w:leftChars="257" w:hanging="540"/>
              <w:jc w:val="center"/>
              <w:rPr>
                <w:rFonts w:hint="eastAsia" w:ascii="宋体" w:hAnsi="宋体" w:eastAsia="宋体" w:cs="宋体"/>
                <w:color w:val="auto"/>
                <w:sz w:val="24"/>
              </w:rPr>
            </w:pPr>
          </w:p>
        </w:tc>
        <w:tc>
          <w:tcPr>
            <w:tcW w:w="1498" w:type="dxa"/>
            <w:tcBorders>
              <w:top w:val="single" w:color="auto" w:sz="8" w:space="0"/>
              <w:left w:val="nil"/>
              <w:bottom w:val="single" w:color="auto" w:sz="4" w:space="0"/>
              <w:right w:val="single" w:color="auto" w:sz="4" w:space="0"/>
            </w:tcBorders>
            <w:noWrap w:val="0"/>
            <w:vAlign w:val="center"/>
          </w:tcPr>
          <w:p>
            <w:pPr>
              <w:tabs>
                <w:tab w:val="left" w:pos="5580"/>
              </w:tabs>
              <w:spacing w:line="240" w:lineRule="atLeast"/>
              <w:ind w:left="1080" w:leftChars="257" w:hanging="540"/>
              <w:jc w:val="center"/>
              <w:rPr>
                <w:rFonts w:hint="eastAsia" w:ascii="宋体" w:hAnsi="宋体" w:eastAsia="宋体" w:cs="宋体"/>
                <w:color w:val="auto"/>
                <w:sz w:val="24"/>
              </w:rPr>
            </w:pPr>
          </w:p>
        </w:tc>
        <w:tc>
          <w:tcPr>
            <w:tcW w:w="1118" w:type="dxa"/>
            <w:tcBorders>
              <w:top w:val="single" w:color="auto" w:sz="8" w:space="0"/>
              <w:left w:val="single" w:color="auto" w:sz="4" w:space="0"/>
              <w:bottom w:val="single" w:color="auto" w:sz="4" w:space="0"/>
              <w:right w:val="single" w:color="auto" w:sz="8" w:space="0"/>
            </w:tcBorders>
            <w:noWrap w:val="0"/>
            <w:vAlign w:val="center"/>
          </w:tcPr>
          <w:p>
            <w:pPr>
              <w:tabs>
                <w:tab w:val="left" w:pos="5580"/>
              </w:tabs>
              <w:spacing w:line="240" w:lineRule="atLeast"/>
              <w:ind w:left="1080" w:leftChars="257" w:hanging="540"/>
              <w:jc w:val="center"/>
              <w:rPr>
                <w:rFonts w:hint="eastAsia" w:ascii="宋体" w:hAnsi="宋体" w:eastAsia="宋体" w:cs="宋体"/>
                <w:color w:val="auto"/>
                <w:sz w:val="24"/>
              </w:rPr>
            </w:pPr>
          </w:p>
        </w:tc>
      </w:tr>
    </w:tbl>
    <w:p>
      <w:pPr>
        <w:pStyle w:val="16"/>
        <w:tabs>
          <w:tab w:val="left" w:pos="5580"/>
        </w:tabs>
        <w:spacing w:line="240" w:lineRule="atLeast"/>
        <w:ind w:left="1080" w:leftChars="257" w:hanging="540"/>
        <w:rPr>
          <w:rFonts w:hint="eastAsia" w:ascii="宋体" w:hAnsi="宋体" w:eastAsia="宋体" w:cs="宋体"/>
          <w:color w:val="auto"/>
          <w:sz w:val="24"/>
        </w:rPr>
      </w:pPr>
    </w:p>
    <w:p>
      <w:pPr>
        <w:pStyle w:val="16"/>
        <w:tabs>
          <w:tab w:val="left" w:pos="5580"/>
        </w:tabs>
        <w:spacing w:line="240" w:lineRule="atLeast"/>
        <w:ind w:left="1080" w:leftChars="257" w:hanging="540"/>
        <w:rPr>
          <w:rFonts w:hint="eastAsia" w:ascii="宋体" w:hAnsi="宋体" w:eastAsia="宋体" w:cs="宋体"/>
          <w:color w:val="auto"/>
          <w:sz w:val="24"/>
          <w:u w:val="single"/>
        </w:rPr>
      </w:pPr>
    </w:p>
    <w:p>
      <w:pPr>
        <w:pStyle w:val="16"/>
        <w:tabs>
          <w:tab w:val="left" w:pos="5580"/>
        </w:tabs>
        <w:spacing w:line="240" w:lineRule="atLeast"/>
        <w:ind w:left="1080" w:leftChars="257" w:hanging="54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lang w:val="en-US" w:eastAsia="zh-CN"/>
        </w:rPr>
        <w:t>公章</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p>
      <w:pPr>
        <w:pStyle w:val="16"/>
        <w:tabs>
          <w:tab w:val="left" w:pos="5580"/>
        </w:tabs>
        <w:spacing w:line="240" w:lineRule="atLeast"/>
        <w:ind w:left="1080" w:leftChars="257" w:hanging="540"/>
        <w:rPr>
          <w:rFonts w:hint="eastAsia" w:ascii="宋体" w:hAnsi="宋体" w:eastAsia="宋体" w:cs="宋体"/>
          <w:color w:val="auto"/>
          <w:sz w:val="24"/>
          <w:u w:val="single"/>
        </w:rPr>
      </w:pPr>
      <w:r>
        <w:rPr>
          <w:rFonts w:hint="eastAsia" w:ascii="宋体" w:hAnsi="宋体" w:eastAsia="宋体" w:cs="宋体"/>
          <w:color w:val="auto"/>
          <w:sz w:val="24"/>
        </w:rPr>
        <w:t>法定代表人或委托代理(签字):</w:t>
      </w:r>
      <w:r>
        <w:rPr>
          <w:rFonts w:hint="eastAsia" w:ascii="宋体" w:hAnsi="宋体" w:eastAsia="宋体" w:cs="宋体"/>
          <w:color w:val="auto"/>
          <w:sz w:val="24"/>
          <w:u w:val="single"/>
        </w:rPr>
        <w:tab/>
      </w:r>
    </w:p>
    <w:p>
      <w:pPr>
        <w:pStyle w:val="16"/>
        <w:tabs>
          <w:tab w:val="left" w:pos="5580"/>
        </w:tabs>
        <w:spacing w:line="240" w:lineRule="atLeast"/>
        <w:ind w:left="1080" w:leftChars="257" w:hanging="540"/>
        <w:rPr>
          <w:rFonts w:hint="eastAsia" w:ascii="宋体" w:hAnsi="宋体" w:eastAsia="宋体" w:cs="宋体"/>
          <w:color w:val="auto"/>
          <w:sz w:val="24"/>
        </w:rPr>
      </w:pPr>
    </w:p>
    <w:p>
      <w:pPr>
        <w:pStyle w:val="9"/>
        <w:ind w:left="0" w:leftChars="0" w:firstLine="0" w:firstLineChars="0"/>
        <w:rPr>
          <w:rFonts w:hint="eastAsia" w:ascii="宋体" w:hAnsi="宋体" w:eastAsia="宋体" w:cs="宋体"/>
          <w:color w:val="auto"/>
          <w:lang w:val="en-US" w:eastAsia="zh-CN"/>
        </w:rPr>
      </w:pPr>
      <w:bookmarkStart w:id="344" w:name="_Toc515647805"/>
      <w:bookmarkStart w:id="345" w:name="_Toc17577"/>
      <w:bookmarkStart w:id="346" w:name="_Toc29899"/>
      <w:r>
        <w:rPr>
          <w:rFonts w:hint="eastAsia" w:ascii="宋体" w:hAnsi="宋体" w:eastAsia="宋体" w:cs="宋体"/>
          <w:color w:val="auto"/>
          <w:lang w:val="en-US" w:eastAsia="zh-CN"/>
        </w:rPr>
        <w:t>注: 1、此表应按供应商须知的规定装订密封。</w:t>
      </w:r>
    </w:p>
    <w:p>
      <w:pPr>
        <w:pStyle w:val="9"/>
        <w:ind w:left="0" w:leftChars="0"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2、此表中，投标总价应和投标分项报价表的总价相一致。</w:t>
      </w:r>
    </w:p>
    <w:p>
      <w:pPr>
        <w:pStyle w:val="9"/>
        <w:ind w:left="0" w:leftChars="0"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3、投标报价时包含税费等一切与本次项目相关的费用。</w:t>
      </w:r>
    </w:p>
    <w:p>
      <w:pPr>
        <w:pStyle w:val="9"/>
        <w:rPr>
          <w:rFonts w:hint="eastAsia" w:ascii="宋体" w:hAnsi="宋体" w:eastAsia="宋体" w:cs="宋体"/>
          <w:color w:val="auto"/>
          <w:lang w:val="en-US" w:eastAsia="zh-CN"/>
        </w:rPr>
      </w:pPr>
    </w:p>
    <w:p>
      <w:pPr>
        <w:pStyle w:val="9"/>
        <w:ind w:left="0" w:leftChars="0" w:firstLine="0" w:firstLineChars="0"/>
        <w:rPr>
          <w:rFonts w:hint="eastAsia" w:ascii="宋体" w:hAnsi="宋体" w:eastAsia="宋体" w:cs="宋体"/>
          <w:color w:val="auto"/>
          <w:lang w:val="en-US" w:eastAsia="zh-CN"/>
        </w:rPr>
      </w:pPr>
    </w:p>
    <w:p>
      <w:pPr>
        <w:rPr>
          <w:rFonts w:hint="eastAsia" w:ascii="宋体" w:hAnsi="宋体" w:eastAsia="宋体" w:cs="宋体"/>
          <w:b/>
          <w:color w:val="auto"/>
          <w:kern w:val="0"/>
          <w:sz w:val="24"/>
          <w:szCs w:val="20"/>
          <w:lang w:val="en-US" w:eastAsia="zh-CN" w:bidi="ar-SA"/>
        </w:rPr>
      </w:pPr>
      <w:bookmarkStart w:id="347" w:name="_Toc26878"/>
    </w:p>
    <w:p>
      <w:pPr>
        <w:rPr>
          <w:rFonts w:hint="eastAsia" w:ascii="宋体" w:hAnsi="宋体" w:eastAsia="宋体" w:cs="宋体"/>
          <w:b/>
          <w:color w:val="auto"/>
          <w:kern w:val="0"/>
          <w:sz w:val="24"/>
          <w:szCs w:val="20"/>
          <w:lang w:val="en-US" w:eastAsia="zh-CN" w:bidi="ar-SA"/>
        </w:rPr>
      </w:pPr>
    </w:p>
    <w:p>
      <w:pPr>
        <w:rPr>
          <w:rFonts w:hint="eastAsia" w:ascii="宋体" w:hAnsi="宋体" w:eastAsia="宋体" w:cs="宋体"/>
          <w:b/>
          <w:color w:val="auto"/>
          <w:kern w:val="0"/>
          <w:sz w:val="24"/>
          <w:szCs w:val="20"/>
          <w:lang w:val="en-US" w:eastAsia="zh-CN" w:bidi="ar-SA"/>
        </w:rPr>
      </w:pPr>
    </w:p>
    <w:p>
      <w:pPr>
        <w:pStyle w:val="9"/>
        <w:outlineLvl w:val="1"/>
        <w:rPr>
          <w:rFonts w:hint="eastAsia" w:ascii="宋体" w:hAnsi="宋体" w:eastAsia="宋体" w:cs="宋体"/>
          <w:b/>
          <w:color w:val="auto"/>
          <w:kern w:val="0"/>
          <w:sz w:val="24"/>
          <w:szCs w:val="20"/>
          <w:lang w:val="en-US" w:eastAsia="zh-CN" w:bidi="ar-SA"/>
        </w:rPr>
      </w:pPr>
      <w:bookmarkStart w:id="348" w:name="_Toc19203"/>
      <w:r>
        <w:rPr>
          <w:rFonts w:hint="eastAsia" w:ascii="宋体" w:hAnsi="宋体" w:eastAsia="宋体" w:cs="宋体"/>
          <w:b/>
          <w:color w:val="auto"/>
          <w:kern w:val="0"/>
          <w:sz w:val="24"/>
          <w:szCs w:val="20"/>
          <w:lang w:val="en-US" w:eastAsia="zh-CN" w:bidi="ar-SA"/>
        </w:rPr>
        <w:t>2、</w:t>
      </w:r>
      <w:bookmarkEnd w:id="344"/>
      <w:bookmarkEnd w:id="345"/>
      <w:bookmarkEnd w:id="346"/>
      <w:bookmarkEnd w:id="347"/>
      <w:r>
        <w:rPr>
          <w:rFonts w:hint="eastAsia" w:ascii="宋体" w:hAnsi="宋体" w:eastAsia="宋体" w:cs="宋体"/>
          <w:b/>
          <w:color w:val="auto"/>
          <w:kern w:val="0"/>
          <w:sz w:val="24"/>
          <w:szCs w:val="20"/>
          <w:lang w:val="en-US" w:eastAsia="zh-CN" w:bidi="ar-SA"/>
        </w:rPr>
        <w:t>具有独立承担民事责任的能力；（投标时，提供在中华人民共和国境内注册的法人或事业单位法人证书或社会团体法人登记证书复印件；如国家另有规定的，则从其规定。）</w:t>
      </w:r>
      <w:bookmarkEnd w:id="348"/>
    </w:p>
    <w:p>
      <w:pPr>
        <w:pStyle w:val="9"/>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9"/>
        <w:ind w:left="0" w:leftChars="0" w:firstLine="0" w:firstLineChars="0"/>
        <w:jc w:val="both"/>
        <w:outlineLvl w:val="1"/>
        <w:rPr>
          <w:rFonts w:hint="eastAsia" w:ascii="宋体" w:hAnsi="宋体" w:eastAsia="宋体" w:cs="宋体"/>
          <w:b/>
          <w:color w:val="auto"/>
          <w:kern w:val="0"/>
          <w:sz w:val="24"/>
          <w:szCs w:val="20"/>
          <w:lang w:val="en-US" w:eastAsia="zh-CN" w:bidi="ar-SA"/>
        </w:rPr>
      </w:pPr>
      <w:bookmarkStart w:id="349" w:name="_Toc12506"/>
      <w:r>
        <w:rPr>
          <w:rFonts w:hint="eastAsia" w:ascii="宋体" w:hAnsi="宋体" w:eastAsia="宋体" w:cs="宋体"/>
          <w:b/>
          <w:color w:val="auto"/>
          <w:kern w:val="0"/>
          <w:sz w:val="24"/>
          <w:szCs w:val="20"/>
          <w:lang w:val="en-US" w:eastAsia="zh-CN" w:bidi="ar-SA"/>
        </w:rPr>
        <w:br w:type="page"/>
      </w:r>
      <w:bookmarkStart w:id="350" w:name="_Toc30903"/>
      <w:r>
        <w:rPr>
          <w:rFonts w:hint="eastAsia" w:ascii="宋体" w:hAnsi="宋体" w:eastAsia="宋体" w:cs="宋体"/>
          <w:b/>
          <w:color w:val="auto"/>
          <w:kern w:val="0"/>
          <w:sz w:val="24"/>
          <w:szCs w:val="20"/>
          <w:lang w:val="en-US" w:eastAsia="zh-CN" w:bidi="ar-SA"/>
        </w:rPr>
        <w:t>3</w:t>
      </w:r>
      <w:bookmarkEnd w:id="349"/>
      <w:r>
        <w:rPr>
          <w:rFonts w:hint="eastAsia" w:ascii="宋体" w:hAnsi="宋体" w:eastAsia="宋体" w:cs="宋体"/>
          <w:b/>
          <w:color w:val="auto"/>
          <w:kern w:val="0"/>
          <w:sz w:val="24"/>
          <w:szCs w:val="20"/>
          <w:lang w:val="en-US" w:eastAsia="zh-CN" w:bidi="ar-SA"/>
        </w:rPr>
        <w:t>、法人代表身份证明及授权书、被授权人身份证；(法人投标需提供法人身份证复印件)；</w:t>
      </w:r>
      <w:bookmarkEnd w:id="350"/>
    </w:p>
    <w:p>
      <w:pPr>
        <w:keepNext w:val="0"/>
        <w:keepLines w:val="0"/>
        <w:pageBreakBefore w:val="0"/>
        <w:widowControl w:val="0"/>
        <w:kinsoku/>
        <w:wordWrap/>
        <w:overflowPunct/>
        <w:topLinePunct w:val="0"/>
        <w:bidi w:val="0"/>
        <w:adjustRightInd w:val="0"/>
        <w:snapToGrid w:val="0"/>
        <w:spacing w:before="312" w:beforeLines="100" w:after="312" w:afterLines="100" w:line="400" w:lineRule="exact"/>
        <w:jc w:val="center"/>
        <w:textAlignment w:val="auto"/>
        <w:rPr>
          <w:rFonts w:hint="eastAsia" w:ascii="宋体" w:hAnsi="宋体" w:eastAsia="宋体" w:cs="宋体"/>
          <w:color w:val="auto"/>
          <w:sz w:val="24"/>
        </w:rPr>
      </w:pPr>
      <w:r>
        <w:rPr>
          <w:rFonts w:hint="eastAsia" w:ascii="宋体" w:hAnsi="宋体" w:eastAsia="宋体" w:cs="宋体"/>
          <w:b/>
          <w:color w:val="auto"/>
          <w:sz w:val="24"/>
        </w:rPr>
        <w:t>法定代表人身份证明</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sz w:val="24"/>
        </w:rPr>
        <w:t xml:space="preserve"> </w:t>
      </w:r>
      <w:r>
        <w:rPr>
          <w:rFonts w:hint="eastAsia" w:ascii="宋体" w:hAnsi="宋体" w:eastAsia="宋体" w:cs="宋体"/>
          <w:color w:val="auto"/>
          <w:kern w:val="2"/>
          <w:sz w:val="24"/>
          <w:szCs w:val="20"/>
          <w:lang w:val="en-US" w:eastAsia="zh-CN" w:bidi="ar-SA"/>
        </w:rPr>
        <w:t xml:space="preserve">              同志，现任我单位          职务，为法定代表人，特此证明。</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签发日期：                  单位：          </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附：代表人性别：            年龄：           身份证号码：</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联系电话：</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营业执照号码：              经济性质：</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说明：</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1、法定代表人为企业事业单位、国家机关、社会团体的主要行政负责人。</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2、内容必须填写真实、清楚、涂改无效，不得转让。</w:t>
      </w:r>
    </w:p>
    <w:p>
      <w:pPr>
        <w:keepNext w:val="0"/>
        <w:keepLines w:val="0"/>
        <w:pageBreakBefore w:val="0"/>
        <w:widowControl w:val="0"/>
        <w:kinsoku/>
        <w:wordWrap/>
        <w:overflowPunct/>
        <w:topLinePunct w:val="0"/>
        <w:bidi w:val="0"/>
        <w:spacing w:line="400" w:lineRule="exact"/>
        <w:ind w:firstLine="241" w:firstLineChars="100"/>
        <w:textAlignment w:val="auto"/>
        <w:rPr>
          <w:rFonts w:hint="eastAsia" w:ascii="宋体" w:hAnsi="宋体" w:eastAsia="宋体" w:cs="宋体"/>
          <w:b/>
          <w:bCs/>
          <w:color w:val="auto"/>
          <w:kern w:val="2"/>
          <w:sz w:val="24"/>
          <w:szCs w:val="20"/>
          <w:lang w:val="en-US" w:eastAsia="zh-CN" w:bidi="ar-SA"/>
        </w:rPr>
      </w:pPr>
      <w:r>
        <w:rPr>
          <w:rFonts w:hint="eastAsia" w:ascii="宋体" w:hAnsi="宋体" w:eastAsia="宋体" w:cs="宋体"/>
          <w:b/>
          <w:bCs/>
          <w:color w:val="auto"/>
          <w:kern w:val="2"/>
          <w:sz w:val="24"/>
          <w:szCs w:val="20"/>
          <w:lang w:val="en-US" w:eastAsia="zh-CN" w:bidi="ar-SA"/>
        </w:rPr>
        <w:t>3、提供身份证正反面。</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4、将此证明书原件提交采购代理机构作为投标文件附件。</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368935</wp:posOffset>
                </wp:positionV>
                <wp:extent cx="2333625" cy="1195705"/>
                <wp:effectExtent l="4445" t="4445" r="5080" b="1905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15pt;margin-top:29.05pt;height:94.15pt;width:183.75pt;z-index:251659264;mso-width-relative:page;mso-height-relative:page;" fillcolor="#FFFFFF" filled="t" stroked="t" coordsize="21600,21600" o:gfxdata="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7+VN1gAAAAk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r>
        <w:rPr>
          <w:rFonts w:hint="eastAsia" w:ascii="宋体" w:hAnsi="宋体" w:eastAsia="宋体" w:cs="宋体"/>
          <w:color w:val="auto"/>
          <w:kern w:val="2"/>
          <w:sz w:val="24"/>
          <w:szCs w:val="20"/>
          <w:lang w:val="en-US" w:eastAsia="zh-CN" w:bidi="ar-SA"/>
        </w:rPr>
        <w:t xml:space="preserve">  (为避免废标，请供应商务必提供本附件)</w:t>
      </w:r>
    </w:p>
    <w:p>
      <w:pPr>
        <w:keepNext w:val="0"/>
        <w:keepLines w:val="0"/>
        <w:pageBreakBefore w:val="0"/>
        <w:widowControl w:val="0"/>
        <w:tabs>
          <w:tab w:val="center" w:pos="4156"/>
        </w:tabs>
        <w:kinsoku/>
        <w:wordWrap/>
        <w:overflowPunct/>
        <w:topLinePunct w:val="0"/>
        <w:bidi w:val="0"/>
        <w:spacing w:line="400" w:lineRule="exact"/>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31115</wp:posOffset>
                </wp:positionV>
                <wp:extent cx="2609850" cy="1212850"/>
                <wp:effectExtent l="7620" t="7620" r="11430" b="1778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Ansi="宋体"/>
                                <w:szCs w:val="21"/>
                              </w:rPr>
                            </w:pPr>
                            <w:r>
                              <w:rPr>
                                <w:rFonts w:hint="eastAsia" w:hAnsi="宋体"/>
                                <w:szCs w:val="21"/>
                              </w:rPr>
                              <w:t xml:space="preserve">  </w:t>
                            </w:r>
                          </w:p>
                          <w:p>
                            <w:pPr>
                              <w:jc w:val="center"/>
                              <w:rPr>
                                <w:rFonts w:hAnsi="宋体"/>
                                <w:szCs w:val="21"/>
                              </w:rPr>
                            </w:pPr>
                          </w:p>
                          <w:p>
                            <w:pPr>
                              <w:jc w:val="center"/>
                            </w:pPr>
                            <w:r>
                              <w:rPr>
                                <w:rFonts w:hint="eastAsia" w:hAnsi="宋体"/>
                                <w:szCs w:val="21"/>
                              </w:rPr>
                              <w:t>法定代表人身份证复印件</w:t>
                            </w:r>
                          </w:p>
                          <w:p>
                            <w:pPr>
                              <w:pStyle w:val="9"/>
                            </w:pPr>
                          </w:p>
                          <w:p>
                            <w:pPr>
                              <w:pStyle w:val="9"/>
                            </w:pPr>
                          </w:p>
                          <w:p>
                            <w:pPr>
                              <w:pStyle w:val="9"/>
                            </w:pPr>
                          </w:p>
                          <w:p>
                            <w:pPr>
                              <w:pStyle w:val="9"/>
                            </w:pPr>
                          </w:p>
                        </w:txbxContent>
                      </wps:txbx>
                      <wps:bodyPr upright="1"/>
                    </wps:wsp>
                  </a:graphicData>
                </a:graphic>
              </wp:anchor>
            </w:drawing>
          </mc:Choice>
          <mc:Fallback>
            <w:pict>
              <v:roundrect id="_x0000_s1026" o:spid="_x0000_s1026" o:spt="2" style="position:absolute;left:0pt;margin-left:224.6pt;margin-top:2.45pt;height:95.5pt;width:205.5pt;z-index:251660288;mso-width-relative:page;mso-height-relative:page;" fillcolor="#FFFFFF" filled="t" stroked="t" coordsize="21600,21600" arcsize="0.166666666666667" o:gfxdata="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exqtb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pPr>
                        <w:jc w:val="center"/>
                        <w:rPr>
                          <w:rFonts w:hAnsi="宋体"/>
                          <w:szCs w:val="21"/>
                        </w:rPr>
                      </w:pPr>
                      <w:r>
                        <w:rPr>
                          <w:rFonts w:hint="eastAsia" w:hAnsi="宋体"/>
                          <w:szCs w:val="21"/>
                        </w:rPr>
                        <w:t xml:space="preserve">  </w:t>
                      </w:r>
                    </w:p>
                    <w:p>
                      <w:pPr>
                        <w:jc w:val="center"/>
                        <w:rPr>
                          <w:rFonts w:hAnsi="宋体"/>
                          <w:szCs w:val="21"/>
                        </w:rPr>
                      </w:pPr>
                    </w:p>
                    <w:p>
                      <w:pPr>
                        <w:jc w:val="center"/>
                      </w:pPr>
                      <w:r>
                        <w:rPr>
                          <w:rFonts w:hint="eastAsia" w:hAnsi="宋体"/>
                          <w:szCs w:val="21"/>
                        </w:rPr>
                        <w:t>法定代表人身份证复印件</w:t>
                      </w:r>
                    </w:p>
                    <w:p>
                      <w:pPr>
                        <w:pStyle w:val="9"/>
                      </w:pPr>
                    </w:p>
                    <w:p>
                      <w:pPr>
                        <w:pStyle w:val="9"/>
                      </w:pPr>
                    </w:p>
                    <w:p>
                      <w:pPr>
                        <w:pStyle w:val="9"/>
                      </w:pPr>
                    </w:p>
                    <w:p>
                      <w:pPr>
                        <w:pStyle w:val="9"/>
                      </w:pPr>
                    </w:p>
                  </w:txbxContent>
                </v:textbox>
              </v:roundrect>
            </w:pict>
          </mc:Fallback>
        </mc:AlternateContent>
      </w:r>
      <w:r>
        <w:rPr>
          <w:rFonts w:hint="eastAsia" w:ascii="宋体" w:hAnsi="宋体" w:eastAsia="宋体" w:cs="宋体"/>
          <w:color w:val="auto"/>
          <w:kern w:val="2"/>
          <w:sz w:val="24"/>
          <w:szCs w:val="20"/>
          <w:lang w:val="en-US" w:eastAsia="zh-CN" w:bidi="ar-SA"/>
        </w:rPr>
        <w:tab/>
      </w:r>
    </w:p>
    <w:p>
      <w:pPr>
        <w:pStyle w:val="10"/>
        <w:rPr>
          <w:rFonts w:hint="eastAsia" w:ascii="宋体" w:hAnsi="宋体" w:eastAsia="宋体" w:cs="宋体"/>
          <w:color w:val="auto"/>
          <w:kern w:val="2"/>
          <w:sz w:val="24"/>
          <w:szCs w:val="20"/>
          <w:lang w:val="en-US" w:eastAsia="zh-CN" w:bidi="ar-SA"/>
        </w:rPr>
      </w:pPr>
    </w:p>
    <w:p>
      <w:pPr>
        <w:rPr>
          <w:rFonts w:hint="eastAsia" w:ascii="宋体" w:hAnsi="宋体" w:eastAsia="宋体" w:cs="宋体"/>
          <w:color w:val="auto"/>
          <w:kern w:val="2"/>
          <w:sz w:val="24"/>
          <w:szCs w:val="20"/>
          <w:lang w:val="en-US" w:eastAsia="zh-CN" w:bidi="ar-SA"/>
        </w:rPr>
      </w:pPr>
    </w:p>
    <w:p>
      <w:pPr>
        <w:pStyle w:val="10"/>
        <w:rPr>
          <w:rFonts w:hint="eastAsia" w:ascii="宋体" w:hAnsi="宋体" w:eastAsia="宋体" w:cs="宋体"/>
          <w:lang w:val="en-US" w:eastAsia="zh-CN"/>
        </w:rPr>
      </w:pP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0"/>
          <w:lang w:val="en-US" w:eastAsia="zh-CN" w:bidi="ar-SA"/>
        </w:rPr>
      </w:pP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auto"/>
          <w:kern w:val="2"/>
          <w:sz w:val="24"/>
          <w:szCs w:val="20"/>
          <w:lang w:val="en-US" w:eastAsia="zh-CN" w:bidi="ar-SA"/>
        </w:rPr>
      </w:pPr>
    </w:p>
    <w:p>
      <w:pPr>
        <w:keepNext w:val="0"/>
        <w:keepLines w:val="0"/>
        <w:pageBreakBefore w:val="0"/>
        <w:widowControl w:val="0"/>
        <w:kinsoku/>
        <w:wordWrap/>
        <w:overflowPunct/>
        <w:topLinePunct w:val="0"/>
        <w:autoSpaceDE w:val="0"/>
        <w:autoSpaceDN w:val="0"/>
        <w:bidi w:val="0"/>
        <w:adjustRightInd w:val="0"/>
        <w:spacing w:line="400" w:lineRule="exact"/>
        <w:ind w:right="246" w:firstLine="784" w:firstLineChars="327"/>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供应商（公章）：                              </w:t>
      </w:r>
    </w:p>
    <w:p>
      <w:pPr>
        <w:keepNext w:val="0"/>
        <w:keepLines w:val="0"/>
        <w:pageBreakBefore w:val="0"/>
        <w:widowControl w:val="0"/>
        <w:kinsoku/>
        <w:wordWrap/>
        <w:overflowPunct/>
        <w:topLinePunct w:val="0"/>
        <w:bidi w:val="0"/>
        <w:adjustRightInd w:val="0"/>
        <w:snapToGrid w:val="0"/>
        <w:spacing w:line="400" w:lineRule="exact"/>
        <w:ind w:firstLine="784" w:firstLineChars="327"/>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法定代表人（签/章）：                    </w:t>
      </w:r>
    </w:p>
    <w:p>
      <w:pPr>
        <w:keepNext w:val="0"/>
        <w:keepLines w:val="0"/>
        <w:pageBreakBefore w:val="0"/>
        <w:widowControl w:val="0"/>
        <w:kinsoku/>
        <w:wordWrap/>
        <w:overflowPunct/>
        <w:topLinePunct w:val="0"/>
        <w:bidi w:val="0"/>
        <w:adjustRightInd w:val="0"/>
        <w:snapToGrid w:val="0"/>
        <w:spacing w:line="400" w:lineRule="exact"/>
        <w:ind w:firstLine="784" w:firstLineChars="327"/>
        <w:textAlignment w:val="auto"/>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日期：                                       </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说明：1.提供有效的营业执照等证明文件复印件，复印件上应加盖本单位章。</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      2. 供应商为自然人的，应提供身份证明的复印件。</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      3.联合体投标应提供联合体各方满足以上要求的证明文件。</w:t>
      </w:r>
      <w:bookmarkStart w:id="351" w:name="_Toc22472"/>
      <w:bookmarkStart w:id="352" w:name="_Toc515647807"/>
      <w:bookmarkStart w:id="353" w:name="_Toc1083"/>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spacing w:before="0" w:line="240" w:lineRule="atLeast"/>
        <w:ind w:left="1080" w:leftChars="257" w:hanging="540"/>
        <w:jc w:val="center"/>
        <w:outlineLvl w:val="9"/>
        <w:rPr>
          <w:rFonts w:hint="eastAsia" w:ascii="宋体" w:hAnsi="宋体" w:eastAsia="宋体" w:cs="宋体"/>
          <w:b/>
          <w:bCs/>
          <w:color w:val="auto"/>
          <w:sz w:val="24"/>
          <w:u w:val="single"/>
        </w:rPr>
      </w:pPr>
      <w:r>
        <w:rPr>
          <w:rFonts w:hint="eastAsia" w:ascii="宋体" w:hAnsi="宋体" w:eastAsia="宋体" w:cs="宋体"/>
          <w:b/>
          <w:bCs/>
          <w:color w:val="auto"/>
          <w:sz w:val="24"/>
        </w:rPr>
        <w:br w:type="page"/>
      </w:r>
      <w:r>
        <w:rPr>
          <w:rFonts w:hint="eastAsia" w:ascii="宋体" w:hAnsi="宋体" w:eastAsia="宋体" w:cs="宋体"/>
          <w:b/>
          <w:bCs/>
          <w:color w:val="auto"/>
          <w:sz w:val="24"/>
        </w:rPr>
        <w:t>法定代表人授权委托书</w:t>
      </w:r>
      <w:bookmarkEnd w:id="351"/>
      <w:bookmarkEnd w:id="352"/>
      <w:bookmarkEnd w:id="353"/>
    </w:p>
    <w:p>
      <w:pPr>
        <w:pStyle w:val="16"/>
        <w:tabs>
          <w:tab w:val="left" w:pos="5580"/>
        </w:tabs>
        <w:spacing w:line="240" w:lineRule="atLeast"/>
        <w:rPr>
          <w:rFonts w:hint="eastAsia" w:ascii="宋体" w:hAnsi="宋体" w:eastAsia="宋体" w:cs="宋体"/>
          <w:color w:val="auto"/>
          <w:kern w:val="2"/>
          <w:sz w:val="24"/>
          <w:szCs w:val="20"/>
          <w:lang w:val="en-US" w:eastAsia="zh-CN" w:bidi="ar-SA"/>
        </w:rPr>
      </w:pPr>
      <w:bookmarkStart w:id="354" w:name="_Toc32520"/>
      <w:bookmarkStart w:id="355" w:name="_Toc515647808"/>
      <w:bookmarkStart w:id="356" w:name="_Toc7039"/>
      <w:r>
        <w:rPr>
          <w:rFonts w:hint="eastAsia" w:ascii="宋体" w:hAnsi="宋体" w:eastAsia="宋体" w:cs="宋体"/>
          <w:color w:val="auto"/>
          <w:sz w:val="24"/>
        </w:rPr>
        <w:cr/>
      </w:r>
      <w:r>
        <w:rPr>
          <w:rFonts w:hint="eastAsia" w:ascii="宋体" w:hAnsi="宋体" w:eastAsia="宋体" w:cs="宋体"/>
          <w:color w:val="auto"/>
          <w:sz w:val="24"/>
        </w:rPr>
        <w:t xml:space="preserve">    </w:t>
      </w:r>
      <w:r>
        <w:rPr>
          <w:rFonts w:hint="eastAsia" w:ascii="宋体" w:hAnsi="宋体" w:eastAsia="宋体" w:cs="宋体"/>
          <w:color w:val="auto"/>
          <w:kern w:val="2"/>
          <w:sz w:val="24"/>
          <w:szCs w:val="20"/>
          <w:lang w:val="en-US" w:eastAsia="zh-CN" w:bidi="ar-SA"/>
        </w:rPr>
        <w:t>本授权书声明：注册于（国家或地区的名称）的（供应商）的在下面签字的（法人代表姓名、职务）代表我单位授权（单位名称）的在下面签字的（被授权人的姓名、职务）为我单位的合法代理人，就（项目名称）的投标，以我单位名义处理一切与之有关的事务。　　</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本授权书于           年     月     日签字生效,特此声明。</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2" name="自选图形 5"/>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int="eastAsia" w:hAnsi="宋体"/>
                              </w:rPr>
                            </w:pPr>
                          </w:p>
                          <w:p>
                            <w:pPr>
                              <w:rPr>
                                <w:rFonts w:hint="eastAsia" w:hAnsi="宋体"/>
                              </w:rPr>
                            </w:pPr>
                          </w:p>
                          <w:p>
                            <w:pPr>
                              <w:rPr>
                                <w:rFonts w:hint="eastAsia" w:hAnsi="宋体"/>
                              </w:rPr>
                            </w:pPr>
                          </w:p>
                          <w:p>
                            <w:pPr>
                              <w:ind w:firstLine="630" w:firstLineChars="300"/>
                            </w:pPr>
                            <w:r>
                              <w:rPr>
                                <w:rFonts w:hint="eastAsia" w:hAnsi="宋体"/>
                              </w:rPr>
                              <w:t>授权委托人身份证复印件</w:t>
                            </w:r>
                          </w:p>
                        </w:txbxContent>
                      </wps:txbx>
                      <wps:bodyPr upright="1"/>
                    </wps:wsp>
                  </a:graphicData>
                </a:graphic>
              </wp:anchor>
            </w:drawing>
          </mc:Choice>
          <mc:Fallback>
            <w:pict>
              <v:roundrect id="自选图形 5" o:spid="_x0000_s1026" o:spt="2" style="position:absolute;left:0pt;margin-left:239.3pt;margin-top:13.2pt;height:88.6pt;width:195.15pt;z-index:251662336;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hcki2wAAAAoBAAAPAAAAAAAAAAEAIAAAACIAAABkcnMvZG93bnJldi54bWxQSwECFAAUAAAA&#10;CACHTuJAdy2bTSQCAABYBAAADgAAAAAAAAABACAAAAAqAQAAZHJzL2Uyb0RvYy54bWxQSwUGAAAA&#10;AAYABgBZAQAAwAUAAAAA&#10;">
                <v:fill on="t" focussize="0,0"/>
                <v:stroke weight="1.25pt" color="#808080" joinstyle="round"/>
                <v:imagedata o:title=""/>
                <o:lock v:ext="edit" aspectratio="f"/>
                <v:textbox>
                  <w:txbxContent>
                    <w:p>
                      <w:pPr>
                        <w:rPr>
                          <w:rFonts w:hint="eastAsia" w:hAnsi="宋体"/>
                        </w:rPr>
                      </w:pPr>
                    </w:p>
                    <w:p>
                      <w:pPr>
                        <w:rPr>
                          <w:rFonts w:hint="eastAsia" w:hAnsi="宋体"/>
                        </w:rPr>
                      </w:pPr>
                    </w:p>
                    <w:p>
                      <w:pPr>
                        <w:rPr>
                          <w:rFonts w:hint="eastAsia" w:hAnsi="宋体"/>
                        </w:rPr>
                      </w:pPr>
                    </w:p>
                    <w:p>
                      <w:pPr>
                        <w:ind w:firstLine="630" w:firstLineChars="300"/>
                      </w:pPr>
                      <w:r>
                        <w:rPr>
                          <w:rFonts w:hint="eastAsia" w:hAnsi="宋体"/>
                        </w:rPr>
                        <w:t>授权委托人身份证复印件</w:t>
                      </w:r>
                    </w:p>
                  </w:txbxContent>
                </v:textbox>
              </v:roundrect>
            </w:pict>
          </mc:Fallback>
        </mc:AlternateContent>
      </w:r>
      <w:r>
        <w:rPr>
          <w:rFonts w:hint="eastAsia" w:ascii="宋体" w:hAnsi="宋体" w:eastAsia="宋体" w:cs="宋体"/>
          <w:color w:val="auto"/>
          <w:kern w:val="2"/>
          <w:sz w:val="24"/>
          <w:szCs w:val="2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 name="自选图形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w:t>
                            </w:r>
                          </w:p>
                        </w:txbxContent>
                      </wps:txbx>
                      <wps:bodyPr upright="1"/>
                    </wps:wsp>
                  </a:graphicData>
                </a:graphic>
              </wp:anchor>
            </w:drawing>
          </mc:Choice>
          <mc:Fallback>
            <w:pict>
              <v:shape id="自选图形 6" o:spid="_x0000_s1026" o:spt="176" type="#_x0000_t176" style="position:absolute;left:0pt;margin-left:1.65pt;margin-top:10.7pt;height:90pt;width:197.45pt;z-index:25166131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EjIw1gAAAAgB&#10;AAAPAAAAAAAAAAEAIAAAACIAAABkcnMvZG93bnJldi54bWxQSwECFAAUAAAACACHTuJAiTy/+B0C&#10;AABFBAAADgAAAAAAAAABACAAAAAlAQAAZHJzL2Uyb0RvYy54bWxQSwUGAAAAAAYABgBZAQAAtAUA&#10;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rPr>
                          <w:rFonts w:hint="eastAsia" w:hAnsi="宋体"/>
                        </w:rPr>
                      </w:pPr>
                    </w:p>
                    <w:p>
                      <w:pPr>
                        <w:jc w:val="center"/>
                      </w:pPr>
                      <w:r>
                        <w:rPr>
                          <w:rFonts w:hint="eastAsia" w:hAnsi="宋体"/>
                        </w:rPr>
                        <w:t>授权委托人身份证复印件</w:t>
                      </w:r>
                    </w:p>
                  </w:txbxContent>
                </v:textbox>
              </v:shape>
            </w:pict>
          </mc:Fallback>
        </mc:AlternateConten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rPr>
          <w:rFonts w:hint="eastAsia" w:ascii="宋体" w:hAnsi="宋体" w:eastAsia="宋体" w:cs="宋体"/>
          <w:color w:val="auto"/>
          <w:kern w:val="2"/>
          <w:sz w:val="24"/>
          <w:szCs w:val="20"/>
          <w:lang w:val="en-US" w:eastAsia="zh-CN" w:bidi="ar-SA"/>
        </w:rPr>
      </w:pPr>
    </w:p>
    <w:p>
      <w:pPr>
        <w:pStyle w:val="16"/>
        <w:tabs>
          <w:tab w:val="left" w:pos="5580"/>
        </w:tabs>
        <w:spacing w:line="240" w:lineRule="atLeast"/>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238125</wp:posOffset>
                </wp:positionV>
                <wp:extent cx="2555240" cy="1070610"/>
                <wp:effectExtent l="7620" t="7620" r="8890" b="26670"/>
                <wp:wrapNone/>
                <wp:docPr id="3" name="自选图形 8"/>
                <wp:cNvGraphicFramePr/>
                <a:graphic xmlns:a="http://schemas.openxmlformats.org/drawingml/2006/main">
                  <a:graphicData uri="http://schemas.microsoft.com/office/word/2010/wordprocessingShape">
                    <wps:wsp>
                      <wps:cNvSpPr/>
                      <wps:spPr>
                        <a:xfrm>
                          <a:off x="0" y="0"/>
                          <a:ext cx="2555240" cy="107061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both"/>
                              <w:rPr>
                                <w:rFonts w:hint="eastAsia" w:hAnsi="宋体"/>
                              </w:rPr>
                            </w:pPr>
                          </w:p>
                          <w:p>
                            <w:pPr>
                              <w:jc w:val="center"/>
                              <w:rPr>
                                <w:rFonts w:hint="eastAsia" w:hAnsi="宋体"/>
                              </w:rPr>
                            </w:pPr>
                          </w:p>
                          <w:p>
                            <w:pPr>
                              <w:jc w:val="center"/>
                            </w:pPr>
                            <w:r>
                              <w:rPr>
                                <w:rFonts w:hint="eastAsia" w:hAnsi="宋体"/>
                                <w:szCs w:val="21"/>
                              </w:rPr>
                              <w:t>法定代表人身份证复印件</w:t>
                            </w:r>
                          </w:p>
                          <w:p>
                            <w:pPr>
                              <w:jc w:val="center"/>
                            </w:pPr>
                          </w:p>
                          <w:p/>
                        </w:txbxContent>
                      </wps:txbx>
                      <wps:bodyPr upright="1"/>
                    </wps:wsp>
                  </a:graphicData>
                </a:graphic>
              </wp:anchor>
            </w:drawing>
          </mc:Choice>
          <mc:Fallback>
            <w:pict>
              <v:roundrect id="自选图形 8" o:spid="_x0000_s1026" o:spt="2" style="position:absolute;left:0pt;margin-left:-0.85pt;margin-top:18.75pt;height:84.3pt;width:201.2pt;z-index:251663360;mso-width-relative:page;mso-height-relative:page;" fillcolor="#FFFFFF" filled="t" stroked="t" coordsize="21600,21600" arcsize="0.166666666666667" o:gfxdata="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e6FsjaAAAACQEAAA8AAAAAAAAAAQAgAAAAIgAAAGRycy9kb3ducmV2LnhtbFBLAQIUABQAAAAI&#10;AIdO4kA5OIzgJAIAAFgEAAAOAAAAAAAAAAEAIAAAACkBAABkcnMvZTJvRG9jLnhtbFBLBQYAAAAA&#10;BgAGAFkBAAC/BQAAAAA=&#10;">
                <v:fill on="t" focussize="0,0"/>
                <v:stroke weight="1.25pt" color="#808080" joinstyle="round"/>
                <v:imagedata o:title=""/>
                <o:lock v:ext="edit" aspectratio="f"/>
                <v:textbox>
                  <w:txbxContent>
                    <w:p>
                      <w:pPr>
                        <w:jc w:val="both"/>
                        <w:rPr>
                          <w:rFonts w:hint="eastAsia" w:hAnsi="宋体"/>
                        </w:rPr>
                      </w:pPr>
                    </w:p>
                    <w:p>
                      <w:pPr>
                        <w:jc w:val="center"/>
                        <w:rPr>
                          <w:rFonts w:hint="eastAsia" w:hAnsi="宋体"/>
                        </w:rPr>
                      </w:pPr>
                    </w:p>
                    <w:p>
                      <w:pPr>
                        <w:jc w:val="center"/>
                      </w:pPr>
                      <w:r>
                        <w:rPr>
                          <w:rFonts w:hint="eastAsia" w:hAnsi="宋体"/>
                          <w:szCs w:val="21"/>
                        </w:rPr>
                        <w:t>法定代表人身份证复印件</w:t>
                      </w:r>
                    </w:p>
                    <w:p>
                      <w:pPr>
                        <w:jc w:val="center"/>
                      </w:pPr>
                    </w:p>
                    <w:p/>
                  </w:txbxContent>
                </v:textbox>
              </v:roundrect>
            </w:pict>
          </mc:Fallback>
        </mc:AlternateConten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23495</wp:posOffset>
                </wp:positionV>
                <wp:extent cx="2535555" cy="1051560"/>
                <wp:effectExtent l="7620" t="7620" r="9525" b="26670"/>
                <wp:wrapNone/>
                <wp:docPr id="4" name="自选图形 7"/>
                <wp:cNvGraphicFramePr/>
                <a:graphic xmlns:a="http://schemas.openxmlformats.org/drawingml/2006/main">
                  <a:graphicData uri="http://schemas.microsoft.com/office/word/2010/wordprocessingShape">
                    <wps:wsp>
                      <wps:cNvSpPr/>
                      <wps:spPr>
                        <a:xfrm>
                          <a:off x="0" y="0"/>
                          <a:ext cx="2535555" cy="105156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rPr>
                            </w:pPr>
                            <w:r>
                              <w:rPr>
                                <w:rFonts w:hint="eastAsia" w:hAnsi="宋体"/>
                              </w:rPr>
                              <w:t xml:space="preserve">  </w:t>
                            </w:r>
                          </w:p>
                          <w:p>
                            <w:pPr>
                              <w:jc w:val="center"/>
                              <w:rPr>
                                <w:rFonts w:hint="eastAsia" w:hAnsi="宋体"/>
                              </w:rPr>
                            </w:pPr>
                          </w:p>
                          <w:p>
                            <w:pPr>
                              <w:jc w:val="center"/>
                            </w:pPr>
                            <w:r>
                              <w:rPr>
                                <w:rFonts w:hint="eastAsia" w:hAnsi="宋体"/>
                                <w:szCs w:val="21"/>
                              </w:rPr>
                              <w:t>法定代表人身份证复印件</w:t>
                            </w:r>
                          </w:p>
                          <w:p/>
                        </w:txbxContent>
                      </wps:txbx>
                      <wps:bodyPr upright="1"/>
                    </wps:wsp>
                  </a:graphicData>
                </a:graphic>
              </wp:anchor>
            </w:drawing>
          </mc:Choice>
          <mc:Fallback>
            <w:pict>
              <v:roundrect id="自选图形 7" o:spid="_x0000_s1026" o:spt="2" style="position:absolute;left:0pt;margin-left:237.65pt;margin-top:1.85pt;height:82.8pt;width:199.65pt;z-index:251664384;mso-width-relative:page;mso-height-relative:page;" fillcolor="#FFFFFF" filled="t" stroked="t" coordsize="21600,21600" arcsize="0.166666666666667" o:gfxdata="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i0mctoAAAAJAQAADwAAAAAAAAABACAAAAAiAAAAZHJzL2Rvd25yZXYueG1sUEsBAhQAFAAAAAgA&#10;h07iQBDNtSgjAgAAWAQAAA4AAAAAAAAAAQAgAAAAKQEAAGRycy9lMm9Eb2MueG1sUEsFBgAAAAAG&#10;AAYAWQEAAL4FA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center"/>
                        <w:rPr>
                          <w:rFonts w:hint="eastAsia" w:hAnsi="宋体"/>
                        </w:rPr>
                      </w:pPr>
                    </w:p>
                    <w:p>
                      <w:pPr>
                        <w:jc w:val="center"/>
                      </w:pPr>
                      <w:r>
                        <w:rPr>
                          <w:rFonts w:hint="eastAsia" w:hAnsi="宋体"/>
                          <w:szCs w:val="21"/>
                        </w:rPr>
                        <w:t>法定代表人身份证复印件</w:t>
                      </w:r>
                    </w:p>
                    <w:p/>
                  </w:txbxContent>
                </v:textbox>
              </v:roundrect>
            </w:pict>
          </mc:Fallback>
        </mc:AlternateConten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p>
    <w:p>
      <w:pPr>
        <w:pStyle w:val="16"/>
        <w:tabs>
          <w:tab w:val="left" w:pos="5580"/>
        </w:tabs>
        <w:spacing w:line="240" w:lineRule="atLeast"/>
        <w:ind w:left="1080" w:leftChars="257" w:hanging="540"/>
        <w:rPr>
          <w:rFonts w:hint="eastAsia" w:ascii="宋体" w:hAnsi="宋体" w:eastAsia="宋体" w:cs="宋体"/>
          <w:b/>
          <w:bCs/>
          <w:color w:val="auto"/>
          <w:kern w:val="2"/>
          <w:sz w:val="24"/>
          <w:szCs w:val="20"/>
          <w:lang w:val="en-US" w:eastAsia="zh-CN" w:bidi="ar-SA"/>
        </w:rPr>
      </w:pPr>
      <w:r>
        <w:rPr>
          <w:rFonts w:hint="eastAsia" w:ascii="宋体" w:hAnsi="宋体" w:eastAsia="宋体" w:cs="宋体"/>
          <w:b/>
          <w:bCs/>
          <w:color w:val="auto"/>
          <w:kern w:val="2"/>
          <w:sz w:val="24"/>
          <w:szCs w:val="20"/>
          <w:lang w:val="en-US" w:eastAsia="zh-CN" w:bidi="ar-SA"/>
        </w:rPr>
        <w:t>注：提供身份证正反面</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供应商（公章）;                           </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法定代表人（签/章）：                     </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身份证号码：</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委托代理人（签/章）：                                   </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身份证号码：                                   </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详细通讯地址：                                 </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邮 政 编 码 ：                                 </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传　　　　真：                                 </w:t>
      </w:r>
    </w:p>
    <w:p>
      <w:pPr>
        <w:pStyle w:val="16"/>
        <w:tabs>
          <w:tab w:val="left" w:pos="5580"/>
        </w:tabs>
        <w:spacing w:line="240" w:lineRule="atLeast"/>
        <w:ind w:left="1080" w:leftChars="257" w:hanging="54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电　　　　话：                                 </w:t>
      </w:r>
    </w:p>
    <w:bookmarkEnd w:id="354"/>
    <w:bookmarkEnd w:id="355"/>
    <w:bookmarkEnd w:id="356"/>
    <w:p>
      <w:pPr>
        <w:spacing w:before="0" w:line="360" w:lineRule="exact"/>
        <w:ind w:left="1080" w:leftChars="257" w:hanging="540"/>
        <w:outlineLvl w:val="9"/>
        <w:rPr>
          <w:rFonts w:hint="eastAsia" w:ascii="宋体" w:hAnsi="宋体" w:eastAsia="宋体" w:cs="宋体"/>
          <w:color w:val="auto"/>
          <w:sz w:val="24"/>
          <w:lang w:val="en-US" w:eastAsia="zh-CN"/>
        </w:rPr>
      </w:pPr>
      <w:bookmarkStart w:id="357" w:name="_Toc515647809"/>
      <w:bookmarkStart w:id="358" w:name="_Toc11047"/>
      <w:bookmarkStart w:id="359" w:name="_Toc28445"/>
    </w:p>
    <w:p>
      <w:pPr>
        <w:pStyle w:val="9"/>
        <w:rPr>
          <w:rFonts w:hint="eastAsia" w:ascii="宋体" w:hAnsi="宋体" w:eastAsia="宋体" w:cs="宋体"/>
          <w:color w:val="auto"/>
          <w:sz w:val="24"/>
          <w:lang w:val="en-US" w:eastAsia="zh-CN"/>
        </w:rPr>
      </w:pPr>
    </w:p>
    <w:p>
      <w:pPr>
        <w:pStyle w:val="4"/>
        <w:spacing w:before="0" w:line="360" w:lineRule="exact"/>
        <w:jc w:val="left"/>
        <w:rPr>
          <w:rFonts w:hint="eastAsia" w:ascii="宋体" w:hAnsi="宋体" w:eastAsia="宋体" w:cs="宋体"/>
          <w:b/>
          <w:bCs/>
          <w:i w:val="0"/>
          <w:iCs w:val="0"/>
          <w:color w:val="auto"/>
          <w:kern w:val="2"/>
          <w:sz w:val="24"/>
          <w:szCs w:val="24"/>
          <w:lang w:val="en-US" w:eastAsia="zh-CN" w:bidi="ar-SA"/>
        </w:rPr>
      </w:pPr>
      <w:bookmarkStart w:id="360" w:name="_Toc2284"/>
      <w:r>
        <w:rPr>
          <w:rFonts w:hint="eastAsia" w:ascii="宋体" w:hAnsi="宋体" w:eastAsia="宋体" w:cs="宋体"/>
          <w:b/>
          <w:bCs/>
          <w:i w:val="0"/>
          <w:iCs w:val="0"/>
          <w:color w:val="auto"/>
          <w:kern w:val="2"/>
          <w:sz w:val="24"/>
          <w:szCs w:val="24"/>
          <w:lang w:val="en-US" w:eastAsia="zh-CN" w:bidi="ar-SA"/>
        </w:rPr>
        <w:br w:type="page"/>
      </w:r>
      <w:bookmarkStart w:id="361" w:name="_Toc18067"/>
      <w:r>
        <w:rPr>
          <w:rFonts w:hint="eastAsia" w:ascii="宋体" w:hAnsi="宋体" w:eastAsia="宋体" w:cs="宋体"/>
          <w:b/>
          <w:bCs/>
          <w:i w:val="0"/>
          <w:iCs w:val="0"/>
          <w:color w:val="auto"/>
          <w:kern w:val="2"/>
          <w:sz w:val="24"/>
          <w:szCs w:val="24"/>
          <w:lang w:val="en-US" w:eastAsia="zh-CN" w:bidi="ar-SA"/>
        </w:rPr>
        <w:t>4、</w:t>
      </w:r>
      <w:bookmarkEnd w:id="360"/>
      <w:r>
        <w:rPr>
          <w:rFonts w:hint="eastAsia" w:ascii="宋体" w:hAnsi="宋体" w:eastAsia="宋体" w:cs="宋体"/>
          <w:b/>
          <w:bCs/>
          <w:i w:val="0"/>
          <w:iCs w:val="0"/>
          <w:color w:val="auto"/>
          <w:kern w:val="2"/>
          <w:sz w:val="24"/>
          <w:szCs w:val="24"/>
          <w:lang w:val="en-US" w:eastAsia="zh-CN" w:bidi="ar-SA"/>
        </w:rPr>
        <w:t>依法缴纳近6个月内任意1个月的社会保险的凭据；</w:t>
      </w:r>
      <w:bookmarkEnd w:id="361"/>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pStyle w:val="9"/>
        <w:rPr>
          <w:rFonts w:hint="eastAsia" w:ascii="宋体" w:hAnsi="宋体" w:eastAsia="宋体" w:cs="宋体"/>
          <w:b/>
          <w:bCs/>
          <w:i w:val="0"/>
          <w:iCs w:val="0"/>
          <w:color w:val="auto"/>
          <w:kern w:val="2"/>
          <w:sz w:val="24"/>
          <w:szCs w:val="24"/>
          <w:lang w:val="en-US" w:eastAsia="zh-CN" w:bidi="ar-SA"/>
        </w:rPr>
      </w:pPr>
    </w:p>
    <w:p>
      <w:pPr>
        <w:rPr>
          <w:rFonts w:hint="eastAsia" w:ascii="宋体" w:hAnsi="宋体" w:eastAsia="宋体" w:cs="宋体"/>
          <w:b/>
          <w:bCs/>
          <w:i w:val="0"/>
          <w:iCs w:val="0"/>
          <w:color w:val="auto"/>
          <w:kern w:val="2"/>
          <w:sz w:val="24"/>
          <w:szCs w:val="24"/>
          <w:lang w:val="en-US" w:eastAsia="zh-CN" w:bidi="ar-SA"/>
        </w:rPr>
      </w:pPr>
    </w:p>
    <w:p>
      <w:pPr>
        <w:rPr>
          <w:rFonts w:hint="eastAsia" w:ascii="宋体" w:hAnsi="宋体" w:eastAsia="宋体" w:cs="宋体"/>
          <w:b/>
          <w:bCs/>
          <w:i w:val="0"/>
          <w:iCs w:val="0"/>
          <w:color w:val="auto"/>
          <w:kern w:val="2"/>
          <w:sz w:val="24"/>
          <w:szCs w:val="24"/>
          <w:lang w:val="en-US" w:eastAsia="zh-CN" w:bidi="ar-SA"/>
        </w:rPr>
      </w:pPr>
    </w:p>
    <w:p>
      <w:pPr>
        <w:pStyle w:val="9"/>
        <w:rPr>
          <w:rFonts w:hint="eastAsia" w:ascii="宋体" w:hAnsi="宋体" w:eastAsia="宋体" w:cs="宋体"/>
          <w:color w:val="auto"/>
          <w:lang w:val="en-US" w:eastAsia="zh-CN"/>
        </w:rPr>
      </w:pP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1"/>
        <w:rPr>
          <w:rFonts w:hint="eastAsia" w:ascii="宋体" w:hAnsi="宋体" w:eastAsia="宋体" w:cs="宋体"/>
          <w:b/>
          <w:bCs/>
          <w:i w:val="0"/>
          <w:iCs w:val="0"/>
          <w:color w:val="auto"/>
          <w:kern w:val="2"/>
          <w:sz w:val="24"/>
          <w:szCs w:val="24"/>
          <w:lang w:val="en-US" w:eastAsia="zh-CN" w:bidi="ar-SA"/>
        </w:rPr>
      </w:pPr>
      <w:bookmarkStart w:id="362" w:name="_Toc7215"/>
      <w:bookmarkStart w:id="363" w:name="_Toc1669"/>
      <w:r>
        <w:rPr>
          <w:rFonts w:hint="eastAsia" w:ascii="宋体" w:hAnsi="宋体" w:eastAsia="宋体" w:cs="宋体"/>
          <w:b/>
          <w:bCs/>
          <w:i w:val="0"/>
          <w:iCs w:val="0"/>
          <w:color w:val="auto"/>
          <w:kern w:val="2"/>
          <w:sz w:val="24"/>
          <w:szCs w:val="24"/>
          <w:lang w:val="en-US" w:eastAsia="zh-CN" w:bidi="ar-SA"/>
        </w:rPr>
        <w:t>5、</w:t>
      </w:r>
      <w:bookmarkEnd w:id="362"/>
      <w:r>
        <w:rPr>
          <w:rFonts w:hint="eastAsia" w:ascii="宋体" w:hAnsi="宋体" w:eastAsia="宋体" w:cs="宋体"/>
          <w:b/>
          <w:bCs/>
          <w:i w:val="0"/>
          <w:iCs w:val="0"/>
          <w:color w:val="auto"/>
          <w:kern w:val="2"/>
          <w:sz w:val="24"/>
          <w:szCs w:val="24"/>
          <w:lang w:val="en-US" w:eastAsia="zh-CN" w:bidi="ar-SA"/>
        </w:rPr>
        <w:t>税务部门出具的近6个月内任意1个月的完税证明；</w:t>
      </w:r>
      <w:bookmarkEnd w:id="363"/>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pStyle w:val="33"/>
        <w:rPr>
          <w:rFonts w:hint="eastAsia" w:ascii="宋体" w:hAnsi="宋体" w:eastAsia="宋体" w:cs="宋体"/>
          <w:lang w:val="en-US" w:eastAsia="zh-CN"/>
        </w:rPr>
      </w:pPr>
    </w:p>
    <w:p>
      <w:pPr>
        <w:pStyle w:val="33"/>
        <w:rPr>
          <w:rFonts w:hint="eastAsia" w:ascii="宋体" w:hAnsi="宋体" w:eastAsia="宋体" w:cs="宋体"/>
          <w:lang w:val="en-US" w:eastAsia="zh-CN"/>
        </w:rPr>
      </w:pPr>
    </w:p>
    <w:p>
      <w:pPr>
        <w:pStyle w:val="9"/>
        <w:rPr>
          <w:rFonts w:hint="eastAsia" w:ascii="宋体" w:hAnsi="宋体" w:eastAsia="宋体" w:cs="宋体"/>
          <w:b/>
          <w:bCs/>
          <w:i w:val="0"/>
          <w:iCs w:val="0"/>
          <w:color w:val="auto"/>
          <w:kern w:val="2"/>
          <w:sz w:val="24"/>
          <w:szCs w:val="24"/>
          <w:lang w:val="en-US" w:eastAsia="zh-CN" w:bidi="ar-SA"/>
        </w:rPr>
      </w:pP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1"/>
        <w:rPr>
          <w:rFonts w:hint="eastAsia" w:ascii="宋体" w:hAnsi="宋体" w:eastAsia="宋体" w:cs="宋体"/>
          <w:b/>
          <w:bCs/>
          <w:i w:val="0"/>
          <w:iCs w:val="0"/>
          <w:color w:val="auto"/>
          <w:kern w:val="2"/>
          <w:sz w:val="24"/>
          <w:szCs w:val="24"/>
          <w:highlight w:val="none"/>
          <w:lang w:val="en-US" w:eastAsia="zh-CN" w:bidi="ar-SA"/>
        </w:rPr>
      </w:pPr>
      <w:bookmarkStart w:id="364" w:name="_Toc20653"/>
      <w:bookmarkStart w:id="365" w:name="_Toc32463"/>
      <w:r>
        <w:rPr>
          <w:rFonts w:hint="eastAsia" w:ascii="宋体" w:hAnsi="宋体" w:eastAsia="宋体" w:cs="宋体"/>
          <w:b/>
          <w:bCs/>
          <w:i w:val="0"/>
          <w:iCs w:val="0"/>
          <w:color w:val="auto"/>
          <w:kern w:val="2"/>
          <w:sz w:val="24"/>
          <w:szCs w:val="24"/>
          <w:lang w:val="en-US" w:eastAsia="zh-CN" w:bidi="ar-SA"/>
        </w:rPr>
        <w:t>6、</w:t>
      </w:r>
      <w:bookmarkEnd w:id="364"/>
      <w:r>
        <w:rPr>
          <w:rFonts w:hint="eastAsia" w:ascii="宋体" w:hAnsi="宋体" w:eastAsia="宋体" w:cs="宋体"/>
          <w:b/>
          <w:bCs/>
          <w:i w:val="0"/>
          <w:iCs w:val="0"/>
          <w:color w:val="auto"/>
          <w:kern w:val="2"/>
          <w:sz w:val="24"/>
          <w:szCs w:val="24"/>
          <w:highlight w:val="none"/>
          <w:lang w:val="en-US" w:eastAsia="zh-CN" w:bidi="ar-SA"/>
        </w:rPr>
        <w:t>近两年任意一年的财务审计报告，新成立的公司提供近6个月中任意1个月的银行资信证明；</w:t>
      </w:r>
      <w:bookmarkEnd w:id="365"/>
    </w:p>
    <w:p>
      <w:pPr>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9"/>
        <w:rPr>
          <w:rFonts w:hint="eastAsia" w:ascii="宋体" w:hAnsi="宋体" w:eastAsia="宋体" w:cs="宋体"/>
          <w:color w:val="auto"/>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outlineLvl w:val="1"/>
        <w:rPr>
          <w:rFonts w:hint="eastAsia" w:ascii="宋体" w:hAnsi="宋体" w:eastAsia="宋体" w:cs="宋体"/>
          <w:b/>
          <w:bCs/>
          <w:i w:val="0"/>
          <w:iCs w:val="0"/>
          <w:color w:val="auto"/>
          <w:kern w:val="2"/>
          <w:sz w:val="24"/>
          <w:szCs w:val="24"/>
          <w:lang w:val="en-US" w:eastAsia="zh-CN" w:bidi="ar-SA"/>
        </w:rPr>
      </w:pPr>
      <w:bookmarkStart w:id="366" w:name="_Toc26192"/>
      <w:bookmarkStart w:id="367" w:name="_Toc3968"/>
      <w:r>
        <w:rPr>
          <w:rFonts w:hint="eastAsia" w:ascii="宋体" w:hAnsi="宋体" w:eastAsia="宋体" w:cs="宋体"/>
          <w:b/>
          <w:bCs/>
          <w:i w:val="0"/>
          <w:iCs w:val="0"/>
          <w:color w:val="auto"/>
          <w:kern w:val="2"/>
          <w:sz w:val="24"/>
          <w:szCs w:val="24"/>
          <w:lang w:val="en-US" w:eastAsia="zh-CN" w:bidi="ar-SA"/>
        </w:rPr>
        <w:t>7、</w:t>
      </w:r>
      <w:bookmarkEnd w:id="366"/>
      <w:r>
        <w:rPr>
          <w:rFonts w:hint="eastAsia" w:ascii="宋体" w:hAnsi="宋体" w:eastAsia="宋体" w:cs="宋体"/>
          <w:b/>
          <w:bCs/>
          <w:i w:val="0"/>
          <w:iCs w:val="0"/>
          <w:color w:val="auto"/>
          <w:kern w:val="2"/>
          <w:sz w:val="24"/>
          <w:szCs w:val="24"/>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w:t>
      </w:r>
      <w:bookmarkEnd w:id="367"/>
    </w:p>
    <w:p>
      <w:pPr>
        <w:rPr>
          <w:rFonts w:hint="eastAsia" w:ascii="宋体" w:hAnsi="宋体" w:eastAsia="宋体" w:cs="宋体"/>
          <w:b/>
          <w:bCs/>
          <w:i w:val="0"/>
          <w:iCs w:val="0"/>
          <w:color w:val="auto"/>
          <w:kern w:val="2"/>
          <w:sz w:val="24"/>
          <w:szCs w:val="24"/>
          <w:lang w:val="en-US" w:eastAsia="zh-CN" w:bidi="ar-SA"/>
        </w:rPr>
      </w:pPr>
    </w:p>
    <w:p>
      <w:pPr>
        <w:pStyle w:val="9"/>
        <w:rPr>
          <w:rFonts w:hint="eastAsia" w:ascii="宋体" w:hAnsi="宋体" w:eastAsia="宋体" w:cs="宋体"/>
          <w:b/>
          <w:bCs/>
          <w:i w:val="0"/>
          <w:iCs w:val="0"/>
          <w:color w:val="auto"/>
          <w:kern w:val="2"/>
          <w:sz w:val="24"/>
          <w:szCs w:val="24"/>
          <w:lang w:val="en-US" w:eastAsia="zh-CN" w:bidi="ar-SA"/>
        </w:rPr>
      </w:pPr>
    </w:p>
    <w:p>
      <w:pPr>
        <w:rPr>
          <w:rFonts w:hint="eastAsia" w:ascii="宋体" w:hAnsi="宋体" w:eastAsia="宋体" w:cs="宋体"/>
          <w:b/>
          <w:bCs/>
          <w:i w:val="0"/>
          <w:iCs w:val="0"/>
          <w:color w:val="auto"/>
          <w:kern w:val="2"/>
          <w:sz w:val="24"/>
          <w:szCs w:val="24"/>
          <w:lang w:val="en-US" w:eastAsia="zh-CN" w:bidi="ar-SA"/>
        </w:rPr>
      </w:pPr>
    </w:p>
    <w:p>
      <w:pPr>
        <w:pStyle w:val="33"/>
        <w:rPr>
          <w:rFonts w:hint="eastAsia" w:ascii="宋体" w:hAnsi="宋体" w:eastAsia="宋体" w:cs="宋体"/>
          <w:b/>
          <w:bCs/>
          <w:i w:val="0"/>
          <w:iCs w:val="0"/>
          <w:color w:val="auto"/>
          <w:kern w:val="2"/>
          <w:sz w:val="24"/>
          <w:szCs w:val="24"/>
          <w:lang w:val="en-US" w:eastAsia="zh-CN" w:bidi="ar-SA"/>
        </w:rPr>
      </w:pPr>
    </w:p>
    <w:p>
      <w:pPr>
        <w:pStyle w:val="33"/>
        <w:rPr>
          <w:rFonts w:hint="eastAsia" w:ascii="宋体" w:hAnsi="宋体" w:eastAsia="宋体" w:cs="宋体"/>
          <w:b/>
          <w:bCs/>
          <w:i w:val="0"/>
          <w:iCs w:val="0"/>
          <w:color w:val="auto"/>
          <w:kern w:val="2"/>
          <w:sz w:val="24"/>
          <w:szCs w:val="24"/>
          <w:lang w:val="en-US" w:eastAsia="zh-CN" w:bidi="ar-SA"/>
        </w:rPr>
      </w:pPr>
    </w:p>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right="0" w:rightChars="0"/>
        <w:jc w:val="left"/>
        <w:textAlignment w:val="auto"/>
        <w:outlineLvl w:val="1"/>
        <w:rPr>
          <w:rFonts w:hint="eastAsia" w:ascii="宋体" w:hAnsi="宋体" w:eastAsia="宋体" w:cs="宋体"/>
          <w:b/>
          <w:bCs/>
          <w:i w:val="0"/>
          <w:iCs w:val="0"/>
          <w:color w:val="auto"/>
          <w:kern w:val="2"/>
          <w:sz w:val="24"/>
          <w:szCs w:val="24"/>
          <w:lang w:val="en-US" w:eastAsia="zh-CN" w:bidi="ar-SA"/>
        </w:rPr>
      </w:pPr>
      <w:bookmarkStart w:id="368" w:name="_Toc21060"/>
      <w:bookmarkStart w:id="369" w:name="_Toc19180"/>
      <w:r>
        <w:rPr>
          <w:rFonts w:hint="eastAsia" w:ascii="宋体" w:hAnsi="宋体" w:eastAsia="宋体" w:cs="宋体"/>
          <w:b/>
          <w:bCs/>
          <w:i w:val="0"/>
          <w:iCs w:val="0"/>
          <w:color w:val="auto"/>
          <w:kern w:val="2"/>
          <w:sz w:val="24"/>
          <w:szCs w:val="24"/>
          <w:lang w:val="en-US" w:eastAsia="zh-CN" w:bidi="ar-SA"/>
        </w:rPr>
        <w:t>8、参加政府采购活动前3年内未被列入失信、重大税收违法案件、财政部门禁止参加政府采购活动的承诺书；</w:t>
      </w:r>
      <w:bookmarkEnd w:id="368"/>
      <w:bookmarkEnd w:id="369"/>
    </w:p>
    <w:p>
      <w:pPr>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33"/>
        <w:rPr>
          <w:rFonts w:hint="eastAsia" w:ascii="宋体" w:hAnsi="宋体" w:eastAsia="宋体" w:cs="宋体"/>
          <w:color w:val="auto"/>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i w:val="0"/>
          <w:iCs w:val="0"/>
          <w:color w:val="auto"/>
          <w:kern w:val="2"/>
          <w:sz w:val="24"/>
          <w:szCs w:val="24"/>
          <w:lang w:val="en-US" w:eastAsia="zh-CN" w:bidi="ar-SA"/>
        </w:rPr>
      </w:pPr>
      <w:bookmarkStart w:id="370" w:name="_Toc30019"/>
      <w:bookmarkStart w:id="371" w:name="_Toc416"/>
      <w:r>
        <w:rPr>
          <w:rFonts w:hint="eastAsia" w:ascii="宋体" w:hAnsi="宋体" w:eastAsia="宋体" w:cs="宋体"/>
          <w:b/>
          <w:bCs/>
          <w:i w:val="0"/>
          <w:iCs w:val="0"/>
          <w:color w:val="auto"/>
          <w:kern w:val="2"/>
          <w:sz w:val="24"/>
          <w:szCs w:val="24"/>
          <w:lang w:val="en-US" w:eastAsia="zh-CN" w:bidi="ar-SA"/>
        </w:rPr>
        <w:t>9、提供针对本次项目《反商业贿赂承诺书》；</w:t>
      </w:r>
      <w:bookmarkEnd w:id="370"/>
      <w:bookmarkEnd w:id="371"/>
    </w:p>
    <w:p>
      <w:pPr>
        <w:pStyle w:val="9"/>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12"/>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1"/>
        <w:rPr>
          <w:rFonts w:hint="eastAsia" w:ascii="宋体" w:hAnsi="宋体" w:eastAsia="宋体" w:cs="宋体"/>
          <w:b/>
          <w:color w:val="auto"/>
          <w:kern w:val="0"/>
          <w:sz w:val="24"/>
          <w:szCs w:val="20"/>
          <w:lang w:val="en-US" w:eastAsia="zh-CN" w:bidi="ar-SA"/>
        </w:rPr>
      </w:pPr>
      <w:bookmarkStart w:id="372" w:name="_Toc20046"/>
      <w:r>
        <w:rPr>
          <w:rFonts w:hint="eastAsia" w:ascii="宋体" w:hAnsi="宋体" w:eastAsia="宋体" w:cs="宋体"/>
          <w:b/>
          <w:color w:val="auto"/>
          <w:kern w:val="0"/>
          <w:sz w:val="24"/>
          <w:szCs w:val="20"/>
          <w:lang w:val="en-US" w:eastAsia="zh-CN" w:bidi="ar-SA"/>
        </w:rPr>
        <w:t>10、银行开户许可证复印件或银行基本账户信息(包含：银行账号及开户行名称）；</w:t>
      </w:r>
      <w:bookmarkEnd w:id="372"/>
    </w:p>
    <w:p>
      <w:pPr>
        <w:pStyle w:val="33"/>
        <w:rPr>
          <w:rFonts w:hint="eastAsia" w:ascii="宋体" w:hAnsi="宋体" w:eastAsia="宋体" w:cs="宋体"/>
          <w:color w:val="auto"/>
          <w:lang w:val="en-US" w:eastAsia="zh-CN"/>
        </w:rPr>
      </w:pPr>
    </w:p>
    <w:p>
      <w:pPr>
        <w:pStyle w:val="33"/>
        <w:rPr>
          <w:rFonts w:hint="eastAsia" w:ascii="宋体" w:hAnsi="宋体" w:eastAsia="宋体" w:cs="宋体"/>
          <w:color w:val="auto"/>
          <w:lang w:val="en-US" w:eastAsia="zh-CN"/>
        </w:rPr>
      </w:pPr>
    </w:p>
    <w:bookmarkEnd w:id="357"/>
    <w:bookmarkEnd w:id="358"/>
    <w:bookmarkEnd w:id="359"/>
    <w:p>
      <w:pPr>
        <w:pStyle w:val="4"/>
        <w:spacing w:before="0" w:line="360" w:lineRule="exact"/>
        <w:jc w:val="both"/>
        <w:rPr>
          <w:rFonts w:hint="eastAsia" w:ascii="宋体" w:hAnsi="宋体" w:eastAsia="宋体" w:cs="宋体"/>
          <w:color w:val="auto"/>
          <w:lang w:eastAsia="zh-CN"/>
        </w:rPr>
      </w:pPr>
      <w:bookmarkStart w:id="373" w:name="_Toc20327"/>
      <w:bookmarkStart w:id="374" w:name="_Toc21206"/>
      <w:r>
        <w:rPr>
          <w:rFonts w:hint="eastAsia" w:ascii="宋体" w:hAnsi="宋体" w:eastAsia="宋体" w:cs="宋体"/>
          <w:color w:val="auto"/>
          <w:sz w:val="24"/>
          <w:lang w:val="en-US" w:eastAsia="zh-CN"/>
        </w:rPr>
        <w:t>11、</w:t>
      </w:r>
      <w:bookmarkEnd w:id="373"/>
      <w:r>
        <w:rPr>
          <w:rFonts w:hint="eastAsia" w:ascii="宋体" w:hAnsi="宋体" w:eastAsia="宋体" w:cs="宋体"/>
          <w:color w:val="auto"/>
          <w:sz w:val="24"/>
          <w:lang w:eastAsia="zh-CN"/>
        </w:rPr>
        <w:t>投标保证金银行转账回执单等有效凭证；</w:t>
      </w:r>
      <w:bookmarkEnd w:id="374"/>
    </w:p>
    <w:p>
      <w:pPr>
        <w:pStyle w:val="2"/>
        <w:rPr>
          <w:rFonts w:hint="eastAsia" w:eastAsia="宋体"/>
          <w:lang w:eastAsia="zh-CN"/>
        </w:rPr>
      </w:pPr>
      <w:r>
        <w:rPr>
          <w:rFonts w:hint="eastAsia" w:ascii="宋体" w:hAnsi="宋体" w:eastAsia="宋体" w:cs="宋体"/>
          <w:b/>
          <w:bCs/>
          <w:color w:val="auto"/>
          <w:sz w:val="24"/>
          <w:szCs w:val="32"/>
        </w:rPr>
        <w:t>注：本项目以</w:t>
      </w:r>
      <w:r>
        <w:rPr>
          <w:rFonts w:hint="eastAsia" w:ascii="宋体" w:hAnsi="宋体" w:cs="宋体"/>
          <w:b/>
          <w:bCs/>
          <w:color w:val="auto"/>
          <w:sz w:val="24"/>
          <w:szCs w:val="32"/>
          <w:lang w:eastAsia="zh-CN"/>
        </w:rPr>
        <w:t>投标保证金银行转账回执单</w:t>
      </w:r>
      <w:r>
        <w:rPr>
          <w:rFonts w:hint="eastAsia" w:ascii="宋体" w:hAnsi="宋体" w:eastAsia="宋体" w:cs="宋体"/>
          <w:b/>
          <w:bCs/>
          <w:color w:val="auto"/>
          <w:sz w:val="24"/>
          <w:szCs w:val="32"/>
        </w:rPr>
        <w:t>复印件盖公章为准。</w:t>
      </w:r>
    </w:p>
    <w:tbl>
      <w:tblPr>
        <w:tblStyle w:val="34"/>
        <w:tblpPr w:leftFromText="180" w:rightFromText="180" w:vertAnchor="text" w:horzAnchor="page" w:tblpX="1958" w:tblpY="3"/>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7879" w:type="dxa"/>
            <w:noWrap w:val="0"/>
            <w:vAlign w:val="top"/>
          </w:tcPr>
          <w:p>
            <w:pPr>
              <w:spacing w:line="360" w:lineRule="exact"/>
              <w:rPr>
                <w:rFonts w:hint="eastAsia" w:ascii="宋体" w:hAnsi="宋体" w:eastAsia="宋体" w:cs="宋体"/>
                <w:color w:val="auto"/>
              </w:rPr>
            </w:pPr>
          </w:p>
          <w:p>
            <w:pPr>
              <w:spacing w:line="360" w:lineRule="exact"/>
              <w:jc w:val="center"/>
              <w:rPr>
                <w:rFonts w:hint="eastAsia" w:ascii="宋体" w:hAnsi="宋体" w:eastAsia="宋体" w:cs="宋体"/>
                <w:color w:val="auto"/>
              </w:rPr>
            </w:pPr>
          </w:p>
          <w:p>
            <w:pPr>
              <w:spacing w:line="360" w:lineRule="exact"/>
              <w:jc w:val="center"/>
              <w:rPr>
                <w:rFonts w:hint="eastAsia" w:ascii="宋体" w:hAnsi="宋体" w:eastAsia="宋体" w:cs="宋体"/>
                <w:color w:val="auto"/>
                <w:lang w:eastAsia="zh-CN"/>
              </w:rPr>
            </w:pPr>
            <w:r>
              <w:rPr>
                <w:rFonts w:hint="eastAsia" w:ascii="宋体" w:hAnsi="宋体" w:cs="宋体"/>
                <w:color w:val="auto"/>
                <w:lang w:eastAsia="zh-CN"/>
              </w:rPr>
              <w:t>投标保证金银行转账回执单等有效凭证</w:t>
            </w:r>
            <w:r>
              <w:rPr>
                <w:rFonts w:hint="eastAsia" w:ascii="宋体" w:hAnsi="宋体" w:eastAsia="宋体" w:cs="宋体"/>
                <w:color w:val="auto"/>
              </w:rPr>
              <w:t>复印件</w:t>
            </w:r>
          </w:p>
        </w:tc>
      </w:tr>
    </w:tbl>
    <w:p>
      <w:pPr>
        <w:spacing w:line="360" w:lineRule="exact"/>
        <w:ind w:left="1080" w:leftChars="257" w:hanging="540"/>
        <w:jc w:val="center"/>
        <w:rPr>
          <w:rFonts w:hint="eastAsia" w:ascii="宋体" w:hAnsi="宋体" w:eastAsia="宋体" w:cs="宋体"/>
          <w:color w:val="auto"/>
          <w:sz w:val="24"/>
        </w:rPr>
      </w:pPr>
    </w:p>
    <w:p>
      <w:pPr>
        <w:spacing w:line="360" w:lineRule="exact"/>
        <w:jc w:val="center"/>
        <w:rPr>
          <w:rFonts w:hint="eastAsia" w:ascii="宋体" w:hAnsi="宋体" w:eastAsia="宋体" w:cs="宋体"/>
          <w:color w:val="auto"/>
          <w:sz w:val="28"/>
          <w:szCs w:val="28"/>
        </w:rPr>
      </w:pPr>
    </w:p>
    <w:p>
      <w:pPr>
        <w:pStyle w:val="16"/>
        <w:tabs>
          <w:tab w:val="left" w:pos="5580"/>
        </w:tabs>
        <w:spacing w:line="360" w:lineRule="exact"/>
        <w:rPr>
          <w:rFonts w:hint="eastAsia" w:ascii="宋体" w:hAnsi="宋体" w:eastAsia="宋体" w:cs="宋体"/>
          <w:b/>
          <w:color w:val="auto"/>
          <w:kern w:val="0"/>
          <w:sz w:val="24"/>
          <w:szCs w:val="20"/>
          <w:lang w:val="en-US" w:eastAsia="zh-CN" w:bidi="ar-SA"/>
        </w:rPr>
      </w:pPr>
      <w:bookmarkStart w:id="375" w:name="_Toc2502"/>
      <w:bookmarkStart w:id="376" w:name="_Toc23044"/>
      <w:bookmarkStart w:id="377" w:name="_Toc515647814"/>
    </w:p>
    <w:p>
      <w:pPr>
        <w:pStyle w:val="16"/>
        <w:keepNext w:val="0"/>
        <w:keepLines w:val="0"/>
        <w:pageBreakBefore w:val="0"/>
        <w:widowControl w:val="0"/>
        <w:tabs>
          <w:tab w:val="left" w:pos="5580"/>
        </w:tabs>
        <w:kinsoku/>
        <w:wordWrap/>
        <w:overflowPunct/>
        <w:topLinePunct w:val="0"/>
        <w:autoSpaceDE/>
        <w:autoSpaceDN/>
        <w:bidi w:val="0"/>
        <w:adjustRightInd/>
        <w:snapToGrid/>
        <w:spacing w:line="360" w:lineRule="exact"/>
        <w:ind w:left="0" w:leftChars="0" w:hanging="540"/>
        <w:jc w:val="left"/>
        <w:textAlignment w:val="auto"/>
        <w:rPr>
          <w:rFonts w:hint="eastAsia" w:ascii="宋体" w:hAnsi="宋体" w:eastAsia="宋体" w:cs="宋体"/>
          <w:color w:val="auto"/>
          <w:sz w:val="24"/>
        </w:rPr>
      </w:pPr>
    </w:p>
    <w:p>
      <w:pPr>
        <w:pStyle w:val="16"/>
        <w:tabs>
          <w:tab w:val="left" w:pos="5580"/>
        </w:tabs>
        <w:spacing w:line="360" w:lineRule="exact"/>
        <w:ind w:left="1080" w:leftChars="257" w:hanging="540"/>
        <w:rPr>
          <w:rFonts w:hint="eastAsia" w:ascii="宋体" w:hAnsi="宋体" w:eastAsia="宋体" w:cs="宋体"/>
          <w:color w:val="auto"/>
          <w:sz w:val="24"/>
        </w:rPr>
      </w:pPr>
    </w:p>
    <w:bookmarkEnd w:id="375"/>
    <w:bookmarkEnd w:id="376"/>
    <w:bookmarkEnd w:id="377"/>
    <w:p>
      <w:pPr>
        <w:pStyle w:val="16"/>
        <w:tabs>
          <w:tab w:val="left" w:pos="5580"/>
        </w:tabs>
        <w:spacing w:line="240" w:lineRule="atLeast"/>
        <w:outlineLvl w:val="1"/>
        <w:rPr>
          <w:rFonts w:hint="eastAsia" w:ascii="宋体" w:hAnsi="宋体" w:eastAsia="宋体" w:cs="宋体"/>
          <w:b/>
          <w:color w:val="auto"/>
          <w:kern w:val="0"/>
          <w:sz w:val="24"/>
          <w:szCs w:val="20"/>
          <w:lang w:val="en-US" w:eastAsia="zh-CN" w:bidi="ar-SA"/>
        </w:rPr>
      </w:pPr>
      <w:bookmarkStart w:id="378" w:name="_Toc30691"/>
      <w:bookmarkStart w:id="379" w:name="_Toc20613"/>
      <w:bookmarkStart w:id="380" w:name="_Toc14251"/>
      <w:bookmarkStart w:id="381" w:name="_Toc3771"/>
      <w:bookmarkStart w:id="382" w:name="_Toc515647816"/>
      <w:bookmarkStart w:id="383" w:name="_Toc22967"/>
      <w:bookmarkStart w:id="384" w:name="_Toc11180"/>
      <w:r>
        <w:rPr>
          <w:rFonts w:hint="eastAsia" w:ascii="宋体" w:hAnsi="宋体" w:eastAsia="宋体" w:cs="宋体"/>
          <w:b/>
          <w:color w:val="auto"/>
          <w:kern w:val="0"/>
          <w:sz w:val="24"/>
          <w:szCs w:val="20"/>
          <w:lang w:val="en-US" w:eastAsia="zh-CN" w:bidi="ar-SA"/>
        </w:rPr>
        <w:t>12、提供有利于投标的其他证明材料</w:t>
      </w:r>
      <w:bookmarkEnd w:id="378"/>
      <w:bookmarkEnd w:id="379"/>
      <w:bookmarkEnd w:id="380"/>
      <w:r>
        <w:rPr>
          <w:rFonts w:hint="eastAsia" w:ascii="宋体" w:hAnsi="宋体" w:eastAsia="宋体" w:cs="宋体"/>
          <w:b/>
          <w:color w:val="auto"/>
          <w:kern w:val="0"/>
          <w:sz w:val="24"/>
          <w:szCs w:val="20"/>
          <w:lang w:val="en-US" w:eastAsia="zh-CN" w:bidi="ar-SA"/>
        </w:rPr>
        <w:t>。</w:t>
      </w:r>
      <w:bookmarkEnd w:id="381"/>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rPr>
          <w:rFonts w:hint="eastAsia" w:ascii="宋体" w:hAnsi="宋体" w:eastAsia="宋体" w:cs="宋体"/>
          <w:color w:val="auto"/>
          <w:sz w:val="24"/>
          <w:u w:val="single"/>
        </w:rPr>
      </w:pPr>
    </w:p>
    <w:p>
      <w:pPr>
        <w:pStyle w:val="16"/>
        <w:tabs>
          <w:tab w:val="left" w:pos="5580"/>
        </w:tabs>
        <w:spacing w:line="360" w:lineRule="exact"/>
        <w:ind w:left="1080" w:leftChars="257" w:hanging="540"/>
        <w:jc w:val="center"/>
        <w:outlineLvl w:val="1"/>
        <w:rPr>
          <w:rFonts w:hint="eastAsia" w:ascii="宋体" w:hAnsi="宋体" w:eastAsia="宋体" w:cs="宋体"/>
          <w:color w:val="auto"/>
          <w:sz w:val="24"/>
        </w:rPr>
      </w:pPr>
      <w:bookmarkStart w:id="385" w:name="_Toc21432"/>
      <w:bookmarkStart w:id="386" w:name="_Toc8959"/>
      <w:r>
        <w:rPr>
          <w:rFonts w:hint="eastAsia" w:ascii="宋体" w:hAnsi="宋体" w:eastAsia="宋体" w:cs="宋体"/>
          <w:b/>
          <w:color w:val="auto"/>
          <w:kern w:val="0"/>
          <w:sz w:val="24"/>
        </w:rPr>
        <w:t>第二部分  商务及技术文件</w:t>
      </w:r>
      <w:bookmarkEnd w:id="382"/>
      <w:bookmarkEnd w:id="383"/>
      <w:bookmarkEnd w:id="384"/>
      <w:bookmarkEnd w:id="385"/>
      <w:bookmarkEnd w:id="386"/>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1、投标书</w:t>
      </w:r>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rPr>
        <w:t>2、</w:t>
      </w:r>
      <w:r>
        <w:rPr>
          <w:rFonts w:hint="eastAsia" w:ascii="宋体" w:hAnsi="宋体" w:eastAsia="宋体" w:cs="宋体"/>
          <w:color w:val="auto"/>
          <w:sz w:val="24"/>
          <w:szCs w:val="20"/>
          <w:lang w:val="en-US" w:eastAsia="zh-CN"/>
        </w:rPr>
        <w:t>投标分项报价表</w:t>
      </w:r>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rPr>
      </w:pPr>
      <w:r>
        <w:rPr>
          <w:rFonts w:hint="eastAsia" w:ascii="宋体" w:hAnsi="宋体" w:eastAsia="宋体" w:cs="宋体"/>
          <w:color w:val="auto"/>
          <w:sz w:val="24"/>
          <w:szCs w:val="20"/>
          <w:lang w:val="en-US" w:eastAsia="zh-CN"/>
        </w:rPr>
        <w:t>3</w:t>
      </w:r>
      <w:r>
        <w:rPr>
          <w:rFonts w:hint="eastAsia" w:ascii="宋体" w:hAnsi="宋体" w:eastAsia="宋体" w:cs="宋体"/>
          <w:color w:val="auto"/>
          <w:sz w:val="24"/>
          <w:szCs w:val="20"/>
        </w:rPr>
        <w:t>、</w:t>
      </w:r>
      <w:r>
        <w:rPr>
          <w:rFonts w:hint="eastAsia" w:ascii="宋体" w:hAnsi="宋体" w:eastAsia="宋体" w:cs="宋体"/>
          <w:color w:val="auto"/>
          <w:sz w:val="24"/>
          <w:szCs w:val="20"/>
          <w:lang w:val="en-US" w:eastAsia="zh-CN"/>
        </w:rPr>
        <w:t>服务</w:t>
      </w:r>
      <w:r>
        <w:rPr>
          <w:rFonts w:hint="eastAsia" w:ascii="宋体" w:hAnsi="宋体" w:eastAsia="宋体" w:cs="宋体"/>
          <w:color w:val="auto"/>
          <w:sz w:val="24"/>
          <w:szCs w:val="20"/>
        </w:rPr>
        <w:t>说明一览表</w:t>
      </w:r>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4、服务规格偏离表</w:t>
      </w:r>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5、商务条款偏离表</w:t>
      </w:r>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6-1中小企业声明函</w:t>
      </w:r>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6-2《残疾人福利性单位声明函》</w:t>
      </w:r>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7、供应商关联单位的说明（格式自拟）</w:t>
      </w:r>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8、供应商可提供有利于投标的其他资格证明材料</w:t>
      </w:r>
    </w:p>
    <w:p>
      <w:pPr>
        <w:pStyle w:val="16"/>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9、投标文件格式范本</w:t>
      </w:r>
    </w:p>
    <w:p>
      <w:pPr>
        <w:pStyle w:val="16"/>
        <w:keepNext w:val="0"/>
        <w:keepLines w:val="0"/>
        <w:pageBreakBefore w:val="0"/>
        <w:widowControl w:val="0"/>
        <w:tabs>
          <w:tab w:val="left" w:pos="5580"/>
        </w:tabs>
        <w:kinsoku/>
        <w:wordWrap/>
        <w:overflowPunct/>
        <w:topLinePunct w:val="0"/>
        <w:autoSpaceDE/>
        <w:autoSpaceDN/>
        <w:bidi w:val="0"/>
        <w:adjustRightInd/>
        <w:snapToGrid/>
        <w:spacing w:line="360" w:lineRule="exact"/>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rPr>
        <w:br w:type="page"/>
      </w:r>
      <w:bookmarkEnd w:id="340"/>
      <w:bookmarkEnd w:id="341"/>
      <w:bookmarkEnd w:id="342"/>
      <w:bookmarkEnd w:id="343"/>
      <w:bookmarkStart w:id="387" w:name="_Toc24837"/>
      <w:bookmarkStart w:id="388" w:name="_Toc23973"/>
      <w:bookmarkStart w:id="389" w:name="_Toc18267"/>
      <w:bookmarkStart w:id="390" w:name="_Toc515647819"/>
      <w:bookmarkStart w:id="391" w:name="_Toc216582816"/>
      <w:bookmarkStart w:id="392" w:name="_Toc14037"/>
      <w:r>
        <w:rPr>
          <w:rFonts w:hint="eastAsia" w:ascii="宋体" w:hAnsi="宋体" w:eastAsia="宋体" w:cs="宋体"/>
          <w:b/>
          <w:bCs/>
          <w:color w:val="auto"/>
          <w:sz w:val="24"/>
          <w:szCs w:val="24"/>
          <w:highlight w:val="none"/>
        </w:rPr>
        <w:t>1、投标书</w:t>
      </w:r>
      <w:bookmarkEnd w:id="387"/>
      <w:bookmarkEnd w:id="388"/>
    </w:p>
    <w:p>
      <w:pPr>
        <w:tabs>
          <w:tab w:val="left" w:pos="5580"/>
        </w:tabs>
        <w:spacing w:line="400" w:lineRule="exact"/>
        <w:ind w:left="1080" w:hanging="108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p>
    <w:p>
      <w:pPr>
        <w:pStyle w:val="16"/>
        <w:tabs>
          <w:tab w:val="left" w:pos="5580"/>
        </w:tabs>
        <w:spacing w:line="400" w:lineRule="exact"/>
        <w:ind w:left="2" w:leftChars="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w:t>
      </w:r>
      <w:r>
        <w:rPr>
          <w:rFonts w:hint="eastAsia" w:ascii="宋体" w:hAnsi="宋体" w:eastAsia="宋体" w:cs="宋体"/>
          <w:i/>
          <w:color w:val="auto"/>
          <w:sz w:val="24"/>
          <w:szCs w:val="24"/>
          <w:highlight w:val="none"/>
          <w:u w:val="single"/>
        </w:rPr>
        <w:t>项目名称</w:t>
      </w:r>
      <w:r>
        <w:rPr>
          <w:rFonts w:hint="eastAsia" w:ascii="宋体" w:hAnsi="宋体" w:eastAsia="宋体" w:cs="宋体"/>
          <w:color w:val="auto"/>
          <w:sz w:val="24"/>
          <w:szCs w:val="24"/>
          <w:highlight w:val="none"/>
        </w:rPr>
        <w:t>)项目的投标邀请(</w:t>
      </w:r>
      <w:r>
        <w:rPr>
          <w:rFonts w:hint="eastAsia" w:ascii="宋体" w:hAnsi="宋体" w:eastAsia="宋体" w:cs="宋体"/>
          <w:i/>
          <w:color w:val="auto"/>
          <w:sz w:val="24"/>
          <w:szCs w:val="24"/>
          <w:highlight w:val="none"/>
          <w:u w:val="single"/>
        </w:rPr>
        <w:t>项目编号</w:t>
      </w:r>
      <w:r>
        <w:rPr>
          <w:rFonts w:hint="eastAsia" w:ascii="宋体" w:hAnsi="宋体" w:eastAsia="宋体" w:cs="宋体"/>
          <w:color w:val="auto"/>
          <w:sz w:val="24"/>
          <w:szCs w:val="24"/>
          <w:highlight w:val="none"/>
        </w:rPr>
        <w:t>),签字代表(</w:t>
      </w:r>
      <w:r>
        <w:rPr>
          <w:rFonts w:hint="eastAsia" w:ascii="宋体" w:hAnsi="宋体" w:eastAsia="宋体" w:cs="宋体"/>
          <w:i/>
          <w:color w:val="auto"/>
          <w:sz w:val="24"/>
          <w:szCs w:val="24"/>
          <w:highlight w:val="none"/>
          <w:u w:val="single"/>
        </w:rPr>
        <w:t>姓名、职务</w:t>
      </w:r>
      <w:r>
        <w:rPr>
          <w:rFonts w:hint="eastAsia" w:ascii="宋体" w:hAnsi="宋体" w:eastAsia="宋体" w:cs="宋体"/>
          <w:color w:val="auto"/>
          <w:sz w:val="24"/>
          <w:szCs w:val="24"/>
          <w:highlight w:val="none"/>
        </w:rPr>
        <w:t>)经正式授权并代表供应商（</w:t>
      </w:r>
      <w:r>
        <w:rPr>
          <w:rFonts w:hint="eastAsia" w:ascii="宋体" w:hAnsi="宋体" w:eastAsia="宋体" w:cs="宋体"/>
          <w:i/>
          <w:color w:val="auto"/>
          <w:sz w:val="24"/>
          <w:szCs w:val="24"/>
          <w:highlight w:val="none"/>
          <w:u w:val="single"/>
        </w:rPr>
        <w:t>名称、地址</w:t>
      </w:r>
      <w:r>
        <w:rPr>
          <w:rFonts w:hint="eastAsia" w:ascii="宋体" w:hAnsi="宋体" w:eastAsia="宋体" w:cs="宋体"/>
          <w:color w:val="auto"/>
          <w:sz w:val="24"/>
          <w:szCs w:val="24"/>
          <w:highlight w:val="none"/>
        </w:rPr>
        <w:t>）提交下述文件正本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份及电子文档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形式出具的金额为人民币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元的投标保证金。</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据此，签字代表宣布同意如下：</w:t>
      </w:r>
    </w:p>
    <w:p>
      <w:pPr>
        <w:pStyle w:val="16"/>
        <w:tabs>
          <w:tab w:val="left" w:pos="720"/>
          <w:tab w:val="left" w:pos="900"/>
        </w:tabs>
        <w:spacing w:line="400" w:lineRule="exact"/>
        <w:ind w:left="769" w:leftChars="257" w:hanging="22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（1）附投标价格表中规定的应提供服务的投标总价详见开标一览表，</w:t>
      </w:r>
      <w:r>
        <w:rPr>
          <w:rFonts w:hint="eastAsia" w:ascii="宋体" w:hAnsi="宋体" w:eastAsia="宋体" w:cs="宋体"/>
          <w:color w:val="auto"/>
          <w:sz w:val="24"/>
          <w:szCs w:val="24"/>
          <w:highlight w:val="none"/>
          <w:u w:val="single"/>
        </w:rPr>
        <w:t>其中由小型和</w:t>
      </w:r>
      <w:r>
        <w:rPr>
          <w:rFonts w:hint="eastAsia" w:ascii="宋体" w:hAnsi="宋体" w:eastAsia="宋体" w:cs="宋体"/>
          <w:color w:val="auto"/>
          <w:sz w:val="24"/>
          <w:szCs w:val="24"/>
          <w:highlight w:val="none"/>
        </w:rPr>
        <w:t>微型企业制造产品的价格为</w:t>
      </w:r>
      <w:r>
        <w:rPr>
          <w:rFonts w:hint="eastAsia" w:ascii="宋体" w:hAnsi="宋体" w:eastAsia="宋体" w:cs="宋体"/>
          <w:color w:val="auto"/>
          <w:sz w:val="24"/>
          <w:szCs w:val="24"/>
          <w:highlight w:val="none"/>
          <w:u w:val="single"/>
        </w:rPr>
        <w:t>　　  （用文字和数字表示），占投标总价   %</w:t>
      </w:r>
      <w:r>
        <w:rPr>
          <w:rFonts w:hint="eastAsia" w:ascii="宋体" w:hAnsi="宋体" w:eastAsia="宋体" w:cs="宋体"/>
          <w:color w:val="auto"/>
          <w:sz w:val="24"/>
          <w:szCs w:val="24"/>
          <w:highlight w:val="none"/>
        </w:rPr>
        <w:t>。</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（2）本投标有效期为自投标截止之日起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个日历日。</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（3）联合体中的大中型企业和其他自然人、法人或者非法人组织，与联合体中的小型、微型企业之间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存在、不存在）投资关系（如果是联合体的话）。</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（4）已详细审查全部招标文件，包括所有补充通知（如果有的话），完全理解并同意放弃对这方面有不明、误解和质疑的权力。</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（5）在规定的开标时间后，遵守招标文件中有关保证金的规定。</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（6）我方不是为本项目提供整体设计、规范编制或者项目管理、监理、检测等服务的供应商，我方不是采购代理机构的附属机构。</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（7）在领取中标通知书的同时按招标文件规定的形式，向贵方一次性支付中标服务费。</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（8）按照贵方可能要求，提供与其投标有关的一切数据或资料，完全理解贵方不一定接受最低价的投标或收到的任何投标。</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（9）按照招标文件的规定履行合同责任和义务。</w:t>
      </w:r>
    </w:p>
    <w:p>
      <w:pPr>
        <w:pStyle w:val="16"/>
        <w:tabs>
          <w:tab w:val="left" w:pos="5580"/>
        </w:tabs>
        <w:spacing w:line="400" w:lineRule="exact"/>
        <w:ind w:left="359"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法定代表人或其委托代理人（签/章）</w:t>
      </w:r>
      <w:r>
        <w:rPr>
          <w:rFonts w:hint="eastAsia" w:ascii="宋体" w:hAnsi="宋体" w:eastAsia="宋体" w:cs="宋体"/>
          <w:color w:val="auto"/>
          <w:sz w:val="24"/>
          <w:szCs w:val="24"/>
          <w:highlight w:val="none"/>
          <w:u w:val="single"/>
        </w:rPr>
        <w:t xml:space="preserve">       </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 xml:space="preserve">               </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供应商开户银行（全称）</w:t>
      </w:r>
      <w:r>
        <w:rPr>
          <w:rFonts w:hint="eastAsia" w:ascii="宋体" w:hAnsi="宋体" w:eastAsia="宋体" w:cs="宋体"/>
          <w:color w:val="auto"/>
          <w:sz w:val="24"/>
          <w:szCs w:val="24"/>
          <w:highlight w:val="none"/>
          <w:u w:val="single"/>
        </w:rPr>
        <w:t xml:space="preserve">　　　　　　 </w:t>
      </w:r>
    </w:p>
    <w:p>
      <w:pPr>
        <w:pStyle w:val="16"/>
        <w:tabs>
          <w:tab w:val="left" w:pos="5580"/>
        </w:tabs>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供应商银行帐号</w:t>
      </w:r>
      <w:r>
        <w:rPr>
          <w:rFonts w:hint="eastAsia" w:ascii="宋体" w:hAnsi="宋体" w:eastAsia="宋体" w:cs="宋体"/>
          <w:color w:val="auto"/>
          <w:sz w:val="24"/>
          <w:szCs w:val="24"/>
          <w:highlight w:val="none"/>
          <w:u w:val="single"/>
        </w:rPr>
        <w:t>　　　　　　　　 　　</w:t>
      </w:r>
    </w:p>
    <w:p>
      <w:pPr>
        <w:pStyle w:val="16"/>
        <w:tabs>
          <w:tab w:val="left" w:pos="5580"/>
        </w:tabs>
        <w:spacing w:line="400" w:lineRule="exact"/>
        <w:ind w:left="1080" w:leftChars="257" w:hanging="540"/>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bookmarkStart w:id="393" w:name="_Toc14219"/>
      <w:bookmarkStart w:id="394" w:name="_Toc1266"/>
      <w:bookmarkStart w:id="395" w:name="_Toc19819"/>
      <w:bookmarkStart w:id="396" w:name="_Toc23473"/>
      <w:bookmarkStart w:id="397" w:name="_Toc6738"/>
      <w:bookmarkStart w:id="398" w:name="_Toc30947"/>
    </w:p>
    <w:p>
      <w:pPr>
        <w:pStyle w:val="16"/>
        <w:keepNext w:val="0"/>
        <w:keepLines w:val="0"/>
        <w:pageBreakBefore w:val="0"/>
        <w:widowControl w:val="0"/>
        <w:tabs>
          <w:tab w:val="left" w:pos="5580"/>
        </w:tabs>
        <w:kinsoku/>
        <w:wordWrap/>
        <w:overflowPunct/>
        <w:topLinePunct w:val="0"/>
        <w:autoSpaceDE/>
        <w:autoSpaceDN/>
        <w:bidi w:val="0"/>
        <w:adjustRightInd/>
        <w:snapToGrid/>
        <w:spacing w:line="360" w:lineRule="exact"/>
        <w:jc w:val="center"/>
        <w:textAlignment w:val="auto"/>
        <w:outlineLvl w:val="1"/>
        <w:rPr>
          <w:rFonts w:hint="eastAsia" w:ascii="宋体" w:hAnsi="宋体" w:eastAsia="宋体" w:cs="宋体"/>
          <w:b/>
          <w:bCs/>
          <w:color w:val="auto"/>
          <w:sz w:val="24"/>
          <w:szCs w:val="24"/>
          <w:highlight w:val="none"/>
        </w:rPr>
      </w:pPr>
      <w:bookmarkStart w:id="399" w:name="_Toc13235"/>
      <w:bookmarkStart w:id="400" w:name="_Toc32367"/>
      <w:r>
        <w:rPr>
          <w:rFonts w:hint="eastAsia" w:ascii="宋体" w:hAnsi="宋体" w:eastAsia="宋体" w:cs="宋体"/>
          <w:b/>
          <w:bCs/>
          <w:color w:val="auto"/>
          <w:sz w:val="24"/>
          <w:szCs w:val="24"/>
          <w:highlight w:val="none"/>
        </w:rPr>
        <w:t>2</w:t>
      </w:r>
      <w:bookmarkEnd w:id="393"/>
      <w:bookmarkEnd w:id="394"/>
      <w:bookmarkEnd w:id="395"/>
      <w:bookmarkEnd w:id="396"/>
      <w:bookmarkEnd w:id="397"/>
      <w:bookmarkEnd w:id="398"/>
      <w:r>
        <w:rPr>
          <w:rFonts w:hint="eastAsia" w:ascii="宋体" w:hAnsi="宋体" w:eastAsia="宋体" w:cs="宋体"/>
          <w:b/>
          <w:bCs/>
          <w:color w:val="auto"/>
          <w:sz w:val="24"/>
          <w:szCs w:val="24"/>
          <w:highlight w:val="none"/>
        </w:rPr>
        <w:t>、投标分项报价表</w:t>
      </w:r>
      <w:bookmarkEnd w:id="399"/>
      <w:bookmarkEnd w:id="400"/>
    </w:p>
    <w:p>
      <w:pPr>
        <w:pStyle w:val="16"/>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p>
    <w:p>
      <w:pPr>
        <w:pStyle w:val="16"/>
        <w:spacing w:line="40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报价单位：       人民币元</w:t>
      </w:r>
      <w:r>
        <w:rPr>
          <w:rFonts w:hint="eastAsia" w:ascii="宋体" w:hAnsi="宋体" w:eastAsia="宋体" w:cs="宋体"/>
          <w:color w:val="auto"/>
          <w:sz w:val="24"/>
          <w:szCs w:val="24"/>
          <w:highlight w:val="none"/>
          <w:lang w:val="en-US" w:eastAsia="zh-CN"/>
        </w:rPr>
        <w:t xml:space="preserve">                        包号：</w:t>
      </w:r>
    </w:p>
    <w:tbl>
      <w:tblPr>
        <w:tblStyle w:val="34"/>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84"/>
        <w:gridCol w:w="1931"/>
        <w:gridCol w:w="1380"/>
        <w:gridCol w:w="141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10" w:type="dxa"/>
            <w:noWrap/>
            <w:vAlign w:val="center"/>
          </w:tcPr>
          <w:p>
            <w:pPr>
              <w:pStyle w:val="16"/>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84" w:type="dxa"/>
            <w:noWrap/>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名称</w:t>
            </w:r>
          </w:p>
        </w:tc>
        <w:tc>
          <w:tcPr>
            <w:tcW w:w="1931" w:type="dxa"/>
            <w:noWrap/>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80" w:type="dxa"/>
            <w:noWrap/>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410" w:type="dxa"/>
            <w:noWrap/>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975" w:type="dxa"/>
            <w:noWrap/>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0" w:type="dxa"/>
            <w:noWrap/>
            <w:vAlign w:val="center"/>
          </w:tcPr>
          <w:p>
            <w:pPr>
              <w:pStyle w:val="16"/>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4" w:type="dxa"/>
            <w:noWrap/>
            <w:vAlign w:val="center"/>
          </w:tcPr>
          <w:p>
            <w:pPr>
              <w:pStyle w:val="16"/>
              <w:spacing w:line="400" w:lineRule="exact"/>
              <w:jc w:val="center"/>
              <w:rPr>
                <w:rFonts w:hint="eastAsia" w:ascii="宋体" w:hAnsi="宋体" w:eastAsia="宋体" w:cs="宋体"/>
                <w:color w:val="auto"/>
                <w:sz w:val="24"/>
                <w:szCs w:val="24"/>
                <w:highlight w:val="none"/>
              </w:rPr>
            </w:pPr>
          </w:p>
        </w:tc>
        <w:tc>
          <w:tcPr>
            <w:tcW w:w="1931"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38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41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975"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10" w:type="dxa"/>
            <w:noWrap/>
            <w:vAlign w:val="center"/>
          </w:tcPr>
          <w:p>
            <w:pPr>
              <w:pStyle w:val="16"/>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4" w:type="dxa"/>
            <w:noWrap/>
            <w:vAlign w:val="center"/>
          </w:tcPr>
          <w:p>
            <w:pPr>
              <w:pStyle w:val="16"/>
              <w:spacing w:line="400" w:lineRule="exact"/>
              <w:jc w:val="center"/>
              <w:rPr>
                <w:rFonts w:hint="eastAsia" w:ascii="宋体" w:hAnsi="宋体" w:eastAsia="宋体" w:cs="宋体"/>
                <w:color w:val="auto"/>
                <w:sz w:val="24"/>
                <w:szCs w:val="24"/>
                <w:highlight w:val="none"/>
              </w:rPr>
            </w:pPr>
          </w:p>
        </w:tc>
        <w:tc>
          <w:tcPr>
            <w:tcW w:w="1931"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38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41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975"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noWrap/>
            <w:vAlign w:val="center"/>
          </w:tcPr>
          <w:p>
            <w:pPr>
              <w:pStyle w:val="16"/>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4" w:type="dxa"/>
            <w:noWrap/>
            <w:vAlign w:val="center"/>
          </w:tcPr>
          <w:p>
            <w:pPr>
              <w:pStyle w:val="16"/>
              <w:spacing w:line="400" w:lineRule="exact"/>
              <w:jc w:val="center"/>
              <w:rPr>
                <w:rFonts w:hint="eastAsia" w:ascii="宋体" w:hAnsi="宋体" w:eastAsia="宋体" w:cs="宋体"/>
                <w:color w:val="auto"/>
                <w:sz w:val="24"/>
                <w:szCs w:val="24"/>
                <w:highlight w:val="none"/>
              </w:rPr>
            </w:pPr>
          </w:p>
        </w:tc>
        <w:tc>
          <w:tcPr>
            <w:tcW w:w="1931"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38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41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975"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10" w:type="dxa"/>
            <w:noWrap/>
            <w:vAlign w:val="center"/>
          </w:tcPr>
          <w:p>
            <w:pPr>
              <w:pStyle w:val="16"/>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4" w:type="dxa"/>
            <w:noWrap/>
            <w:vAlign w:val="center"/>
          </w:tcPr>
          <w:p>
            <w:pPr>
              <w:pStyle w:val="16"/>
              <w:spacing w:line="400" w:lineRule="exact"/>
              <w:jc w:val="center"/>
              <w:rPr>
                <w:rFonts w:hint="eastAsia" w:ascii="宋体" w:hAnsi="宋体" w:eastAsia="宋体" w:cs="宋体"/>
                <w:color w:val="auto"/>
                <w:sz w:val="24"/>
                <w:szCs w:val="24"/>
                <w:highlight w:val="none"/>
              </w:rPr>
            </w:pPr>
          </w:p>
        </w:tc>
        <w:tc>
          <w:tcPr>
            <w:tcW w:w="1931"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38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41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975"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10" w:type="dxa"/>
            <w:noWrap/>
            <w:vAlign w:val="center"/>
          </w:tcPr>
          <w:p>
            <w:pPr>
              <w:pStyle w:val="16"/>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4" w:type="dxa"/>
            <w:noWrap/>
            <w:vAlign w:val="center"/>
          </w:tcPr>
          <w:p>
            <w:pPr>
              <w:pStyle w:val="16"/>
              <w:spacing w:line="400" w:lineRule="exact"/>
              <w:jc w:val="center"/>
              <w:rPr>
                <w:rFonts w:hint="eastAsia" w:ascii="宋体" w:hAnsi="宋体" w:eastAsia="宋体" w:cs="宋体"/>
                <w:color w:val="auto"/>
                <w:sz w:val="24"/>
                <w:szCs w:val="24"/>
                <w:highlight w:val="none"/>
              </w:rPr>
            </w:pPr>
          </w:p>
        </w:tc>
        <w:tc>
          <w:tcPr>
            <w:tcW w:w="1931"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38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410"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975" w:type="dxa"/>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005" w:type="dxa"/>
            <w:gridSpan w:val="4"/>
            <w:noWrap/>
            <w:vAlign w:val="center"/>
          </w:tcPr>
          <w:p>
            <w:pPr>
              <w:pStyle w:val="16"/>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385" w:type="dxa"/>
            <w:gridSpan w:val="2"/>
            <w:noWrap/>
            <w:vAlign w:val="center"/>
          </w:tcPr>
          <w:p>
            <w:pPr>
              <w:pStyle w:val="16"/>
              <w:spacing w:line="400" w:lineRule="exact"/>
              <w:ind w:left="1080" w:leftChars="257" w:hanging="540"/>
              <w:jc w:val="center"/>
              <w:rPr>
                <w:rFonts w:hint="eastAsia" w:ascii="宋体" w:hAnsi="宋体" w:eastAsia="宋体" w:cs="宋体"/>
                <w:color w:val="auto"/>
                <w:sz w:val="24"/>
                <w:szCs w:val="24"/>
                <w:highlight w:val="none"/>
              </w:rPr>
            </w:pPr>
          </w:p>
        </w:tc>
      </w:tr>
    </w:tbl>
    <w:p>
      <w:pPr>
        <w:pStyle w:val="16"/>
        <w:spacing w:line="400" w:lineRule="exact"/>
        <w:ind w:left="1080" w:leftChars="257" w:hanging="540"/>
        <w:rPr>
          <w:rFonts w:hint="eastAsia" w:ascii="宋体" w:hAnsi="宋体" w:eastAsia="宋体" w:cs="宋体"/>
          <w:color w:val="auto"/>
          <w:sz w:val="24"/>
          <w:szCs w:val="24"/>
          <w:highlight w:val="none"/>
        </w:rPr>
      </w:pPr>
    </w:p>
    <w:p>
      <w:pPr>
        <w:pStyle w:val="16"/>
        <w:spacing w:line="400" w:lineRule="exact"/>
        <w:rPr>
          <w:rFonts w:hint="eastAsia" w:ascii="宋体" w:hAnsi="宋体" w:eastAsia="宋体" w:cs="宋体"/>
          <w:color w:val="auto"/>
          <w:sz w:val="24"/>
          <w:szCs w:val="24"/>
          <w:highlight w:val="none"/>
        </w:rPr>
      </w:pPr>
    </w:p>
    <w:p>
      <w:pPr>
        <w:pStyle w:val="16"/>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6"/>
        <w:tabs>
          <w:tab w:val="left" w:pos="5370"/>
        </w:tabs>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ab/>
      </w:r>
    </w:p>
    <w:p>
      <w:pPr>
        <w:pStyle w:val="16"/>
        <w:spacing w:line="400" w:lineRule="exact"/>
        <w:jc w:val="left"/>
        <w:rPr>
          <w:rFonts w:hint="eastAsia" w:ascii="宋体" w:hAnsi="宋体" w:eastAsia="宋体" w:cs="宋体"/>
          <w:color w:val="auto"/>
          <w:sz w:val="24"/>
          <w:szCs w:val="24"/>
          <w:highlight w:val="none"/>
        </w:rPr>
      </w:pPr>
    </w:p>
    <w:p>
      <w:pPr>
        <w:pStyle w:val="16"/>
        <w:spacing w:line="400" w:lineRule="exact"/>
        <w:jc w:val="left"/>
        <w:rPr>
          <w:rFonts w:hint="eastAsia" w:ascii="宋体" w:hAnsi="宋体" w:eastAsia="宋体" w:cs="宋体"/>
          <w:color w:val="auto"/>
          <w:sz w:val="24"/>
          <w:szCs w:val="24"/>
          <w:highlight w:val="none"/>
        </w:rPr>
      </w:pPr>
    </w:p>
    <w:p>
      <w:pPr>
        <w:pStyle w:val="16"/>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1.如果供应商认为需要，每种服务填写一份该表。</w:t>
      </w:r>
    </w:p>
    <w:p>
      <w:pPr>
        <w:pStyle w:val="16"/>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2.如果按单价计算的结果与总价不一致,以单价为准修正总价。</w:t>
      </w:r>
    </w:p>
    <w:p>
      <w:pPr>
        <w:pStyle w:val="16"/>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3.如果不提供详细分项报价将视为没有实质性响应招标文件。</w:t>
      </w:r>
    </w:p>
    <w:p>
      <w:pPr>
        <w:pStyle w:val="16"/>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4.上述各项的详细分项报价，应另页描述。</w:t>
      </w:r>
    </w:p>
    <w:p>
      <w:pPr>
        <w:pStyle w:val="16"/>
        <w:spacing w:line="400" w:lineRule="exact"/>
        <w:ind w:left="479" w:leftChars="228" w:firstLine="0" w:firstLineChars="0"/>
        <w:jc w:val="left"/>
        <w:rPr>
          <w:rFonts w:hint="eastAsia" w:ascii="宋体" w:hAnsi="宋体" w:eastAsia="宋体" w:cs="宋体"/>
          <w:b/>
          <w:color w:val="auto"/>
          <w:kern w:val="0"/>
          <w:szCs w:val="21"/>
          <w:highlight w:val="none"/>
        </w:rPr>
      </w:pPr>
      <w:r>
        <w:rPr>
          <w:rFonts w:hint="eastAsia" w:ascii="宋体" w:hAnsi="宋体" w:eastAsia="宋体" w:cs="宋体"/>
          <w:color w:val="auto"/>
          <w:sz w:val="24"/>
          <w:szCs w:val="24"/>
          <w:highlight w:val="none"/>
        </w:rPr>
        <w:t>5.如果开标一览表（报价表）内容与投标文件中明细表内容不一致的，以开标一览表（报价表）内容为准。</w:t>
      </w:r>
    </w:p>
    <w:p>
      <w:pPr>
        <w:pStyle w:val="16"/>
        <w:spacing w:line="360" w:lineRule="exact"/>
        <w:jc w:val="left"/>
        <w:outlineLvl w:val="9"/>
        <w:rPr>
          <w:rFonts w:hint="eastAsia" w:ascii="宋体" w:hAnsi="宋体" w:eastAsia="宋体" w:cs="宋体"/>
          <w:b/>
          <w:color w:val="auto"/>
          <w:kern w:val="0"/>
          <w:sz w:val="24"/>
          <w:lang w:val="en-US" w:eastAsia="zh-CN"/>
        </w:rPr>
      </w:pPr>
    </w:p>
    <w:p>
      <w:pPr>
        <w:pStyle w:val="16"/>
        <w:spacing w:line="360" w:lineRule="exact"/>
        <w:jc w:val="center"/>
        <w:outlineLvl w:val="1"/>
        <w:rPr>
          <w:rFonts w:hint="eastAsia" w:ascii="宋体" w:hAnsi="宋体" w:eastAsia="宋体" w:cs="宋体"/>
          <w:color w:val="auto"/>
          <w:sz w:val="24"/>
        </w:rPr>
      </w:pPr>
      <w:bookmarkStart w:id="401" w:name="_Toc29755"/>
      <w:r>
        <w:rPr>
          <w:rFonts w:hint="eastAsia" w:ascii="宋体" w:hAnsi="宋体" w:eastAsia="宋体" w:cs="宋体"/>
          <w:b/>
          <w:color w:val="auto"/>
          <w:kern w:val="0"/>
          <w:sz w:val="24"/>
          <w:lang w:val="en-US" w:eastAsia="zh-CN"/>
        </w:rPr>
        <w:br w:type="page"/>
      </w:r>
      <w:bookmarkStart w:id="402" w:name="_Toc2029"/>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说明一览表</w:t>
      </w:r>
      <w:bookmarkEnd w:id="389"/>
      <w:bookmarkEnd w:id="390"/>
      <w:bookmarkEnd w:id="391"/>
      <w:bookmarkEnd w:id="392"/>
      <w:bookmarkEnd w:id="401"/>
      <w:bookmarkEnd w:id="402"/>
    </w:p>
    <w:p>
      <w:pPr>
        <w:pStyle w:val="16"/>
        <w:spacing w:line="360" w:lineRule="exact"/>
        <w:ind w:left="1080" w:leftChars="257" w:hanging="540"/>
        <w:rPr>
          <w:rFonts w:hint="eastAsia" w:ascii="宋体" w:hAnsi="宋体" w:eastAsia="宋体" w:cs="宋体"/>
          <w:color w:val="auto"/>
          <w:sz w:val="24"/>
        </w:rPr>
      </w:pPr>
    </w:p>
    <w:p>
      <w:pPr>
        <w:pStyle w:val="16"/>
        <w:spacing w:line="360" w:lineRule="exact"/>
        <w:ind w:left="1080" w:leftChars="257" w:hanging="540"/>
        <w:jc w:val="left"/>
        <w:rPr>
          <w:rFonts w:hint="eastAsia" w:ascii="宋体" w:hAnsi="宋体" w:eastAsia="宋体" w:cs="宋体"/>
          <w:color w:val="auto"/>
          <w:sz w:val="24"/>
        </w:rPr>
      </w:pPr>
      <w:r>
        <w:rPr>
          <w:rFonts w:hint="eastAsia" w:ascii="宋体" w:hAnsi="宋体" w:eastAsia="宋体" w:cs="宋体"/>
          <w:color w:val="auto"/>
          <w:sz w:val="24"/>
        </w:rPr>
        <w:t xml:space="preserve">项目名称:                   </w:t>
      </w:r>
      <w:r>
        <w:rPr>
          <w:rFonts w:hint="eastAsia" w:ascii="宋体" w:hAnsi="宋体" w:eastAsia="宋体" w:cs="宋体"/>
          <w:color w:val="auto"/>
          <w:sz w:val="24"/>
          <w:lang w:eastAsia="zh-CN"/>
        </w:rPr>
        <w:t>项目编号</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包号：</w:t>
      </w:r>
      <w:r>
        <w:rPr>
          <w:rFonts w:hint="eastAsia" w:ascii="宋体" w:hAnsi="宋体" w:eastAsia="宋体" w:cs="宋体"/>
          <w:color w:val="auto"/>
          <w:sz w:val="24"/>
        </w:rPr>
        <w:t xml:space="preserve">                          </w:t>
      </w:r>
    </w:p>
    <w:p>
      <w:pPr>
        <w:pStyle w:val="16"/>
        <w:spacing w:line="360" w:lineRule="exact"/>
        <w:ind w:left="1080" w:leftChars="257" w:hanging="540"/>
        <w:rPr>
          <w:rFonts w:hint="eastAsia" w:ascii="宋体" w:hAnsi="宋体" w:eastAsia="宋体" w:cs="宋体"/>
          <w:color w:val="auto"/>
          <w:sz w:val="24"/>
        </w:rPr>
      </w:pPr>
    </w:p>
    <w:tbl>
      <w:tblPr>
        <w:tblStyle w:val="34"/>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7"/>
        <w:gridCol w:w="1196"/>
        <w:gridCol w:w="1078"/>
        <w:gridCol w:w="1317"/>
        <w:gridCol w:w="143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9" w:type="dxa"/>
            <w:noWrap w:val="0"/>
            <w:vAlign w:val="center"/>
          </w:tcPr>
          <w:p>
            <w:pPr>
              <w:pStyle w:val="16"/>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17" w:type="dxa"/>
            <w:noWrap w:val="0"/>
            <w:vAlign w:val="center"/>
          </w:tcPr>
          <w:p>
            <w:pPr>
              <w:pStyle w:val="16"/>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名称</w:t>
            </w:r>
          </w:p>
        </w:tc>
        <w:tc>
          <w:tcPr>
            <w:tcW w:w="1196" w:type="dxa"/>
            <w:noWrap w:val="0"/>
            <w:vAlign w:val="center"/>
          </w:tcPr>
          <w:p>
            <w:pPr>
              <w:pStyle w:val="16"/>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内容</w:t>
            </w:r>
          </w:p>
        </w:tc>
        <w:tc>
          <w:tcPr>
            <w:tcW w:w="1078" w:type="dxa"/>
            <w:noWrap w:val="0"/>
            <w:vAlign w:val="center"/>
          </w:tcPr>
          <w:p>
            <w:pPr>
              <w:pStyle w:val="16"/>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317" w:type="dxa"/>
            <w:noWrap w:val="0"/>
            <w:vAlign w:val="center"/>
          </w:tcPr>
          <w:p>
            <w:pPr>
              <w:pStyle w:val="16"/>
              <w:spacing w:line="240"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服务期</w:t>
            </w:r>
          </w:p>
        </w:tc>
        <w:tc>
          <w:tcPr>
            <w:tcW w:w="1436" w:type="dxa"/>
            <w:noWrap w:val="0"/>
            <w:vAlign w:val="center"/>
          </w:tcPr>
          <w:p>
            <w:pPr>
              <w:pStyle w:val="16"/>
              <w:spacing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地点</w:t>
            </w:r>
          </w:p>
        </w:tc>
        <w:tc>
          <w:tcPr>
            <w:tcW w:w="1317" w:type="dxa"/>
            <w:noWrap w:val="0"/>
            <w:vAlign w:val="center"/>
          </w:tcPr>
          <w:p>
            <w:pPr>
              <w:pStyle w:val="16"/>
              <w:spacing w:line="240" w:lineRule="atLeas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59"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19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078"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43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9"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19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078"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43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59"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19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078"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43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9"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19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078"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43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59"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19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078"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43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9"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19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078"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43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9"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19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078"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43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59"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19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078"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436"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c>
          <w:tcPr>
            <w:tcW w:w="1317" w:type="dxa"/>
            <w:noWrap w:val="0"/>
            <w:vAlign w:val="top"/>
          </w:tcPr>
          <w:p>
            <w:pPr>
              <w:pStyle w:val="16"/>
              <w:spacing w:line="240" w:lineRule="atLeast"/>
              <w:ind w:left="1080" w:leftChars="257" w:hanging="540"/>
              <w:rPr>
                <w:rFonts w:hint="eastAsia" w:ascii="宋体" w:hAnsi="宋体" w:eastAsia="宋体" w:cs="宋体"/>
                <w:color w:val="auto"/>
                <w:sz w:val="24"/>
                <w:szCs w:val="24"/>
              </w:rPr>
            </w:pPr>
          </w:p>
        </w:tc>
      </w:tr>
    </w:tbl>
    <w:p>
      <w:pPr>
        <w:pStyle w:val="16"/>
        <w:spacing w:line="360" w:lineRule="exact"/>
        <w:ind w:left="1080" w:leftChars="257" w:hanging="540"/>
        <w:rPr>
          <w:rFonts w:hint="eastAsia" w:ascii="宋体" w:hAnsi="宋体" w:eastAsia="宋体" w:cs="宋体"/>
          <w:color w:val="auto"/>
          <w:sz w:val="24"/>
        </w:rPr>
      </w:pPr>
    </w:p>
    <w:p>
      <w:pPr>
        <w:pStyle w:val="16"/>
        <w:spacing w:line="360" w:lineRule="exact"/>
        <w:ind w:left="1080" w:leftChars="257" w:hanging="540"/>
        <w:rPr>
          <w:rFonts w:hint="eastAsia" w:ascii="宋体" w:hAnsi="宋体" w:eastAsia="宋体" w:cs="宋体"/>
          <w:color w:val="auto"/>
          <w:sz w:val="24"/>
        </w:rPr>
      </w:pPr>
    </w:p>
    <w:p>
      <w:pPr>
        <w:pStyle w:val="16"/>
        <w:spacing w:line="360" w:lineRule="exact"/>
        <w:ind w:left="1080" w:leftChars="257" w:hanging="540"/>
        <w:rPr>
          <w:rFonts w:hint="eastAsia" w:ascii="宋体" w:hAnsi="宋体" w:eastAsia="宋体" w:cs="宋体"/>
          <w:color w:val="auto"/>
          <w:sz w:val="24"/>
        </w:rPr>
      </w:pPr>
    </w:p>
    <w:p>
      <w:pPr>
        <w:pStyle w:val="16"/>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法定代表人或其委托代理人</w:t>
      </w:r>
      <w:r>
        <w:rPr>
          <w:rFonts w:hint="eastAsia" w:ascii="宋体" w:hAnsi="宋体" w:eastAsia="宋体" w:cs="宋体"/>
          <w:color w:val="auto"/>
          <w:kern w:val="2"/>
          <w:sz w:val="24"/>
          <w:szCs w:val="20"/>
          <w:lang w:val="en-US" w:eastAsia="zh-CN" w:bidi="ar-SA"/>
        </w:rPr>
        <w:t>（签/章）</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rPr>
        <w:tab/>
      </w:r>
      <w:r>
        <w:rPr>
          <w:rFonts w:hint="eastAsia" w:ascii="宋体" w:hAnsi="宋体" w:eastAsia="宋体" w:cs="宋体"/>
          <w:color w:val="auto"/>
          <w:sz w:val="24"/>
          <w:u w:val="single"/>
        </w:rPr>
        <w:t xml:space="preserve">                 </w:t>
      </w:r>
    </w:p>
    <w:p>
      <w:pPr>
        <w:pStyle w:val="16"/>
        <w:tabs>
          <w:tab w:val="left" w:pos="5370"/>
        </w:tabs>
        <w:spacing w:line="3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kern w:val="2"/>
          <w:sz w:val="24"/>
          <w:szCs w:val="20"/>
          <w:lang w:val="en-US" w:eastAsia="zh-CN" w:bidi="ar-SA"/>
        </w:rPr>
        <w:t xml:space="preserve">（公章） </w:t>
      </w:r>
      <w:r>
        <w:rPr>
          <w:rFonts w:hint="eastAsia" w:ascii="宋体" w:hAnsi="宋体" w:eastAsia="宋体" w:cs="宋体"/>
          <w:color w:val="auto"/>
          <w:sz w:val="24"/>
        </w:rPr>
        <w:t>:</w:t>
      </w:r>
      <w:r>
        <w:rPr>
          <w:rFonts w:hint="eastAsia" w:ascii="宋体" w:hAnsi="宋体" w:eastAsia="宋体" w:cs="宋体"/>
          <w:color w:val="auto"/>
          <w:sz w:val="24"/>
          <w:u w:val="single"/>
        </w:rPr>
        <w:tab/>
      </w:r>
    </w:p>
    <w:p>
      <w:pPr>
        <w:pStyle w:val="16"/>
        <w:spacing w:line="360" w:lineRule="exact"/>
        <w:ind w:left="1080" w:leftChars="257" w:hanging="540"/>
        <w:rPr>
          <w:rFonts w:hint="eastAsia" w:ascii="宋体" w:hAnsi="宋体" w:eastAsia="宋体" w:cs="宋体"/>
          <w:color w:val="auto"/>
          <w:sz w:val="24"/>
        </w:rPr>
      </w:pPr>
    </w:p>
    <w:p>
      <w:pPr>
        <w:pStyle w:val="16"/>
        <w:spacing w:line="360" w:lineRule="exact"/>
        <w:ind w:left="1080" w:leftChars="257" w:hanging="540"/>
        <w:jc w:val="both"/>
        <w:rPr>
          <w:rFonts w:hint="eastAsia" w:ascii="宋体" w:hAnsi="宋体" w:eastAsia="宋体" w:cs="宋体"/>
          <w:color w:val="auto"/>
          <w:sz w:val="24"/>
        </w:rPr>
      </w:pPr>
      <w:r>
        <w:rPr>
          <w:rFonts w:hint="eastAsia" w:ascii="宋体" w:hAnsi="宋体" w:eastAsia="宋体" w:cs="宋体"/>
          <w:color w:val="auto"/>
          <w:sz w:val="24"/>
        </w:rPr>
        <w:t>注: 各项服务详细技术性能应另页描述。</w:t>
      </w:r>
    </w:p>
    <w:p>
      <w:pPr>
        <w:pStyle w:val="16"/>
        <w:spacing w:line="360" w:lineRule="exact"/>
        <w:ind w:left="1080" w:leftChars="257" w:hanging="540"/>
        <w:jc w:val="center"/>
        <w:rPr>
          <w:rFonts w:hint="eastAsia" w:ascii="宋体" w:hAnsi="宋体" w:eastAsia="宋体" w:cs="宋体"/>
          <w:color w:val="auto"/>
          <w:sz w:val="24"/>
        </w:rPr>
      </w:pPr>
    </w:p>
    <w:p>
      <w:pPr>
        <w:pStyle w:val="16"/>
        <w:spacing w:line="360" w:lineRule="exact"/>
        <w:ind w:left="1080" w:leftChars="257" w:hanging="540"/>
        <w:jc w:val="center"/>
        <w:rPr>
          <w:rFonts w:hint="eastAsia" w:ascii="宋体" w:hAnsi="宋体" w:eastAsia="宋体" w:cs="宋体"/>
          <w:color w:val="auto"/>
          <w:sz w:val="24"/>
        </w:rPr>
        <w:sectPr>
          <w:footerReference r:id="rId5" w:type="default"/>
          <w:pgSz w:w="11906" w:h="16838"/>
          <w:pgMar w:top="1440" w:right="1797" w:bottom="1440" w:left="1797" w:header="851" w:footer="992" w:gutter="0"/>
          <w:pgNumType w:fmt="decimal" w:start="1"/>
          <w:cols w:space="720" w:num="1"/>
          <w:docGrid w:linePitch="312" w:charSpace="0"/>
        </w:sectPr>
      </w:pPr>
    </w:p>
    <w:p>
      <w:pPr>
        <w:pStyle w:val="16"/>
        <w:spacing w:line="360" w:lineRule="exact"/>
        <w:jc w:val="center"/>
        <w:outlineLvl w:val="1"/>
        <w:rPr>
          <w:rFonts w:hint="eastAsia" w:ascii="宋体" w:hAnsi="宋体" w:eastAsia="宋体" w:cs="宋体"/>
          <w:b/>
          <w:bCs/>
          <w:color w:val="auto"/>
          <w:sz w:val="24"/>
          <w:szCs w:val="24"/>
          <w:highlight w:val="none"/>
          <w:lang w:val="en-US" w:eastAsia="zh-CN"/>
        </w:rPr>
      </w:pPr>
      <w:bookmarkStart w:id="403" w:name="_Toc19889"/>
      <w:bookmarkStart w:id="404" w:name="_Toc8647"/>
      <w:bookmarkStart w:id="405" w:name="_Toc515647820"/>
      <w:bookmarkStart w:id="406" w:name="_Toc216582817"/>
      <w:bookmarkStart w:id="407" w:name="_Toc22563"/>
      <w:bookmarkStart w:id="408" w:name="_Toc28959"/>
      <w:bookmarkStart w:id="409" w:name="_Toc3098"/>
      <w:r>
        <w:rPr>
          <w:rFonts w:hint="eastAsia" w:ascii="宋体" w:hAnsi="宋体" w:eastAsia="宋体" w:cs="宋体"/>
          <w:b/>
          <w:bCs/>
          <w:color w:val="auto"/>
          <w:sz w:val="24"/>
          <w:szCs w:val="24"/>
          <w:highlight w:val="none"/>
          <w:lang w:val="en-US" w:eastAsia="zh-CN"/>
        </w:rPr>
        <w:t>4、服务规格偏离表</w:t>
      </w:r>
      <w:bookmarkEnd w:id="403"/>
      <w:bookmarkEnd w:id="404"/>
    </w:p>
    <w:p>
      <w:pPr>
        <w:pStyle w:val="16"/>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项目编号:            </w:t>
      </w:r>
      <w:r>
        <w:rPr>
          <w:rFonts w:hint="eastAsia" w:ascii="宋体" w:hAnsi="宋体" w:eastAsia="宋体" w:cs="宋体"/>
          <w:color w:val="auto"/>
          <w:sz w:val="24"/>
          <w:szCs w:val="24"/>
          <w:highlight w:val="none"/>
          <w:lang w:eastAsia="zh-CN"/>
        </w:rPr>
        <w:t>包号：</w:t>
      </w:r>
      <w:r>
        <w:rPr>
          <w:rFonts w:hint="eastAsia" w:ascii="宋体" w:hAnsi="宋体" w:eastAsia="宋体" w:cs="宋体"/>
          <w:color w:val="auto"/>
          <w:sz w:val="24"/>
          <w:szCs w:val="24"/>
          <w:highlight w:val="none"/>
        </w:rPr>
        <w:t xml:space="preserve">   </w:t>
      </w:r>
    </w:p>
    <w:p>
      <w:pPr>
        <w:pStyle w:val="16"/>
        <w:spacing w:line="400" w:lineRule="exact"/>
        <w:ind w:left="1080" w:leftChars="257" w:hanging="540"/>
        <w:rPr>
          <w:rFonts w:hint="eastAsia" w:ascii="宋体" w:hAnsi="宋体" w:eastAsia="宋体" w:cs="宋体"/>
          <w:color w:val="auto"/>
          <w:sz w:val="24"/>
          <w:szCs w:val="24"/>
          <w:highlight w:val="none"/>
        </w:rPr>
      </w:pPr>
    </w:p>
    <w:tbl>
      <w:tblPr>
        <w:tblStyle w:val="3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30"/>
        <w:gridCol w:w="2472"/>
        <w:gridCol w:w="1331"/>
        <w:gridCol w:w="1331"/>
        <w:gridCol w:w="9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30" w:type="dxa"/>
            <w:noWrap w:val="0"/>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服务</w:t>
            </w:r>
            <w:r>
              <w:rPr>
                <w:rFonts w:hint="eastAsia" w:ascii="宋体" w:hAnsi="宋体" w:eastAsia="宋体" w:cs="宋体"/>
                <w:color w:val="auto"/>
                <w:sz w:val="24"/>
                <w:szCs w:val="24"/>
                <w:highlight w:val="none"/>
              </w:rPr>
              <w:t>名称</w:t>
            </w:r>
          </w:p>
        </w:tc>
        <w:tc>
          <w:tcPr>
            <w:tcW w:w="2472" w:type="dxa"/>
            <w:noWrap w:val="0"/>
            <w:vAlign w:val="center"/>
          </w:tcPr>
          <w:p>
            <w:pPr>
              <w:pStyle w:val="16"/>
              <w:spacing w:line="400" w:lineRule="exact"/>
              <w:ind w:left="269" w:leftChars="12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1331" w:type="dxa"/>
            <w:noWrap w:val="0"/>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招标规格</w:t>
            </w:r>
          </w:p>
        </w:tc>
        <w:tc>
          <w:tcPr>
            <w:tcW w:w="1331" w:type="dxa"/>
            <w:noWrap w:val="0"/>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950" w:type="dxa"/>
            <w:noWrap w:val="0"/>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951" w:type="dxa"/>
            <w:noWrap w:val="0"/>
            <w:vAlign w:val="center"/>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472"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472"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472"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472"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472"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75"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472"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75"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472"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33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951"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bl>
    <w:p>
      <w:pPr>
        <w:pStyle w:val="16"/>
        <w:spacing w:line="400" w:lineRule="exact"/>
        <w:ind w:left="1080" w:leftChars="257" w:hanging="540"/>
        <w:rPr>
          <w:rFonts w:hint="eastAsia" w:ascii="宋体" w:hAnsi="宋体" w:eastAsia="宋体" w:cs="宋体"/>
          <w:color w:val="auto"/>
          <w:sz w:val="24"/>
          <w:szCs w:val="24"/>
          <w:highlight w:val="none"/>
        </w:rPr>
      </w:pPr>
    </w:p>
    <w:p>
      <w:pPr>
        <w:pStyle w:val="16"/>
        <w:spacing w:line="400" w:lineRule="exact"/>
        <w:ind w:left="1080" w:leftChars="257" w:hanging="540"/>
        <w:rPr>
          <w:rFonts w:hint="eastAsia" w:ascii="宋体" w:hAnsi="宋体" w:eastAsia="宋体" w:cs="宋体"/>
          <w:color w:val="auto"/>
          <w:sz w:val="24"/>
          <w:szCs w:val="24"/>
          <w:highlight w:val="none"/>
        </w:rPr>
      </w:pPr>
    </w:p>
    <w:p>
      <w:pPr>
        <w:pStyle w:val="16"/>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6"/>
        <w:tabs>
          <w:tab w:val="left" w:pos="5370"/>
        </w:tabs>
        <w:spacing w:line="400" w:lineRule="exact"/>
        <w:ind w:left="1080" w:leftChars="257" w:hanging="540"/>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ab/>
      </w:r>
    </w:p>
    <w:p>
      <w:pPr>
        <w:pStyle w:val="4"/>
        <w:keepNext/>
        <w:keepLines/>
        <w:pageBreakBefore w:val="0"/>
        <w:widowControl w:val="0"/>
        <w:kinsoku/>
        <w:wordWrap/>
        <w:overflowPunct/>
        <w:topLinePunct w:val="0"/>
        <w:autoSpaceDE w:val="0"/>
        <w:autoSpaceDN w:val="0"/>
        <w:bidi w:val="0"/>
        <w:adjustRightInd w:val="0"/>
        <w:snapToGrid/>
        <w:spacing w:before="0" w:line="240" w:lineRule="atLeast"/>
        <w:ind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4"/>
          <w:lang w:val="en-US" w:eastAsia="zh-CN"/>
        </w:rPr>
        <w:br w:type="page"/>
      </w:r>
      <w:bookmarkEnd w:id="405"/>
      <w:bookmarkEnd w:id="406"/>
      <w:bookmarkEnd w:id="407"/>
      <w:bookmarkEnd w:id="408"/>
      <w:bookmarkEnd w:id="409"/>
      <w:bookmarkStart w:id="410" w:name="_Toc32602"/>
      <w:bookmarkStart w:id="411" w:name="_Toc1409"/>
      <w:r>
        <w:rPr>
          <w:rFonts w:hint="eastAsia" w:ascii="宋体" w:hAnsi="宋体" w:eastAsia="宋体" w:cs="宋体"/>
          <w:b/>
          <w:bCs/>
          <w:color w:val="auto"/>
          <w:kern w:val="2"/>
          <w:sz w:val="24"/>
          <w:szCs w:val="24"/>
          <w:highlight w:val="none"/>
          <w:lang w:val="en-US" w:eastAsia="zh-CN" w:bidi="ar-SA"/>
        </w:rPr>
        <w:t>5、商务条款偏离表</w:t>
      </w:r>
      <w:bookmarkEnd w:id="410"/>
      <w:bookmarkEnd w:id="411"/>
    </w:p>
    <w:p>
      <w:pPr>
        <w:pStyle w:val="16"/>
        <w:spacing w:line="400" w:lineRule="exact"/>
        <w:ind w:left="1080" w:leftChars="257" w:hanging="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项目名称:                      项目编号:            </w:t>
      </w:r>
      <w:r>
        <w:rPr>
          <w:rFonts w:hint="eastAsia" w:ascii="宋体" w:hAnsi="宋体" w:eastAsia="宋体" w:cs="宋体"/>
          <w:color w:val="auto"/>
          <w:sz w:val="24"/>
          <w:szCs w:val="24"/>
          <w:highlight w:val="none"/>
          <w:lang w:eastAsia="zh-CN"/>
        </w:rPr>
        <w:t>包号：</w:t>
      </w:r>
    </w:p>
    <w:tbl>
      <w:tblPr>
        <w:tblStyle w:val="3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40" w:type="dxa"/>
            <w:noWrap w:val="0"/>
            <w:vAlign w:val="top"/>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招标文件条款号</w:t>
            </w:r>
          </w:p>
        </w:tc>
        <w:tc>
          <w:tcPr>
            <w:tcW w:w="2520" w:type="dxa"/>
            <w:noWrap w:val="0"/>
            <w:vAlign w:val="top"/>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招标文件的商务条款</w:t>
            </w:r>
          </w:p>
        </w:tc>
        <w:tc>
          <w:tcPr>
            <w:tcW w:w="2520" w:type="dxa"/>
            <w:noWrap w:val="0"/>
            <w:vAlign w:val="top"/>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投标文件的商务条款</w:t>
            </w:r>
          </w:p>
        </w:tc>
        <w:tc>
          <w:tcPr>
            <w:tcW w:w="1014" w:type="dxa"/>
            <w:noWrap w:val="0"/>
            <w:vAlign w:val="top"/>
          </w:tcPr>
          <w:p>
            <w:pPr>
              <w:pStyle w:val="16"/>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jc w:val="center"/>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04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2520"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c>
          <w:tcPr>
            <w:tcW w:w="1014" w:type="dxa"/>
            <w:noWrap w:val="0"/>
            <w:vAlign w:val="top"/>
          </w:tcPr>
          <w:p>
            <w:pPr>
              <w:pStyle w:val="16"/>
              <w:spacing w:line="400" w:lineRule="exact"/>
              <w:ind w:left="1080" w:leftChars="257" w:hanging="540"/>
              <w:rPr>
                <w:rFonts w:hint="eastAsia" w:ascii="宋体" w:hAnsi="宋体" w:eastAsia="宋体" w:cs="宋体"/>
                <w:color w:val="auto"/>
                <w:sz w:val="24"/>
                <w:szCs w:val="24"/>
                <w:highlight w:val="none"/>
              </w:rPr>
            </w:pPr>
          </w:p>
        </w:tc>
      </w:tr>
    </w:tbl>
    <w:p>
      <w:pPr>
        <w:pStyle w:val="16"/>
        <w:spacing w:line="400" w:lineRule="exact"/>
        <w:ind w:left="1080" w:leftChars="257" w:hanging="540"/>
        <w:rPr>
          <w:rFonts w:hint="eastAsia" w:ascii="宋体" w:hAnsi="宋体" w:eastAsia="宋体" w:cs="宋体"/>
          <w:color w:val="auto"/>
          <w:sz w:val="24"/>
          <w:szCs w:val="24"/>
          <w:highlight w:val="none"/>
        </w:rPr>
      </w:pPr>
    </w:p>
    <w:p>
      <w:pPr>
        <w:pStyle w:val="16"/>
        <w:spacing w:line="400" w:lineRule="exact"/>
        <w:ind w:left="1080" w:leftChars="257" w:hanging="540"/>
        <w:rPr>
          <w:rFonts w:hint="eastAsia" w:ascii="宋体" w:hAnsi="宋体" w:eastAsia="宋体" w:cs="宋体"/>
          <w:color w:val="auto"/>
          <w:sz w:val="24"/>
          <w:szCs w:val="24"/>
          <w:highlight w:val="none"/>
        </w:rPr>
      </w:pPr>
    </w:p>
    <w:p>
      <w:pPr>
        <w:pStyle w:val="16"/>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6"/>
        <w:tabs>
          <w:tab w:val="left" w:pos="5370"/>
        </w:tabs>
        <w:spacing w:line="400" w:lineRule="exac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供应商(公章):</w:t>
      </w:r>
      <w:r>
        <w:rPr>
          <w:rFonts w:hint="eastAsia" w:ascii="宋体" w:hAnsi="宋体" w:eastAsia="宋体" w:cs="宋体"/>
          <w:color w:val="auto"/>
          <w:sz w:val="24"/>
          <w:szCs w:val="24"/>
          <w:highlight w:val="none"/>
          <w:u w:val="single"/>
        </w:rPr>
        <w:tab/>
      </w:r>
    </w:p>
    <w:p>
      <w:pPr>
        <w:pStyle w:val="16"/>
        <w:tabs>
          <w:tab w:val="left" w:pos="5370"/>
        </w:tabs>
        <w:spacing w:line="360" w:lineRule="exact"/>
        <w:ind w:left="1080" w:leftChars="257" w:hanging="540"/>
        <w:rPr>
          <w:rFonts w:hint="eastAsia" w:ascii="宋体" w:hAnsi="宋体" w:eastAsia="宋体" w:cs="宋体"/>
          <w:color w:val="auto"/>
          <w:sz w:val="24"/>
          <w:u w:val="single"/>
        </w:rPr>
      </w:pPr>
    </w:p>
    <w:p>
      <w:pPr>
        <w:pStyle w:val="16"/>
        <w:spacing w:line="360" w:lineRule="exact"/>
        <w:rPr>
          <w:rFonts w:hint="eastAsia" w:ascii="宋体" w:hAnsi="宋体" w:eastAsia="宋体" w:cs="宋体"/>
          <w:color w:val="auto"/>
          <w:sz w:val="24"/>
        </w:rPr>
      </w:pPr>
      <w:r>
        <w:rPr>
          <w:rFonts w:hint="eastAsia" w:ascii="宋体" w:hAnsi="宋体" w:eastAsia="宋体" w:cs="宋体"/>
          <w:color w:val="auto"/>
          <w:sz w:val="24"/>
          <w:u w:val="single"/>
        </w:rPr>
        <w:br w:type="page"/>
      </w:r>
    </w:p>
    <w:p>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20"/>
        <w:textAlignment w:val="auto"/>
        <w:outlineLvl w:val="1"/>
        <w:rPr>
          <w:rFonts w:hint="eastAsia" w:ascii="宋体" w:hAnsi="宋体" w:eastAsia="宋体" w:cs="宋体"/>
          <w:b/>
          <w:bCs/>
          <w:color w:val="auto"/>
          <w:kern w:val="2"/>
          <w:sz w:val="24"/>
          <w:szCs w:val="24"/>
          <w:highlight w:val="none"/>
          <w:lang w:val="en-US" w:eastAsia="zh-CN" w:bidi="ar-SA"/>
        </w:rPr>
      </w:pPr>
      <w:bookmarkStart w:id="412" w:name="_Hlt520350957"/>
      <w:bookmarkEnd w:id="412"/>
      <w:bookmarkStart w:id="413" w:name="_Hlt520274407"/>
      <w:bookmarkEnd w:id="413"/>
      <w:bookmarkStart w:id="414" w:name="_Hlt520274393"/>
      <w:bookmarkEnd w:id="414"/>
      <w:bookmarkStart w:id="415" w:name="_Hlt520350918"/>
      <w:bookmarkEnd w:id="415"/>
      <w:bookmarkStart w:id="416" w:name="_Hlt520274911"/>
      <w:bookmarkEnd w:id="416"/>
      <w:bookmarkStart w:id="417" w:name="_Hlt520343000"/>
      <w:bookmarkEnd w:id="417"/>
      <w:bookmarkStart w:id="418" w:name="_Hlt520274065"/>
      <w:bookmarkEnd w:id="418"/>
      <w:bookmarkStart w:id="419" w:name="_Hlt520273711"/>
      <w:bookmarkEnd w:id="419"/>
      <w:bookmarkStart w:id="420" w:name="_Hlt520343392"/>
      <w:bookmarkEnd w:id="420"/>
      <w:bookmarkStart w:id="421" w:name="_Hlt520273973"/>
      <w:bookmarkEnd w:id="421"/>
      <w:bookmarkStart w:id="422" w:name="_Hlt520271212"/>
      <w:bookmarkEnd w:id="422"/>
      <w:bookmarkStart w:id="423" w:name="_Toc9332"/>
      <w:r>
        <w:rPr>
          <w:rFonts w:hint="eastAsia" w:ascii="宋体" w:hAnsi="宋体" w:eastAsia="宋体" w:cs="宋体"/>
          <w:b/>
          <w:bCs/>
          <w:color w:val="auto"/>
          <w:kern w:val="2"/>
          <w:sz w:val="24"/>
          <w:szCs w:val="24"/>
          <w:highlight w:val="none"/>
          <w:lang w:val="en-US" w:eastAsia="zh-CN" w:bidi="ar-SA"/>
        </w:rPr>
        <w:t>6-1  中小企业声明函</w:t>
      </w:r>
      <w:bookmarkEnd w:id="423"/>
    </w:p>
    <w:p>
      <w:pPr>
        <w:widowControl/>
        <w:spacing w:before="100" w:beforeAutospacing="1" w:after="100" w:afterAutospacing="1" w:line="330" w:lineRule="atLeas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i/>
          <w:iCs/>
          <w:color w:val="auto"/>
          <w:kern w:val="0"/>
          <w:sz w:val="24"/>
          <w:szCs w:val="24"/>
          <w:u w:val="single"/>
          <w:lang w:val="en-US" w:eastAsia="zh-CN"/>
        </w:rPr>
        <w:t>（单位名称  ）</w:t>
      </w:r>
      <w:r>
        <w:rPr>
          <w:rFonts w:hint="eastAsia" w:ascii="宋体" w:hAnsi="宋体" w:eastAsia="宋体" w:cs="宋体"/>
          <w:color w:val="auto"/>
          <w:kern w:val="0"/>
          <w:sz w:val="24"/>
          <w:szCs w:val="24"/>
          <w:lang w:val="en-US" w:eastAsia="zh-CN"/>
        </w:rPr>
        <w:t>的</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i/>
          <w:iCs/>
          <w:color w:val="auto"/>
          <w:kern w:val="0"/>
          <w:sz w:val="24"/>
          <w:szCs w:val="24"/>
          <w:u w:val="single"/>
          <w:lang w:val="en-US" w:eastAsia="zh-CN"/>
        </w:rPr>
        <w:t>（项目名称）</w:t>
      </w:r>
      <w:r>
        <w:rPr>
          <w:rFonts w:hint="eastAsia" w:ascii="宋体" w:hAnsi="宋体" w:eastAsia="宋体" w:cs="宋体"/>
          <w:color w:val="auto"/>
          <w:kern w:val="0"/>
          <w:sz w:val="24"/>
          <w:szCs w:val="24"/>
          <w:lang w:val="en-US" w:eastAsia="zh-CN"/>
        </w:rPr>
        <w:t>采购活动，服务全部由符合政策要求的中小企业承接。相关企业（含联合 体中的中小企业、签订分包意向协议的中小企业）的具体情况如下：</w:t>
      </w:r>
    </w:p>
    <w:p>
      <w:pPr>
        <w:pStyle w:val="93"/>
        <w:numPr>
          <w:ilvl w:val="0"/>
          <w:numId w:val="0"/>
        </w:numPr>
        <w:tabs>
          <w:tab w:val="left" w:pos="1243"/>
        </w:tabs>
        <w:spacing w:before="0" w:after="0" w:line="402" w:lineRule="exact"/>
        <w:ind w:right="0" w:rightChars="0" w:firstLine="480" w:firstLineChars="200"/>
        <w:jc w:val="both"/>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1.</w:t>
      </w:r>
      <w:r>
        <w:rPr>
          <w:rFonts w:hint="eastAsia" w:ascii="宋体" w:hAnsi="宋体" w:eastAsia="宋体" w:cs="宋体"/>
          <w:i/>
          <w:iCs/>
          <w:color w:val="auto"/>
          <w:kern w:val="0"/>
          <w:sz w:val="24"/>
          <w:szCs w:val="24"/>
          <w:u w:val="single"/>
          <w:lang w:val="en-US" w:eastAsia="zh-CN" w:bidi="ar-SA"/>
        </w:rPr>
        <w:t>（标的名称）</w:t>
      </w:r>
      <w:r>
        <w:rPr>
          <w:rFonts w:hint="eastAsia" w:ascii="宋体" w:hAnsi="宋体" w:eastAsia="宋体" w:cs="宋体"/>
          <w:color w:val="auto"/>
          <w:kern w:val="0"/>
          <w:sz w:val="24"/>
          <w:szCs w:val="24"/>
          <w:u w:val="none"/>
          <w:lang w:val="en-US" w:eastAsia="zh-CN" w:bidi="ar-SA"/>
        </w:rPr>
        <w:t>，属于</w:t>
      </w:r>
      <w:r>
        <w:rPr>
          <w:rFonts w:hint="eastAsia" w:ascii="宋体" w:hAnsi="宋体" w:eastAsia="宋体" w:cs="宋体"/>
          <w:i/>
          <w:iCs/>
          <w:color w:val="auto"/>
          <w:kern w:val="0"/>
          <w:sz w:val="24"/>
          <w:szCs w:val="24"/>
          <w:u w:val="single"/>
          <w:lang w:val="en-US" w:eastAsia="zh-CN" w:bidi="ar-SA"/>
        </w:rPr>
        <w:t>（采购文件中明确的所属行业）</w:t>
      </w:r>
      <w:r>
        <w:rPr>
          <w:rFonts w:hint="eastAsia" w:ascii="宋体" w:hAnsi="宋体" w:eastAsia="宋体" w:cs="宋体"/>
          <w:color w:val="auto"/>
          <w:kern w:val="0"/>
          <w:sz w:val="24"/>
          <w:szCs w:val="24"/>
          <w:u w:val="none"/>
          <w:lang w:val="en-US" w:eastAsia="zh-CN" w:bidi="ar-SA"/>
        </w:rPr>
        <w:t xml:space="preserve">；承接企业为 </w:t>
      </w:r>
      <w:r>
        <w:rPr>
          <w:rFonts w:hint="eastAsia" w:ascii="宋体" w:hAnsi="宋体" w:eastAsia="宋体" w:cs="宋体"/>
          <w:i/>
          <w:iCs/>
          <w:color w:val="auto"/>
          <w:kern w:val="0"/>
          <w:sz w:val="24"/>
          <w:szCs w:val="24"/>
          <w:u w:val="single"/>
          <w:lang w:val="en-US" w:eastAsia="zh-CN" w:bidi="ar-SA"/>
        </w:rPr>
        <w:t xml:space="preserve">  （企业名称） </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none"/>
          <w:lang w:val="en-US" w:eastAsia="zh-CN" w:bidi="ar-SA"/>
        </w:rPr>
        <w:t>，从业人员</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en-US" w:eastAsia="zh-CN" w:bidi="ar-SA"/>
        </w:rPr>
        <w:tab/>
      </w:r>
      <w:r>
        <w:rPr>
          <w:rFonts w:hint="eastAsia" w:ascii="宋体" w:hAnsi="宋体" w:eastAsia="宋体" w:cs="宋体"/>
          <w:color w:val="auto"/>
          <w:kern w:val="0"/>
          <w:sz w:val="24"/>
          <w:szCs w:val="24"/>
          <w:u w:val="none"/>
          <w:lang w:val="en-US" w:eastAsia="zh-CN" w:bidi="ar-SA"/>
        </w:rPr>
        <w:t>人，营业收入为</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en-US" w:eastAsia="zh-CN" w:bidi="ar-SA"/>
        </w:rPr>
        <w:tab/>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none"/>
          <w:lang w:val="en-US" w:eastAsia="zh-CN" w:bidi="ar-SA"/>
        </w:rPr>
        <w:t>万元，资产总额为</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en-US" w:eastAsia="zh-CN" w:bidi="ar-SA"/>
        </w:rPr>
        <w:tab/>
      </w:r>
      <w:r>
        <w:rPr>
          <w:rFonts w:hint="eastAsia" w:ascii="宋体" w:hAnsi="宋体" w:eastAsia="宋体" w:cs="宋体"/>
          <w:color w:val="auto"/>
          <w:kern w:val="0"/>
          <w:sz w:val="24"/>
          <w:szCs w:val="24"/>
          <w:u w:val="none"/>
          <w:lang w:val="en-US" w:eastAsia="zh-CN" w:bidi="ar-SA"/>
        </w:rPr>
        <w:t>万元，属于</w:t>
      </w:r>
      <w:r>
        <w:rPr>
          <w:rFonts w:hint="eastAsia" w:ascii="宋体" w:hAnsi="宋体" w:eastAsia="宋体" w:cs="宋体"/>
          <w:i/>
          <w:iCs/>
          <w:color w:val="auto"/>
          <w:kern w:val="0"/>
          <w:sz w:val="24"/>
          <w:szCs w:val="24"/>
          <w:u w:val="single"/>
          <w:lang w:val="en-US" w:eastAsia="zh-CN" w:bidi="ar-SA"/>
        </w:rPr>
        <w:t>（中型企业、小型企业、微型企业）</w:t>
      </w:r>
      <w:r>
        <w:rPr>
          <w:rFonts w:hint="eastAsia" w:ascii="宋体" w:hAnsi="宋体" w:eastAsia="宋体" w:cs="宋体"/>
          <w:color w:val="auto"/>
          <w:kern w:val="0"/>
          <w:sz w:val="24"/>
          <w:szCs w:val="24"/>
          <w:u w:val="none"/>
          <w:lang w:val="en-US" w:eastAsia="zh-CN" w:bidi="ar-SA"/>
        </w:rPr>
        <w:t>；</w:t>
      </w:r>
    </w:p>
    <w:p>
      <w:pPr>
        <w:pStyle w:val="93"/>
        <w:numPr>
          <w:ilvl w:val="0"/>
          <w:numId w:val="0"/>
        </w:numPr>
        <w:tabs>
          <w:tab w:val="left" w:pos="1243"/>
        </w:tabs>
        <w:spacing w:before="0" w:after="0" w:line="402" w:lineRule="exact"/>
        <w:ind w:right="0" w:rightChars="0" w:firstLine="480" w:firstLineChars="200"/>
        <w:jc w:val="both"/>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u w:val="none" w:color="auto"/>
          <w:lang w:val="en-US" w:eastAsia="zh-CN" w:bidi="ar-SA"/>
        </w:rPr>
        <w:t>2.</w:t>
      </w:r>
      <w:r>
        <w:rPr>
          <w:rFonts w:hint="eastAsia" w:ascii="宋体" w:hAnsi="宋体" w:eastAsia="宋体" w:cs="宋体"/>
          <w:i/>
          <w:iCs/>
          <w:color w:val="auto"/>
          <w:kern w:val="0"/>
          <w:sz w:val="24"/>
          <w:szCs w:val="24"/>
          <w:u w:val="single"/>
          <w:lang w:val="en-US" w:eastAsia="zh-CN" w:bidi="ar-SA"/>
        </w:rPr>
        <w:t>（标的名称）</w:t>
      </w:r>
      <w:r>
        <w:rPr>
          <w:rFonts w:hint="eastAsia" w:ascii="宋体" w:hAnsi="宋体" w:eastAsia="宋体" w:cs="宋体"/>
          <w:color w:val="auto"/>
          <w:kern w:val="0"/>
          <w:sz w:val="24"/>
          <w:szCs w:val="24"/>
          <w:u w:val="single"/>
          <w:lang w:val="en-US" w:eastAsia="zh-CN" w:bidi="ar-SA"/>
        </w:rPr>
        <w:t>，</w:t>
      </w:r>
      <w:r>
        <w:rPr>
          <w:rFonts w:hint="eastAsia" w:ascii="宋体" w:hAnsi="宋体" w:eastAsia="宋体" w:cs="宋体"/>
          <w:color w:val="auto"/>
          <w:kern w:val="0"/>
          <w:sz w:val="24"/>
          <w:szCs w:val="24"/>
          <w:u w:val="none" w:color="auto"/>
          <w:lang w:val="en-US" w:eastAsia="zh-CN" w:bidi="ar-SA"/>
        </w:rPr>
        <w:t>属于</w:t>
      </w:r>
      <w:r>
        <w:rPr>
          <w:rFonts w:hint="eastAsia" w:ascii="宋体" w:hAnsi="宋体" w:eastAsia="宋体" w:cs="宋体"/>
          <w:i/>
          <w:iCs/>
          <w:color w:val="auto"/>
          <w:kern w:val="0"/>
          <w:sz w:val="24"/>
          <w:szCs w:val="24"/>
          <w:u w:val="single"/>
          <w:lang w:val="en-US" w:eastAsia="zh-CN" w:bidi="ar-SA"/>
        </w:rPr>
        <w:t>（采购文件中明确的所属行业）</w:t>
      </w:r>
      <w:r>
        <w:rPr>
          <w:rFonts w:hint="eastAsia" w:ascii="宋体" w:hAnsi="宋体" w:eastAsia="宋体" w:cs="宋体"/>
          <w:color w:val="auto"/>
          <w:kern w:val="0"/>
          <w:sz w:val="24"/>
          <w:szCs w:val="24"/>
          <w:u w:val="none" w:color="auto"/>
          <w:lang w:val="en-US" w:eastAsia="zh-CN" w:bidi="ar-SA"/>
        </w:rPr>
        <w:t xml:space="preserve">；承接企业为 </w:t>
      </w:r>
      <w:r>
        <w:rPr>
          <w:rFonts w:hint="eastAsia" w:ascii="宋体" w:hAnsi="宋体" w:eastAsia="宋体" w:cs="宋体"/>
          <w:i/>
          <w:iCs/>
          <w:color w:val="auto"/>
          <w:kern w:val="0"/>
          <w:sz w:val="24"/>
          <w:szCs w:val="24"/>
          <w:u w:val="single"/>
          <w:lang w:val="en-US" w:eastAsia="zh-CN" w:bidi="ar-SA"/>
        </w:rPr>
        <w:t>（企业名称）</w:t>
      </w:r>
      <w:r>
        <w:rPr>
          <w:rFonts w:hint="eastAsia" w:ascii="宋体" w:hAnsi="宋体" w:eastAsia="宋体" w:cs="宋体"/>
          <w:color w:val="auto"/>
          <w:kern w:val="0"/>
          <w:sz w:val="24"/>
          <w:szCs w:val="24"/>
          <w:u w:val="none" w:color="auto"/>
          <w:lang w:val="en-US" w:eastAsia="zh-CN" w:bidi="ar-SA"/>
        </w:rPr>
        <w:t>，从业人员</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en-US" w:eastAsia="zh-CN" w:bidi="ar-SA"/>
        </w:rPr>
        <w:tab/>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none" w:color="auto"/>
          <w:lang w:val="en-US" w:eastAsia="zh-CN" w:bidi="ar-SA"/>
        </w:rPr>
        <w:t>人，营业收入为</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en-US" w:eastAsia="zh-CN" w:bidi="ar-SA"/>
        </w:rPr>
        <w:tab/>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none" w:color="auto"/>
          <w:lang w:val="en-US" w:eastAsia="zh-CN" w:bidi="ar-SA"/>
        </w:rPr>
        <w:t>万元，资产总额为</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single"/>
          <w:lang w:val="en-US" w:eastAsia="zh-CN" w:bidi="ar-SA"/>
        </w:rPr>
        <w:tab/>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none" w:color="auto"/>
          <w:lang w:val="en-US" w:eastAsia="zh-CN" w:bidi="ar-SA"/>
        </w:rPr>
        <w:t>万元，属于</w:t>
      </w:r>
      <w:r>
        <w:rPr>
          <w:rFonts w:hint="eastAsia" w:ascii="宋体" w:hAnsi="宋体" w:eastAsia="宋体" w:cs="宋体"/>
          <w:i/>
          <w:iCs/>
          <w:color w:val="auto"/>
          <w:kern w:val="0"/>
          <w:sz w:val="24"/>
          <w:szCs w:val="24"/>
          <w:u w:val="single"/>
          <w:lang w:val="en-US" w:eastAsia="zh-CN" w:bidi="ar-SA"/>
        </w:rPr>
        <w:t>（中型企业、小型企业、微型企业）</w:t>
      </w:r>
      <w:r>
        <w:rPr>
          <w:rFonts w:hint="eastAsia" w:ascii="宋体" w:hAnsi="宋体" w:eastAsia="宋体" w:cs="宋体"/>
          <w:color w:val="auto"/>
          <w:kern w:val="0"/>
          <w:sz w:val="24"/>
          <w:szCs w:val="24"/>
          <w:u w:val="none" w:color="auto"/>
          <w:lang w:val="en-US" w:eastAsia="zh-CN" w:bidi="ar-SA"/>
        </w:rPr>
        <w:t>；</w:t>
      </w:r>
    </w:p>
    <w:p>
      <w:pPr>
        <w:pStyle w:val="12"/>
        <w:spacing w:before="11"/>
        <w:ind w:left="86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p>
    <w:p>
      <w:pPr>
        <w:pStyle w:val="12"/>
        <w:spacing w:before="108" w:line="304" w:lineRule="auto"/>
        <w:ind w:right="417"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以上企业，不属于大企业的分支机构，不存在控股股东为大企业的情形，也不存在与大企业的负责人为同一人的情形。</w:t>
      </w:r>
    </w:p>
    <w:p>
      <w:pPr>
        <w:pStyle w:val="12"/>
        <w:spacing w:before="108" w:line="304" w:lineRule="auto"/>
        <w:ind w:right="417" w:firstLine="480" w:firstLineChars="20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本企业对上述声明内容的真实性负责。如有虚假，将依法承担相应责任。</w:t>
      </w:r>
    </w:p>
    <w:p>
      <w:pPr>
        <w:pStyle w:val="93"/>
        <w:numPr>
          <w:ilvl w:val="0"/>
          <w:numId w:val="0"/>
        </w:numPr>
        <w:tabs>
          <w:tab w:val="left" w:pos="1243"/>
        </w:tabs>
        <w:spacing w:before="0" w:after="0" w:line="402" w:lineRule="exact"/>
        <w:ind w:leftChars="200" w:right="0" w:rightChars="0"/>
        <w:jc w:val="both"/>
        <w:rPr>
          <w:rFonts w:hint="eastAsia" w:ascii="宋体" w:hAnsi="宋体" w:eastAsia="宋体" w:cs="宋体"/>
          <w:color w:val="auto"/>
          <w:kern w:val="0"/>
          <w:sz w:val="24"/>
          <w:szCs w:val="24"/>
          <w:u w:val="none"/>
          <w:lang w:val="en-US" w:eastAsia="zh-CN" w:bidi="ar-SA"/>
        </w:rPr>
      </w:pPr>
    </w:p>
    <w:p>
      <w:pPr>
        <w:pStyle w:val="93"/>
        <w:numPr>
          <w:ilvl w:val="0"/>
          <w:numId w:val="0"/>
        </w:numPr>
        <w:tabs>
          <w:tab w:val="left" w:pos="1243"/>
        </w:tabs>
        <w:spacing w:before="0" w:after="0" w:line="402" w:lineRule="exact"/>
        <w:ind w:leftChars="200" w:right="0" w:rightChars="0"/>
        <w:jc w:val="both"/>
        <w:rPr>
          <w:rFonts w:hint="eastAsia" w:ascii="宋体" w:hAnsi="宋体" w:eastAsia="宋体" w:cs="宋体"/>
          <w:color w:val="auto"/>
          <w:kern w:val="0"/>
          <w:sz w:val="24"/>
          <w:szCs w:val="24"/>
          <w:u w:val="none"/>
          <w:lang w:val="en-US" w:eastAsia="zh-CN" w:bidi="ar-SA"/>
        </w:rPr>
      </w:pPr>
    </w:p>
    <w:p>
      <w:pPr>
        <w:pStyle w:val="93"/>
        <w:numPr>
          <w:ilvl w:val="0"/>
          <w:numId w:val="0"/>
        </w:numPr>
        <w:tabs>
          <w:tab w:val="left" w:pos="1243"/>
        </w:tabs>
        <w:spacing w:before="0" w:after="0" w:line="402" w:lineRule="exact"/>
        <w:ind w:leftChars="200" w:right="0" w:rightChars="0"/>
        <w:jc w:val="both"/>
        <w:rPr>
          <w:rFonts w:hint="eastAsia" w:ascii="宋体" w:hAnsi="宋体" w:eastAsia="宋体" w:cs="宋体"/>
          <w:color w:val="auto"/>
          <w:kern w:val="0"/>
          <w:sz w:val="24"/>
          <w:szCs w:val="24"/>
          <w:u w:val="none"/>
          <w:lang w:val="en-US" w:eastAsia="zh-CN" w:bidi="ar-SA"/>
        </w:rPr>
      </w:pPr>
    </w:p>
    <w:p>
      <w:pPr>
        <w:pStyle w:val="93"/>
        <w:numPr>
          <w:ilvl w:val="0"/>
          <w:numId w:val="0"/>
        </w:numPr>
        <w:tabs>
          <w:tab w:val="left" w:pos="1243"/>
        </w:tabs>
        <w:spacing w:before="0" w:after="0" w:line="402" w:lineRule="exact"/>
        <w:ind w:leftChars="200" w:right="0" w:rightChars="0"/>
        <w:jc w:val="both"/>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u w:val="none"/>
          <w:lang w:val="en-US" w:eastAsia="zh-CN" w:bidi="ar-SA"/>
        </w:rPr>
        <w:t>企业名称（盖章）：</w:t>
      </w:r>
      <w:r>
        <w:rPr>
          <w:rFonts w:hint="eastAsia" w:ascii="宋体" w:hAnsi="宋体" w:eastAsia="宋体" w:cs="宋体"/>
          <w:color w:val="auto"/>
          <w:kern w:val="0"/>
          <w:sz w:val="24"/>
          <w:szCs w:val="24"/>
          <w:u w:val="single"/>
          <w:lang w:val="en-US" w:eastAsia="zh-CN" w:bidi="ar-SA"/>
        </w:rPr>
        <w:t xml:space="preserve">                         </w:t>
      </w:r>
    </w:p>
    <w:p>
      <w:pPr>
        <w:pStyle w:val="93"/>
        <w:numPr>
          <w:ilvl w:val="0"/>
          <w:numId w:val="0"/>
        </w:numPr>
        <w:tabs>
          <w:tab w:val="left" w:pos="1243"/>
        </w:tabs>
        <w:spacing w:before="0" w:after="0" w:line="402" w:lineRule="exact"/>
        <w:ind w:leftChars="200" w:right="0" w:rightChars="0"/>
        <w:jc w:val="both"/>
        <w:rPr>
          <w:rFonts w:hint="eastAsia" w:ascii="宋体" w:hAnsi="宋体" w:eastAsia="宋体" w:cs="宋体"/>
          <w:color w:val="auto"/>
          <w:kern w:val="0"/>
          <w:sz w:val="24"/>
          <w:szCs w:val="24"/>
          <w:u w:val="none"/>
          <w:lang w:val="en-US" w:eastAsia="zh-CN" w:bidi="ar-SA"/>
        </w:rPr>
      </w:pPr>
    </w:p>
    <w:p>
      <w:pPr>
        <w:pStyle w:val="93"/>
        <w:numPr>
          <w:ilvl w:val="0"/>
          <w:numId w:val="0"/>
        </w:numPr>
        <w:tabs>
          <w:tab w:val="left" w:pos="1243"/>
        </w:tabs>
        <w:spacing w:before="0" w:after="0" w:line="402" w:lineRule="exact"/>
        <w:ind w:leftChars="200" w:right="0" w:rightChars="0"/>
        <w:jc w:val="both"/>
        <w:rPr>
          <w:rFonts w:hint="eastAsia" w:ascii="宋体" w:hAnsi="宋体" w:eastAsia="宋体" w:cs="宋体"/>
          <w:color w:val="auto"/>
          <w:kern w:val="0"/>
          <w:sz w:val="24"/>
          <w:szCs w:val="24"/>
          <w:u w:val="none"/>
          <w:lang w:val="en-US" w:eastAsia="zh-CN" w:bidi="ar-SA"/>
        </w:rPr>
      </w:pPr>
    </w:p>
    <w:p>
      <w:pPr>
        <w:pStyle w:val="93"/>
        <w:numPr>
          <w:ilvl w:val="0"/>
          <w:numId w:val="0"/>
        </w:numPr>
        <w:tabs>
          <w:tab w:val="left" w:pos="1243"/>
        </w:tabs>
        <w:spacing w:before="0" w:after="0" w:line="402" w:lineRule="exact"/>
        <w:ind w:leftChars="200" w:right="0" w:rightChars="0"/>
        <w:jc w:val="both"/>
        <w:rPr>
          <w:rFonts w:hint="eastAsia" w:ascii="宋体" w:hAnsi="宋体" w:eastAsia="宋体" w:cs="宋体"/>
          <w:color w:val="auto"/>
          <w:kern w:val="0"/>
          <w:sz w:val="24"/>
          <w:szCs w:val="24"/>
          <w:u w:val="single"/>
          <w:lang w:val="en-US" w:eastAsia="zh-CN" w:bidi="ar-SA"/>
        </w:rPr>
      </w:pPr>
      <w:r>
        <w:rPr>
          <w:rFonts w:hint="eastAsia" w:ascii="宋体" w:hAnsi="宋体" w:eastAsia="宋体" w:cs="宋体"/>
          <w:color w:val="auto"/>
          <w:kern w:val="0"/>
          <w:sz w:val="24"/>
          <w:szCs w:val="24"/>
          <w:u w:val="none"/>
          <w:lang w:val="en-US" w:eastAsia="zh-CN" w:bidi="ar-SA"/>
        </w:rPr>
        <w:t>日期：</w:t>
      </w:r>
      <w:r>
        <w:rPr>
          <w:rFonts w:hint="eastAsia" w:ascii="宋体" w:hAnsi="宋体" w:eastAsia="宋体" w:cs="宋体"/>
          <w:color w:val="auto"/>
          <w:kern w:val="0"/>
          <w:sz w:val="24"/>
          <w:szCs w:val="24"/>
          <w:u w:val="single"/>
          <w:lang w:val="en-US" w:eastAsia="zh-CN" w:bidi="ar-SA"/>
        </w:rPr>
        <w:t xml:space="preserve">                                                       </w:t>
      </w:r>
    </w:p>
    <w:p>
      <w:pPr>
        <w:pStyle w:val="93"/>
        <w:numPr>
          <w:ilvl w:val="0"/>
          <w:numId w:val="0"/>
        </w:numPr>
        <w:tabs>
          <w:tab w:val="left" w:pos="1243"/>
        </w:tabs>
        <w:spacing w:before="0" w:after="0" w:line="402" w:lineRule="exact"/>
        <w:ind w:leftChars="200" w:right="0" w:rightChars="0"/>
        <w:jc w:val="both"/>
        <w:rPr>
          <w:rFonts w:hint="eastAsia" w:ascii="宋体" w:hAnsi="宋体" w:eastAsia="宋体" w:cs="宋体"/>
          <w:color w:val="auto"/>
          <w:kern w:val="0"/>
          <w:sz w:val="24"/>
          <w:szCs w:val="24"/>
          <w:u w:val="none"/>
          <w:lang w:val="en-US" w:eastAsia="zh-CN" w:bidi="ar-SA"/>
        </w:rPr>
      </w:pPr>
    </w:p>
    <w:p>
      <w:pPr>
        <w:pStyle w:val="2"/>
        <w:rPr>
          <w:rFonts w:hint="eastAsia" w:ascii="宋体" w:hAnsi="宋体" w:eastAsia="宋体" w:cs="宋体"/>
          <w:color w:val="auto"/>
          <w:kern w:val="0"/>
          <w:sz w:val="24"/>
          <w:szCs w:val="24"/>
          <w:u w:val="none"/>
          <w:lang w:val="en-US" w:eastAsia="zh-CN" w:bidi="ar-SA"/>
        </w:rPr>
      </w:pPr>
      <w:r>
        <w:rPr>
          <w:rFonts w:hint="eastAsia" w:ascii="宋体" w:hAnsi="宋体" w:eastAsia="宋体" w:cs="宋体"/>
          <w:b/>
          <w:bCs/>
          <w:color w:val="auto"/>
          <w:kern w:val="0"/>
          <w:sz w:val="24"/>
          <w:szCs w:val="24"/>
          <w:u w:val="none"/>
          <w:lang w:val="en-US" w:eastAsia="zh-CN" w:bidi="ar-SA"/>
        </w:rPr>
        <w:t>注：须附从业人员、营业收入、资产总额填报上一年度数据，无上一年度数据的新成立企业可不填报。</w:t>
      </w:r>
    </w:p>
    <w:p>
      <w:pPr>
        <w:pStyle w:val="9"/>
        <w:spacing w:line="360" w:lineRule="exact"/>
        <w:rPr>
          <w:rFonts w:hint="eastAsia" w:ascii="宋体" w:hAnsi="宋体" w:eastAsia="宋体" w:cs="宋体"/>
          <w:b/>
          <w:color w:val="auto"/>
          <w:sz w:val="32"/>
        </w:rPr>
      </w:pPr>
      <w:r>
        <w:rPr>
          <w:rFonts w:hint="eastAsia" w:ascii="宋体" w:hAnsi="宋体" w:eastAsia="宋体" w:cs="宋体"/>
          <w:b/>
          <w:color w:val="auto"/>
          <w:sz w:val="32"/>
        </w:rPr>
        <w:t xml:space="preserve">      </w:t>
      </w:r>
    </w:p>
    <w:p>
      <w:pPr>
        <w:pStyle w:val="9"/>
        <w:spacing w:line="360" w:lineRule="exact"/>
        <w:rPr>
          <w:rFonts w:hint="eastAsia" w:ascii="宋体" w:hAnsi="宋体" w:eastAsia="宋体" w:cs="宋体"/>
          <w:b/>
          <w:color w:val="auto"/>
          <w:sz w:val="32"/>
        </w:rPr>
      </w:pPr>
    </w:p>
    <w:p>
      <w:pPr>
        <w:pStyle w:val="9"/>
        <w:spacing w:line="360" w:lineRule="exact"/>
        <w:rPr>
          <w:rFonts w:hint="eastAsia" w:ascii="宋体" w:hAnsi="宋体" w:eastAsia="宋体" w:cs="宋体"/>
          <w:b/>
          <w:color w:val="auto"/>
          <w:sz w:val="32"/>
        </w:rPr>
      </w:pPr>
    </w:p>
    <w:p>
      <w:pPr>
        <w:pStyle w:val="9"/>
        <w:spacing w:line="360" w:lineRule="exact"/>
        <w:rPr>
          <w:rFonts w:hint="eastAsia" w:ascii="宋体" w:hAnsi="宋体" w:eastAsia="宋体" w:cs="宋体"/>
          <w:b/>
          <w:color w:val="auto"/>
          <w:sz w:val="28"/>
          <w:szCs w:val="18"/>
        </w:rPr>
      </w:pPr>
      <w:r>
        <w:rPr>
          <w:rFonts w:hint="eastAsia" w:ascii="宋体" w:hAnsi="宋体" w:eastAsia="宋体" w:cs="宋体"/>
          <w:b/>
          <w:color w:val="auto"/>
          <w:sz w:val="32"/>
        </w:rPr>
        <w:br w:type="page"/>
      </w:r>
    </w:p>
    <w:p>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20"/>
        <w:textAlignment w:val="auto"/>
        <w:outlineLvl w:val="1"/>
        <w:rPr>
          <w:rFonts w:hint="eastAsia" w:ascii="宋体" w:hAnsi="宋体" w:eastAsia="宋体" w:cs="宋体"/>
          <w:b/>
          <w:bCs/>
          <w:color w:val="auto"/>
          <w:kern w:val="2"/>
          <w:sz w:val="24"/>
          <w:szCs w:val="24"/>
          <w:highlight w:val="none"/>
          <w:lang w:val="en-US" w:eastAsia="zh-CN" w:bidi="ar-SA"/>
        </w:rPr>
      </w:pPr>
      <w:bookmarkStart w:id="424" w:name="_Toc32280"/>
      <w:r>
        <w:rPr>
          <w:rFonts w:hint="eastAsia" w:ascii="宋体" w:hAnsi="宋体" w:eastAsia="宋体" w:cs="宋体"/>
          <w:b/>
          <w:bCs/>
          <w:color w:val="auto"/>
          <w:kern w:val="2"/>
          <w:sz w:val="24"/>
          <w:szCs w:val="24"/>
          <w:highlight w:val="none"/>
          <w:lang w:val="en-US" w:eastAsia="zh-CN" w:bidi="ar-SA"/>
        </w:rPr>
        <w:t>6-2  残疾人福利性单位声明函</w:t>
      </w:r>
      <w:bookmarkEnd w:id="424"/>
    </w:p>
    <w:p>
      <w:pPr>
        <w:pStyle w:val="9"/>
        <w:spacing w:line="360" w:lineRule="exact"/>
        <w:rPr>
          <w:rFonts w:hint="eastAsia" w:ascii="宋体" w:hAnsi="宋体" w:eastAsia="宋体" w:cs="宋体"/>
          <w:b/>
          <w:color w:val="auto"/>
          <w:sz w:val="32"/>
        </w:rPr>
      </w:pP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服务，或者提供其他残疾人福利性单位服务（不包括使用非残疾人福利性单位服务）。</w:t>
      </w: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本单位对上述声明的真实性负责。如有虚假，将依法承担相应责任。</w:t>
      </w: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2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w:t>
      </w: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20"/>
        <w:textAlignment w:val="auto"/>
        <w:rPr>
          <w:rFonts w:hint="eastAsia" w:ascii="宋体" w:hAnsi="宋体" w:eastAsia="宋体" w:cs="宋体"/>
          <w:color w:val="auto"/>
          <w:kern w:val="2"/>
          <w:sz w:val="24"/>
          <w:szCs w:val="24"/>
          <w:highlight w:val="none"/>
          <w:lang w:val="en-US" w:eastAsia="zh-CN" w:bidi="ar-SA"/>
        </w:rPr>
      </w:pP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20"/>
        <w:textAlignment w:val="auto"/>
        <w:rPr>
          <w:rFonts w:hint="eastAsia" w:ascii="宋体" w:hAnsi="宋体" w:eastAsia="宋体" w:cs="宋体"/>
          <w:color w:val="auto"/>
          <w:kern w:val="2"/>
          <w:sz w:val="24"/>
          <w:szCs w:val="24"/>
          <w:highlight w:val="none"/>
          <w:lang w:val="en-US" w:eastAsia="zh-CN" w:bidi="ar-SA"/>
        </w:rPr>
      </w:pPr>
    </w:p>
    <w:p>
      <w:pPr>
        <w:spacing w:line="240" w:lineRule="atLeast"/>
        <w:ind w:left="1080" w:leftChars="257" w:hanging="540"/>
        <w:jc w:val="center"/>
        <w:rPr>
          <w:rFonts w:hint="eastAsia" w:ascii="宋体" w:hAnsi="宋体" w:eastAsia="宋体" w:cs="宋体"/>
          <w:color w:val="auto"/>
          <w:kern w:val="0"/>
          <w:sz w:val="24"/>
          <w:u w:val="single"/>
          <w:lang w:val="en-US" w:eastAsia="zh-CN"/>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color w:val="auto"/>
          <w:kern w:val="0"/>
          <w:sz w:val="24"/>
        </w:rPr>
        <w:t xml:space="preserve"> 残疾人福利性单位名称（公章）：</w:t>
      </w:r>
      <w:r>
        <w:rPr>
          <w:rFonts w:hint="eastAsia" w:ascii="宋体" w:hAnsi="宋体" w:eastAsia="宋体" w:cs="宋体"/>
          <w:color w:val="auto"/>
          <w:kern w:val="0"/>
          <w:sz w:val="24"/>
          <w:u w:val="single"/>
          <w:lang w:val="en-US" w:eastAsia="zh-CN"/>
        </w:rPr>
        <w:t xml:space="preserve">                </w:t>
      </w:r>
    </w:p>
    <w:p>
      <w:pPr>
        <w:spacing w:line="240" w:lineRule="atLeast"/>
        <w:ind w:left="1080" w:leftChars="257" w:hanging="540"/>
        <w:jc w:val="center"/>
        <w:rPr>
          <w:rFonts w:hint="eastAsia" w:ascii="宋体" w:hAnsi="宋体" w:eastAsia="宋体" w:cs="宋体"/>
          <w:b/>
          <w:color w:val="auto"/>
          <w:kern w:val="0"/>
          <w:sz w:val="24"/>
          <w:u w:val="single"/>
          <w:lang w:val="en-US" w:eastAsia="zh-CN"/>
        </w:rPr>
      </w:pPr>
      <w:r>
        <w:rPr>
          <w:rFonts w:hint="eastAsia" w:ascii="宋体" w:hAnsi="宋体" w:eastAsia="宋体" w:cs="宋体"/>
          <w:color w:val="auto"/>
          <w:kern w:val="0"/>
          <w:sz w:val="24"/>
        </w:rPr>
        <w:t xml:space="preserve">                 日  期：</w:t>
      </w:r>
      <w:r>
        <w:rPr>
          <w:rFonts w:hint="eastAsia" w:ascii="宋体" w:hAnsi="宋体" w:eastAsia="宋体" w:cs="宋体"/>
          <w:color w:val="auto"/>
          <w:kern w:val="0"/>
          <w:sz w:val="24"/>
          <w:u w:val="single"/>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20"/>
        <w:textAlignment w:val="auto"/>
        <w:rPr>
          <w:rFonts w:hint="eastAsia" w:ascii="宋体" w:hAnsi="宋体" w:eastAsia="宋体" w:cs="宋体"/>
          <w:color w:val="auto"/>
          <w:kern w:val="2"/>
          <w:sz w:val="24"/>
          <w:szCs w:val="24"/>
          <w:highlight w:val="none"/>
          <w:lang w:val="en-US" w:eastAsia="zh-CN" w:bidi="ar-SA"/>
        </w:rPr>
      </w:pPr>
    </w:p>
    <w:p>
      <w:pPr>
        <w:pStyle w:val="9"/>
        <w:keepNext w:val="0"/>
        <w:keepLines w:val="0"/>
        <w:pageBreakBefore w:val="0"/>
        <w:widowControl w:val="0"/>
        <w:kinsoku/>
        <w:wordWrap/>
        <w:overflowPunct/>
        <w:topLinePunct w:val="0"/>
        <w:autoSpaceDE w:val="0"/>
        <w:autoSpaceDN w:val="0"/>
        <w:bidi w:val="0"/>
        <w:adjustRightInd w:val="0"/>
        <w:snapToGrid/>
        <w:spacing w:line="440" w:lineRule="exact"/>
        <w:ind w:firstLine="420"/>
        <w:textAlignment w:val="auto"/>
        <w:rPr>
          <w:rFonts w:hint="eastAsia" w:ascii="宋体" w:hAnsi="宋体" w:eastAsia="宋体" w:cs="宋体"/>
          <w:b/>
          <w:color w:val="auto"/>
          <w:sz w:val="32"/>
        </w:rPr>
      </w:pPr>
    </w:p>
    <w:p>
      <w:pPr>
        <w:pStyle w:val="9"/>
        <w:spacing w:line="360" w:lineRule="exact"/>
        <w:rPr>
          <w:rFonts w:hint="eastAsia" w:ascii="宋体" w:hAnsi="宋体" w:eastAsia="宋体" w:cs="宋体"/>
          <w:b/>
          <w:color w:val="auto"/>
          <w:sz w:val="28"/>
          <w:szCs w:val="18"/>
        </w:rPr>
      </w:pPr>
    </w:p>
    <w:p>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20"/>
        <w:textAlignment w:val="auto"/>
        <w:outlineLvl w:val="1"/>
        <w:rPr>
          <w:rFonts w:hint="eastAsia" w:ascii="宋体" w:hAnsi="宋体" w:eastAsia="宋体" w:cs="宋体"/>
          <w:b/>
          <w:bCs/>
          <w:color w:val="auto"/>
          <w:kern w:val="2"/>
          <w:sz w:val="24"/>
          <w:szCs w:val="24"/>
          <w:highlight w:val="none"/>
          <w:lang w:val="en-US" w:eastAsia="zh-CN" w:bidi="ar-SA"/>
        </w:rPr>
      </w:pPr>
      <w:bookmarkStart w:id="425" w:name="_Toc28864"/>
      <w:r>
        <w:rPr>
          <w:rFonts w:hint="eastAsia" w:ascii="宋体" w:hAnsi="宋体" w:eastAsia="宋体" w:cs="宋体"/>
          <w:b/>
          <w:bCs/>
          <w:color w:val="auto"/>
          <w:kern w:val="2"/>
          <w:sz w:val="24"/>
          <w:szCs w:val="24"/>
          <w:highlight w:val="none"/>
          <w:lang w:val="en-US" w:eastAsia="zh-CN" w:bidi="ar-SA"/>
        </w:rPr>
        <w:t>7、供应商关联单位的说明</w:t>
      </w:r>
      <w:bookmarkEnd w:id="425"/>
    </w:p>
    <w:p>
      <w:pPr>
        <w:pStyle w:val="9"/>
        <w:spacing w:line="360" w:lineRule="exact"/>
        <w:rPr>
          <w:rFonts w:hint="eastAsia" w:ascii="宋体" w:hAnsi="宋体" w:eastAsia="宋体" w:cs="宋体"/>
          <w:b/>
          <w:color w:val="auto"/>
          <w:sz w:val="32"/>
        </w:rPr>
      </w:pPr>
    </w:p>
    <w:p>
      <w:pPr>
        <w:pStyle w:val="9"/>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说明：供应商应当如实披露与本单位存在下列关联关系的单位名称：</w:t>
      </w:r>
    </w:p>
    <w:p>
      <w:pPr>
        <w:pStyle w:val="9"/>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（1）与供应商单位负责人为同一人的其他单位；</w:t>
      </w:r>
    </w:p>
    <w:p>
      <w:pPr>
        <w:pStyle w:val="9"/>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（2）与供应商存在直接控股、管理关系的其他单位。</w:t>
      </w:r>
    </w:p>
    <w:p>
      <w:pPr>
        <w:pStyle w:val="9"/>
        <w:spacing w:line="360" w:lineRule="exact"/>
        <w:rPr>
          <w:rFonts w:hint="eastAsia" w:ascii="宋体" w:hAnsi="宋体" w:eastAsia="宋体" w:cs="宋体"/>
          <w:b/>
          <w:color w:val="auto"/>
          <w:sz w:val="32"/>
        </w:rPr>
      </w:pPr>
    </w:p>
    <w:p>
      <w:pPr>
        <w:pStyle w:val="9"/>
        <w:spacing w:line="360" w:lineRule="exact"/>
        <w:rPr>
          <w:rFonts w:hint="eastAsia" w:ascii="宋体" w:hAnsi="宋体" w:eastAsia="宋体" w:cs="宋体"/>
          <w:b/>
          <w:color w:val="auto"/>
          <w:sz w:val="32"/>
        </w:rPr>
      </w:pPr>
    </w:p>
    <w:p>
      <w:pPr>
        <w:pStyle w:val="9"/>
        <w:spacing w:line="360" w:lineRule="exact"/>
        <w:rPr>
          <w:rFonts w:hint="eastAsia" w:ascii="宋体" w:hAnsi="宋体" w:eastAsia="宋体" w:cs="宋体"/>
          <w:b/>
          <w:color w:val="auto"/>
          <w:sz w:val="32"/>
        </w:rPr>
      </w:pPr>
    </w:p>
    <w:p>
      <w:pPr>
        <w:pStyle w:val="9"/>
        <w:keepNext w:val="0"/>
        <w:keepLines w:val="0"/>
        <w:pageBreakBefore w:val="0"/>
        <w:widowControl w:val="0"/>
        <w:kinsoku/>
        <w:wordWrap/>
        <w:overflowPunct/>
        <w:topLinePunct w:val="0"/>
        <w:autoSpaceDE w:val="0"/>
        <w:autoSpaceDN w:val="0"/>
        <w:bidi w:val="0"/>
        <w:adjustRightInd w:val="0"/>
        <w:snapToGrid/>
        <w:spacing w:line="360" w:lineRule="exact"/>
        <w:ind w:firstLine="420"/>
        <w:textAlignment w:val="auto"/>
        <w:outlineLvl w:val="1"/>
        <w:rPr>
          <w:rFonts w:hint="eastAsia" w:ascii="宋体" w:hAnsi="宋体" w:eastAsia="宋体" w:cs="宋体"/>
          <w:b/>
          <w:bCs/>
          <w:color w:val="auto"/>
          <w:kern w:val="2"/>
          <w:sz w:val="24"/>
          <w:szCs w:val="24"/>
          <w:highlight w:val="none"/>
          <w:lang w:val="en-US" w:eastAsia="zh-CN" w:bidi="ar-SA"/>
        </w:rPr>
      </w:pPr>
      <w:bookmarkStart w:id="426" w:name="_Toc19131"/>
      <w:r>
        <w:rPr>
          <w:rFonts w:hint="eastAsia" w:ascii="宋体" w:hAnsi="宋体" w:eastAsia="宋体" w:cs="宋体"/>
          <w:b/>
          <w:bCs/>
          <w:color w:val="auto"/>
          <w:kern w:val="2"/>
          <w:sz w:val="24"/>
          <w:szCs w:val="24"/>
          <w:highlight w:val="none"/>
          <w:lang w:val="en-US" w:eastAsia="zh-CN" w:bidi="ar-SA"/>
        </w:rPr>
        <w:t>8、供应商可提供有利于投标的其他资格证明材料。</w:t>
      </w:r>
      <w:bookmarkEnd w:id="426"/>
    </w:p>
    <w:p>
      <w:pPr>
        <w:pStyle w:val="9"/>
        <w:spacing w:line="360" w:lineRule="exact"/>
        <w:rPr>
          <w:rFonts w:hint="eastAsia" w:ascii="宋体" w:hAnsi="宋体" w:eastAsia="宋体" w:cs="宋体"/>
          <w:b/>
          <w:color w:val="auto"/>
          <w:sz w:val="32"/>
        </w:rPr>
      </w:pPr>
    </w:p>
    <w:p>
      <w:pPr>
        <w:pStyle w:val="9"/>
        <w:spacing w:line="360" w:lineRule="exact"/>
        <w:rPr>
          <w:rFonts w:hint="eastAsia" w:ascii="宋体" w:hAnsi="宋体" w:eastAsia="宋体" w:cs="宋体"/>
          <w:b/>
          <w:color w:val="auto"/>
          <w:sz w:val="32"/>
        </w:rPr>
      </w:pPr>
    </w:p>
    <w:tbl>
      <w:tblPr>
        <w:tblStyle w:val="34"/>
        <w:tblpPr w:leftFromText="180" w:rightFromText="180" w:vertAnchor="text" w:horzAnchor="page" w:tblpX="1380" w:tblpY="440"/>
        <w:tblOverlap w:val="never"/>
        <w:tblW w:w="9520" w:type="dxa"/>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520"/>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2335" w:hRule="atLeast"/>
        </w:trPr>
        <w:tc>
          <w:tcPr>
            <w:tcW w:w="9520" w:type="dxa"/>
            <w:shd w:val="clear" w:color="auto" w:fill="FCFEEA"/>
            <w:noWrap w:val="0"/>
            <w:vAlign w:val="top"/>
          </w:tcPr>
          <w:p>
            <w:pPr>
              <w:pStyle w:val="12"/>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highlight w:val="none"/>
                <w:lang w:val="en-US" w:eastAsia="zh-CN"/>
              </w:rPr>
              <w:t>正本</w:t>
            </w:r>
            <w:r>
              <w:rPr>
                <w:rFonts w:hint="eastAsia" w:cs="宋体"/>
                <w:b/>
                <w:bCs/>
                <w:color w:val="auto"/>
                <w:sz w:val="28"/>
                <w:szCs w:val="28"/>
                <w:highlight w:val="none"/>
                <w:lang w:val="en-US" w:eastAsia="zh-CN"/>
              </w:rPr>
              <w:t>和</w:t>
            </w:r>
            <w:r>
              <w:rPr>
                <w:rFonts w:hint="eastAsia" w:ascii="宋体" w:hAnsi="宋体" w:eastAsia="宋体" w:cs="宋体"/>
                <w:b/>
                <w:bCs/>
                <w:color w:val="auto"/>
                <w:sz w:val="28"/>
                <w:szCs w:val="28"/>
                <w:highlight w:val="none"/>
                <w:lang w:val="en-US" w:eastAsia="zh-CN"/>
              </w:rPr>
              <w:t>副本</w:t>
            </w:r>
            <w:r>
              <w:rPr>
                <w:rFonts w:hint="eastAsia" w:ascii="宋体" w:hAnsi="宋体" w:eastAsia="宋体" w:cs="宋体"/>
                <w:b/>
                <w:bCs/>
                <w:color w:val="auto"/>
                <w:sz w:val="28"/>
                <w:szCs w:val="28"/>
                <w:lang w:val="en-US" w:eastAsia="zh-CN"/>
              </w:rPr>
              <w:t>）</w:t>
            </w:r>
          </w:p>
          <w:p>
            <w:pPr>
              <w:pStyle w:val="12"/>
              <w:ind w:firstLine="4216" w:firstLineChars="1500"/>
              <w:rPr>
                <w:rFonts w:hint="eastAsia" w:ascii="宋体" w:hAnsi="宋体" w:eastAsia="宋体" w:cs="宋体"/>
                <w:b/>
                <w:bCs/>
                <w:color w:val="auto"/>
                <w:sz w:val="28"/>
                <w:szCs w:val="28"/>
                <w:lang w:val="en-US" w:eastAsia="zh-CN"/>
              </w:rPr>
            </w:pPr>
          </w:p>
          <w:p>
            <w:pPr>
              <w:pStyle w:val="12"/>
              <w:ind w:firstLine="4216" w:firstLineChars="1500"/>
              <w:rPr>
                <w:rFonts w:hint="eastAsia" w:ascii="宋体" w:hAnsi="宋体" w:eastAsia="宋体" w:cs="宋体"/>
                <w:b/>
                <w:bCs/>
                <w:color w:val="auto"/>
                <w:sz w:val="28"/>
                <w:szCs w:val="28"/>
                <w:lang w:val="en-US" w:eastAsia="zh-CN"/>
              </w:rPr>
            </w:pPr>
          </w:p>
          <w:p>
            <w:pPr>
              <w:pStyle w:val="12"/>
              <w:rPr>
                <w:rFonts w:hint="eastAsia" w:ascii="宋体" w:hAnsi="宋体" w:eastAsia="宋体" w:cs="宋体"/>
                <w:b/>
                <w:bCs/>
                <w:color w:val="auto"/>
                <w:sz w:val="28"/>
                <w:szCs w:val="28"/>
                <w:lang w:val="en-US" w:eastAsia="zh-CN"/>
              </w:rPr>
            </w:pPr>
          </w:p>
          <w:p>
            <w:pPr>
              <w:pStyle w:val="12"/>
              <w:ind w:firstLine="2530" w:firstLineChars="90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 *** *** *** ***   项目</w:t>
            </w:r>
          </w:p>
          <w:p>
            <w:pPr>
              <w:pStyle w:val="12"/>
              <w:jc w:val="center"/>
              <w:rPr>
                <w:rFonts w:hint="eastAsia" w:ascii="宋体" w:hAnsi="宋体" w:eastAsia="宋体" w:cs="宋体"/>
                <w:b/>
                <w:bCs/>
                <w:color w:val="auto"/>
                <w:sz w:val="21"/>
                <w:szCs w:val="21"/>
                <w:lang w:val="en-US" w:eastAsia="zh-CN"/>
              </w:rPr>
            </w:pPr>
          </w:p>
          <w:p>
            <w:pPr>
              <w:pStyle w:val="12"/>
              <w:ind w:firstLine="3162" w:firstLineChars="15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编号＊＊＊＊＊＊</w:t>
            </w:r>
          </w:p>
          <w:p>
            <w:pPr>
              <w:pStyle w:val="12"/>
              <w:jc w:val="center"/>
              <w:rPr>
                <w:rFonts w:hint="eastAsia" w:ascii="宋体" w:hAnsi="宋体" w:eastAsia="宋体" w:cs="宋体"/>
                <w:b/>
                <w:bCs/>
                <w:color w:val="auto"/>
                <w:sz w:val="48"/>
                <w:lang w:val="en-US" w:eastAsia="zh-CN"/>
              </w:rPr>
            </w:pPr>
          </w:p>
          <w:p>
            <w:pPr>
              <w:pStyle w:val="12"/>
              <w:jc w:val="center"/>
              <w:rPr>
                <w:rFonts w:hint="eastAsia" w:ascii="宋体" w:hAnsi="宋体" w:eastAsia="宋体" w:cs="宋体"/>
                <w:b/>
                <w:bCs/>
                <w:color w:val="auto"/>
                <w:sz w:val="48"/>
                <w:lang w:val="en-US" w:eastAsia="zh-CN"/>
              </w:rPr>
            </w:pPr>
            <w:r>
              <w:rPr>
                <w:rFonts w:hint="eastAsia" w:ascii="宋体" w:hAnsi="宋体" w:eastAsia="宋体" w:cs="宋体"/>
                <w:b/>
                <w:bCs/>
                <w:color w:val="auto"/>
                <w:sz w:val="48"/>
                <w:lang w:val="en-US" w:eastAsia="zh-CN"/>
              </w:rPr>
              <w:t>投 标 文 件</w:t>
            </w:r>
          </w:p>
          <w:p>
            <w:pPr>
              <w:jc w:val="center"/>
              <w:rPr>
                <w:rFonts w:hint="eastAsia" w:ascii="宋体" w:hAnsi="宋体" w:eastAsia="宋体" w:cs="宋体"/>
                <w:b/>
                <w:color w:val="auto"/>
                <w:sz w:val="32"/>
              </w:rPr>
            </w:pPr>
          </w:p>
          <w:p>
            <w:pPr>
              <w:pStyle w:val="9"/>
              <w:rPr>
                <w:rFonts w:hint="eastAsia" w:ascii="宋体" w:hAnsi="宋体" w:eastAsia="宋体" w:cs="宋体"/>
                <w:b/>
                <w:color w:val="auto"/>
                <w:sz w:val="32"/>
              </w:rPr>
            </w:pPr>
          </w:p>
          <w:p>
            <w:pPr>
              <w:pStyle w:val="9"/>
              <w:rPr>
                <w:rFonts w:hint="eastAsia" w:ascii="宋体" w:hAnsi="宋体" w:eastAsia="宋体" w:cs="宋体"/>
                <w:b/>
                <w:color w:val="auto"/>
                <w:sz w:val="32"/>
              </w:rPr>
            </w:pPr>
          </w:p>
          <w:p>
            <w:pPr>
              <w:spacing w:line="360" w:lineRule="auto"/>
              <w:ind w:left="176" w:leftChars="84" w:firstLine="840" w:firstLineChars="400"/>
              <w:rPr>
                <w:rFonts w:hint="eastAsia" w:ascii="宋体" w:hAnsi="宋体" w:eastAsia="宋体" w:cs="宋体"/>
                <w:color w:val="auto"/>
                <w:szCs w:val="21"/>
              </w:rPr>
            </w:pPr>
            <w:r>
              <w:rPr>
                <w:rFonts w:hint="eastAsia" w:ascii="宋体" w:hAnsi="宋体" w:eastAsia="宋体" w:cs="宋体"/>
                <w:color w:val="auto"/>
                <w:szCs w:val="21"/>
              </w:rPr>
              <w:t>投 标 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（公章）</w:t>
            </w:r>
          </w:p>
          <w:p>
            <w:pPr>
              <w:spacing w:line="360" w:lineRule="auto"/>
              <w:ind w:left="176" w:leftChars="84"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项目名称：</w:t>
            </w:r>
            <w:r>
              <w:rPr>
                <w:rFonts w:hint="eastAsia" w:ascii="宋体" w:hAnsi="宋体" w:eastAsia="宋体" w:cs="宋体"/>
                <w:color w:val="auto"/>
                <w:szCs w:val="21"/>
                <w:u w:val="single"/>
              </w:rPr>
              <w:t xml:space="preserve">                                          </w:t>
            </w:r>
          </w:p>
          <w:p>
            <w:pPr>
              <w:spacing w:line="360" w:lineRule="auto"/>
              <w:ind w:left="176" w:leftChars="84"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项目编号：</w:t>
            </w:r>
            <w:r>
              <w:rPr>
                <w:rFonts w:hint="eastAsia" w:ascii="宋体" w:hAnsi="宋体" w:eastAsia="宋体" w:cs="宋体"/>
                <w:color w:val="auto"/>
                <w:szCs w:val="21"/>
                <w:u w:val="single"/>
              </w:rPr>
              <w:t xml:space="preserve">                                        </w:t>
            </w:r>
          </w:p>
          <w:p>
            <w:pPr>
              <w:spacing w:line="360" w:lineRule="auto"/>
              <w:ind w:left="176" w:leftChars="84"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联 系 人：</w:t>
            </w:r>
            <w:r>
              <w:rPr>
                <w:rFonts w:hint="eastAsia" w:ascii="宋体" w:hAnsi="宋体" w:eastAsia="宋体" w:cs="宋体"/>
                <w:color w:val="auto"/>
                <w:szCs w:val="21"/>
                <w:u w:val="single"/>
              </w:rPr>
              <w:t xml:space="preserve">                                        </w:t>
            </w:r>
          </w:p>
          <w:p>
            <w:pPr>
              <w:spacing w:line="360" w:lineRule="auto"/>
              <w:ind w:left="176" w:leftChars="84" w:firstLine="840" w:firstLineChars="400"/>
              <w:rPr>
                <w:rFonts w:hint="eastAsia" w:ascii="宋体" w:hAnsi="宋体" w:eastAsia="宋体" w:cs="宋体"/>
                <w:color w:val="auto"/>
                <w:szCs w:val="21"/>
              </w:rPr>
            </w:pPr>
            <w:r>
              <w:rPr>
                <w:rFonts w:hint="eastAsia" w:ascii="宋体" w:hAnsi="宋体" w:eastAsia="宋体" w:cs="宋体"/>
                <w:color w:val="auto"/>
                <w:szCs w:val="21"/>
              </w:rPr>
              <w:t>电    话：</w:t>
            </w:r>
            <w:r>
              <w:rPr>
                <w:rFonts w:hint="eastAsia" w:ascii="宋体" w:hAnsi="宋体" w:eastAsia="宋体" w:cs="宋体"/>
                <w:color w:val="auto"/>
                <w:szCs w:val="21"/>
                <w:u w:val="single"/>
              </w:rPr>
              <w:t xml:space="preserve">                                        </w:t>
            </w:r>
          </w:p>
          <w:p>
            <w:pPr>
              <w:spacing w:line="360" w:lineRule="auto"/>
              <w:ind w:left="176" w:leftChars="84"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 xml:space="preserve">地    址  ：  </w:t>
            </w:r>
            <w:r>
              <w:rPr>
                <w:rFonts w:hint="eastAsia" w:ascii="宋体" w:hAnsi="宋体" w:eastAsia="宋体" w:cs="宋体"/>
                <w:color w:val="auto"/>
                <w:szCs w:val="21"/>
                <w:u w:val="single"/>
              </w:rPr>
              <w:t xml:space="preserve">                                    </w:t>
            </w:r>
          </w:p>
          <w:p>
            <w:pPr>
              <w:spacing w:line="360" w:lineRule="auto"/>
              <w:ind w:left="176" w:leftChars="84" w:firstLine="960" w:firstLineChars="400"/>
              <w:rPr>
                <w:rFonts w:hint="eastAsia" w:ascii="宋体" w:hAnsi="宋体" w:eastAsia="宋体" w:cs="宋体"/>
                <w:color w:val="auto"/>
                <w:sz w:val="24"/>
              </w:rPr>
            </w:pPr>
          </w:p>
          <w:p>
            <w:pPr>
              <w:jc w:val="center"/>
              <w:rPr>
                <w:rFonts w:hint="eastAsia" w:ascii="宋体" w:hAnsi="宋体" w:eastAsia="宋体" w:cs="宋体"/>
                <w:b/>
                <w:bCs/>
                <w:color w:val="auto"/>
              </w:rPr>
            </w:pPr>
          </w:p>
          <w:p>
            <w:pPr>
              <w:jc w:val="center"/>
              <w:rPr>
                <w:rFonts w:hint="eastAsia" w:ascii="宋体" w:hAnsi="宋体" w:eastAsia="宋体" w:cs="宋体"/>
                <w:b/>
                <w:bCs/>
                <w:color w:val="auto"/>
              </w:rPr>
            </w:pPr>
          </w:p>
          <w:p>
            <w:pPr>
              <w:jc w:val="center"/>
              <w:rPr>
                <w:rFonts w:hint="eastAsia" w:ascii="宋体" w:hAnsi="宋体" w:eastAsia="宋体" w:cs="宋体"/>
                <w:b/>
                <w:bCs/>
                <w:color w:val="auto"/>
              </w:rPr>
            </w:pPr>
            <w:r>
              <w:rPr>
                <w:rFonts w:hint="eastAsia" w:ascii="宋体" w:hAnsi="宋体" w:eastAsia="宋体" w:cs="宋体"/>
                <w:b/>
                <w:bCs/>
                <w:color w:val="auto"/>
              </w:rPr>
              <w:t>注：   在20</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rPr>
              <w:t xml:space="preserve">年   月  日 </w:t>
            </w:r>
            <w:r>
              <w:rPr>
                <w:rFonts w:hint="eastAsia" w:ascii="宋体" w:hAnsi="宋体" w:eastAsia="宋体" w:cs="宋体"/>
                <w:b/>
                <w:bCs/>
                <w:color w:val="auto"/>
                <w:lang w:val="en-US" w:eastAsia="zh-CN"/>
              </w:rPr>
              <w:t>*</w:t>
            </w:r>
            <w:r>
              <w:rPr>
                <w:rFonts w:hint="eastAsia" w:ascii="宋体" w:hAnsi="宋体" w:eastAsia="宋体" w:cs="宋体"/>
                <w:b/>
                <w:bCs/>
                <w:color w:val="auto"/>
              </w:rPr>
              <w:t>午</w:t>
            </w:r>
            <w:r>
              <w:rPr>
                <w:rFonts w:hint="eastAsia" w:ascii="宋体" w:hAnsi="宋体" w:eastAsia="宋体" w:cs="宋体"/>
                <w:b/>
                <w:bCs/>
                <w:color w:val="auto"/>
                <w:lang w:val="en-US" w:eastAsia="zh-CN"/>
              </w:rPr>
              <w:t xml:space="preserve">   </w:t>
            </w:r>
            <w:r>
              <w:rPr>
                <w:rFonts w:hint="eastAsia" w:ascii="宋体" w:hAnsi="宋体" w:eastAsia="宋体" w:cs="宋体"/>
                <w:b/>
                <w:bCs/>
                <w:color w:val="auto"/>
              </w:rPr>
              <w:t>之前不得启封</w:t>
            </w:r>
          </w:p>
          <w:p>
            <w:pPr>
              <w:jc w:val="center"/>
              <w:rPr>
                <w:rFonts w:hint="eastAsia" w:ascii="宋体" w:hAnsi="宋体" w:eastAsia="宋体" w:cs="宋体"/>
                <w:b/>
                <w:bCs/>
                <w:color w:val="auto"/>
              </w:rPr>
            </w:pPr>
          </w:p>
        </w:tc>
      </w:tr>
    </w:tbl>
    <w:p>
      <w:pPr>
        <w:spacing w:line="240" w:lineRule="atLeast"/>
        <w:jc w:val="left"/>
        <w:outlineLvl w:val="1"/>
        <w:rPr>
          <w:rFonts w:hint="eastAsia" w:ascii="宋体" w:hAnsi="宋体" w:eastAsia="宋体" w:cs="宋体"/>
          <w:b/>
          <w:bCs/>
          <w:color w:val="auto"/>
          <w:kern w:val="2"/>
          <w:sz w:val="24"/>
          <w:szCs w:val="24"/>
          <w:highlight w:val="none"/>
          <w:lang w:val="en-US" w:eastAsia="zh-CN" w:bidi="ar-SA"/>
        </w:rPr>
      </w:pPr>
      <w:bookmarkStart w:id="427" w:name="_Toc21731"/>
      <w:bookmarkStart w:id="428" w:name="_Toc25039"/>
      <w:r>
        <w:rPr>
          <w:rFonts w:hint="eastAsia" w:ascii="宋体" w:hAnsi="宋体" w:eastAsia="宋体" w:cs="宋体"/>
          <w:b/>
          <w:bCs/>
          <w:color w:val="auto"/>
          <w:kern w:val="2"/>
          <w:sz w:val="24"/>
          <w:szCs w:val="24"/>
          <w:highlight w:val="none"/>
          <w:lang w:val="en-US" w:eastAsia="zh-CN" w:bidi="ar-SA"/>
        </w:rPr>
        <w:t>9、投标文件格式范本</w:t>
      </w:r>
      <w:bookmarkEnd w:id="427"/>
      <w:bookmarkEnd w:id="428"/>
    </w:p>
    <w:p>
      <w:pPr>
        <w:spacing w:line="360" w:lineRule="exact"/>
        <w:rPr>
          <w:rFonts w:hint="eastAsia" w:ascii="宋体" w:hAnsi="宋体" w:eastAsia="宋体" w:cs="宋体"/>
          <w:color w:val="auto"/>
        </w:rPr>
        <w:sectPr>
          <w:headerReference r:id="rId6" w:type="default"/>
          <w:headerReference r:id="rId7" w:type="even"/>
          <w:footerReference r:id="rId8" w:type="even"/>
          <w:pgSz w:w="11906" w:h="16838"/>
          <w:pgMar w:top="1440" w:right="1797" w:bottom="1440" w:left="1797" w:header="851" w:footer="992" w:gutter="0"/>
          <w:pgNumType w:fmt="decimal"/>
          <w:cols w:space="720" w:num="1"/>
          <w:docGrid w:linePitch="312" w:charSpace="0"/>
        </w:sectPr>
      </w:pPr>
    </w:p>
    <w:p>
      <w:pPr>
        <w:pStyle w:val="9"/>
        <w:spacing w:line="360" w:lineRule="auto"/>
        <w:ind w:left="0" w:leftChars="0" w:firstLine="0" w:firstLineChars="0"/>
        <w:rPr>
          <w:rFonts w:hint="eastAsia" w:ascii="宋体" w:hAnsi="宋体" w:eastAsia="宋体" w:cs="宋体"/>
          <w:color w:val="auto"/>
        </w:rPr>
      </w:pPr>
    </w:p>
    <w:p>
      <w:pPr>
        <w:spacing w:line="360" w:lineRule="auto"/>
        <w:jc w:val="center"/>
        <w:rPr>
          <w:rFonts w:hint="eastAsia" w:ascii="宋体" w:hAnsi="宋体" w:eastAsia="宋体" w:cs="宋体"/>
          <w:b/>
          <w:color w:val="auto"/>
          <w:sz w:val="44"/>
          <w:szCs w:val="44"/>
        </w:rPr>
      </w:pPr>
    </w:p>
    <w:p>
      <w:pPr>
        <w:pStyle w:val="12"/>
        <w:rPr>
          <w:rFonts w:hint="eastAsia" w:ascii="宋体" w:hAnsi="宋体" w:eastAsia="宋体" w:cs="宋体"/>
          <w:b/>
          <w:color w:val="auto"/>
          <w:sz w:val="44"/>
          <w:szCs w:val="44"/>
        </w:rPr>
      </w:pPr>
    </w:p>
    <w:p>
      <w:pPr>
        <w:rPr>
          <w:rFonts w:hint="eastAsia" w:ascii="宋体" w:hAnsi="宋体" w:eastAsia="宋体" w:cs="宋体"/>
          <w:b/>
          <w:color w:val="auto"/>
          <w:sz w:val="44"/>
          <w:szCs w:val="44"/>
        </w:rPr>
      </w:pPr>
    </w:p>
    <w:p>
      <w:pPr>
        <w:pStyle w:val="2"/>
        <w:rPr>
          <w:rFonts w:hint="eastAsia"/>
        </w:rPr>
      </w:pPr>
    </w:p>
    <w:p>
      <w:pPr>
        <w:pStyle w:val="12"/>
        <w:rPr>
          <w:rFonts w:hint="eastAsia" w:ascii="宋体" w:hAnsi="宋体" w:eastAsia="宋体" w:cs="宋体"/>
        </w:rPr>
      </w:pPr>
    </w:p>
    <w:p>
      <w:pPr>
        <w:spacing w:line="360" w:lineRule="auto"/>
        <w:jc w:val="center"/>
        <w:rPr>
          <w:rFonts w:hint="eastAsia" w:ascii="宋体" w:hAnsi="宋体" w:eastAsia="宋体" w:cs="宋体"/>
          <w:b/>
          <w:color w:val="auto"/>
          <w:sz w:val="40"/>
          <w:szCs w:val="40"/>
        </w:rPr>
      </w:pPr>
      <w:r>
        <w:rPr>
          <w:rFonts w:hint="eastAsia" w:ascii="宋体" w:hAnsi="宋体" w:eastAsia="宋体" w:cs="宋体"/>
          <w:b/>
          <w:color w:val="auto"/>
          <w:sz w:val="44"/>
          <w:szCs w:val="44"/>
        </w:rPr>
        <w:t>招 标 文 件</w:t>
      </w:r>
    </w:p>
    <w:p>
      <w:pPr>
        <w:spacing w:line="360" w:lineRule="auto"/>
        <w:jc w:val="center"/>
        <w:rPr>
          <w:rFonts w:hint="eastAsia" w:ascii="宋体" w:hAnsi="宋体" w:eastAsia="宋体" w:cs="宋体"/>
          <w:b/>
          <w:color w:val="auto"/>
          <w:sz w:val="32"/>
          <w:lang w:val="en-US"/>
        </w:rPr>
      </w:pPr>
      <w:r>
        <w:rPr>
          <w:rFonts w:hint="eastAsia" w:ascii="宋体" w:hAnsi="宋体" w:eastAsia="宋体" w:cs="宋体"/>
          <w:b/>
          <w:color w:val="auto"/>
          <w:sz w:val="40"/>
          <w:szCs w:val="40"/>
          <w:lang w:eastAsia="zh-CN"/>
        </w:rPr>
        <w:t>项目编号：</w:t>
      </w:r>
      <w:r>
        <w:rPr>
          <w:rFonts w:hint="eastAsia" w:ascii="宋体" w:hAnsi="宋体" w:eastAsia="宋体" w:cs="宋体"/>
          <w:b/>
          <w:color w:val="auto"/>
          <w:sz w:val="40"/>
          <w:szCs w:val="40"/>
          <w:lang w:val="en-US" w:eastAsia="zh-CN"/>
        </w:rPr>
        <w:t>ZJ(GK)-22025</w:t>
      </w:r>
    </w:p>
    <w:p>
      <w:pPr>
        <w:spacing w:line="360" w:lineRule="auto"/>
        <w:jc w:val="center"/>
        <w:rPr>
          <w:rFonts w:hint="eastAsia" w:ascii="宋体" w:hAnsi="宋体" w:eastAsia="宋体" w:cs="宋体"/>
          <w:b/>
          <w:color w:val="auto"/>
          <w:sz w:val="44"/>
          <w:szCs w:val="36"/>
        </w:rPr>
      </w:pPr>
      <w:r>
        <w:rPr>
          <w:rFonts w:hint="eastAsia" w:ascii="宋体" w:hAnsi="宋体" w:eastAsia="宋体" w:cs="宋体"/>
          <w:b/>
          <w:color w:val="auto"/>
          <w:sz w:val="44"/>
          <w:szCs w:val="36"/>
        </w:rPr>
        <w:t>第 二 册</w:t>
      </w:r>
    </w:p>
    <w:p>
      <w:pPr>
        <w:pStyle w:val="9"/>
        <w:spacing w:line="360" w:lineRule="exact"/>
        <w:rPr>
          <w:rFonts w:hint="eastAsia" w:ascii="宋体" w:hAnsi="宋体" w:eastAsia="宋体" w:cs="宋体"/>
          <w:b/>
          <w:color w:val="auto"/>
          <w:sz w:val="44"/>
          <w:szCs w:val="36"/>
        </w:rPr>
      </w:pPr>
    </w:p>
    <w:p>
      <w:pPr>
        <w:pStyle w:val="9"/>
        <w:spacing w:line="360" w:lineRule="exact"/>
        <w:rPr>
          <w:rFonts w:hint="eastAsia" w:ascii="宋体" w:hAnsi="宋体" w:eastAsia="宋体" w:cs="宋体"/>
          <w:b/>
          <w:color w:val="auto"/>
          <w:sz w:val="44"/>
          <w:szCs w:val="36"/>
        </w:rPr>
      </w:pPr>
    </w:p>
    <w:p>
      <w:pPr>
        <w:pStyle w:val="9"/>
        <w:spacing w:line="360" w:lineRule="exact"/>
        <w:rPr>
          <w:rFonts w:hint="eastAsia" w:ascii="宋体" w:hAnsi="宋体" w:eastAsia="宋体" w:cs="宋体"/>
          <w:b/>
          <w:color w:val="auto"/>
          <w:sz w:val="44"/>
          <w:szCs w:val="36"/>
        </w:rPr>
      </w:pPr>
    </w:p>
    <w:p>
      <w:pPr>
        <w:pStyle w:val="9"/>
        <w:spacing w:line="360" w:lineRule="exact"/>
        <w:rPr>
          <w:rFonts w:hint="eastAsia" w:ascii="宋体" w:hAnsi="宋体" w:eastAsia="宋体" w:cs="宋体"/>
          <w:b/>
          <w:color w:val="auto"/>
          <w:sz w:val="44"/>
          <w:szCs w:val="36"/>
        </w:rPr>
      </w:pPr>
    </w:p>
    <w:p>
      <w:pPr>
        <w:pStyle w:val="9"/>
        <w:spacing w:line="360" w:lineRule="exact"/>
        <w:rPr>
          <w:rFonts w:hint="eastAsia" w:ascii="宋体" w:hAnsi="宋体" w:eastAsia="宋体" w:cs="宋体"/>
          <w:b/>
          <w:color w:val="auto"/>
          <w:sz w:val="44"/>
          <w:szCs w:val="36"/>
        </w:rPr>
      </w:pPr>
    </w:p>
    <w:p>
      <w:pPr>
        <w:pStyle w:val="9"/>
        <w:spacing w:line="360" w:lineRule="exact"/>
        <w:rPr>
          <w:rFonts w:hint="eastAsia" w:ascii="宋体" w:hAnsi="宋体" w:eastAsia="宋体" w:cs="宋体"/>
          <w:b/>
          <w:color w:val="auto"/>
          <w:sz w:val="44"/>
          <w:szCs w:val="36"/>
        </w:rPr>
      </w:pPr>
    </w:p>
    <w:p>
      <w:pPr>
        <w:pStyle w:val="9"/>
        <w:spacing w:line="360" w:lineRule="exact"/>
        <w:rPr>
          <w:rFonts w:hint="eastAsia" w:ascii="宋体" w:hAnsi="宋体" w:eastAsia="宋体" w:cs="宋体"/>
          <w:b/>
          <w:color w:val="auto"/>
          <w:sz w:val="44"/>
          <w:szCs w:val="36"/>
        </w:rPr>
      </w:pPr>
    </w:p>
    <w:p>
      <w:pPr>
        <w:rPr>
          <w:rFonts w:hint="eastAsia" w:ascii="宋体" w:hAnsi="宋体" w:eastAsia="宋体" w:cs="宋体"/>
          <w:b/>
          <w:color w:val="auto"/>
          <w:sz w:val="44"/>
          <w:szCs w:val="36"/>
        </w:rPr>
      </w:pPr>
    </w:p>
    <w:p>
      <w:pPr>
        <w:pStyle w:val="10"/>
        <w:rPr>
          <w:rFonts w:hint="eastAsia" w:ascii="宋体" w:hAnsi="宋体" w:eastAsia="宋体" w:cs="宋体"/>
          <w:b/>
          <w:color w:val="auto"/>
          <w:sz w:val="44"/>
          <w:szCs w:val="36"/>
        </w:rPr>
      </w:pPr>
    </w:p>
    <w:p>
      <w:pPr>
        <w:rPr>
          <w:rFonts w:hint="eastAsia" w:ascii="宋体" w:hAnsi="宋体" w:eastAsia="宋体" w:cs="宋体"/>
          <w:b/>
          <w:color w:val="auto"/>
          <w:sz w:val="44"/>
          <w:szCs w:val="36"/>
        </w:rPr>
      </w:pPr>
    </w:p>
    <w:p>
      <w:pPr>
        <w:pStyle w:val="2"/>
        <w:rPr>
          <w:rFonts w:hint="eastAsia"/>
        </w:rPr>
      </w:pPr>
    </w:p>
    <w:p>
      <w:pPr>
        <w:rPr>
          <w:rFonts w:hint="eastAsia" w:ascii="宋体" w:hAnsi="宋体" w:eastAsia="宋体" w:cs="宋体"/>
          <w:b/>
          <w:color w:val="auto"/>
          <w:sz w:val="44"/>
          <w:szCs w:val="36"/>
        </w:rPr>
      </w:pPr>
    </w:p>
    <w:p>
      <w:pPr>
        <w:pStyle w:val="10"/>
        <w:rPr>
          <w:rFonts w:hint="eastAsia" w:ascii="宋体" w:hAnsi="宋体" w:eastAsia="宋体" w:cs="宋体"/>
        </w:rPr>
      </w:pPr>
    </w:p>
    <w:p>
      <w:pPr>
        <w:pStyle w:val="9"/>
        <w:spacing w:line="360" w:lineRule="exact"/>
        <w:rPr>
          <w:rFonts w:hint="eastAsia" w:ascii="宋体" w:hAnsi="宋体" w:eastAsia="宋体" w:cs="宋体"/>
          <w:b/>
          <w:color w:val="auto"/>
          <w:sz w:val="44"/>
          <w:szCs w:val="36"/>
        </w:rPr>
      </w:pPr>
    </w:p>
    <w:p>
      <w:pPr>
        <w:pStyle w:val="9"/>
        <w:spacing w:line="360" w:lineRule="exact"/>
        <w:rPr>
          <w:rFonts w:hint="eastAsia" w:ascii="宋体" w:hAnsi="宋体" w:eastAsia="宋体" w:cs="宋体"/>
          <w:b/>
          <w:color w:val="auto"/>
          <w:sz w:val="44"/>
          <w:szCs w:val="36"/>
        </w:rPr>
      </w:pP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exact"/>
        <w:ind w:firstLine="2891" w:firstLineChars="900"/>
        <w:jc w:val="both"/>
        <w:textAlignment w:val="auto"/>
        <w:outlineLvl w:val="0"/>
        <w:rPr>
          <w:rFonts w:hint="eastAsia" w:ascii="宋体" w:hAnsi="宋体" w:eastAsia="宋体" w:cs="宋体"/>
          <w:color w:val="auto"/>
          <w:lang w:eastAsia="zh-CN"/>
        </w:rPr>
      </w:pPr>
      <w:bookmarkStart w:id="429" w:name="_Toc218935350"/>
      <w:bookmarkStart w:id="430" w:name="_Toc216582822"/>
      <w:bookmarkStart w:id="431" w:name="_Toc28765"/>
      <w:bookmarkStart w:id="432" w:name="_Toc16370"/>
      <w:bookmarkStart w:id="433" w:name="_Toc9300"/>
      <w:bookmarkStart w:id="434" w:name="_Toc219175634"/>
      <w:bookmarkStart w:id="435" w:name="_Toc507399902"/>
      <w:bookmarkStart w:id="436" w:name="_Toc515647829"/>
      <w:r>
        <w:rPr>
          <w:rFonts w:hint="eastAsia" w:ascii="宋体" w:hAnsi="宋体" w:eastAsia="宋体" w:cs="宋体"/>
          <w:color w:val="auto"/>
          <w:lang w:eastAsia="zh-CN"/>
        </w:rPr>
        <w:t>第</w:t>
      </w:r>
      <w:r>
        <w:rPr>
          <w:rFonts w:hint="eastAsia" w:hAnsi="宋体" w:cs="宋体"/>
          <w:color w:val="auto"/>
          <w:lang w:val="en-US" w:eastAsia="zh-CN"/>
        </w:rPr>
        <w:t>3</w:t>
      </w:r>
      <w:r>
        <w:rPr>
          <w:rFonts w:hint="eastAsia" w:ascii="宋体" w:hAnsi="宋体" w:eastAsia="宋体" w:cs="宋体"/>
          <w:color w:val="auto"/>
          <w:lang w:eastAsia="zh-CN"/>
        </w:rPr>
        <w:t>章</w:t>
      </w:r>
      <w:r>
        <w:rPr>
          <w:rFonts w:hint="eastAsia" w:ascii="宋体" w:hAnsi="宋体" w:eastAsia="宋体" w:cs="宋体"/>
          <w:color w:val="auto"/>
          <w:lang w:val="en-US" w:eastAsia="zh-CN"/>
        </w:rPr>
        <w:t xml:space="preserve"> </w:t>
      </w:r>
      <w:r>
        <w:rPr>
          <w:rFonts w:hint="eastAsia" w:ascii="宋体" w:hAnsi="宋体" w:eastAsia="宋体" w:cs="宋体"/>
          <w:color w:val="auto"/>
          <w:lang w:eastAsia="zh-CN"/>
        </w:rPr>
        <w:t>投标邀请</w:t>
      </w:r>
      <w:bookmarkEnd w:id="429"/>
      <w:bookmarkEnd w:id="430"/>
      <w:bookmarkEnd w:id="431"/>
      <w:bookmarkEnd w:id="432"/>
      <w:bookmarkEnd w:id="433"/>
      <w:bookmarkEnd w:id="434"/>
      <w:bookmarkEnd w:id="435"/>
      <w:bookmarkEnd w:id="436"/>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400" w:lineRule="exact"/>
        <w:textAlignment w:val="auto"/>
        <w:rPr>
          <w:rFonts w:hint="eastAsia" w:ascii="宋体" w:hAnsi="宋体" w:eastAsia="宋体" w:cs="宋体"/>
          <w:b/>
          <w:bCs/>
          <w:color w:val="auto"/>
          <w:sz w:val="32"/>
          <w:szCs w:val="32"/>
          <w:highlight w:val="none"/>
          <w:lang w:val="en-US" w:eastAsia="zh-CN"/>
        </w:rPr>
      </w:pPr>
      <w:bookmarkStart w:id="437" w:name="_Toc2486"/>
      <w:bookmarkStart w:id="438" w:name="_Toc31583"/>
      <w:bookmarkStart w:id="439" w:name="_Toc216582823"/>
      <w:bookmarkStart w:id="440" w:name="_Toc10488"/>
      <w:bookmarkStart w:id="441" w:name="_Toc515647830"/>
      <w:bookmarkStart w:id="442" w:name="_Toc507399903"/>
      <w:bookmarkStart w:id="443" w:name="_Toc512937850"/>
      <w:r>
        <w:rPr>
          <w:rFonts w:hint="eastAsia" w:hAnsi="宋体" w:cs="宋体"/>
          <w:b/>
          <w:bCs/>
          <w:color w:val="auto"/>
          <w:sz w:val="32"/>
          <w:szCs w:val="32"/>
          <w:highlight w:val="none"/>
          <w:lang w:val="en-US" w:eastAsia="zh-CN"/>
        </w:rPr>
        <w:t>叶城县促进各民族交往交流交融项目</w:t>
      </w:r>
      <w:bookmarkEnd w:id="437"/>
    </w:p>
    <w:p>
      <w:pPr>
        <w:pStyle w:val="3"/>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400" w:lineRule="exact"/>
        <w:textAlignment w:val="auto"/>
        <w:rPr>
          <w:rFonts w:hint="eastAsia" w:ascii="宋体" w:hAnsi="宋体" w:eastAsia="宋体" w:cs="宋体"/>
          <w:b/>
          <w:bCs/>
          <w:color w:val="auto"/>
          <w:sz w:val="32"/>
          <w:szCs w:val="32"/>
          <w:highlight w:val="none"/>
          <w:lang w:val="en-US" w:eastAsia="zh-CN"/>
        </w:rPr>
      </w:pPr>
      <w:bookmarkStart w:id="444" w:name="_Toc17949"/>
      <w:r>
        <w:rPr>
          <w:rFonts w:hint="eastAsia" w:ascii="宋体" w:hAnsi="宋体" w:eastAsia="宋体" w:cs="宋体"/>
          <w:b/>
          <w:bCs/>
          <w:color w:val="auto"/>
          <w:sz w:val="32"/>
          <w:szCs w:val="32"/>
          <w:highlight w:val="none"/>
          <w:lang w:val="en-US" w:eastAsia="zh-CN"/>
        </w:rPr>
        <w:t>公开招标公告</w:t>
      </w:r>
      <w:bookmarkEnd w:id="444"/>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80" w:lineRule="exact"/>
        <w:ind w:firstLine="480" w:firstLineChars="200"/>
        <w:textAlignment w:val="auto"/>
        <w:rPr>
          <w:rFonts w:hint="eastAsia" w:ascii="宋体" w:hAnsi="宋体" w:eastAsia="宋体" w:cs="宋体"/>
          <w:b w:val="0"/>
          <w:bCs w:val="0"/>
          <w:i w:val="0"/>
          <w:iCs w:val="0"/>
          <w:color w:val="auto"/>
          <w:sz w:val="24"/>
          <w:szCs w:val="24"/>
        </w:rPr>
      </w:pPr>
      <w:bookmarkStart w:id="445" w:name="_Toc28359079"/>
      <w:bookmarkStart w:id="446" w:name="_Toc35393621"/>
      <w:bookmarkStart w:id="447" w:name="_Toc28359002"/>
      <w:bookmarkStart w:id="448" w:name="_Toc35393790"/>
      <w:bookmarkStart w:id="449" w:name="_Hlk24379207"/>
      <w:r>
        <w:rPr>
          <w:rFonts w:hint="eastAsia" w:ascii="宋体" w:hAnsi="宋体" w:eastAsia="宋体" w:cs="宋体"/>
          <w:b w:val="0"/>
          <w:bCs w:val="0"/>
          <w:i w:val="0"/>
          <w:iCs w:val="0"/>
          <w:color w:val="auto"/>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380" w:lineRule="exact"/>
        <w:ind w:firstLine="480" w:firstLineChars="200"/>
        <w:textAlignment w:val="auto"/>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sz w:val="24"/>
          <w:szCs w:val="24"/>
          <w:u w:val="single"/>
        </w:rPr>
        <w:t xml:space="preserve"> </w:t>
      </w:r>
      <w:r>
        <w:rPr>
          <w:rFonts w:hint="eastAsia" w:ascii="宋体" w:hAnsi="宋体" w:eastAsia="宋体" w:cs="宋体"/>
          <w:b w:val="0"/>
          <w:bCs w:val="0"/>
          <w:i w:val="0"/>
          <w:iCs w:val="0"/>
          <w:color w:val="auto"/>
          <w:sz w:val="24"/>
          <w:szCs w:val="24"/>
          <w:u w:val="single"/>
          <w:lang w:eastAsia="zh-CN"/>
        </w:rPr>
        <w:t>叶城县促进各民族交往交流交融项目</w:t>
      </w:r>
      <w:r>
        <w:rPr>
          <w:rFonts w:hint="eastAsia" w:ascii="宋体" w:hAnsi="宋体" w:eastAsia="宋体" w:cs="宋体"/>
          <w:b w:val="0"/>
          <w:bCs w:val="0"/>
          <w:i w:val="0"/>
          <w:iCs w:val="0"/>
          <w:color w:val="auto"/>
          <w:sz w:val="24"/>
          <w:szCs w:val="24"/>
        </w:rPr>
        <w:t>的潜在</w:t>
      </w:r>
      <w:r>
        <w:rPr>
          <w:rFonts w:hint="eastAsia" w:ascii="宋体" w:hAnsi="宋体" w:eastAsia="宋体" w:cs="宋体"/>
          <w:b w:val="0"/>
          <w:bCs w:val="0"/>
          <w:i w:val="0"/>
          <w:iCs w:val="0"/>
          <w:color w:val="auto"/>
          <w:sz w:val="24"/>
          <w:szCs w:val="24"/>
          <w:lang w:eastAsia="zh-CN"/>
        </w:rPr>
        <w:t>供应商应在</w:t>
      </w:r>
      <w:r>
        <w:rPr>
          <w:rFonts w:hint="eastAsia" w:ascii="宋体" w:hAnsi="宋体" w:eastAsia="宋体" w:cs="宋体"/>
          <w:b w:val="0"/>
          <w:bCs w:val="0"/>
          <w:i w:val="0"/>
          <w:iCs w:val="0"/>
          <w:color w:val="auto"/>
          <w:sz w:val="24"/>
          <w:szCs w:val="24"/>
          <w:u w:val="single"/>
          <w:lang w:eastAsia="zh-CN"/>
        </w:rPr>
        <w:t>线下获取</w:t>
      </w:r>
      <w:r>
        <w:rPr>
          <w:rFonts w:hint="eastAsia" w:ascii="宋体" w:hAnsi="宋体" w:eastAsia="宋体" w:cs="宋体"/>
          <w:b w:val="0"/>
          <w:bCs w:val="0"/>
          <w:i w:val="0"/>
          <w:iCs w:val="0"/>
          <w:color w:val="auto"/>
          <w:sz w:val="24"/>
          <w:szCs w:val="24"/>
          <w:lang w:eastAsia="zh-CN"/>
        </w:rPr>
        <w:t>招标文件，并于</w:t>
      </w:r>
      <w:r>
        <w:rPr>
          <w:rFonts w:hint="eastAsia" w:ascii="宋体" w:hAnsi="宋体" w:cs="宋体"/>
          <w:b w:val="0"/>
          <w:bCs w:val="0"/>
          <w:i w:val="0"/>
          <w:iCs w:val="0"/>
          <w:color w:val="auto"/>
          <w:sz w:val="24"/>
          <w:szCs w:val="24"/>
          <w:u w:val="single"/>
          <w:lang w:val="en-US" w:eastAsia="zh-CN"/>
        </w:rPr>
        <w:t>2022年7月14日下午17点30分</w:t>
      </w:r>
      <w:r>
        <w:rPr>
          <w:rFonts w:hint="eastAsia" w:ascii="宋体" w:hAnsi="宋体" w:eastAsia="宋体" w:cs="宋体"/>
          <w:b w:val="0"/>
          <w:bCs w:val="0"/>
          <w:i w:val="0"/>
          <w:iCs w:val="0"/>
          <w:color w:val="auto"/>
          <w:sz w:val="24"/>
          <w:szCs w:val="24"/>
          <w:u w:val="single"/>
          <w:lang w:eastAsia="zh-CN"/>
        </w:rPr>
        <w:t>（北京时间）</w:t>
      </w:r>
      <w:r>
        <w:rPr>
          <w:rFonts w:hint="eastAsia" w:ascii="宋体" w:hAnsi="宋体" w:eastAsia="宋体" w:cs="宋体"/>
          <w:b w:val="0"/>
          <w:bCs w:val="0"/>
          <w:i w:val="0"/>
          <w:iCs w:val="0"/>
          <w:color w:val="auto"/>
          <w:sz w:val="24"/>
          <w:szCs w:val="24"/>
          <w:lang w:eastAsia="zh-CN"/>
        </w:rPr>
        <w:t>前递交投标文件</w:t>
      </w:r>
      <w:r>
        <w:rPr>
          <w:rFonts w:hint="eastAsia" w:ascii="宋体" w:hAnsi="宋体" w:eastAsia="宋体" w:cs="宋体"/>
          <w:b w:val="0"/>
          <w:bCs w:val="0"/>
          <w:i w:val="0"/>
          <w:iCs w:val="0"/>
          <w:color w:val="auto"/>
          <w:sz w:val="24"/>
          <w:szCs w:val="24"/>
        </w:rPr>
        <w:t>。</w:t>
      </w:r>
    </w:p>
    <w:p>
      <w:pPr>
        <w:pageBreakBefore w:val="0"/>
        <w:tabs>
          <w:tab w:val="left" w:pos="5580"/>
        </w:tabs>
        <w:kinsoku/>
        <w:wordWrap/>
        <w:overflowPunct/>
        <w:topLinePunct w:val="0"/>
        <w:bidi w:val="0"/>
        <w:spacing w:line="380" w:lineRule="exact"/>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t>一、项目基本情况</w:t>
      </w:r>
      <w:bookmarkEnd w:id="445"/>
      <w:bookmarkEnd w:id="446"/>
      <w:bookmarkEnd w:id="447"/>
      <w:bookmarkEnd w:id="448"/>
    </w:p>
    <w:p>
      <w:pPr>
        <w:pageBreakBefore w:val="0"/>
        <w:tabs>
          <w:tab w:val="left" w:pos="5580"/>
        </w:tabs>
        <w:kinsoku/>
        <w:wordWrap/>
        <w:overflowPunct/>
        <w:topLinePunct w:val="0"/>
        <w:bidi w:val="0"/>
        <w:spacing w:line="38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项目编号：ZJ（GK）-220</w:t>
      </w:r>
      <w:r>
        <w:rPr>
          <w:rFonts w:hint="eastAsia" w:ascii="宋体" w:hAnsi="宋体" w:eastAsia="宋体" w:cs="宋体"/>
          <w:i w:val="0"/>
          <w:iCs w:val="0"/>
          <w:color w:val="auto"/>
          <w:sz w:val="24"/>
          <w:szCs w:val="24"/>
          <w:lang w:val="en-US" w:eastAsia="zh-CN"/>
        </w:rPr>
        <w:t xml:space="preserve">25              </w:t>
      </w:r>
    </w:p>
    <w:p>
      <w:pPr>
        <w:pageBreakBefore w:val="0"/>
        <w:tabs>
          <w:tab w:val="left" w:pos="5580"/>
        </w:tabs>
        <w:kinsoku/>
        <w:wordWrap/>
        <w:overflowPunct/>
        <w:topLinePunct w:val="0"/>
        <w:bidi w:val="0"/>
        <w:spacing w:line="38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项目名称：</w:t>
      </w:r>
      <w:r>
        <w:rPr>
          <w:rFonts w:hint="eastAsia" w:ascii="宋体" w:hAnsi="宋体" w:eastAsia="宋体" w:cs="宋体"/>
          <w:i w:val="0"/>
          <w:iCs w:val="0"/>
          <w:color w:val="auto"/>
          <w:sz w:val="24"/>
          <w:szCs w:val="24"/>
          <w:lang w:eastAsia="zh-CN"/>
        </w:rPr>
        <w:t>叶城县促进各民族交往交流交融项目</w:t>
      </w:r>
      <w:r>
        <w:rPr>
          <w:rFonts w:hint="eastAsia" w:ascii="宋体" w:hAnsi="宋体" w:eastAsia="宋体" w:cs="宋体"/>
          <w:i w:val="0"/>
          <w:iCs w:val="0"/>
          <w:color w:val="auto"/>
          <w:sz w:val="24"/>
          <w:szCs w:val="24"/>
          <w:lang w:val="en-US" w:eastAsia="zh-CN"/>
        </w:rPr>
        <w:t xml:space="preserve"> </w:t>
      </w:r>
    </w:p>
    <w:p>
      <w:pPr>
        <w:pageBreakBefore w:val="0"/>
        <w:tabs>
          <w:tab w:val="left" w:pos="5580"/>
        </w:tabs>
        <w:kinsoku/>
        <w:wordWrap/>
        <w:overflowPunct/>
        <w:topLinePunct w:val="0"/>
        <w:bidi w:val="0"/>
        <w:spacing w:line="38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 xml:space="preserve">采购方式：公开招标 </w:t>
      </w:r>
    </w:p>
    <w:bookmarkEnd w:id="449"/>
    <w:p>
      <w:pPr>
        <w:pageBreakBefore w:val="0"/>
        <w:tabs>
          <w:tab w:val="left" w:pos="5580"/>
        </w:tabs>
        <w:kinsoku/>
        <w:wordWrap/>
        <w:overflowPunct/>
        <w:topLinePunct w:val="0"/>
        <w:bidi w:val="0"/>
        <w:spacing w:line="380" w:lineRule="exact"/>
        <w:ind w:firstLine="480" w:firstLineChars="2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项目总</w:t>
      </w:r>
      <w:r>
        <w:rPr>
          <w:rFonts w:hint="eastAsia" w:ascii="宋体" w:hAnsi="宋体" w:eastAsia="宋体" w:cs="宋体"/>
          <w:i w:val="0"/>
          <w:iCs w:val="0"/>
          <w:color w:val="auto"/>
          <w:sz w:val="24"/>
          <w:szCs w:val="24"/>
          <w:highlight w:val="none"/>
        </w:rPr>
        <w:t>预算金额：</w:t>
      </w:r>
      <w:r>
        <w:rPr>
          <w:rFonts w:hint="eastAsia" w:ascii="宋体" w:hAnsi="宋体" w:cs="宋体"/>
          <w:i w:val="0"/>
          <w:iCs w:val="0"/>
          <w:color w:val="auto"/>
          <w:sz w:val="24"/>
          <w:szCs w:val="24"/>
          <w:highlight w:val="none"/>
          <w:lang w:val="en-US" w:eastAsia="zh-CN"/>
        </w:rPr>
        <w:t>1010</w:t>
      </w:r>
      <w:r>
        <w:rPr>
          <w:rFonts w:hint="eastAsia" w:ascii="宋体" w:hAnsi="宋体" w:eastAsia="宋体" w:cs="宋体"/>
          <w:i w:val="0"/>
          <w:iCs w:val="0"/>
          <w:color w:val="auto"/>
          <w:sz w:val="24"/>
          <w:szCs w:val="24"/>
          <w:highlight w:val="none"/>
          <w:lang w:val="en-US" w:eastAsia="zh-CN"/>
        </w:rPr>
        <w:t>万元。</w:t>
      </w:r>
    </w:p>
    <w:p>
      <w:pPr>
        <w:pageBreakBefore w:val="0"/>
        <w:tabs>
          <w:tab w:val="left" w:pos="5580"/>
        </w:tabs>
        <w:kinsoku/>
        <w:wordWrap/>
        <w:overflowPunct/>
        <w:topLinePunct w:val="0"/>
        <w:bidi w:val="0"/>
        <w:spacing w:line="38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采购需求：</w:t>
      </w:r>
    </w:p>
    <w:p>
      <w:pPr>
        <w:pageBreakBefore w:val="0"/>
        <w:tabs>
          <w:tab w:val="left" w:pos="5580"/>
        </w:tabs>
        <w:kinsoku/>
        <w:wordWrap/>
        <w:overflowPunct/>
        <w:topLinePunct w:val="0"/>
        <w:bidi w:val="0"/>
        <w:spacing w:line="380" w:lineRule="exact"/>
        <w:ind w:left="1439" w:leftChars="228" w:hanging="960" w:hangingChars="4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第一包：</w:t>
      </w:r>
      <w:r>
        <w:rPr>
          <w:rFonts w:hint="eastAsia" w:ascii="宋体" w:hAnsi="宋体" w:eastAsia="宋体" w:cs="宋体"/>
          <w:i w:val="0"/>
          <w:iCs w:val="0"/>
          <w:color w:val="auto"/>
          <w:sz w:val="24"/>
          <w:szCs w:val="24"/>
          <w:lang w:val="en-US" w:eastAsia="zh-CN"/>
        </w:rPr>
        <w:t>组织叶城县和上海两地互访交流，叶城县村（社区）党支部书记、村委会主任、妇联主席等赴上海参观学习，宝山区街镇（园区）对口帮扶调研，叶城县人大代表、政协委员赴上海学习考察，叶城县赴上海学习实施乡村振兴战略考察；</w:t>
      </w:r>
      <w:r>
        <w:rPr>
          <w:rFonts w:hint="eastAsia" w:ascii="宋体" w:hAnsi="宋体" w:eastAsia="宋体" w:cs="宋体"/>
          <w:i w:val="0"/>
          <w:iCs w:val="0"/>
          <w:color w:val="auto"/>
          <w:sz w:val="24"/>
          <w:szCs w:val="24"/>
          <w:highlight w:val="none"/>
          <w:lang w:val="en-US" w:eastAsia="zh-CN"/>
        </w:rPr>
        <w:t>预算金额：890万元。</w:t>
      </w:r>
    </w:p>
    <w:p>
      <w:pPr>
        <w:pageBreakBefore w:val="0"/>
        <w:tabs>
          <w:tab w:val="left" w:pos="5580"/>
        </w:tabs>
        <w:kinsoku/>
        <w:wordWrap/>
        <w:overflowPunct/>
        <w:topLinePunct w:val="0"/>
        <w:bidi w:val="0"/>
        <w:spacing w:line="380" w:lineRule="exact"/>
        <w:ind w:left="1439" w:leftChars="228" w:hanging="960" w:hangingChars="4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第二包：</w:t>
      </w:r>
      <w:r>
        <w:rPr>
          <w:rFonts w:hint="eastAsia" w:ascii="宋体" w:hAnsi="宋体" w:eastAsia="宋体" w:cs="宋体"/>
          <w:i w:val="0"/>
          <w:iCs w:val="0"/>
          <w:color w:val="auto"/>
          <w:sz w:val="24"/>
          <w:szCs w:val="24"/>
          <w:lang w:val="en-US" w:eastAsia="zh-CN"/>
        </w:rPr>
        <w:t>叶城县村（社区）干部中华传统文化学习成果展示项目；预算金额：60万元。</w:t>
      </w:r>
    </w:p>
    <w:p>
      <w:pPr>
        <w:pStyle w:val="2"/>
        <w:pageBreakBefore w:val="0"/>
        <w:kinsoku/>
        <w:wordWrap/>
        <w:overflowPunct/>
        <w:topLinePunct w:val="0"/>
        <w:bidi w:val="0"/>
        <w:spacing w:line="380" w:lineRule="exact"/>
        <w:ind w:left="1439" w:leftChars="228" w:hanging="960" w:hangingChars="400"/>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第</w:t>
      </w:r>
      <w:r>
        <w:rPr>
          <w:rFonts w:hint="eastAsia" w:ascii="宋体" w:hAnsi="宋体" w:cs="宋体"/>
          <w:i w:val="0"/>
          <w:iCs w:val="0"/>
          <w:color w:val="auto"/>
          <w:sz w:val="24"/>
          <w:szCs w:val="24"/>
          <w:highlight w:val="none"/>
          <w:lang w:val="en-US" w:eastAsia="zh-CN"/>
        </w:rPr>
        <w:t>三</w:t>
      </w:r>
      <w:r>
        <w:rPr>
          <w:rFonts w:hint="eastAsia" w:ascii="宋体" w:hAnsi="宋体" w:eastAsia="宋体" w:cs="宋体"/>
          <w:i w:val="0"/>
          <w:iCs w:val="0"/>
          <w:color w:val="auto"/>
          <w:sz w:val="24"/>
          <w:szCs w:val="24"/>
          <w:highlight w:val="none"/>
          <w:lang w:val="en-US" w:eastAsia="zh-CN"/>
        </w:rPr>
        <w:t>包：引进第三方参与叶城基层社会治理试点工作（1个村、1个社区）</w:t>
      </w:r>
      <w:r>
        <w:rPr>
          <w:rFonts w:hint="eastAsia" w:ascii="宋体" w:hAnsi="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lang w:val="en-US" w:eastAsia="zh-CN"/>
        </w:rPr>
        <w:t>预算金额：60万元。（参数内容详见招标文件）</w:t>
      </w:r>
    </w:p>
    <w:p>
      <w:pPr>
        <w:pageBreakBefore w:val="0"/>
        <w:tabs>
          <w:tab w:val="left" w:pos="5580"/>
        </w:tabs>
        <w:kinsoku/>
        <w:wordWrap/>
        <w:overflowPunct/>
        <w:topLinePunct w:val="0"/>
        <w:bidi w:val="0"/>
        <w:spacing w:line="38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本项目不接受联合体投标。</w:t>
      </w:r>
    </w:p>
    <w:p>
      <w:pPr>
        <w:pageBreakBefore w:val="0"/>
        <w:tabs>
          <w:tab w:val="left" w:pos="5580"/>
        </w:tabs>
        <w:kinsoku/>
        <w:wordWrap/>
        <w:overflowPunct/>
        <w:topLinePunct w:val="0"/>
        <w:bidi w:val="0"/>
        <w:spacing w:line="380" w:lineRule="exact"/>
        <w:rPr>
          <w:rFonts w:hint="eastAsia" w:ascii="宋体" w:hAnsi="宋体" w:eastAsia="宋体" w:cs="宋体"/>
          <w:b/>
          <w:bCs/>
          <w:i w:val="0"/>
          <w:iCs w:val="0"/>
          <w:color w:val="auto"/>
          <w:sz w:val="24"/>
          <w:szCs w:val="24"/>
          <w:lang w:val="en-US" w:eastAsia="zh-CN"/>
        </w:rPr>
      </w:pPr>
      <w:bookmarkStart w:id="450" w:name="_Toc35393622"/>
      <w:bookmarkStart w:id="451" w:name="_Toc28359080"/>
      <w:bookmarkStart w:id="452" w:name="_Toc35393791"/>
      <w:bookmarkStart w:id="453" w:name="_Toc28359003"/>
      <w:r>
        <w:rPr>
          <w:rFonts w:hint="eastAsia" w:ascii="宋体" w:hAnsi="宋体" w:eastAsia="宋体" w:cs="宋体"/>
          <w:b/>
          <w:bCs/>
          <w:i w:val="0"/>
          <w:iCs w:val="0"/>
          <w:color w:val="auto"/>
          <w:sz w:val="24"/>
          <w:szCs w:val="24"/>
          <w:lang w:val="en-US" w:eastAsia="zh-CN"/>
        </w:rPr>
        <w:t>二、申请人的资格要求：</w:t>
      </w:r>
      <w:bookmarkEnd w:id="450"/>
      <w:bookmarkEnd w:id="451"/>
      <w:bookmarkEnd w:id="452"/>
      <w:bookmarkEnd w:id="453"/>
    </w:p>
    <w:p>
      <w:pPr>
        <w:pageBreakBefore w:val="0"/>
        <w:tabs>
          <w:tab w:val="left" w:pos="5580"/>
        </w:tabs>
        <w:kinsoku/>
        <w:wordWrap/>
        <w:overflowPunct/>
        <w:topLinePunct w:val="0"/>
        <w:bidi w:val="0"/>
        <w:spacing w:line="380" w:lineRule="exact"/>
        <w:ind w:firstLine="480" w:firstLineChars="200"/>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1.满足《中华人民共和国政府采购法》第二十二条规定；</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宋体" w:hAnsi="宋体" w:eastAsia="宋体" w:cs="宋体"/>
          <w:i w:val="0"/>
          <w:iCs w:val="0"/>
          <w:color w:val="auto"/>
          <w:sz w:val="24"/>
          <w:szCs w:val="24"/>
          <w:lang w:val="en-US" w:eastAsia="zh-CN"/>
        </w:rPr>
      </w:pPr>
      <w:bookmarkStart w:id="454" w:name="_Toc35393792"/>
      <w:bookmarkStart w:id="455" w:name="_Toc28359081"/>
      <w:bookmarkStart w:id="456" w:name="_Toc35393623"/>
      <w:bookmarkStart w:id="457" w:name="_Toc28359004"/>
      <w:r>
        <w:rPr>
          <w:rFonts w:hint="eastAsia" w:ascii="宋体" w:hAnsi="宋体" w:eastAsia="宋体" w:cs="宋体"/>
          <w:i w:val="0"/>
          <w:iCs w:val="0"/>
          <w:color w:val="auto"/>
          <w:sz w:val="24"/>
          <w:szCs w:val="24"/>
          <w:lang w:val="en-US" w:eastAsia="zh-CN"/>
        </w:rPr>
        <w:t>2.具有独立承担民事责任的能力；（投标时，提供在中华人民共和国境内注册的法人或事业单位法人证书或社会团体法人登记证书复印件；如国家另有规定的，则从其规定。）</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3.法人代表资格证明书及授权书、被授权人身份证(法人投标需提供法人身份证及法人代表资格证明书)；</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4.依法缴纳近6个月内任意1个月的社会保险的凭据；</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5.税务部门出具的近6个月内任意1个月的完税证明；</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6.近两年内任意一年的财务审计报告；</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7.根据《财政部关于在政府采购活动中查询及使用信用记录有关问题的通知》（财库﹝2016﹞125号）的要求，凡拟参加本次招标项目的供应商，如在“信用中国”网站（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代理机构或采购人现场查询为准）；</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8.参加政府采购活动前3年内未被列入失信、重大税收违法案件、财政部门禁止参加政府采购活动的承诺书；</w:t>
      </w:r>
    </w:p>
    <w:p>
      <w:pPr>
        <w:keepNext w:val="0"/>
        <w:keepLines w:val="0"/>
        <w:pageBreakBefore w:val="0"/>
        <w:widowControl/>
        <w:shd w:val="clear" w:color="auto" w:fill="auto"/>
        <w:kinsoku/>
        <w:wordWrap/>
        <w:overflowPunct/>
        <w:topLinePunct w:val="0"/>
        <w:autoSpaceDE/>
        <w:autoSpaceDN/>
        <w:bidi w:val="0"/>
        <w:adjustRightInd/>
        <w:snapToGrid w:val="0"/>
        <w:spacing w:before="0" w:beforeAutospacing="0" w:after="0" w:afterAutospacing="0" w:line="380" w:lineRule="exact"/>
        <w:ind w:left="0" w:leftChars="0"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i w:val="0"/>
          <w:iCs w:val="0"/>
          <w:color w:val="auto"/>
          <w:sz w:val="24"/>
          <w:szCs w:val="24"/>
          <w:lang w:val="en-US" w:eastAsia="zh-CN"/>
        </w:rPr>
        <w:t>9.提供针对本次项目《反商业贿赂承诺书》</w:t>
      </w:r>
      <w:r>
        <w:rPr>
          <w:rFonts w:hint="eastAsia" w:ascii="宋体" w:hAnsi="宋体" w:eastAsia="宋体" w:cs="宋体"/>
          <w:i w:val="0"/>
          <w:iCs w:val="0"/>
          <w:color w:val="auto"/>
          <w:kern w:val="2"/>
          <w:sz w:val="24"/>
          <w:szCs w:val="24"/>
          <w:lang w:val="en-US" w:eastAsia="zh-CN" w:bidi="ar-SA"/>
        </w:rPr>
        <w:t>。</w:t>
      </w:r>
    </w:p>
    <w:bookmarkEnd w:id="454"/>
    <w:bookmarkEnd w:id="455"/>
    <w:bookmarkEnd w:id="456"/>
    <w:bookmarkEnd w:id="457"/>
    <w:p>
      <w:pPr>
        <w:pageBreakBefore w:val="0"/>
        <w:kinsoku/>
        <w:wordWrap/>
        <w:overflowPunct/>
        <w:topLinePunct w:val="0"/>
        <w:bidi w:val="0"/>
        <w:snapToGrid/>
        <w:spacing w:line="380" w:lineRule="exact"/>
        <w:textAlignment w:val="auto"/>
        <w:outlineLvl w:val="1"/>
        <w:rPr>
          <w:rFonts w:hint="eastAsia" w:ascii="宋体" w:hAnsi="宋体" w:eastAsia="宋体" w:cs="宋体"/>
          <w:b/>
          <w:bCs/>
          <w:color w:val="auto"/>
          <w:kern w:val="0"/>
          <w:sz w:val="24"/>
          <w:szCs w:val="24"/>
          <w:highlight w:val="none"/>
        </w:rPr>
      </w:pPr>
      <w:bookmarkStart w:id="458" w:name="_Toc2912"/>
      <w:bookmarkStart w:id="459" w:name="_Toc21554"/>
      <w:bookmarkStart w:id="460" w:name="_Toc25239"/>
      <w:bookmarkStart w:id="461" w:name="_Toc26750"/>
      <w:bookmarkStart w:id="462" w:name="_Toc25750"/>
      <w:bookmarkStart w:id="463" w:name="_Toc35393796"/>
      <w:bookmarkStart w:id="464" w:name="_Toc28359085"/>
      <w:bookmarkStart w:id="465" w:name="_Toc35393627"/>
      <w:bookmarkStart w:id="466" w:name="_Toc28359008"/>
      <w:r>
        <w:rPr>
          <w:rFonts w:hint="eastAsia" w:ascii="宋体" w:hAnsi="宋体" w:eastAsia="宋体" w:cs="宋体"/>
          <w:b/>
          <w:bCs/>
          <w:color w:val="auto"/>
          <w:kern w:val="0"/>
          <w:sz w:val="24"/>
          <w:szCs w:val="24"/>
          <w:highlight w:val="none"/>
        </w:rPr>
        <w:t>三、获取招标文件</w:t>
      </w:r>
      <w:bookmarkEnd w:id="458"/>
      <w:bookmarkEnd w:id="459"/>
      <w:bookmarkEnd w:id="460"/>
      <w:bookmarkEnd w:id="461"/>
      <w:bookmarkEnd w:id="462"/>
    </w:p>
    <w:p>
      <w:pPr>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获取</w:t>
      </w:r>
      <w:r>
        <w:rPr>
          <w:rFonts w:hint="eastAsia" w:ascii="宋体" w:hAnsi="宋体" w:eastAsia="宋体" w:cs="宋体"/>
          <w:color w:val="auto"/>
          <w:sz w:val="24"/>
          <w:szCs w:val="24"/>
          <w:highlight w:val="none"/>
          <w:lang w:val="en-US" w:eastAsia="zh-CN"/>
        </w:rPr>
        <w:t>时间：2022年6月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日至2022年6月29日，每天上午10:00至14:00，下午16:00至20:00（北京时间，法定节假日除外）</w:t>
      </w:r>
    </w:p>
    <w:p>
      <w:pPr>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获取</w:t>
      </w:r>
      <w:r>
        <w:rPr>
          <w:rFonts w:hint="eastAsia" w:ascii="宋体" w:hAnsi="宋体" w:eastAsia="宋体" w:cs="宋体"/>
          <w:color w:val="auto"/>
          <w:sz w:val="24"/>
          <w:szCs w:val="24"/>
          <w:highlight w:val="none"/>
          <w:lang w:val="en-US" w:eastAsia="zh-CN"/>
        </w:rPr>
        <w:t>方式：线下获取</w:t>
      </w:r>
    </w:p>
    <w:p>
      <w:pPr>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获取</w:t>
      </w:r>
      <w:r>
        <w:rPr>
          <w:rFonts w:hint="eastAsia" w:ascii="宋体" w:hAnsi="宋体" w:eastAsia="宋体" w:cs="宋体"/>
          <w:color w:val="auto"/>
          <w:sz w:val="24"/>
          <w:szCs w:val="24"/>
          <w:highlight w:val="none"/>
          <w:lang w:val="en-US" w:eastAsia="zh-CN"/>
        </w:rPr>
        <w:t>地点：喀什经济开发区深圳城3号楼12层1204</w:t>
      </w:r>
    </w:p>
    <w:p>
      <w:pPr>
        <w:pStyle w:val="4"/>
        <w:pageBreakBefore w:val="0"/>
        <w:kinsoku/>
        <w:wordWrap/>
        <w:overflowPunct/>
        <w:topLinePunct w:val="0"/>
        <w:bidi w:val="0"/>
        <w:snapToGrid/>
        <w:spacing w:line="380" w:lineRule="exact"/>
        <w:jc w:val="both"/>
        <w:textAlignment w:val="auto"/>
        <w:rPr>
          <w:rFonts w:hint="eastAsia" w:ascii="宋体" w:hAnsi="宋体" w:eastAsia="宋体" w:cs="宋体"/>
          <w:b/>
          <w:bCs w:val="0"/>
          <w:color w:val="auto"/>
          <w:sz w:val="24"/>
          <w:szCs w:val="24"/>
          <w:highlight w:val="none"/>
        </w:rPr>
      </w:pPr>
      <w:bookmarkStart w:id="467" w:name="_Toc28359082"/>
      <w:bookmarkStart w:id="468" w:name="_Toc28359005"/>
      <w:bookmarkStart w:id="469" w:name="_Toc35393793"/>
      <w:bookmarkStart w:id="470" w:name="_Toc13238"/>
      <w:bookmarkStart w:id="471" w:name="_Toc24229"/>
      <w:bookmarkStart w:id="472" w:name="_Toc500"/>
      <w:bookmarkStart w:id="473" w:name="_Toc1356"/>
      <w:bookmarkStart w:id="474" w:name="_Toc2532"/>
      <w:bookmarkStart w:id="475" w:name="_Toc3804"/>
      <w:bookmarkStart w:id="476" w:name="_Toc11482"/>
      <w:bookmarkStart w:id="477" w:name="_Toc35393624"/>
      <w:bookmarkStart w:id="478" w:name="_Toc2422"/>
      <w:r>
        <w:rPr>
          <w:rFonts w:hint="eastAsia" w:ascii="宋体" w:hAnsi="宋体" w:eastAsia="宋体" w:cs="宋体"/>
          <w:b/>
          <w:bCs w:val="0"/>
          <w:color w:val="auto"/>
          <w:sz w:val="24"/>
          <w:szCs w:val="24"/>
          <w:highlight w:val="none"/>
        </w:rPr>
        <w:t>四、提交投标文件</w:t>
      </w:r>
      <w:bookmarkEnd w:id="467"/>
      <w:bookmarkEnd w:id="468"/>
      <w:r>
        <w:rPr>
          <w:rFonts w:hint="eastAsia" w:ascii="宋体" w:hAnsi="宋体" w:eastAsia="宋体" w:cs="宋体"/>
          <w:b/>
          <w:bCs w:val="0"/>
          <w:color w:val="auto"/>
          <w:sz w:val="24"/>
          <w:szCs w:val="24"/>
          <w:highlight w:val="none"/>
        </w:rPr>
        <w:t>截止时间、开标时间和地点</w:t>
      </w:r>
      <w:bookmarkEnd w:id="469"/>
      <w:bookmarkEnd w:id="470"/>
      <w:bookmarkEnd w:id="471"/>
      <w:bookmarkEnd w:id="472"/>
      <w:bookmarkEnd w:id="473"/>
      <w:bookmarkEnd w:id="474"/>
      <w:bookmarkEnd w:id="475"/>
      <w:bookmarkEnd w:id="476"/>
      <w:bookmarkEnd w:id="477"/>
      <w:bookmarkEnd w:id="478"/>
    </w:p>
    <w:p>
      <w:pPr>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lang w:val="en-US" w:eastAsia="zh-CN"/>
        </w:rPr>
      </w:pPr>
      <w:bookmarkStart w:id="479" w:name="_Toc28359084"/>
      <w:bookmarkStart w:id="480" w:name="_Toc20863"/>
      <w:bookmarkStart w:id="481" w:name="_Toc30400"/>
      <w:bookmarkStart w:id="482" w:name="_Toc35393794"/>
      <w:bookmarkStart w:id="483" w:name="_Toc28359007"/>
      <w:bookmarkStart w:id="484" w:name="_Toc35393625"/>
      <w:r>
        <w:rPr>
          <w:rFonts w:hint="eastAsia" w:ascii="宋体" w:hAnsi="宋体" w:eastAsia="宋体" w:cs="宋体"/>
          <w:color w:val="auto"/>
          <w:sz w:val="24"/>
          <w:szCs w:val="24"/>
          <w:highlight w:val="none"/>
          <w:lang w:val="en-US" w:eastAsia="zh-CN"/>
        </w:rPr>
        <w:t>时间：</w:t>
      </w:r>
      <w:r>
        <w:rPr>
          <w:rFonts w:hint="eastAsia" w:ascii="宋体" w:hAnsi="宋体" w:cs="宋体"/>
          <w:color w:val="auto"/>
          <w:sz w:val="24"/>
          <w:szCs w:val="24"/>
          <w:highlight w:val="none"/>
          <w:lang w:val="en-US" w:eastAsia="zh-CN"/>
        </w:rPr>
        <w:t>2022年7月14日下午17点30分</w:t>
      </w:r>
      <w:r>
        <w:rPr>
          <w:rFonts w:hint="eastAsia" w:ascii="宋体" w:hAnsi="宋体" w:eastAsia="宋体" w:cs="宋体"/>
          <w:color w:val="auto"/>
          <w:sz w:val="24"/>
          <w:szCs w:val="24"/>
          <w:highlight w:val="none"/>
          <w:lang w:val="en-US" w:eastAsia="zh-CN"/>
        </w:rPr>
        <w:t>（北京时间）</w:t>
      </w:r>
    </w:p>
    <w:p>
      <w:pPr>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lang w:val="en-US" w:eastAsia="zh-CN"/>
        </w:rPr>
      </w:pPr>
      <w:bookmarkStart w:id="485" w:name="_Toc3737"/>
      <w:bookmarkStart w:id="486" w:name="_Toc27810"/>
      <w:bookmarkStart w:id="487" w:name="_Toc26431"/>
      <w:r>
        <w:rPr>
          <w:rFonts w:hint="eastAsia" w:ascii="宋体" w:hAnsi="宋体" w:eastAsia="宋体" w:cs="宋体"/>
          <w:color w:val="auto"/>
          <w:sz w:val="24"/>
          <w:szCs w:val="24"/>
          <w:highlight w:val="none"/>
          <w:lang w:val="en-US" w:eastAsia="zh-CN"/>
        </w:rPr>
        <w:t>地点：</w:t>
      </w:r>
      <w:bookmarkEnd w:id="485"/>
      <w:bookmarkEnd w:id="486"/>
      <w:bookmarkEnd w:id="487"/>
      <w:r>
        <w:rPr>
          <w:rFonts w:hint="eastAsia" w:ascii="宋体" w:hAnsi="宋体" w:eastAsia="宋体" w:cs="宋体"/>
          <w:color w:val="auto"/>
          <w:sz w:val="24"/>
          <w:szCs w:val="24"/>
          <w:highlight w:val="none"/>
          <w:lang w:val="en-US" w:eastAsia="zh-CN"/>
        </w:rPr>
        <w:t>叶城县行政综合服务中心（叶城县工业园区纬三路）</w:t>
      </w:r>
    </w:p>
    <w:p>
      <w:pPr>
        <w:pStyle w:val="4"/>
        <w:pageBreakBefore w:val="0"/>
        <w:kinsoku/>
        <w:wordWrap/>
        <w:overflowPunct/>
        <w:topLinePunct w:val="0"/>
        <w:bidi w:val="0"/>
        <w:snapToGrid/>
        <w:spacing w:line="380" w:lineRule="exact"/>
        <w:jc w:val="both"/>
        <w:textAlignment w:val="auto"/>
        <w:rPr>
          <w:rFonts w:hint="eastAsia" w:ascii="宋体" w:hAnsi="宋体" w:eastAsia="宋体" w:cs="宋体"/>
          <w:b/>
          <w:bCs w:val="0"/>
          <w:color w:val="auto"/>
          <w:sz w:val="24"/>
          <w:szCs w:val="24"/>
          <w:highlight w:val="none"/>
        </w:rPr>
      </w:pPr>
      <w:bookmarkStart w:id="488" w:name="_Toc12384"/>
      <w:bookmarkStart w:id="489" w:name="_Toc19647"/>
      <w:bookmarkStart w:id="490" w:name="_Toc28248"/>
      <w:bookmarkStart w:id="491" w:name="_Toc7359"/>
      <w:bookmarkStart w:id="492" w:name="_Toc16829"/>
      <w:r>
        <w:rPr>
          <w:rFonts w:hint="eastAsia" w:ascii="宋体" w:hAnsi="宋体" w:eastAsia="宋体" w:cs="宋体"/>
          <w:b/>
          <w:bCs w:val="0"/>
          <w:color w:val="auto"/>
          <w:sz w:val="24"/>
          <w:szCs w:val="24"/>
          <w:highlight w:val="none"/>
        </w:rPr>
        <w:t>五、公告期限</w:t>
      </w:r>
      <w:bookmarkEnd w:id="479"/>
      <w:bookmarkEnd w:id="480"/>
      <w:bookmarkEnd w:id="481"/>
      <w:bookmarkEnd w:id="482"/>
      <w:bookmarkEnd w:id="483"/>
      <w:bookmarkEnd w:id="484"/>
      <w:bookmarkEnd w:id="488"/>
      <w:bookmarkEnd w:id="489"/>
      <w:bookmarkEnd w:id="490"/>
      <w:bookmarkEnd w:id="491"/>
      <w:bookmarkEnd w:id="492"/>
    </w:p>
    <w:p>
      <w:pPr>
        <w:pageBreakBefore w:val="0"/>
        <w:kinsoku/>
        <w:wordWrap/>
        <w:overflowPunct/>
        <w:topLinePunct w:val="0"/>
        <w:bidi w:val="0"/>
        <w:snapToGrid/>
        <w:spacing w:line="38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自本公告发布之日起5个工作日。</w:t>
      </w:r>
    </w:p>
    <w:p>
      <w:pPr>
        <w:pStyle w:val="4"/>
        <w:pageBreakBefore w:val="0"/>
        <w:kinsoku/>
        <w:wordWrap/>
        <w:overflowPunct/>
        <w:topLinePunct w:val="0"/>
        <w:bidi w:val="0"/>
        <w:snapToGrid/>
        <w:spacing w:line="380" w:lineRule="exact"/>
        <w:jc w:val="left"/>
        <w:textAlignment w:val="auto"/>
        <w:rPr>
          <w:rFonts w:hint="eastAsia" w:ascii="宋体" w:hAnsi="宋体" w:eastAsia="宋体" w:cs="宋体"/>
          <w:b/>
          <w:bCs w:val="0"/>
          <w:color w:val="auto"/>
          <w:sz w:val="24"/>
          <w:szCs w:val="24"/>
          <w:highlight w:val="none"/>
        </w:rPr>
      </w:pPr>
      <w:bookmarkStart w:id="493" w:name="_Toc17064"/>
      <w:bookmarkStart w:id="494" w:name="_Toc647"/>
      <w:bookmarkStart w:id="495" w:name="_Toc28370"/>
      <w:bookmarkStart w:id="496" w:name="_Toc6895"/>
      <w:bookmarkStart w:id="497" w:name="_Toc1699"/>
      <w:bookmarkStart w:id="498" w:name="_Toc17081"/>
      <w:bookmarkStart w:id="499" w:name="_Toc18258"/>
      <w:bookmarkStart w:id="500" w:name="_Toc7723"/>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对本次招标提出询问，请按以下方式联系。</w:t>
      </w:r>
      <w:bookmarkEnd w:id="493"/>
      <w:bookmarkEnd w:id="494"/>
      <w:bookmarkEnd w:id="495"/>
      <w:bookmarkEnd w:id="496"/>
      <w:bookmarkEnd w:id="497"/>
      <w:bookmarkEnd w:id="498"/>
      <w:bookmarkEnd w:id="499"/>
      <w:bookmarkEnd w:id="500"/>
    </w:p>
    <w:bookmarkEnd w:id="463"/>
    <w:bookmarkEnd w:id="464"/>
    <w:bookmarkEnd w:id="465"/>
    <w:bookmarkEnd w:id="466"/>
    <w:p>
      <w:pPr>
        <w:pageBreakBefore w:val="0"/>
        <w:widowControl w:val="0"/>
        <w:kinsoku/>
        <w:wordWrap/>
        <w:overflowPunct/>
        <w:topLinePunct w:val="0"/>
        <w:bidi w:val="0"/>
        <w:snapToGrid/>
        <w:spacing w:line="380" w:lineRule="exact"/>
        <w:ind w:firstLine="722" w:firstLineChars="301"/>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1.采购人信息</w:t>
      </w:r>
    </w:p>
    <w:p>
      <w:pPr>
        <w:pageBreakBefore w:val="0"/>
        <w:kinsoku/>
        <w:wordWrap/>
        <w:overflowPunct/>
        <w:topLinePunct w:val="0"/>
        <w:bidi w:val="0"/>
        <w:snapToGrid/>
        <w:spacing w:line="38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lang w:eastAsia="zh-CN"/>
        </w:rPr>
      </w:pPr>
      <w:r>
        <w:rPr>
          <w:rFonts w:hint="eastAsia" w:ascii="宋体" w:hAnsi="宋体" w:eastAsia="宋体" w:cs="宋体"/>
          <w:b w:val="0"/>
          <w:bCs w:val="0"/>
          <w:i w:val="0"/>
          <w:iCs w:val="0"/>
          <w:color w:val="auto"/>
          <w:sz w:val="24"/>
          <w:szCs w:val="24"/>
          <w:highlight w:val="none"/>
          <w:u w:val="none"/>
        </w:rPr>
        <w:t xml:space="preserve">名 </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称：</w:t>
      </w:r>
      <w:r>
        <w:rPr>
          <w:rFonts w:hint="eastAsia" w:ascii="宋体" w:hAnsi="宋体" w:eastAsia="宋体" w:cs="宋体"/>
          <w:b w:val="0"/>
          <w:bCs w:val="0"/>
          <w:i w:val="0"/>
          <w:iCs w:val="0"/>
          <w:color w:val="auto"/>
          <w:sz w:val="24"/>
          <w:szCs w:val="24"/>
          <w:highlight w:val="none"/>
          <w:u w:val="none"/>
          <w:lang w:eastAsia="zh-CN"/>
        </w:rPr>
        <w:t>中共叶城</w:t>
      </w:r>
      <w:r>
        <w:rPr>
          <w:rFonts w:hint="eastAsia" w:ascii="宋体" w:hAnsi="宋体" w:eastAsia="宋体" w:cs="宋体"/>
          <w:b w:val="0"/>
          <w:bCs w:val="0"/>
          <w:i w:val="0"/>
          <w:iCs w:val="0"/>
          <w:color w:val="auto"/>
          <w:sz w:val="24"/>
          <w:szCs w:val="24"/>
          <w:highlight w:val="none"/>
          <w:u w:val="none"/>
        </w:rPr>
        <w:t>县委</w:t>
      </w:r>
      <w:r>
        <w:rPr>
          <w:rFonts w:hint="eastAsia" w:ascii="宋体" w:hAnsi="宋体" w:eastAsia="宋体" w:cs="宋体"/>
          <w:b w:val="0"/>
          <w:bCs w:val="0"/>
          <w:i w:val="0"/>
          <w:iCs w:val="0"/>
          <w:color w:val="auto"/>
          <w:sz w:val="24"/>
          <w:szCs w:val="24"/>
          <w:highlight w:val="none"/>
          <w:u w:val="none"/>
          <w:lang w:eastAsia="zh-CN"/>
        </w:rPr>
        <w:t>组织部</w:t>
      </w:r>
    </w:p>
    <w:p>
      <w:pPr>
        <w:pageBreakBefore w:val="0"/>
        <w:kinsoku/>
        <w:wordWrap/>
        <w:overflowPunct/>
        <w:topLinePunct w:val="0"/>
        <w:bidi w:val="0"/>
        <w:snapToGrid/>
        <w:spacing w:line="38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联系地址：</w:t>
      </w:r>
      <w:r>
        <w:rPr>
          <w:rFonts w:hint="eastAsia" w:ascii="宋体" w:hAnsi="宋体" w:eastAsia="宋体" w:cs="宋体"/>
          <w:b w:val="0"/>
          <w:bCs w:val="0"/>
          <w:i w:val="0"/>
          <w:iCs w:val="0"/>
          <w:color w:val="auto"/>
          <w:sz w:val="24"/>
          <w:szCs w:val="24"/>
          <w:highlight w:val="none"/>
          <w:u w:val="none"/>
          <w:lang w:val="en-US" w:eastAsia="zh-CN"/>
        </w:rPr>
        <w:t>叶城县文化东路19院</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　　　　</w:t>
      </w:r>
    </w:p>
    <w:p>
      <w:pPr>
        <w:pageBreakBefore w:val="0"/>
        <w:kinsoku/>
        <w:wordWrap/>
        <w:overflowPunct/>
        <w:topLinePunct w:val="0"/>
        <w:bidi w:val="0"/>
        <w:snapToGrid/>
        <w:spacing w:line="38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lang w:eastAsia="zh-CN"/>
        </w:rPr>
        <w:t>联</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lang w:eastAsia="zh-CN"/>
        </w:rPr>
        <w:t>系</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lang w:eastAsia="zh-CN"/>
        </w:rPr>
        <w:t>人</w:t>
      </w:r>
      <w:r>
        <w:rPr>
          <w:rFonts w:hint="eastAsia" w:ascii="宋体" w:hAnsi="宋体" w:eastAsia="宋体" w:cs="宋体"/>
          <w:b w:val="0"/>
          <w:bCs w:val="0"/>
          <w:i w:val="0"/>
          <w:iCs w:val="0"/>
          <w:color w:val="auto"/>
          <w:sz w:val="24"/>
          <w:szCs w:val="24"/>
          <w:highlight w:val="none"/>
          <w:u w:val="none"/>
        </w:rPr>
        <w:t>：</w:t>
      </w:r>
      <w:r>
        <w:rPr>
          <w:rFonts w:hint="eastAsia" w:ascii="宋体" w:hAnsi="宋体" w:eastAsia="宋体" w:cs="宋体"/>
          <w:b w:val="0"/>
          <w:bCs w:val="0"/>
          <w:i w:val="0"/>
          <w:iCs w:val="0"/>
          <w:color w:val="auto"/>
          <w:sz w:val="24"/>
          <w:szCs w:val="24"/>
          <w:highlight w:val="none"/>
          <w:u w:val="none"/>
          <w:lang w:val="en-US" w:eastAsia="zh-CN"/>
        </w:rPr>
        <w:t>李京鸿</w:t>
      </w:r>
      <w:r>
        <w:rPr>
          <w:rFonts w:hint="eastAsia" w:ascii="宋体" w:hAnsi="宋体" w:eastAsia="宋体" w:cs="宋体"/>
          <w:b w:val="0"/>
          <w:bCs w:val="0"/>
          <w:i w:val="0"/>
          <w:iCs w:val="0"/>
          <w:color w:val="auto"/>
          <w:sz w:val="24"/>
          <w:szCs w:val="24"/>
          <w:highlight w:val="none"/>
          <w:u w:val="none"/>
        </w:rPr>
        <w:t>　　　　</w:t>
      </w:r>
    </w:p>
    <w:p>
      <w:pPr>
        <w:pageBreakBefore w:val="0"/>
        <w:kinsoku/>
        <w:wordWrap/>
        <w:overflowPunct/>
        <w:topLinePunct w:val="0"/>
        <w:bidi w:val="0"/>
        <w:snapToGrid/>
        <w:spacing w:line="38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联系</w:t>
      </w:r>
      <w:r>
        <w:rPr>
          <w:rFonts w:hint="eastAsia" w:ascii="宋体" w:hAnsi="宋体" w:eastAsia="宋体" w:cs="宋体"/>
          <w:b w:val="0"/>
          <w:bCs w:val="0"/>
          <w:i w:val="0"/>
          <w:iCs w:val="0"/>
          <w:color w:val="auto"/>
          <w:sz w:val="24"/>
          <w:szCs w:val="24"/>
          <w:highlight w:val="none"/>
          <w:u w:val="none"/>
          <w:lang w:val="en-US" w:eastAsia="zh-CN"/>
        </w:rPr>
        <w:t>电话</w:t>
      </w:r>
      <w:r>
        <w:rPr>
          <w:rFonts w:hint="eastAsia" w:ascii="宋体" w:hAnsi="宋体" w:eastAsia="宋体" w:cs="宋体"/>
          <w:b w:val="0"/>
          <w:bCs w:val="0"/>
          <w:i w:val="0"/>
          <w:iCs w:val="0"/>
          <w:color w:val="auto"/>
          <w:sz w:val="24"/>
          <w:szCs w:val="24"/>
          <w:highlight w:val="none"/>
          <w:u w:val="none"/>
        </w:rPr>
        <w:t>：</w:t>
      </w:r>
      <w:r>
        <w:rPr>
          <w:rFonts w:hint="eastAsia" w:ascii="宋体" w:hAnsi="宋体" w:cs="宋体"/>
          <w:b w:val="0"/>
          <w:bCs w:val="0"/>
          <w:i w:val="0"/>
          <w:iCs w:val="0"/>
          <w:color w:val="auto"/>
          <w:sz w:val="24"/>
          <w:szCs w:val="24"/>
          <w:highlight w:val="none"/>
          <w:u w:val="none"/>
          <w:lang w:val="en-US" w:eastAsia="zh-CN"/>
        </w:rPr>
        <w:t>0998-7282118</w:t>
      </w:r>
      <w:r>
        <w:rPr>
          <w:rFonts w:hint="eastAsia" w:ascii="宋体" w:hAnsi="宋体" w:eastAsia="宋体" w:cs="宋体"/>
          <w:b w:val="0"/>
          <w:bCs w:val="0"/>
          <w:i w:val="0"/>
          <w:iCs w:val="0"/>
          <w:color w:val="auto"/>
          <w:sz w:val="24"/>
          <w:szCs w:val="24"/>
          <w:highlight w:val="none"/>
          <w:u w:val="none"/>
        </w:rPr>
        <w:t xml:space="preserve">　　　 </w:t>
      </w:r>
      <w:bookmarkStart w:id="501" w:name="_Toc28359086"/>
      <w:bookmarkStart w:id="502" w:name="_Toc28359009"/>
    </w:p>
    <w:p>
      <w:pPr>
        <w:pageBreakBefore w:val="0"/>
        <w:widowControl w:val="0"/>
        <w:kinsoku/>
        <w:wordWrap/>
        <w:overflowPunct/>
        <w:topLinePunct w:val="0"/>
        <w:bidi w:val="0"/>
        <w:snapToGrid/>
        <w:spacing w:line="380" w:lineRule="exact"/>
        <w:ind w:firstLine="722" w:firstLineChars="301"/>
        <w:textAlignment w:val="auto"/>
        <w:rPr>
          <w:rFonts w:hint="eastAsia" w:ascii="宋体" w:hAnsi="宋体" w:eastAsia="宋体" w:cs="宋体"/>
          <w:b w:val="0"/>
          <w:bCs w:val="0"/>
          <w:i w:val="0"/>
          <w:iCs w:val="0"/>
          <w:color w:val="auto"/>
          <w:sz w:val="24"/>
          <w:szCs w:val="24"/>
          <w:highlight w:val="none"/>
          <w:u w:val="none"/>
          <w:lang w:val="en-US" w:eastAsia="zh-CN"/>
        </w:rPr>
      </w:pPr>
      <w:r>
        <w:rPr>
          <w:rFonts w:hint="eastAsia" w:ascii="宋体" w:hAnsi="宋体" w:eastAsia="宋体" w:cs="宋体"/>
          <w:b w:val="0"/>
          <w:bCs w:val="0"/>
          <w:i w:val="0"/>
          <w:iCs w:val="0"/>
          <w:color w:val="auto"/>
          <w:sz w:val="24"/>
          <w:szCs w:val="24"/>
          <w:highlight w:val="none"/>
          <w:u w:val="none"/>
          <w:lang w:val="en-US" w:eastAsia="zh-CN"/>
        </w:rPr>
        <w:t>2.采购代理机构信息</w:t>
      </w:r>
      <w:bookmarkEnd w:id="501"/>
      <w:bookmarkEnd w:id="502"/>
      <w:r>
        <w:rPr>
          <w:rFonts w:hint="eastAsia" w:ascii="宋体" w:hAnsi="宋体" w:eastAsia="宋体" w:cs="宋体"/>
          <w:b w:val="0"/>
          <w:bCs w:val="0"/>
          <w:i w:val="0"/>
          <w:iCs w:val="0"/>
          <w:color w:val="auto"/>
          <w:sz w:val="24"/>
          <w:szCs w:val="24"/>
          <w:highlight w:val="none"/>
          <w:u w:val="none"/>
          <w:lang w:val="en-US" w:eastAsia="zh-CN"/>
        </w:rPr>
        <w:t xml:space="preserve"> </w:t>
      </w:r>
    </w:p>
    <w:p>
      <w:pPr>
        <w:pageBreakBefore w:val="0"/>
        <w:kinsoku/>
        <w:wordWrap/>
        <w:overflowPunct/>
        <w:topLinePunct w:val="0"/>
        <w:bidi w:val="0"/>
        <w:snapToGrid/>
        <w:spacing w:line="38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bookmarkStart w:id="503" w:name="_Toc28359087"/>
      <w:bookmarkStart w:id="504" w:name="_Toc28359010"/>
      <w:r>
        <w:rPr>
          <w:rFonts w:hint="eastAsia" w:ascii="宋体" w:hAnsi="宋体" w:eastAsia="宋体" w:cs="宋体"/>
          <w:b w:val="0"/>
          <w:bCs w:val="0"/>
          <w:i w:val="0"/>
          <w:iCs w:val="0"/>
          <w:color w:val="auto"/>
          <w:sz w:val="24"/>
          <w:szCs w:val="24"/>
          <w:highlight w:val="none"/>
          <w:u w:val="none"/>
        </w:rPr>
        <w:t xml:space="preserve">名 </w:t>
      </w:r>
      <w:r>
        <w:rPr>
          <w:rFonts w:hint="eastAsia" w:ascii="宋体" w:hAnsi="宋体" w:eastAsia="宋体" w:cs="宋体"/>
          <w:b w:val="0"/>
          <w:bCs w:val="0"/>
          <w:i w:val="0"/>
          <w:iCs w:val="0"/>
          <w:color w:val="auto"/>
          <w:sz w:val="24"/>
          <w:szCs w:val="24"/>
          <w:highlight w:val="none"/>
          <w:u w:val="none"/>
          <w:lang w:val="en-US" w:eastAsia="zh-CN"/>
        </w:rPr>
        <w:t xml:space="preserve">   </w:t>
      </w:r>
      <w:r>
        <w:rPr>
          <w:rFonts w:hint="eastAsia" w:ascii="宋体" w:hAnsi="宋体" w:eastAsia="宋体" w:cs="宋体"/>
          <w:b w:val="0"/>
          <w:bCs w:val="0"/>
          <w:i w:val="0"/>
          <w:iCs w:val="0"/>
          <w:color w:val="auto"/>
          <w:sz w:val="24"/>
          <w:szCs w:val="24"/>
          <w:highlight w:val="none"/>
          <w:u w:val="none"/>
        </w:rPr>
        <w:t>称：中经国际招标集团有限公司　　　　</w:t>
      </w:r>
    </w:p>
    <w:p>
      <w:pPr>
        <w:pageBreakBefore w:val="0"/>
        <w:kinsoku/>
        <w:wordWrap/>
        <w:overflowPunct/>
        <w:topLinePunct w:val="0"/>
        <w:bidi w:val="0"/>
        <w:snapToGrid/>
        <w:spacing w:line="38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联系地址：</w:t>
      </w:r>
      <w:r>
        <w:rPr>
          <w:rFonts w:hint="eastAsia" w:ascii="宋体" w:hAnsi="宋体" w:eastAsia="宋体" w:cs="宋体"/>
          <w:color w:val="auto"/>
          <w:sz w:val="24"/>
          <w:szCs w:val="24"/>
          <w:highlight w:val="none"/>
          <w:lang w:val="en-US" w:eastAsia="zh-CN"/>
        </w:rPr>
        <w:t>喀什经济开发区深圳城3号楼12层1204</w:t>
      </w:r>
    </w:p>
    <w:p>
      <w:pPr>
        <w:pageBreakBefore w:val="0"/>
        <w:kinsoku/>
        <w:wordWrap/>
        <w:overflowPunct/>
        <w:topLinePunct w:val="0"/>
        <w:bidi w:val="0"/>
        <w:snapToGrid/>
        <w:spacing w:line="380" w:lineRule="exact"/>
        <w:ind w:left="1079" w:leftChars="371" w:hanging="300" w:hangingChars="125"/>
        <w:jc w:val="left"/>
        <w:textAlignment w:val="auto"/>
        <w:rPr>
          <w:rFonts w:hint="eastAsia" w:ascii="宋体" w:hAnsi="宋体" w:eastAsia="宋体" w:cs="宋体"/>
          <w:b w:val="0"/>
          <w:bCs w:val="0"/>
          <w:i w:val="0"/>
          <w:iCs w:val="0"/>
          <w:color w:val="auto"/>
          <w:sz w:val="24"/>
          <w:szCs w:val="24"/>
          <w:highlight w:val="none"/>
          <w:u w:val="none"/>
        </w:rPr>
      </w:pPr>
      <w:r>
        <w:rPr>
          <w:rFonts w:hint="eastAsia" w:ascii="宋体" w:hAnsi="宋体" w:eastAsia="宋体" w:cs="宋体"/>
          <w:b w:val="0"/>
          <w:bCs w:val="0"/>
          <w:i w:val="0"/>
          <w:iCs w:val="0"/>
          <w:color w:val="auto"/>
          <w:sz w:val="24"/>
          <w:szCs w:val="24"/>
          <w:highlight w:val="none"/>
          <w:u w:val="none"/>
        </w:rPr>
        <w:t>联 系 人：</w:t>
      </w:r>
      <w:r>
        <w:rPr>
          <w:rFonts w:hint="eastAsia" w:ascii="宋体" w:hAnsi="宋体" w:eastAsia="宋体" w:cs="宋体"/>
          <w:b w:val="0"/>
          <w:bCs w:val="0"/>
          <w:i w:val="0"/>
          <w:iCs w:val="0"/>
          <w:color w:val="auto"/>
          <w:sz w:val="24"/>
          <w:szCs w:val="24"/>
          <w:highlight w:val="none"/>
          <w:u w:val="none"/>
          <w:lang w:val="en-US" w:eastAsia="zh-CN"/>
        </w:rPr>
        <w:t>王丽娟</w:t>
      </w:r>
      <w:r>
        <w:rPr>
          <w:rFonts w:hint="eastAsia" w:ascii="宋体" w:hAnsi="宋体" w:eastAsia="宋体" w:cs="宋体"/>
          <w:b w:val="0"/>
          <w:bCs w:val="0"/>
          <w:i w:val="0"/>
          <w:iCs w:val="0"/>
          <w:color w:val="auto"/>
          <w:sz w:val="24"/>
          <w:szCs w:val="24"/>
          <w:highlight w:val="none"/>
          <w:u w:val="none"/>
        </w:rPr>
        <w:t>　</w:t>
      </w:r>
    </w:p>
    <w:p>
      <w:pPr>
        <w:keepNext w:val="0"/>
        <w:keepLines w:val="0"/>
        <w:pageBreakBefore w:val="0"/>
        <w:widowControl w:val="0"/>
        <w:kinsoku/>
        <w:wordWrap/>
        <w:overflowPunct/>
        <w:topLinePunct w:val="0"/>
        <w:autoSpaceDE/>
        <w:autoSpaceDN/>
        <w:bidi w:val="0"/>
        <w:adjustRightInd/>
        <w:snapToGrid/>
        <w:spacing w:line="380" w:lineRule="exact"/>
        <w:ind w:left="1079" w:leftChars="371" w:hanging="300" w:hangingChars="125"/>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val="0"/>
          <w:bCs w:val="0"/>
          <w:i w:val="0"/>
          <w:iCs w:val="0"/>
          <w:color w:val="auto"/>
          <w:sz w:val="24"/>
          <w:szCs w:val="24"/>
          <w:highlight w:val="none"/>
          <w:u w:val="none"/>
        </w:rPr>
        <w:t>联系电话：15099650569 　</w:t>
      </w:r>
      <w:bookmarkEnd w:id="503"/>
      <w:bookmarkEnd w:id="504"/>
      <w:r>
        <w:rPr>
          <w:rFonts w:hint="eastAsia" w:ascii="宋体" w:hAnsi="宋体" w:eastAsia="宋体" w:cs="宋体"/>
          <w:i w:val="0"/>
          <w:iCs w:val="0"/>
          <w:color w:val="auto"/>
          <w:sz w:val="24"/>
          <w:szCs w:val="24"/>
          <w:highlight w:val="none"/>
        </w:rPr>
        <w:t>　　　　</w:t>
      </w:r>
    </w:p>
    <w:p>
      <w:pPr>
        <w:pStyle w:val="9"/>
        <w:pageBreakBefore w:val="0"/>
        <w:kinsoku/>
        <w:wordWrap/>
        <w:overflowPunct/>
        <w:topLinePunct w:val="0"/>
        <w:bidi w:val="0"/>
        <w:snapToGrid/>
        <w:spacing w:line="380" w:lineRule="exact"/>
        <w:ind w:firstLine="4080" w:firstLineChars="1700"/>
        <w:jc w:val="right"/>
        <w:textAlignment w:val="auto"/>
        <w:rPr>
          <w:rFonts w:hint="eastAsia" w:ascii="宋体" w:hAnsi="宋体" w:eastAsia="宋体" w:cs="宋体"/>
          <w:i w:val="0"/>
          <w:iCs w:val="0"/>
          <w:color w:val="auto"/>
          <w:sz w:val="24"/>
          <w:szCs w:val="24"/>
          <w:highlight w:val="none"/>
        </w:rPr>
      </w:pPr>
    </w:p>
    <w:p>
      <w:pPr>
        <w:pageBreakBefore w:val="0"/>
        <w:kinsoku/>
        <w:wordWrap/>
        <w:overflowPunct/>
        <w:topLinePunct w:val="0"/>
        <w:bidi w:val="0"/>
        <w:spacing w:line="380" w:lineRule="exact"/>
        <w:rPr>
          <w:rFonts w:hint="eastAsia" w:ascii="宋体" w:hAnsi="宋体" w:eastAsia="宋体" w:cs="宋体"/>
          <w:sz w:val="24"/>
          <w:szCs w:val="24"/>
        </w:rPr>
      </w:pPr>
    </w:p>
    <w:p>
      <w:pPr>
        <w:pageBreakBefore w:val="0"/>
        <w:kinsoku/>
        <w:wordWrap/>
        <w:overflowPunct/>
        <w:topLinePunct w:val="0"/>
        <w:bidi w:val="0"/>
        <w:spacing w:line="380" w:lineRule="exact"/>
        <w:rPr>
          <w:rFonts w:hint="eastAsia" w:ascii="宋体" w:hAnsi="宋体" w:eastAsia="宋体" w:cs="宋体"/>
          <w:sz w:val="24"/>
          <w:szCs w:val="24"/>
        </w:rPr>
      </w:pPr>
    </w:p>
    <w:p>
      <w:pPr>
        <w:pStyle w:val="9"/>
        <w:pageBreakBefore w:val="0"/>
        <w:kinsoku/>
        <w:wordWrap/>
        <w:overflowPunct/>
        <w:topLinePunct w:val="0"/>
        <w:bidi w:val="0"/>
        <w:snapToGrid/>
        <w:spacing w:line="380" w:lineRule="exact"/>
        <w:ind w:firstLine="4080" w:firstLineChars="1700"/>
        <w:jc w:val="righ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中经国际招标集团有限公司  </w:t>
      </w:r>
    </w:p>
    <w:p>
      <w:pPr>
        <w:pageBreakBefore w:val="0"/>
        <w:kinsoku/>
        <w:wordWrap/>
        <w:overflowPunct/>
        <w:topLinePunct w:val="0"/>
        <w:bidi w:val="0"/>
        <w:spacing w:line="380" w:lineRule="exact"/>
        <w:rPr>
          <w:rFonts w:hint="eastAsia" w:ascii="宋体" w:hAnsi="宋体" w:eastAsia="宋体" w:cs="宋体"/>
          <w:sz w:val="24"/>
          <w:szCs w:val="24"/>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202</w:t>
      </w: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月</w:t>
      </w:r>
      <w:r>
        <w:rPr>
          <w:rFonts w:hint="eastAsia" w:ascii="宋体" w:hAnsi="宋体" w:cs="宋体"/>
          <w:color w:val="auto"/>
          <w:kern w:val="2"/>
          <w:sz w:val="24"/>
          <w:szCs w:val="24"/>
          <w:highlight w:val="none"/>
          <w:lang w:val="en-US" w:eastAsia="zh-CN"/>
        </w:rPr>
        <w:t>22</w:t>
      </w:r>
      <w:r>
        <w:rPr>
          <w:rFonts w:hint="eastAsia" w:ascii="宋体" w:hAnsi="宋体" w:eastAsia="宋体" w:cs="宋体"/>
          <w:color w:val="auto"/>
          <w:kern w:val="2"/>
          <w:sz w:val="24"/>
          <w:szCs w:val="24"/>
          <w:highlight w:val="none"/>
        </w:rPr>
        <w:t>日</w:t>
      </w:r>
    </w:p>
    <w:p>
      <w:pPr>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exact"/>
        <w:jc w:val="both"/>
        <w:textAlignment w:val="auto"/>
        <w:outlineLvl w:val="9"/>
        <w:rPr>
          <w:rFonts w:hint="eastAsia" w:ascii="宋体" w:hAnsi="宋体" w:cs="宋体"/>
          <w:color w:val="auto"/>
          <w:lang w:val="en-US" w:eastAsia="zh-CN"/>
        </w:rPr>
      </w:pPr>
      <w:r>
        <w:rPr>
          <w:rFonts w:hint="eastAsia" w:ascii="宋体" w:hAnsi="宋体" w:cs="宋体"/>
          <w:color w:val="auto"/>
          <w:lang w:val="en-US" w:eastAsia="zh-CN"/>
        </w:rPr>
        <w:t>公告截图</w:t>
      </w:r>
    </w:p>
    <w:p>
      <w:pPr>
        <w:pStyle w:val="2"/>
      </w:pPr>
      <w:r>
        <w:drawing>
          <wp:inline distT="0" distB="0" distL="114300" distR="114300">
            <wp:extent cx="5275580" cy="5995035"/>
            <wp:effectExtent l="0" t="0" r="1270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2"/>
                    <a:stretch>
                      <a:fillRect/>
                    </a:stretch>
                  </pic:blipFill>
                  <pic:spPr>
                    <a:xfrm>
                      <a:off x="0" y="0"/>
                      <a:ext cx="5275580" cy="5995035"/>
                    </a:xfrm>
                    <a:prstGeom prst="rect">
                      <a:avLst/>
                    </a:prstGeom>
                    <a:noFill/>
                    <a:ln>
                      <a:noFill/>
                    </a:ln>
                  </pic:spPr>
                </pic:pic>
              </a:graphicData>
            </a:graphic>
          </wp:inline>
        </w:drawing>
      </w:r>
      <w:r>
        <w:drawing>
          <wp:inline distT="0" distB="0" distL="114300" distR="114300">
            <wp:extent cx="5274310" cy="6130925"/>
            <wp:effectExtent l="0" t="0" r="13970" b="1079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3"/>
                    <a:stretch>
                      <a:fillRect/>
                    </a:stretch>
                  </pic:blipFill>
                  <pic:spPr>
                    <a:xfrm>
                      <a:off x="0" y="0"/>
                      <a:ext cx="5274310" cy="6130925"/>
                    </a:xfrm>
                    <a:prstGeom prst="rect">
                      <a:avLst/>
                    </a:prstGeom>
                    <a:noFill/>
                    <a:ln>
                      <a:noFill/>
                    </a:ln>
                  </pic:spPr>
                </pic:pic>
              </a:graphicData>
            </a:graphic>
          </wp:inline>
        </w:drawing>
      </w:r>
      <w:r>
        <w:drawing>
          <wp:inline distT="0" distB="0" distL="114300" distR="114300">
            <wp:extent cx="5275580" cy="2743835"/>
            <wp:effectExtent l="0" t="0" r="12700" b="146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4"/>
                    <a:stretch>
                      <a:fillRect/>
                    </a:stretch>
                  </pic:blipFill>
                  <pic:spPr>
                    <a:xfrm>
                      <a:off x="0" y="0"/>
                      <a:ext cx="5275580" cy="274383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drawing>
          <wp:inline distT="0" distB="0" distL="114300" distR="114300">
            <wp:extent cx="5275580" cy="6417945"/>
            <wp:effectExtent l="0" t="0" r="1270" b="190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25"/>
                    <a:stretch>
                      <a:fillRect/>
                    </a:stretch>
                  </pic:blipFill>
                  <pic:spPr>
                    <a:xfrm>
                      <a:off x="0" y="0"/>
                      <a:ext cx="5275580" cy="6417945"/>
                    </a:xfrm>
                    <a:prstGeom prst="rect">
                      <a:avLst/>
                    </a:prstGeom>
                    <a:noFill/>
                    <a:ln>
                      <a:noFill/>
                    </a:ln>
                  </pic:spPr>
                </pic:pic>
              </a:graphicData>
            </a:graphic>
          </wp:inline>
        </w:drawing>
      </w:r>
      <w:r>
        <w:drawing>
          <wp:inline distT="0" distB="0" distL="114300" distR="114300">
            <wp:extent cx="5274310" cy="6781165"/>
            <wp:effectExtent l="0" t="0" r="2540" b="63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26"/>
                    <a:stretch>
                      <a:fillRect/>
                    </a:stretch>
                  </pic:blipFill>
                  <pic:spPr>
                    <a:xfrm>
                      <a:off x="0" y="0"/>
                      <a:ext cx="5274310" cy="6781165"/>
                    </a:xfrm>
                    <a:prstGeom prst="rect">
                      <a:avLst/>
                    </a:prstGeom>
                    <a:noFill/>
                    <a:ln>
                      <a:noFill/>
                    </a:ln>
                  </pic:spPr>
                </pic:pic>
              </a:graphicData>
            </a:graphic>
          </wp:inline>
        </w:drawing>
      </w:r>
      <w:r>
        <w:drawing>
          <wp:inline distT="0" distB="0" distL="114300" distR="114300">
            <wp:extent cx="5274945" cy="6471285"/>
            <wp:effectExtent l="0" t="0" r="1905" b="571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27"/>
                    <a:stretch>
                      <a:fillRect/>
                    </a:stretch>
                  </pic:blipFill>
                  <pic:spPr>
                    <a:xfrm>
                      <a:off x="0" y="0"/>
                      <a:ext cx="5274945" cy="6471285"/>
                    </a:xfrm>
                    <a:prstGeom prst="rect">
                      <a:avLst/>
                    </a:prstGeom>
                    <a:noFill/>
                    <a:ln>
                      <a:noFill/>
                    </a:ln>
                  </pic:spPr>
                </pic:pic>
              </a:graphicData>
            </a:graphic>
          </wp:inline>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lang w:val="en-US" w:eastAsia="zh-CN"/>
        </w:rPr>
      </w:pPr>
    </w:p>
    <w:p>
      <w:pPr>
        <w:outlineLvl w:val="9"/>
        <w:rPr>
          <w:rFonts w:hint="eastAsia" w:ascii="宋体" w:hAnsi="宋体" w:eastAsia="宋体" w:cs="宋体"/>
          <w:lang w:eastAsia="zh-CN"/>
        </w:rPr>
      </w:pP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exact"/>
        <w:ind w:firstLine="2570" w:firstLineChars="800"/>
        <w:jc w:val="both"/>
        <w:textAlignment w:val="auto"/>
        <w:rPr>
          <w:rFonts w:hint="eastAsia" w:ascii="宋体" w:hAnsi="宋体" w:eastAsia="宋体" w:cs="宋体"/>
          <w:color w:val="auto"/>
        </w:rPr>
      </w:pPr>
      <w:bookmarkStart w:id="505" w:name="_Toc9525"/>
      <w:r>
        <w:rPr>
          <w:rFonts w:hint="eastAsia" w:ascii="宋体" w:hAnsi="宋体" w:eastAsia="宋体" w:cs="宋体"/>
          <w:color w:val="auto"/>
          <w:lang w:eastAsia="zh-CN"/>
        </w:rPr>
        <w:t>第</w:t>
      </w:r>
      <w:r>
        <w:rPr>
          <w:rFonts w:hint="eastAsia" w:ascii="宋体" w:hAnsi="宋体" w:eastAsia="宋体" w:cs="宋体"/>
          <w:color w:val="auto"/>
          <w:lang w:val="en-US" w:eastAsia="zh-CN"/>
        </w:rPr>
        <w:t xml:space="preserve">4章 </w:t>
      </w:r>
      <w:r>
        <w:rPr>
          <w:rFonts w:hint="eastAsia" w:ascii="宋体" w:hAnsi="宋体" w:eastAsia="宋体" w:cs="宋体"/>
          <w:color w:val="auto"/>
          <w:lang w:eastAsia="zh-CN"/>
        </w:rPr>
        <w:t>供应商</w:t>
      </w:r>
      <w:r>
        <w:rPr>
          <w:rFonts w:hint="eastAsia" w:ascii="宋体" w:hAnsi="宋体" w:eastAsia="宋体" w:cs="宋体"/>
          <w:color w:val="auto"/>
        </w:rPr>
        <w:t>须知资料表</w:t>
      </w:r>
      <w:bookmarkEnd w:id="438"/>
      <w:bookmarkEnd w:id="439"/>
      <w:bookmarkEnd w:id="440"/>
      <w:bookmarkEnd w:id="441"/>
      <w:bookmarkEnd w:id="442"/>
      <w:bookmarkEnd w:id="505"/>
    </w:p>
    <w:bookmarkEnd w:id="443"/>
    <w:p>
      <w:pPr>
        <w:pStyle w:val="29"/>
        <w:widowControl/>
        <w:spacing w:beforeAutospacing="0" w:afterAutospacing="0" w:line="360" w:lineRule="exact"/>
        <w:ind w:firstLine="480" w:firstLineChars="200"/>
        <w:rPr>
          <w:rFonts w:hint="eastAsia" w:ascii="宋体" w:hAnsi="宋体" w:eastAsia="宋体" w:cs="宋体"/>
          <w:color w:val="auto"/>
        </w:rPr>
      </w:pPr>
      <w:r>
        <w:rPr>
          <w:rFonts w:hint="eastAsia" w:ascii="宋体" w:hAnsi="宋体" w:eastAsia="宋体" w:cs="宋体"/>
          <w:color w:val="auto"/>
        </w:rPr>
        <w:t xml:space="preserve"> 本表是本招标项目的具体资料，是对</w:t>
      </w:r>
      <w:r>
        <w:rPr>
          <w:rFonts w:hint="eastAsia" w:ascii="宋体" w:hAnsi="宋体" w:eastAsia="宋体" w:cs="宋体"/>
          <w:color w:val="auto"/>
          <w:lang w:eastAsia="zh-CN"/>
        </w:rPr>
        <w:t>供应商</w:t>
      </w:r>
      <w:r>
        <w:rPr>
          <w:rFonts w:hint="eastAsia" w:ascii="宋体" w:hAnsi="宋体" w:eastAsia="宋体" w:cs="宋体"/>
          <w:color w:val="auto"/>
        </w:rPr>
        <w:t>须知的具体补充和修改，如有矛盾，应以本资料表为准。</w:t>
      </w:r>
    </w:p>
    <w:tbl>
      <w:tblPr>
        <w:tblStyle w:val="34"/>
        <w:tblW w:w="85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38"/>
        <w:gridCol w:w="7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238" w:type="dxa"/>
            <w:noWrap w:val="0"/>
            <w:vAlign w:val="center"/>
          </w:tcPr>
          <w:p>
            <w:pPr>
              <w:pStyle w:val="29"/>
              <w:widowControl/>
              <w:spacing w:beforeAutospacing="0" w:afterAutospacing="0" w:line="360" w:lineRule="exact"/>
              <w:rPr>
                <w:rFonts w:hint="eastAsia" w:ascii="宋体" w:hAnsi="宋体" w:eastAsia="宋体" w:cs="宋体"/>
                <w:color w:val="auto"/>
              </w:rPr>
            </w:pPr>
            <w:r>
              <w:rPr>
                <w:rFonts w:hint="eastAsia" w:ascii="宋体" w:hAnsi="宋体" w:eastAsia="宋体" w:cs="宋体"/>
                <w:color w:val="auto"/>
              </w:rPr>
              <w:t>条款号</w:t>
            </w:r>
          </w:p>
        </w:tc>
        <w:tc>
          <w:tcPr>
            <w:tcW w:w="7270" w:type="dxa"/>
            <w:noWrap w:val="0"/>
            <w:vAlign w:val="center"/>
          </w:tcPr>
          <w:p>
            <w:pPr>
              <w:pStyle w:val="29"/>
              <w:widowControl/>
              <w:spacing w:beforeAutospacing="0" w:afterAutospacing="0" w:line="360" w:lineRule="exact"/>
              <w:ind w:firstLine="480" w:firstLineChars="200"/>
              <w:rPr>
                <w:rFonts w:hint="eastAsia" w:ascii="宋体" w:hAnsi="宋体" w:eastAsia="宋体" w:cs="宋体"/>
                <w:color w:val="auto"/>
              </w:rPr>
            </w:pPr>
            <w:r>
              <w:rPr>
                <w:rFonts w:hint="eastAsia" w:ascii="宋体" w:hAnsi="宋体" w:eastAsia="宋体" w:cs="宋体"/>
                <w:color w:val="auto"/>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2" w:hRule="atLeast"/>
        </w:trPr>
        <w:tc>
          <w:tcPr>
            <w:tcW w:w="1238" w:type="dxa"/>
            <w:noWrap w:val="0"/>
            <w:vAlign w:val="center"/>
          </w:tcPr>
          <w:p>
            <w:pPr>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1.1</w:t>
            </w:r>
          </w:p>
        </w:tc>
        <w:tc>
          <w:tcPr>
            <w:tcW w:w="7270" w:type="dxa"/>
            <w:noWrap w:val="0"/>
            <w:vAlign w:val="center"/>
          </w:tcPr>
          <w:p>
            <w:pPr>
              <w:spacing w:line="360" w:lineRule="exact"/>
              <w:rPr>
                <w:rFonts w:hint="eastAsia" w:ascii="宋体" w:hAnsi="宋体" w:eastAsia="宋体" w:cs="宋体"/>
                <w:color w:val="auto"/>
                <w:sz w:val="24"/>
                <w:u w:val="single"/>
                <w:lang w:val="en-US" w:eastAsia="zh-CN"/>
              </w:rPr>
            </w:pPr>
            <w:r>
              <w:rPr>
                <w:rFonts w:hint="eastAsia" w:ascii="宋体" w:hAnsi="宋体" w:eastAsia="宋体" w:cs="宋体"/>
                <w:color w:val="auto"/>
                <w:sz w:val="24"/>
              </w:rPr>
              <w:t>采购人：</w:t>
            </w:r>
            <w:r>
              <w:rPr>
                <w:rFonts w:hint="eastAsia" w:ascii="宋体" w:hAnsi="宋体" w:eastAsia="宋体" w:cs="宋体"/>
                <w:color w:val="auto"/>
                <w:sz w:val="24"/>
                <w:u w:val="single"/>
              </w:rPr>
              <w:t>中共叶城县委组织部</w:t>
            </w:r>
            <w:r>
              <w:rPr>
                <w:rFonts w:hint="eastAsia" w:ascii="宋体" w:hAnsi="宋体" w:eastAsia="宋体" w:cs="宋体"/>
                <w:color w:val="auto"/>
                <w:sz w:val="24"/>
                <w:u w:val="single"/>
                <w:lang w:val="en-US" w:eastAsia="zh-CN"/>
              </w:rPr>
              <w:t>　</w:t>
            </w:r>
          </w:p>
          <w:p>
            <w:pPr>
              <w:keepNext w:val="0"/>
              <w:keepLines w:val="0"/>
              <w:pageBreakBefore w:val="0"/>
              <w:kinsoku/>
              <w:wordWrap/>
              <w:overflowPunct/>
              <w:topLinePunct w:val="0"/>
              <w:bidi w:val="0"/>
              <w:adjustRightInd/>
              <w:snapToGrid/>
              <w:spacing w:line="360" w:lineRule="exact"/>
              <w:textAlignment w:val="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single"/>
                <w:lang w:eastAsia="zh-CN"/>
              </w:rPr>
              <w:t xml:space="preserve">　 李京鸿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rPr>
              <w:t xml:space="preserve">电 </w:t>
            </w:r>
            <w:r>
              <w:rPr>
                <w:rFonts w:hint="eastAsia" w:ascii="宋体" w:hAnsi="宋体" w:eastAsia="宋体" w:cs="宋体"/>
                <w:color w:val="auto"/>
                <w:sz w:val="24"/>
                <w:u w:val="none"/>
                <w:lang w:val="en-US" w:eastAsia="zh-CN"/>
              </w:rPr>
              <w:t xml:space="preserve"> </w:t>
            </w:r>
            <w:r>
              <w:rPr>
                <w:rFonts w:hint="eastAsia" w:ascii="宋体" w:hAnsi="宋体" w:eastAsia="宋体" w:cs="宋体"/>
                <w:color w:val="auto"/>
                <w:sz w:val="24"/>
                <w:u w:val="none"/>
              </w:rPr>
              <w:t>话：</w:t>
            </w:r>
            <w:r>
              <w:rPr>
                <w:rFonts w:hint="eastAsia" w:ascii="宋体" w:hAnsi="宋体" w:eastAsia="宋体" w:cs="宋体"/>
                <w:color w:val="auto"/>
                <w:sz w:val="24"/>
                <w:u w:val="single"/>
                <w:lang w:val="en-US" w:eastAsia="zh-CN"/>
              </w:rPr>
              <w:t xml:space="preserve"> 0998-7282118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238" w:type="dxa"/>
            <w:noWrap w:val="0"/>
            <w:vAlign w:val="center"/>
          </w:tcPr>
          <w:p>
            <w:pPr>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1.2</w:t>
            </w:r>
          </w:p>
        </w:tc>
        <w:tc>
          <w:tcPr>
            <w:tcW w:w="7270" w:type="dxa"/>
            <w:noWrap w:val="0"/>
            <w:vAlign w:val="center"/>
          </w:tcPr>
          <w:p>
            <w:pPr>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采购代理机构：</w:t>
            </w:r>
            <w:r>
              <w:rPr>
                <w:rFonts w:hint="eastAsia" w:ascii="宋体" w:hAnsi="宋体" w:eastAsia="宋体" w:cs="宋体"/>
                <w:color w:val="auto"/>
                <w:sz w:val="24"/>
                <w:u w:val="single"/>
              </w:rPr>
              <w:t xml:space="preserve">  中经国际招标集团有限公司  </w:t>
            </w:r>
          </w:p>
          <w:p>
            <w:pPr>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r>
              <w:rPr>
                <w:rFonts w:hint="eastAsia" w:ascii="宋体" w:hAnsi="宋体" w:eastAsia="宋体" w:cs="宋体"/>
                <w:color w:val="auto"/>
                <w:sz w:val="24"/>
                <w:highlight w:val="none"/>
                <w:u w:val="single"/>
              </w:rPr>
              <w:t xml:space="preserve">喀什经济开发区深圳城3号楼12层1204  </w:t>
            </w:r>
            <w:r>
              <w:rPr>
                <w:rFonts w:hint="eastAsia" w:ascii="宋体" w:hAnsi="宋体" w:eastAsia="宋体" w:cs="宋体"/>
                <w:color w:val="auto"/>
                <w:sz w:val="24"/>
                <w:u w:val="single"/>
              </w:rPr>
              <w:t xml:space="preserve"> </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业务联系人：</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王丽娟</w:t>
            </w:r>
            <w:r>
              <w:rPr>
                <w:rFonts w:hint="eastAsia" w:ascii="宋体" w:hAnsi="宋体" w:eastAsia="宋体" w:cs="宋体"/>
                <w:color w:val="auto"/>
                <w:sz w:val="24"/>
                <w:u w:val="single"/>
              </w:rPr>
              <w:t>　　</w:t>
            </w:r>
            <w:r>
              <w:rPr>
                <w:rFonts w:hint="eastAsia" w:ascii="宋体" w:hAnsi="宋体" w:eastAsia="宋体" w:cs="宋体"/>
                <w:color w:val="auto"/>
                <w:sz w:val="24"/>
                <w:u w:val="single" w:color="FFFFFF"/>
              </w:rPr>
              <w:t xml:space="preserve"> </w:t>
            </w:r>
            <w:r>
              <w:rPr>
                <w:rFonts w:hint="eastAsia" w:ascii="宋体" w:hAnsi="宋体" w:eastAsia="宋体" w:cs="宋体"/>
                <w:color w:val="auto"/>
                <w:sz w:val="24"/>
              </w:rPr>
              <w:t>电话：</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 xml:space="preserve">15099650569 </w:t>
            </w:r>
            <w:r>
              <w:rPr>
                <w:rFonts w:hint="eastAsia" w:ascii="宋体" w:hAnsi="宋体" w:eastAsia="宋体" w:cs="宋体"/>
                <w:color w:val="auto"/>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238" w:type="dxa"/>
            <w:noWrap w:val="0"/>
            <w:vAlign w:val="center"/>
          </w:tcPr>
          <w:p>
            <w:pPr>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1.3.4</w:t>
            </w:r>
          </w:p>
        </w:tc>
        <w:tc>
          <w:tcPr>
            <w:tcW w:w="727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合格供应商的其他资格要求（开标时须携带证明资料原件或复印件加盖公章）：</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1、具有独立承担民事责任的能力；（投标时，提供在中华人民共和国境内注册的法人或事业单位法人证书或社会团体法人登记证书复印件；如国家另有规定的，则从其规定。）</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2、法人代表身份证明及授权书、被授权人身份证；(法人投标需提供法人身份证复印件)；</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3、依法缴纳近6个月内任意1个月的社会保险的凭据；</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4、税务部门出具的近6个月内任意1个月的完税证明；</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lang w:val="en-US" w:eastAsia="zh-CN" w:bidi="ar-SA"/>
              </w:rPr>
              <w:t>5、</w:t>
            </w:r>
            <w:r>
              <w:rPr>
                <w:rFonts w:hint="eastAsia" w:ascii="宋体" w:hAnsi="宋体" w:eastAsia="宋体" w:cs="宋体"/>
                <w:b/>
                <w:bCs/>
                <w:i w:val="0"/>
                <w:iCs w:val="0"/>
                <w:color w:val="auto"/>
                <w:kern w:val="2"/>
                <w:sz w:val="24"/>
                <w:szCs w:val="24"/>
                <w:highlight w:val="none"/>
                <w:lang w:val="en-US" w:eastAsia="zh-CN" w:bidi="ar-SA"/>
              </w:rPr>
              <w:t>近两年任意一年的财务审计报告，新成立的公司提供近6个月中任意1个月的银行资信证明；</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6、根据《财政部关于在政府采购活动中查询及使用信用记录有关问题的通知》（财库﹝2016﹞125号）的要求，凡拟参加本次招标项目的供应商，如在“信用中国”网站（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代理机构或采购人现场查询为准）；</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7、参加政府采购活动前3年内未被列入失信、重大税收违法案件、财政部门禁止参加政府采购活动的承诺书；</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8、提供针对本次项目《反商业贿赂承诺书》；</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9、</w:t>
            </w:r>
            <w:r>
              <w:rPr>
                <w:rFonts w:hint="eastAsia" w:ascii="宋体" w:hAnsi="宋体" w:cs="宋体"/>
                <w:b/>
                <w:bCs/>
                <w:i w:val="0"/>
                <w:iCs w:val="0"/>
                <w:color w:val="auto"/>
                <w:kern w:val="2"/>
                <w:sz w:val="24"/>
                <w:szCs w:val="24"/>
                <w:lang w:val="en-US" w:eastAsia="zh-CN" w:bidi="ar-SA"/>
              </w:rPr>
              <w:t>投标保证金银行转账回执单等有效凭证</w:t>
            </w:r>
            <w:r>
              <w:rPr>
                <w:rFonts w:hint="eastAsia" w:ascii="宋体" w:hAnsi="宋体" w:eastAsia="宋体" w:cs="宋体"/>
                <w:b/>
                <w:bCs/>
                <w:i w:val="0"/>
                <w:iCs w:val="0"/>
                <w:color w:val="auto"/>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各供应商应注意以下事项：</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b/>
                <w:bCs/>
                <w:i w:val="0"/>
                <w:iCs w:val="0"/>
                <w:color w:val="auto"/>
                <w:kern w:val="2"/>
                <w:sz w:val="24"/>
                <w:szCs w:val="24"/>
                <w:lang w:val="en-US" w:eastAsia="zh-CN" w:bidi="ar-SA"/>
              </w:rPr>
            </w:pPr>
            <w:r>
              <w:rPr>
                <w:rFonts w:hint="eastAsia" w:ascii="宋体" w:hAnsi="宋体" w:eastAsia="宋体" w:cs="宋体"/>
                <w:b/>
                <w:bCs/>
                <w:i w:val="0"/>
                <w:iCs w:val="0"/>
                <w:color w:val="auto"/>
                <w:kern w:val="2"/>
                <w:sz w:val="24"/>
                <w:szCs w:val="24"/>
                <w:lang w:val="en-US" w:eastAsia="zh-CN" w:bidi="ar-SA"/>
              </w:rPr>
              <w:t xml:space="preserve">A：本项目要求各投标供应商“提供税务部门出具的近6个月内任意1个月的完税证明；”，若供应商某月税收为零申报，须提供加盖税务局公章的无欠税证明或申报成功网页截图（供应商可自主登录“国家税务总局电子税务局”12366.chinatax.gov.cn/bsfw/onlinetaxation/main——税费申报及缴纳——申报结果查询）。 </w:t>
            </w:r>
          </w:p>
          <w:p>
            <w:pPr>
              <w:keepNext w:val="0"/>
              <w:keepLines w:val="0"/>
              <w:pageBreakBefore w:val="0"/>
              <w:widowControl/>
              <w:kinsoku/>
              <w:wordWrap/>
              <w:overflowPunct/>
              <w:topLinePunct w:val="0"/>
              <w:autoSpaceDE/>
              <w:autoSpaceDN/>
              <w:bidi w:val="0"/>
              <w:adjustRightInd/>
              <w:snapToGrid w:val="0"/>
              <w:spacing w:line="320" w:lineRule="exact"/>
              <w:jc w:val="left"/>
              <w:textAlignment w:val="baseline"/>
              <w:rPr>
                <w:rFonts w:hint="eastAsia" w:ascii="宋体" w:hAnsi="宋体" w:eastAsia="宋体" w:cs="宋体"/>
                <w:color w:val="auto"/>
                <w:sz w:val="24"/>
              </w:rPr>
            </w:pPr>
            <w:r>
              <w:rPr>
                <w:rFonts w:hint="eastAsia" w:ascii="宋体" w:hAnsi="宋体" w:cs="宋体"/>
                <w:b/>
                <w:bCs/>
                <w:i w:val="0"/>
                <w:iCs w:val="0"/>
                <w:color w:val="auto"/>
                <w:kern w:val="2"/>
                <w:sz w:val="24"/>
                <w:szCs w:val="24"/>
                <w:lang w:val="en-US" w:eastAsia="zh-CN" w:bidi="ar-SA"/>
              </w:rPr>
              <w:t>B</w:t>
            </w:r>
            <w:r>
              <w:rPr>
                <w:rFonts w:hint="eastAsia" w:ascii="宋体" w:hAnsi="宋体" w:eastAsia="宋体" w:cs="宋体"/>
                <w:b/>
                <w:bCs/>
                <w:i w:val="0"/>
                <w:iCs w:val="0"/>
                <w:color w:val="auto"/>
                <w:kern w:val="2"/>
                <w:sz w:val="24"/>
                <w:szCs w:val="24"/>
                <w:lang w:val="en-US" w:eastAsia="zh-CN" w:bidi="ar-SA"/>
              </w:rPr>
              <w:t>：税务局代收的社保缴费证明不可作为本项目的完税证明（“税种”不可为养老保险、医疗保险、失业保险、工伤保险和生育保险）。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6" w:hRule="atLeast"/>
        </w:trPr>
        <w:tc>
          <w:tcPr>
            <w:tcW w:w="1238" w:type="dxa"/>
            <w:noWrap w:val="0"/>
            <w:vAlign w:val="center"/>
          </w:tcPr>
          <w:p>
            <w:pPr>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 xml:space="preserve">1.3.5   </w:t>
            </w:r>
          </w:p>
        </w:tc>
        <w:tc>
          <w:tcPr>
            <w:tcW w:w="7270" w:type="dxa"/>
            <w:noWrap w:val="0"/>
            <w:vAlign w:val="center"/>
          </w:tcPr>
          <w:p>
            <w:pPr>
              <w:spacing w:line="360" w:lineRule="exact"/>
              <w:rPr>
                <w:rFonts w:hint="eastAsia" w:ascii="宋体" w:hAnsi="宋体" w:eastAsia="宋体" w:cs="宋体"/>
                <w:color w:val="auto"/>
                <w:sz w:val="24"/>
              </w:rPr>
            </w:pPr>
            <w:r>
              <w:rPr>
                <w:rFonts w:hint="eastAsia" w:ascii="宋体" w:hAnsi="宋体" w:eastAsia="宋体" w:cs="宋体"/>
                <w:color w:val="auto"/>
                <w:sz w:val="24"/>
              </w:rPr>
              <w:t>是否允许采购进口产品：</w:t>
            </w:r>
            <w:r>
              <w:rPr>
                <w:rFonts w:hint="eastAsia" w:ascii="宋体" w:hAnsi="宋体" w:eastAsia="宋体" w:cs="宋体"/>
                <w:color w:val="auto"/>
                <w:sz w:val="24"/>
                <w:u w:val="single"/>
              </w:rPr>
              <w:t xml:space="preserve">  否  </w:t>
            </w:r>
            <w:r>
              <w:rPr>
                <w:rFonts w:hint="eastAsia" w:ascii="宋体" w:hAnsi="宋体" w:eastAsia="宋体" w:cs="宋体"/>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238" w:type="dxa"/>
            <w:noWrap w:val="0"/>
            <w:vAlign w:val="center"/>
          </w:tcPr>
          <w:p>
            <w:pPr>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1.3.6</w:t>
            </w:r>
          </w:p>
        </w:tc>
        <w:tc>
          <w:tcPr>
            <w:tcW w:w="7270" w:type="dxa"/>
            <w:noWrap w:val="0"/>
            <w:vAlign w:val="center"/>
          </w:tcPr>
          <w:p>
            <w:pPr>
              <w:spacing w:line="360" w:lineRule="exact"/>
              <w:rPr>
                <w:rFonts w:hint="eastAsia" w:ascii="宋体" w:hAnsi="宋体" w:eastAsia="宋体" w:cs="宋体"/>
                <w:color w:val="auto"/>
                <w:sz w:val="24"/>
              </w:rPr>
            </w:pPr>
            <w:r>
              <w:rPr>
                <w:rFonts w:hint="eastAsia" w:ascii="宋体" w:hAnsi="宋体" w:eastAsia="宋体" w:cs="宋体"/>
                <w:color w:val="auto"/>
                <w:sz w:val="24"/>
              </w:rPr>
              <w:t>是否为专门面向中小企业采购：</w:t>
            </w:r>
            <w:r>
              <w:rPr>
                <w:rFonts w:hint="eastAsia" w:ascii="宋体" w:hAnsi="宋体" w:eastAsia="宋体" w:cs="宋体"/>
                <w:color w:val="auto"/>
                <w:sz w:val="24"/>
                <w:u w:val="none"/>
              </w:rPr>
              <w:t xml:space="preserve"> </w:t>
            </w:r>
            <w:r>
              <w:rPr>
                <w:rFonts w:hint="eastAsia" w:ascii="宋体" w:hAnsi="宋体" w:eastAsia="宋体" w:cs="宋体"/>
                <w:i/>
                <w:color w:val="auto"/>
                <w:sz w:val="24"/>
                <w:u w:val="single"/>
              </w:rPr>
              <w:t>否</w:t>
            </w:r>
            <w:r>
              <w:rPr>
                <w:rFonts w:hint="eastAsia" w:ascii="宋体" w:hAnsi="宋体" w:eastAsia="宋体" w:cs="宋体"/>
                <w:color w:val="auto"/>
                <w:sz w:val="24"/>
                <w:u w:val="single"/>
              </w:rPr>
              <w:t xml:space="preserve"> </w:t>
            </w:r>
            <w:r>
              <w:rPr>
                <w:rFonts w:hint="eastAsia" w:ascii="宋体" w:hAnsi="宋体" w:eastAsia="宋体" w:cs="宋体"/>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238" w:type="dxa"/>
            <w:noWrap w:val="0"/>
            <w:vAlign w:val="center"/>
          </w:tcPr>
          <w:p>
            <w:pPr>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1.4</w:t>
            </w:r>
          </w:p>
        </w:tc>
        <w:tc>
          <w:tcPr>
            <w:tcW w:w="7270" w:type="dxa"/>
            <w:noWrap w:val="0"/>
            <w:vAlign w:val="center"/>
          </w:tcPr>
          <w:p>
            <w:pPr>
              <w:spacing w:line="360" w:lineRule="exact"/>
              <w:rPr>
                <w:rFonts w:hint="eastAsia" w:ascii="宋体" w:hAnsi="宋体" w:eastAsia="宋体" w:cs="宋体"/>
                <w:color w:val="auto"/>
                <w:sz w:val="24"/>
              </w:rPr>
            </w:pPr>
            <w:r>
              <w:rPr>
                <w:rFonts w:hint="eastAsia" w:ascii="宋体" w:hAnsi="宋体" w:eastAsia="宋体" w:cs="宋体"/>
                <w:color w:val="auto"/>
                <w:sz w:val="24"/>
              </w:rPr>
              <w:t>是否允许联合体投标：</w:t>
            </w:r>
            <w:r>
              <w:rPr>
                <w:rFonts w:hint="eastAsia" w:ascii="宋体" w:hAnsi="宋体" w:eastAsia="宋体" w:cs="宋体"/>
                <w:color w:val="auto"/>
                <w:sz w:val="24"/>
                <w:u w:val="single"/>
              </w:rPr>
              <w:t xml:space="preserve">  否  </w:t>
            </w:r>
            <w:r>
              <w:rPr>
                <w:rFonts w:hint="eastAsia" w:ascii="宋体" w:hAnsi="宋体" w:eastAsia="宋体" w:cs="宋体"/>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238" w:type="dxa"/>
            <w:noWrap w:val="0"/>
            <w:vAlign w:val="center"/>
          </w:tcPr>
          <w:p>
            <w:pPr>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1.4.8</w:t>
            </w:r>
          </w:p>
        </w:tc>
        <w:tc>
          <w:tcPr>
            <w:tcW w:w="7270" w:type="dxa"/>
            <w:noWrap w:val="0"/>
            <w:vAlign w:val="center"/>
          </w:tcPr>
          <w:p>
            <w:pPr>
              <w:spacing w:line="360" w:lineRule="exact"/>
              <w:rPr>
                <w:rFonts w:hint="eastAsia" w:ascii="宋体" w:hAnsi="宋体" w:eastAsia="宋体" w:cs="宋体"/>
                <w:color w:val="auto"/>
                <w:sz w:val="24"/>
              </w:rPr>
            </w:pPr>
            <w:r>
              <w:rPr>
                <w:rFonts w:hint="eastAsia" w:ascii="宋体" w:hAnsi="宋体" w:eastAsia="宋体" w:cs="宋体"/>
                <w:color w:val="auto"/>
                <w:sz w:val="24"/>
              </w:rPr>
              <w:t>联合体的其他资格要求：无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238" w:type="dxa"/>
            <w:noWrap w:val="0"/>
            <w:vAlign w:val="center"/>
          </w:tcPr>
          <w:p>
            <w:pPr>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2.2</w:t>
            </w:r>
          </w:p>
        </w:tc>
        <w:tc>
          <w:tcPr>
            <w:tcW w:w="7270" w:type="dxa"/>
            <w:noWrap w:val="0"/>
            <w:vAlign w:val="center"/>
          </w:tcPr>
          <w:p>
            <w:pPr>
              <w:spacing w:line="3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项目总预算</w:t>
            </w:r>
            <w:r>
              <w:rPr>
                <w:rFonts w:hint="eastAsia" w:ascii="宋体" w:hAnsi="宋体" w:eastAsia="宋体" w:cs="宋体"/>
                <w:color w:val="auto"/>
                <w:sz w:val="24"/>
              </w:rPr>
              <w:t>金额：</w:t>
            </w:r>
            <w:r>
              <w:rPr>
                <w:rFonts w:hint="eastAsia" w:ascii="宋体" w:hAnsi="宋体" w:eastAsia="宋体" w:cs="宋体"/>
                <w:color w:val="auto"/>
                <w:sz w:val="24"/>
                <w:lang w:val="en-US" w:eastAsia="zh-CN"/>
              </w:rPr>
              <w:t xml:space="preserve"> 1010.00万元。</w:t>
            </w:r>
          </w:p>
          <w:p>
            <w:pPr>
              <w:spacing w:line="360" w:lineRule="exact"/>
              <w:rPr>
                <w:rFonts w:hint="eastAsia" w:ascii="宋体" w:hAnsi="宋体" w:eastAsia="宋体" w:cs="宋体"/>
              </w:rPr>
            </w:pPr>
            <w:r>
              <w:rPr>
                <w:rFonts w:hint="eastAsia" w:ascii="宋体" w:hAnsi="宋体" w:eastAsia="宋体" w:cs="宋体"/>
                <w:color w:val="auto"/>
                <w:sz w:val="24"/>
                <w:lang w:val="en-US" w:eastAsia="zh-CN"/>
              </w:rPr>
              <w:t>第一包：890万元</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第二包：60万元</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第三包：60万元</w:t>
            </w:r>
            <w:r>
              <w:rPr>
                <w:rFonts w:hint="eastAsia" w:ascii="宋体" w:hAnsi="宋体" w:cs="宋体"/>
                <w:color w:val="auto"/>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6" w:hRule="atLeast"/>
        </w:trPr>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left="1080" w:leftChars="257" w:hanging="540"/>
              <w:textAlignment w:val="auto"/>
              <w:rPr>
                <w:rFonts w:hint="eastAsia" w:ascii="宋体" w:hAnsi="宋体" w:eastAsia="宋体" w:cs="宋体"/>
                <w:color w:val="auto"/>
                <w:sz w:val="24"/>
              </w:rPr>
            </w:pPr>
            <w:r>
              <w:rPr>
                <w:rFonts w:hint="eastAsia" w:ascii="宋体" w:hAnsi="宋体" w:eastAsia="宋体" w:cs="宋体"/>
                <w:color w:val="auto"/>
                <w:sz w:val="24"/>
              </w:rPr>
              <w:t>12.1</w:t>
            </w:r>
          </w:p>
        </w:tc>
        <w:tc>
          <w:tcPr>
            <w:tcW w:w="72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u w:val="single"/>
                <w:lang w:val="en-US" w:eastAsia="zh-CN"/>
              </w:rPr>
              <w:t>投标</w:t>
            </w:r>
            <w:r>
              <w:rPr>
                <w:rFonts w:hint="eastAsia" w:ascii="宋体" w:hAnsi="宋体" w:eastAsia="宋体" w:cs="宋体"/>
                <w:color w:val="auto"/>
                <w:sz w:val="24"/>
                <w:u w:val="single"/>
              </w:rPr>
              <w:t>保证金形式：</w:t>
            </w:r>
            <w:r>
              <w:rPr>
                <w:rFonts w:hint="eastAsia" w:ascii="宋体" w:hAnsi="宋体" w:cs="宋体"/>
                <w:color w:val="auto"/>
                <w:sz w:val="24"/>
                <w:u w:val="single"/>
                <w:lang w:eastAsia="zh-CN"/>
              </w:rPr>
              <w:t>□</w:t>
            </w:r>
            <w:r>
              <w:rPr>
                <w:rFonts w:hint="eastAsia" w:ascii="宋体" w:hAnsi="宋体" w:eastAsia="宋体" w:cs="宋体"/>
                <w:color w:val="auto"/>
                <w:sz w:val="24"/>
                <w:u w:val="single"/>
              </w:rPr>
              <w:t xml:space="preserve">保函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t>电汇  □支票</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☑对公转账   </w:t>
            </w:r>
            <w:r>
              <w:rPr>
                <w:rFonts w:hint="eastAsia" w:ascii="宋体" w:hAnsi="宋体" w:eastAsia="宋体" w:cs="宋体"/>
                <w:i/>
                <w:color w:val="auto"/>
                <w:sz w:val="24"/>
                <w:u w:val="single"/>
              </w:rPr>
              <w:t>（</w:t>
            </w:r>
            <w:r>
              <w:rPr>
                <w:rFonts w:hint="eastAsia" w:ascii="宋体" w:hAnsi="宋体" w:eastAsia="宋体" w:cs="宋体"/>
                <w:i/>
                <w:color w:val="auto"/>
                <w:sz w:val="24"/>
              </w:rPr>
              <w:t xml:space="preserve">本项目允许的其他形式）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u w:val="single"/>
                <w:lang w:val="en-US" w:eastAsia="zh-CN"/>
              </w:rPr>
              <w:t>投标</w:t>
            </w:r>
            <w:r>
              <w:rPr>
                <w:rFonts w:hint="eastAsia" w:ascii="宋体" w:hAnsi="宋体" w:eastAsia="宋体" w:cs="宋体"/>
                <w:color w:val="auto"/>
                <w:sz w:val="24"/>
                <w:u w:val="single"/>
              </w:rPr>
              <w:t>保证金数额</w:t>
            </w:r>
            <w:r>
              <w:rPr>
                <w:rFonts w:hint="eastAsia" w:ascii="宋体" w:hAnsi="宋体" w:eastAsia="宋体" w:cs="宋体"/>
                <w:b/>
                <w:bCs/>
                <w:color w:val="auto"/>
                <w:sz w:val="24"/>
                <w:u w:val="single"/>
                <w:lang w:val="en-US" w:eastAsia="zh-CN"/>
              </w:rPr>
              <w:t>：</w:t>
            </w:r>
            <w:r>
              <w:rPr>
                <w:rFonts w:hint="eastAsia" w:ascii="宋体" w:hAnsi="宋体" w:eastAsia="宋体" w:cs="宋体"/>
                <w:color w:val="auto"/>
                <w:sz w:val="24"/>
                <w:lang w:val="en-US" w:eastAsia="zh-CN"/>
              </w:rPr>
              <w:t>第一包：</w:t>
            </w:r>
            <w:r>
              <w:rPr>
                <w:rFonts w:hint="eastAsia" w:ascii="宋体" w:hAnsi="宋体" w:eastAsia="宋体" w:cs="宋体"/>
                <w:b/>
                <w:bCs/>
                <w:color w:val="auto"/>
                <w:sz w:val="24"/>
                <w:u w:val="single"/>
                <w:lang w:val="en-US" w:eastAsia="zh-CN"/>
              </w:rPr>
              <w:t>¥178000.00元（人民币壹拾柒万捌仟元整）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第二包：</w:t>
            </w:r>
            <w:r>
              <w:rPr>
                <w:rFonts w:hint="eastAsia" w:ascii="宋体" w:hAnsi="宋体" w:eastAsia="宋体" w:cs="宋体"/>
                <w:b/>
                <w:bCs/>
                <w:color w:val="auto"/>
                <w:sz w:val="24"/>
                <w:u w:val="single"/>
                <w:lang w:val="en-US" w:eastAsia="zh-CN"/>
              </w:rPr>
              <w:t>¥12000.00元（人民币壹万贰仟元整）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color w:val="auto"/>
                <w:sz w:val="24"/>
              </w:rPr>
            </w:pPr>
            <w:r>
              <w:rPr>
                <w:rFonts w:hint="eastAsia" w:ascii="宋体" w:hAnsi="宋体" w:eastAsia="宋体" w:cs="宋体"/>
                <w:color w:val="auto"/>
                <w:sz w:val="24"/>
                <w:lang w:val="en-US" w:eastAsia="zh-CN"/>
              </w:rPr>
              <w:t>第三包：</w:t>
            </w:r>
            <w:r>
              <w:rPr>
                <w:rFonts w:hint="eastAsia" w:ascii="宋体" w:hAnsi="宋体" w:eastAsia="宋体" w:cs="宋体"/>
                <w:b/>
                <w:bCs/>
                <w:color w:val="auto"/>
                <w:sz w:val="24"/>
                <w:u w:val="single"/>
                <w:lang w:val="en-US" w:eastAsia="zh-CN"/>
              </w:rPr>
              <w:t>¥12000.00元（人民币壹万贰仟元整）</w:t>
            </w:r>
            <w:r>
              <w:rPr>
                <w:rFonts w:hint="eastAsia" w:ascii="宋体" w:hAnsi="宋体" w:eastAsia="宋体" w:cs="宋体"/>
                <w:color w:val="auto"/>
                <w:sz w:val="24"/>
                <w:u w:val="single"/>
              </w:rPr>
              <w:t>（</w:t>
            </w:r>
            <w:r>
              <w:rPr>
                <w:rFonts w:hint="eastAsia" w:ascii="宋体" w:hAnsi="宋体" w:eastAsia="宋体" w:cs="宋体"/>
                <w:i/>
                <w:color w:val="auto"/>
                <w:sz w:val="24"/>
              </w:rPr>
              <w:t>按照控制金额2%以内的整数计算）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Cs/>
                <w:color w:val="auto"/>
                <w:sz w:val="24"/>
              </w:rPr>
            </w:pPr>
            <w:r>
              <w:rPr>
                <w:rFonts w:hint="eastAsia" w:ascii="宋体" w:hAnsi="宋体" w:cs="宋体"/>
                <w:iCs/>
                <w:color w:val="auto"/>
                <w:sz w:val="24"/>
                <w:lang w:eastAsia="zh-CN"/>
              </w:rPr>
              <w:t>投标</w:t>
            </w:r>
            <w:r>
              <w:rPr>
                <w:rFonts w:hint="eastAsia" w:ascii="宋体" w:hAnsi="宋体" w:eastAsia="宋体" w:cs="宋体"/>
                <w:iCs/>
                <w:color w:val="auto"/>
                <w:sz w:val="24"/>
              </w:rPr>
              <w:t>保证金收款人：</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Cs/>
                <w:color w:val="auto"/>
                <w:sz w:val="24"/>
              </w:rPr>
            </w:pPr>
            <w:r>
              <w:rPr>
                <w:rFonts w:hint="eastAsia" w:ascii="宋体" w:hAnsi="宋体" w:eastAsia="宋体" w:cs="宋体"/>
                <w:iCs/>
                <w:color w:val="auto"/>
                <w:sz w:val="24"/>
              </w:rPr>
              <w:t>单位名称：中经国际招标集团有限公司喀什分公司</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Cs/>
                <w:color w:val="auto"/>
                <w:sz w:val="24"/>
              </w:rPr>
            </w:pPr>
            <w:r>
              <w:rPr>
                <w:rFonts w:hint="eastAsia" w:ascii="宋体" w:hAnsi="宋体" w:eastAsia="宋体" w:cs="宋体"/>
                <w:iCs/>
                <w:color w:val="auto"/>
                <w:sz w:val="24"/>
              </w:rPr>
              <w:t>开 户 行：乌鲁木齐银行喀什分行营业部</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Cs/>
                <w:color w:val="auto"/>
                <w:sz w:val="24"/>
              </w:rPr>
            </w:pPr>
            <w:r>
              <w:rPr>
                <w:rFonts w:hint="eastAsia" w:ascii="宋体" w:hAnsi="宋体" w:eastAsia="宋体" w:cs="宋体"/>
                <w:iCs/>
                <w:color w:val="auto"/>
                <w:sz w:val="24"/>
              </w:rPr>
              <w:t>账    号：0000020070110051349823</w:t>
            </w:r>
            <w:r>
              <w:rPr>
                <w:rFonts w:hint="eastAsia" w:ascii="宋体" w:hAnsi="宋体" w:eastAsia="宋体" w:cs="宋体"/>
                <w:b/>
                <w:bCs/>
                <w:iCs/>
                <w:color w:val="auto"/>
                <w:sz w:val="24"/>
              </w:rPr>
              <w:t>（电汇时请在汇款备注栏注明项目名称及编号、包号（如有），并注明是</w:t>
            </w:r>
            <w:r>
              <w:rPr>
                <w:rFonts w:hint="eastAsia" w:ascii="宋体" w:hAnsi="宋体" w:eastAsia="宋体" w:cs="宋体"/>
                <w:b/>
                <w:bCs/>
                <w:iCs/>
                <w:color w:val="auto"/>
                <w:sz w:val="24"/>
                <w:lang w:val="en-US" w:eastAsia="zh-CN"/>
              </w:rPr>
              <w:t>投标</w:t>
            </w:r>
            <w:r>
              <w:rPr>
                <w:rFonts w:hint="eastAsia" w:ascii="宋体" w:hAnsi="宋体" w:eastAsia="宋体" w:cs="宋体"/>
                <w:b/>
                <w:bCs/>
                <w:iCs/>
                <w:color w:val="auto"/>
                <w:sz w:val="24"/>
              </w:rPr>
              <w:t>保证金）</w:t>
            </w:r>
            <w:r>
              <w:rPr>
                <w:rFonts w:hint="eastAsia" w:ascii="宋体" w:hAnsi="宋体" w:eastAsia="宋体" w:cs="宋体"/>
                <w:i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Cs/>
                <w:color w:val="auto"/>
                <w:sz w:val="24"/>
              </w:rPr>
            </w:pPr>
            <w:r>
              <w:rPr>
                <w:rFonts w:hint="eastAsia" w:ascii="宋体" w:hAnsi="宋体" w:eastAsia="宋体" w:cs="宋体"/>
                <w:iCs/>
                <w:color w:val="auto"/>
                <w:sz w:val="24"/>
              </w:rPr>
              <w:t>行     号：313894000405</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Cs/>
                <w:color w:val="auto"/>
                <w:sz w:val="24"/>
              </w:rPr>
            </w:pPr>
            <w:r>
              <w:rPr>
                <w:rFonts w:hint="eastAsia" w:ascii="宋体" w:hAnsi="宋体" w:eastAsia="宋体" w:cs="宋体"/>
                <w:iCs/>
                <w:color w:val="auto"/>
                <w:sz w:val="24"/>
              </w:rPr>
              <w:t>财务室联系方式：15099650569</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A:缴纳</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保证金要求：供应商向银行办理</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保证金汇（转）款时，应在用途栏（备注栏）注明项目名称及包号（如有），并注明是</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保证金字样，如填写字数有要求可简写项目名称与包号（如有），由于未按要求注明信息而导致的一切后果由供应商自行承担。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4"/>
              </w:rPr>
            </w:pPr>
            <w:r>
              <w:rPr>
                <w:rFonts w:hint="eastAsia" w:ascii="宋体" w:hAnsi="宋体" w:eastAsia="宋体" w:cs="宋体"/>
                <w:b/>
                <w:bCs/>
                <w:color w:val="auto"/>
                <w:sz w:val="24"/>
                <w:szCs w:val="24"/>
                <w:highlight w:val="none"/>
              </w:rPr>
              <w:t>B：退</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保证金：（1）</w:t>
            </w:r>
            <w:r>
              <w:rPr>
                <w:rFonts w:hint="eastAsia" w:ascii="宋体" w:hAnsi="宋体" w:eastAsia="宋体" w:cs="宋体"/>
                <w:b/>
                <w:bCs/>
                <w:color w:val="auto"/>
                <w:sz w:val="24"/>
                <w:szCs w:val="24"/>
                <w:highlight w:val="none"/>
                <w:lang w:eastAsia="zh-CN"/>
              </w:rPr>
              <w:t>评标</w:t>
            </w:r>
            <w:r>
              <w:rPr>
                <w:rFonts w:hint="eastAsia" w:ascii="宋体" w:hAnsi="宋体" w:eastAsia="宋体" w:cs="宋体"/>
                <w:b/>
                <w:bCs/>
                <w:color w:val="auto"/>
                <w:sz w:val="24"/>
                <w:szCs w:val="24"/>
                <w:highlight w:val="none"/>
              </w:rPr>
              <w:t>结束后，</w:t>
            </w:r>
            <w:r>
              <w:rPr>
                <w:rFonts w:hint="eastAsia" w:ascii="宋体" w:hAnsi="宋体" w:eastAsia="宋体" w:cs="宋体"/>
                <w:b/>
                <w:bCs/>
                <w:color w:val="auto"/>
                <w:sz w:val="24"/>
                <w:szCs w:val="24"/>
                <w:highlight w:val="none"/>
                <w:lang w:eastAsia="zh-CN"/>
              </w:rPr>
              <w:t>未中标供应商</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保证金将在5个工作日内退回原账户，供应商不需办理任何手续。（2）</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供应商的</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rPr>
              <w:t>保证金在与采购人签订合同后，把合同扫描件发送至邮箱2783389030@qq.com后，当日或次日原账户退回。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left="1080" w:leftChars="257" w:hanging="540"/>
              <w:textAlignment w:val="auto"/>
              <w:rPr>
                <w:rFonts w:hint="eastAsia" w:ascii="宋体" w:hAnsi="宋体" w:eastAsia="宋体" w:cs="宋体"/>
                <w:color w:val="auto"/>
                <w:sz w:val="24"/>
              </w:rPr>
            </w:pPr>
            <w:r>
              <w:rPr>
                <w:rFonts w:hint="eastAsia" w:ascii="宋体" w:hAnsi="宋体" w:eastAsia="宋体" w:cs="宋体"/>
                <w:color w:val="auto"/>
                <w:sz w:val="24"/>
              </w:rPr>
              <w:t>13.1</w:t>
            </w:r>
          </w:p>
        </w:tc>
        <w:tc>
          <w:tcPr>
            <w:tcW w:w="7270"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投标有效期：</w:t>
            </w:r>
            <w:r>
              <w:rPr>
                <w:rFonts w:hint="eastAsia" w:ascii="宋体" w:hAnsi="宋体" w:eastAsia="宋体" w:cs="宋体"/>
                <w:color w:val="auto"/>
                <w:sz w:val="24"/>
                <w:u w:val="single"/>
              </w:rPr>
              <w:t>　</w:t>
            </w:r>
            <w:r>
              <w:rPr>
                <w:rFonts w:hint="eastAsia" w:ascii="宋体" w:hAnsi="宋体" w:eastAsia="宋体" w:cs="宋体"/>
                <w:color w:val="auto"/>
                <w:sz w:val="24"/>
                <w:u w:val="single"/>
                <w:lang w:val="en-US" w:eastAsia="zh-CN"/>
              </w:rPr>
              <w:t>60</w:t>
            </w:r>
            <w:r>
              <w:rPr>
                <w:rFonts w:hint="eastAsia" w:ascii="宋体" w:hAnsi="宋体" w:eastAsia="宋体" w:cs="宋体"/>
                <w:color w:val="auto"/>
                <w:sz w:val="24"/>
                <w:u w:val="single"/>
              </w:rPr>
              <w:t>　</w:t>
            </w:r>
            <w:r>
              <w:rPr>
                <w:rFonts w:hint="eastAsia" w:ascii="宋体" w:hAnsi="宋体" w:eastAsia="宋体" w:cs="宋体"/>
                <w:color w:val="auto"/>
                <w:sz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trPr>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left="1080" w:leftChars="257" w:hanging="540"/>
              <w:textAlignment w:val="auto"/>
              <w:rPr>
                <w:rFonts w:hint="eastAsia" w:ascii="宋体" w:hAnsi="宋体" w:eastAsia="宋体" w:cs="宋体"/>
                <w:color w:val="auto"/>
                <w:sz w:val="24"/>
              </w:rPr>
            </w:pPr>
            <w:r>
              <w:rPr>
                <w:rFonts w:hint="eastAsia" w:ascii="宋体" w:hAnsi="宋体" w:eastAsia="宋体" w:cs="宋体"/>
                <w:color w:val="auto"/>
                <w:sz w:val="24"/>
              </w:rPr>
              <w:t>14.1</w:t>
            </w:r>
          </w:p>
        </w:tc>
        <w:tc>
          <w:tcPr>
            <w:tcW w:w="727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投标文件包括“开标一览表及资格证明文件”和“商务及技术文件”两部分，两部分合订成一册密封递交。</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投标文件：正本：壹份、副本：</w:t>
            </w:r>
            <w:r>
              <w:rPr>
                <w:rFonts w:hint="eastAsia" w:ascii="宋体" w:hAnsi="宋体" w:cs="宋体"/>
                <w:color w:val="auto"/>
                <w:sz w:val="24"/>
                <w:lang w:val="en-US" w:eastAsia="zh-CN"/>
              </w:rPr>
              <w:t>陆</w:t>
            </w:r>
            <w:r>
              <w:rPr>
                <w:rFonts w:hint="eastAsia" w:ascii="宋体" w:hAnsi="宋体" w:eastAsia="宋体" w:cs="宋体"/>
                <w:color w:val="auto"/>
                <w:sz w:val="24"/>
                <w:lang w:val="en-US" w:eastAsia="zh-CN"/>
              </w:rPr>
              <w:t>份；（正、副本密封在同一个密封袋中提交，密封袋封面右上角标明</w:t>
            </w:r>
            <w:r>
              <w:rPr>
                <w:rFonts w:hint="eastAsia" w:ascii="宋体" w:hAnsi="宋体" w:eastAsia="宋体" w:cs="宋体"/>
                <w:color w:val="auto"/>
                <w:sz w:val="24"/>
                <w:highlight w:val="none"/>
                <w:lang w:val="en-US" w:eastAsia="zh-CN"/>
              </w:rPr>
              <w:t>“正本或副本”</w:t>
            </w:r>
            <w:r>
              <w:rPr>
                <w:rFonts w:hint="eastAsia" w:ascii="宋体" w:hAnsi="宋体" w:eastAsia="宋体" w:cs="宋体"/>
                <w:color w:val="auto"/>
                <w:sz w:val="24"/>
                <w:lang w:val="en-US" w:eastAsia="zh-CN"/>
              </w:rPr>
              <w:t>字样）</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供应商必须制作“开标一览表”并单独密封提交，并在密封袋上标明“开标一览表”的字样。不按要求标注或不单独提交开标一览表，其投标将被拒绝。</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除上述文件外，还须密封递交投标文件电子文档1份。供应商必须制作“电子版U盘”并单独密封提交。电子版U盘必须是正本扫描件，并制作成与正本完全一致PDF格式文本及Word文档两个格式。并在密封袋上标明“电子版U盘”字样。不按要求提交电子版U盘，其投标无效。</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投标文件使用A4，胶装，每册装订应牢固、不易拆散和换页，不得采用活页装订。</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投标文件的签署及规定：</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供应商应按供应商须知资料表中的规定，准备和递交投标文件正本、副本、开标一览表和电子文档，每份投标文件封皮须清楚地标明“正本”或“副本”。若正本和副本不符，以正本为准。</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投标文件的正本需打印或用不褪色墨水书写，并由供应商的法定代表人或经其正式委托代理人按招标文件规定在投标文件上</w:t>
            </w:r>
            <w:r>
              <w:rPr>
                <w:rFonts w:hint="eastAsia" w:ascii="宋体" w:hAnsi="宋体" w:eastAsia="宋体" w:cs="宋体"/>
                <w:color w:val="auto"/>
                <w:sz w:val="24"/>
                <w:highlight w:val="none"/>
                <w:lang w:val="en-US" w:eastAsia="zh-CN"/>
              </w:rPr>
              <w:t>签字或盖章，并加盖单位鲜印章</w:t>
            </w:r>
            <w:r>
              <w:rPr>
                <w:rFonts w:hint="eastAsia" w:ascii="宋体" w:hAnsi="宋体" w:eastAsia="宋体" w:cs="宋体"/>
                <w:color w:val="auto"/>
                <w:sz w:val="24"/>
                <w:lang w:val="en-US" w:eastAsia="zh-CN"/>
              </w:rPr>
              <w:t>。委托代理人须持有书面的“法定代表人授权委托书”，并将其附在投标文件中。如对投标文件进行了修改，则应由供应商的法定代表人或其委托代理人在每一修改处签字。投标文件的副本可采用正本的复印件。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所有包装封皮和信封上均应：</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注明招标公告或投标邀请书中指明的项目名称、项目编号、供应商名称和“在（开标时间）之前不得启封”的字样。</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u w:val="single"/>
                <w:lang w:eastAsia="zh-CN"/>
              </w:rPr>
            </w:pPr>
            <w:r>
              <w:rPr>
                <w:rFonts w:hint="eastAsia" w:ascii="宋体" w:hAnsi="宋体" w:eastAsia="宋体" w:cs="宋体"/>
                <w:color w:val="auto"/>
                <w:sz w:val="24"/>
                <w:lang w:val="en-US" w:eastAsia="zh-CN"/>
              </w:rPr>
              <w:t>在封口处加盖供应商单位章。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4" w:hRule="atLeast"/>
        </w:trPr>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left="1080" w:leftChars="257" w:hanging="540"/>
              <w:textAlignment w:val="auto"/>
              <w:rPr>
                <w:rFonts w:hint="eastAsia" w:ascii="宋体" w:hAnsi="宋体" w:eastAsia="宋体" w:cs="宋体"/>
                <w:color w:val="auto"/>
                <w:sz w:val="24"/>
              </w:rPr>
            </w:pPr>
            <w:r>
              <w:rPr>
                <w:rFonts w:hint="eastAsia" w:ascii="宋体" w:hAnsi="宋体" w:eastAsia="宋体" w:cs="宋体"/>
                <w:color w:val="auto"/>
                <w:sz w:val="24"/>
              </w:rPr>
              <w:t>16.1</w:t>
            </w:r>
          </w:p>
        </w:tc>
        <w:tc>
          <w:tcPr>
            <w:tcW w:w="7270"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4"/>
              </w:rPr>
            </w:pPr>
            <w:r>
              <w:rPr>
                <w:rFonts w:hint="eastAsia" w:ascii="宋体" w:hAnsi="宋体" w:eastAsia="宋体" w:cs="宋体"/>
                <w:color w:val="auto"/>
                <w:sz w:val="24"/>
              </w:rPr>
              <w:t>投标截止时间：</w:t>
            </w:r>
            <w:r>
              <w:rPr>
                <w:rFonts w:hint="eastAsia" w:ascii="宋体" w:hAnsi="宋体" w:eastAsia="宋体" w:cs="宋体"/>
                <w:color w:val="auto"/>
                <w:sz w:val="24"/>
                <w:highlight w:val="none"/>
                <w:lang w:val="en-US" w:eastAsia="zh-CN"/>
              </w:rPr>
              <w:t>2022年7月14日下午17点30分（北京时间）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trPr>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left="1080" w:leftChars="257" w:hanging="540"/>
              <w:textAlignment w:val="auto"/>
              <w:rPr>
                <w:rFonts w:hint="eastAsia" w:ascii="宋体" w:hAnsi="宋体" w:eastAsia="宋体" w:cs="宋体"/>
                <w:color w:val="auto"/>
                <w:sz w:val="24"/>
              </w:rPr>
            </w:pPr>
            <w:r>
              <w:rPr>
                <w:rFonts w:hint="eastAsia" w:ascii="宋体" w:hAnsi="宋体" w:eastAsia="宋体" w:cs="宋体"/>
                <w:color w:val="auto"/>
                <w:sz w:val="24"/>
              </w:rPr>
              <w:t>18.1</w:t>
            </w:r>
          </w:p>
        </w:tc>
        <w:tc>
          <w:tcPr>
            <w:tcW w:w="7270"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4"/>
                <w:highlight w:val="yellow"/>
                <w:lang w:val="en-US" w:eastAsia="zh-CN"/>
              </w:rPr>
            </w:pPr>
            <w:r>
              <w:rPr>
                <w:rFonts w:hint="eastAsia" w:ascii="宋体" w:hAnsi="宋体" w:eastAsia="宋体" w:cs="宋体"/>
                <w:color w:val="auto"/>
                <w:sz w:val="24"/>
              </w:rPr>
              <w:t>开标时间：</w:t>
            </w:r>
            <w:r>
              <w:rPr>
                <w:rFonts w:hint="eastAsia" w:ascii="宋体" w:hAnsi="宋体" w:eastAsia="宋体" w:cs="宋体"/>
                <w:color w:val="auto"/>
                <w:sz w:val="24"/>
                <w:highlight w:val="none"/>
                <w:lang w:val="en-US" w:eastAsia="zh-CN"/>
              </w:rPr>
              <w:t>2022年7月14日下午17点30分（北京时间）</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4"/>
              </w:rPr>
            </w:pPr>
            <w:r>
              <w:rPr>
                <w:rFonts w:hint="eastAsia" w:ascii="宋体" w:hAnsi="宋体" w:eastAsia="宋体" w:cs="宋体"/>
                <w:color w:val="auto"/>
                <w:sz w:val="24"/>
              </w:rPr>
              <w:t>开标地点</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 xml:space="preserve">叶城县行政综合服务中心（叶城县工业园区纬三路）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left="1080" w:leftChars="257" w:hanging="540"/>
              <w:textAlignment w:val="auto"/>
              <w:rPr>
                <w:rFonts w:hint="eastAsia" w:ascii="宋体" w:hAnsi="宋体" w:eastAsia="宋体" w:cs="宋体"/>
                <w:color w:val="auto"/>
                <w:sz w:val="24"/>
              </w:rPr>
            </w:pPr>
            <w:r>
              <w:rPr>
                <w:rFonts w:hint="eastAsia" w:ascii="宋体" w:hAnsi="宋体" w:eastAsia="宋体" w:cs="宋体"/>
                <w:color w:val="auto"/>
                <w:sz w:val="24"/>
              </w:rPr>
              <w:t>23.2</w:t>
            </w:r>
          </w:p>
        </w:tc>
        <w:tc>
          <w:tcPr>
            <w:tcW w:w="7270"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i/>
                <w:color w:val="auto"/>
                <w:sz w:val="24"/>
              </w:rPr>
            </w:pPr>
            <w:r>
              <w:rPr>
                <w:rFonts w:hint="eastAsia" w:ascii="宋体" w:hAnsi="宋体" w:eastAsia="宋体" w:cs="宋体"/>
                <w:color w:val="auto"/>
                <w:sz w:val="24"/>
              </w:rPr>
              <w:t>评标方法：适用</w:t>
            </w:r>
            <w:r>
              <w:rPr>
                <w:rFonts w:hint="eastAsia" w:ascii="宋体" w:hAnsi="宋体" w:eastAsia="宋体" w:cs="宋体"/>
                <w:color w:val="auto"/>
                <w:sz w:val="24"/>
                <w:u w:val="single"/>
              </w:rPr>
              <w:t>　综合评分法　</w:t>
            </w:r>
            <w:r>
              <w:rPr>
                <w:rFonts w:hint="eastAsia" w:ascii="宋体" w:hAnsi="宋体" w:eastAsia="宋体" w:cs="宋体"/>
                <w:color w:val="auto"/>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left="1080" w:leftChars="257" w:hanging="540"/>
              <w:textAlignment w:val="auto"/>
              <w:rPr>
                <w:rFonts w:hint="eastAsia" w:ascii="宋体" w:hAnsi="宋体" w:eastAsia="宋体" w:cs="宋体"/>
                <w:color w:val="auto"/>
                <w:sz w:val="24"/>
              </w:rPr>
            </w:pPr>
            <w:r>
              <w:rPr>
                <w:rFonts w:hint="eastAsia" w:ascii="宋体" w:hAnsi="宋体" w:eastAsia="宋体" w:cs="宋体"/>
                <w:color w:val="auto"/>
                <w:sz w:val="24"/>
              </w:rPr>
              <w:t>27</w:t>
            </w:r>
          </w:p>
        </w:tc>
        <w:tc>
          <w:tcPr>
            <w:tcW w:w="7270"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4"/>
              </w:rPr>
            </w:pPr>
            <w:r>
              <w:rPr>
                <w:rFonts w:hint="eastAsia" w:ascii="宋体" w:hAnsi="宋体" w:eastAsia="宋体" w:cs="宋体"/>
                <w:color w:val="auto"/>
                <w:sz w:val="24"/>
              </w:rPr>
              <w:t>推荐中标候选供应商的数量：</w:t>
            </w:r>
            <w:r>
              <w:rPr>
                <w:rFonts w:hint="eastAsia" w:ascii="宋体" w:hAnsi="宋体" w:eastAsia="宋体" w:cs="宋体"/>
                <w:color w:val="auto"/>
                <w:sz w:val="24"/>
                <w:u w:val="single"/>
              </w:rPr>
              <w:t>　  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left="1080" w:leftChars="257" w:hanging="540"/>
              <w:textAlignment w:val="auto"/>
              <w:rPr>
                <w:rFonts w:hint="eastAsia" w:ascii="宋体" w:hAnsi="宋体" w:eastAsia="宋体" w:cs="宋体"/>
                <w:color w:val="auto"/>
                <w:sz w:val="24"/>
              </w:rPr>
            </w:pPr>
            <w:r>
              <w:rPr>
                <w:rFonts w:hint="eastAsia" w:ascii="宋体" w:hAnsi="宋体" w:eastAsia="宋体" w:cs="宋体"/>
                <w:color w:val="auto"/>
                <w:sz w:val="24"/>
              </w:rPr>
              <w:t>27</w:t>
            </w:r>
          </w:p>
        </w:tc>
        <w:tc>
          <w:tcPr>
            <w:tcW w:w="7270"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4"/>
              </w:rPr>
            </w:pPr>
            <w:r>
              <w:rPr>
                <w:rFonts w:hint="eastAsia" w:ascii="宋体" w:hAnsi="宋体" w:eastAsia="宋体" w:cs="宋体"/>
                <w:color w:val="auto"/>
                <w:sz w:val="24"/>
              </w:rPr>
              <w:t>招标人是否委托评标委员会直接确定中标人：</w:t>
            </w:r>
            <w:r>
              <w:rPr>
                <w:rFonts w:hint="eastAsia" w:ascii="宋体" w:hAnsi="宋体" w:eastAsia="宋体" w:cs="宋体"/>
                <w:color w:val="auto"/>
                <w:sz w:val="24"/>
                <w:u w:val="single"/>
              </w:rPr>
              <w:t xml:space="preserve"> 否  </w:t>
            </w:r>
            <w:r>
              <w:rPr>
                <w:rFonts w:hint="eastAsia" w:ascii="宋体" w:hAnsi="宋体" w:eastAsia="宋体" w:cs="宋体"/>
                <w:color w:val="auto"/>
                <w:sz w:val="24"/>
              </w:rPr>
              <w:t xml:space="preserve"> </w:t>
            </w:r>
            <w:r>
              <w:rPr>
                <w:rFonts w:hint="eastAsia" w:ascii="宋体" w:hAnsi="宋体" w:eastAsia="宋体" w:cs="宋体"/>
                <w:i/>
                <w:color w:val="auto"/>
                <w:sz w:val="24"/>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50" w:lineRule="exact"/>
              <w:ind w:left="1080" w:leftChars="257" w:hanging="540"/>
              <w:textAlignment w:val="auto"/>
              <w:rPr>
                <w:rFonts w:hint="eastAsia" w:ascii="宋体" w:hAnsi="宋体" w:eastAsia="宋体" w:cs="宋体"/>
                <w:color w:val="auto"/>
                <w:sz w:val="24"/>
              </w:rPr>
            </w:pPr>
            <w:r>
              <w:rPr>
                <w:rFonts w:hint="eastAsia" w:ascii="宋体" w:hAnsi="宋体" w:eastAsia="宋体" w:cs="宋体"/>
                <w:color w:val="auto"/>
                <w:sz w:val="24"/>
              </w:rPr>
              <w:t>31.1</w:t>
            </w:r>
          </w:p>
        </w:tc>
        <w:tc>
          <w:tcPr>
            <w:tcW w:w="7270" w:type="dxa"/>
            <w:noWrap w:val="0"/>
            <w:vAlign w:val="center"/>
          </w:tcPr>
          <w:p>
            <w:pPr>
              <w:spacing w:line="350" w:lineRule="exact"/>
              <w:rPr>
                <w:rFonts w:hint="eastAsia" w:ascii="宋体" w:hAnsi="宋体" w:eastAsia="宋体" w:cs="宋体"/>
                <w:color w:val="auto"/>
                <w:sz w:val="24"/>
                <w:u w:val="single"/>
                <w:lang w:val="en-US" w:eastAsia="zh-CN"/>
              </w:rPr>
            </w:pPr>
            <w:r>
              <w:rPr>
                <w:rFonts w:hint="eastAsia" w:ascii="宋体" w:hAnsi="宋体" w:eastAsia="宋体" w:cs="宋体"/>
                <w:color w:val="auto"/>
                <w:sz w:val="24"/>
              </w:rPr>
              <w:t>履约保证金金额：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中标金额</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50" w:lineRule="exact"/>
              <w:ind w:left="600" w:hanging="600" w:hangingChars="250"/>
              <w:textAlignment w:val="auto"/>
              <w:rPr>
                <w:rFonts w:hint="eastAsia" w:ascii="宋体" w:hAnsi="宋体" w:eastAsia="宋体" w:cs="宋体"/>
                <w:color w:val="auto"/>
                <w:sz w:val="24"/>
                <w:u w:val="single"/>
              </w:rPr>
            </w:pPr>
            <w:r>
              <w:rPr>
                <w:rFonts w:hint="eastAsia" w:ascii="宋体" w:hAnsi="宋体" w:eastAsia="宋体" w:cs="宋体"/>
                <w:color w:val="auto"/>
                <w:sz w:val="24"/>
              </w:rPr>
              <w:t>履约保证金形式：</w:t>
            </w:r>
            <w:r>
              <w:rPr>
                <w:rFonts w:hint="eastAsia" w:ascii="宋体" w:hAnsi="宋体" w:eastAsia="宋体" w:cs="宋体"/>
                <w:color w:val="auto"/>
                <w:sz w:val="24"/>
                <w:u w:val="single"/>
              </w:rPr>
              <w:t xml:space="preserve"> □保函 □电汇</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□支票</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r>
              <w:rPr>
                <w:rFonts w:hint="eastAsia" w:ascii="宋体" w:hAnsi="宋体" w:eastAsia="宋体" w:cs="宋体"/>
                <w:color w:val="auto"/>
                <w:sz w:val="24"/>
                <w:u w:val="single"/>
              </w:rPr>
              <w:t xml:space="preserve"> 对公转账</w:t>
            </w:r>
            <w:r>
              <w:rPr>
                <w:rFonts w:hint="eastAsia" w:ascii="宋体" w:hAnsi="宋体" w:eastAsia="宋体" w:cs="宋体"/>
                <w:i/>
                <w:color w:val="auto"/>
                <w:sz w:val="24"/>
                <w:u w:val="single"/>
              </w:rPr>
              <w:t>（</w:t>
            </w:r>
            <w:r>
              <w:rPr>
                <w:rFonts w:hint="eastAsia" w:ascii="宋体" w:hAnsi="宋体" w:eastAsia="宋体" w:cs="宋体"/>
                <w:i/>
                <w:color w:val="auto"/>
                <w:sz w:val="24"/>
              </w:rPr>
              <w:t xml:space="preserve">本项目允许的其他形式） </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default" w:ascii="宋体" w:hAnsi="宋体" w:eastAsia="宋体" w:cs="宋体"/>
                <w:color w:val="auto"/>
                <w:sz w:val="24"/>
                <w:u w:val="single"/>
                <w:lang w:val="en-US" w:eastAsia="zh-CN"/>
              </w:rPr>
            </w:pPr>
            <w:r>
              <w:rPr>
                <w:rFonts w:hint="eastAsia" w:ascii="宋体" w:hAnsi="宋体" w:eastAsia="宋体" w:cs="宋体"/>
                <w:color w:val="auto"/>
                <w:sz w:val="24"/>
              </w:rPr>
              <w:t>提交履约保证金的时间：</w:t>
            </w:r>
            <w:r>
              <w:rPr>
                <w:rFonts w:hint="eastAsia" w:ascii="宋体" w:hAnsi="宋体" w:eastAsia="宋体" w:cs="宋体"/>
                <w:color w:val="auto"/>
                <w:sz w:val="24"/>
                <w:u w:val="single"/>
              </w:rPr>
              <w:t>签订合同前</w:t>
            </w:r>
            <w:r>
              <w:rPr>
                <w:rFonts w:hint="eastAsia" w:ascii="宋体" w:hAnsi="宋体" w:eastAsia="宋体" w:cs="宋体"/>
                <w:color w:val="auto"/>
                <w:sz w:val="24"/>
                <w:u w:val="single"/>
                <w:lang w:val="en-US" w:eastAsia="zh-CN"/>
              </w:rPr>
              <w:t>打入甲方指定账户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238" w:type="dxa"/>
            <w:noWrap w:val="0"/>
            <w:vAlign w:val="center"/>
          </w:tcPr>
          <w:p>
            <w:pPr>
              <w:spacing w:line="360" w:lineRule="exact"/>
              <w:ind w:left="1080" w:leftChars="257" w:hanging="540"/>
              <w:rPr>
                <w:rFonts w:hint="eastAsia" w:ascii="宋体" w:hAnsi="宋体" w:eastAsia="宋体" w:cs="宋体"/>
                <w:color w:val="auto"/>
                <w:sz w:val="24"/>
              </w:rPr>
            </w:pPr>
            <w:r>
              <w:rPr>
                <w:rFonts w:hint="eastAsia" w:ascii="宋体" w:hAnsi="宋体" w:eastAsia="宋体" w:cs="宋体"/>
                <w:color w:val="auto"/>
                <w:sz w:val="24"/>
              </w:rPr>
              <w:t>32</w:t>
            </w:r>
          </w:p>
        </w:tc>
        <w:tc>
          <w:tcPr>
            <w:tcW w:w="7270" w:type="dxa"/>
            <w:noWrap w:val="0"/>
            <w:vAlign w:val="center"/>
          </w:tcPr>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color w:val="auto"/>
                <w:sz w:val="24"/>
                <w:lang w:eastAsia="zh-CN"/>
              </w:rPr>
            </w:pPr>
            <w:r>
              <w:rPr>
                <w:rFonts w:hint="eastAsia" w:ascii="宋体" w:hAnsi="宋体" w:eastAsia="宋体" w:cs="宋体"/>
                <w:color w:val="auto"/>
                <w:sz w:val="24"/>
              </w:rPr>
              <w:t>中标服务费：</w:t>
            </w:r>
            <w:r>
              <w:rPr>
                <w:rFonts w:hint="eastAsia" w:ascii="宋体" w:hAnsi="宋体" w:eastAsia="宋体" w:cs="宋体"/>
                <w:color w:val="auto"/>
                <w:sz w:val="24"/>
                <w:lang w:val="en-US" w:eastAsia="zh-CN"/>
              </w:rPr>
              <w:t>根据发改价格[2015]299文：代理服务费按照中标金额的1.5%收取</w:t>
            </w:r>
            <w:r>
              <w:rPr>
                <w:rFonts w:hint="eastAsia" w:ascii="宋体" w:hAnsi="宋体" w:eastAsia="宋体" w:cs="宋体"/>
                <w:color w:val="auto"/>
                <w:sz w:val="24"/>
              </w:rPr>
              <w:t>。</w:t>
            </w:r>
            <w:r>
              <w:rPr>
                <w:rFonts w:hint="eastAsia" w:ascii="宋体" w:hAnsi="宋体" w:eastAsia="宋体" w:cs="宋体"/>
                <w:color w:val="auto"/>
                <w:sz w:val="24"/>
                <w:lang w:eastAsia="zh-CN"/>
              </w:rPr>
              <w:t>（由中标供应商支付）</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支付形式： </w:t>
            </w:r>
            <w:r>
              <w:rPr>
                <w:rFonts w:hint="eastAsia" w:ascii="宋体" w:hAnsi="宋体" w:eastAsia="宋体" w:cs="宋体"/>
                <w:color w:val="auto"/>
                <w:sz w:val="24"/>
                <w:u w:val="single"/>
              </w:rPr>
              <w:t xml:space="preserve">对公转账 </w:t>
            </w:r>
            <w:r>
              <w:rPr>
                <w:rFonts w:hint="eastAsia" w:ascii="宋体" w:hAnsi="宋体" w:eastAsia="宋体" w:cs="宋体"/>
                <w:color w:val="auto"/>
                <w:sz w:val="24"/>
              </w:rPr>
              <w:t xml:space="preserve"> </w:t>
            </w:r>
          </w:p>
          <w:p>
            <w:pPr>
              <w:spacing w:line="360" w:lineRule="exact"/>
              <w:rPr>
                <w:rFonts w:hint="eastAsia" w:ascii="宋体" w:hAnsi="宋体" w:eastAsia="宋体" w:cs="宋体"/>
                <w:color w:val="auto"/>
                <w:sz w:val="24"/>
              </w:rPr>
            </w:pPr>
            <w:r>
              <w:rPr>
                <w:rFonts w:hint="eastAsia" w:ascii="宋体" w:hAnsi="宋体" w:eastAsia="宋体" w:cs="宋体"/>
                <w:color w:val="auto"/>
                <w:sz w:val="24"/>
              </w:rPr>
              <w:t xml:space="preserve">支付时间： </w:t>
            </w:r>
            <w:r>
              <w:rPr>
                <w:rFonts w:hint="eastAsia" w:ascii="宋体" w:hAnsi="宋体" w:eastAsia="宋体" w:cs="宋体"/>
                <w:color w:val="auto"/>
                <w:sz w:val="24"/>
                <w:u w:val="single"/>
              </w:rPr>
              <w:t xml:space="preserve">领取中标通知书时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9" w:hRule="atLeast"/>
        </w:trPr>
        <w:tc>
          <w:tcPr>
            <w:tcW w:w="1238" w:type="dxa"/>
            <w:tcBorders>
              <w:top w:val="single" w:color="auto" w:sz="12" w:space="0"/>
              <w:left w:val="single" w:color="auto" w:sz="12" w:space="0"/>
              <w:bottom w:val="single" w:color="auto" w:sz="12" w:space="0"/>
              <w:right w:val="single" w:color="auto" w:sz="12" w:space="0"/>
            </w:tcBorders>
            <w:noWrap w:val="0"/>
            <w:vAlign w:val="center"/>
          </w:tcPr>
          <w:p>
            <w:pPr>
              <w:spacing w:line="400" w:lineRule="exact"/>
              <w:ind w:left="1080" w:leftChars="257" w:hanging="540" w:firstLineChars="0"/>
              <w:rPr>
                <w:rFonts w:hint="eastAsia" w:ascii="宋体" w:hAnsi="宋体" w:eastAsia="宋体" w:cs="宋体"/>
                <w:color w:val="auto"/>
                <w:sz w:val="24"/>
              </w:rPr>
            </w:pPr>
            <w:r>
              <w:rPr>
                <w:rFonts w:hint="eastAsia" w:ascii="宋体" w:hAnsi="宋体" w:eastAsia="宋体" w:cs="宋体"/>
                <w:color w:val="auto"/>
                <w:sz w:val="24"/>
                <w:highlight w:val="none"/>
              </w:rPr>
              <w:t>33.1</w:t>
            </w:r>
          </w:p>
        </w:tc>
        <w:tc>
          <w:tcPr>
            <w:tcW w:w="7270" w:type="dxa"/>
            <w:tcBorders>
              <w:top w:val="single" w:color="auto" w:sz="12" w:space="0"/>
              <w:left w:val="single" w:color="auto" w:sz="12" w:space="0"/>
              <w:bottom w:val="single" w:color="auto" w:sz="12" w:space="0"/>
              <w:right w:val="single" w:color="auto" w:sz="12" w:space="0"/>
            </w:tcBorders>
            <w:noWrap w:val="0"/>
            <w:vAlign w:val="center"/>
          </w:tcPr>
          <w:p>
            <w:pPr>
              <w:spacing w:line="400" w:lineRule="exact"/>
              <w:rPr>
                <w:rFonts w:hint="eastAsia" w:ascii="宋体" w:hAnsi="宋体" w:eastAsia="宋体" w:cs="宋体"/>
                <w:color w:val="auto"/>
                <w:sz w:val="24"/>
              </w:rPr>
            </w:pPr>
            <w:r>
              <w:rPr>
                <w:rFonts w:hint="eastAsia" w:ascii="宋体" w:hAnsi="宋体" w:eastAsia="宋体" w:cs="宋体"/>
                <w:color w:val="auto"/>
                <w:sz w:val="24"/>
                <w:highlight w:val="none"/>
              </w:rPr>
              <w:t>本项目是否属于信用担保试点范围：</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 xml:space="preserve"> </w:t>
            </w:r>
            <w:r>
              <w:rPr>
                <w:rFonts w:hint="eastAsia" w:ascii="宋体" w:hAnsi="宋体" w:eastAsia="宋体" w:cs="宋体"/>
                <w:i/>
                <w:color w:val="auto"/>
                <w:sz w:val="24"/>
                <w:highlight w:val="none"/>
              </w:rPr>
              <w:t>（是、否）</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rPr>
        <w:sectPr>
          <w:pgSz w:w="11906" w:h="16838"/>
          <w:pgMar w:top="1440" w:right="1797" w:bottom="1440" w:left="1797" w:header="851" w:footer="992" w:gutter="0"/>
          <w:pgNumType w:fmt="decimal"/>
          <w:cols w:space="720" w:num="1"/>
          <w:docGrid w:linePitch="312" w:charSpace="0"/>
        </w:sectPr>
      </w:pPr>
    </w:p>
    <w:p>
      <w:pPr>
        <w:widowControl/>
        <w:spacing w:line="360" w:lineRule="exact"/>
        <w:jc w:val="center"/>
        <w:rPr>
          <w:rFonts w:hint="eastAsia" w:ascii="宋体" w:hAnsi="宋体" w:eastAsia="宋体" w:cs="宋体"/>
          <w:b/>
          <w:color w:val="auto"/>
          <w:kern w:val="0"/>
          <w:sz w:val="32"/>
          <w:szCs w:val="32"/>
        </w:rPr>
      </w:pPr>
      <w:bookmarkStart w:id="506" w:name="_Toc218935351"/>
      <w:bookmarkStart w:id="507" w:name="_Toc219175635"/>
      <w:bookmarkStart w:id="508" w:name="_Toc216582811"/>
      <w:bookmarkStart w:id="509" w:name="_Toc216513787"/>
      <w:r>
        <w:rPr>
          <w:rFonts w:hint="eastAsia" w:ascii="宋体" w:hAnsi="宋体" w:eastAsia="宋体" w:cs="宋体"/>
          <w:b/>
          <w:color w:val="auto"/>
          <w:kern w:val="0"/>
          <w:sz w:val="32"/>
          <w:szCs w:val="32"/>
        </w:rPr>
        <w:t>资格审查表</w:t>
      </w:r>
    </w:p>
    <w:p>
      <w:pPr>
        <w:spacing w:line="360" w:lineRule="exact"/>
        <w:rPr>
          <w:rFonts w:hint="eastAsia" w:ascii="宋体" w:hAnsi="宋体" w:eastAsia="宋体" w:cs="宋体"/>
          <w:color w:val="auto"/>
        </w:rPr>
      </w:pPr>
    </w:p>
    <w:tbl>
      <w:tblPr>
        <w:tblStyle w:val="34"/>
        <w:tblW w:w="15131" w:type="dxa"/>
        <w:tblInd w:w="-623" w:type="dxa"/>
        <w:tblLayout w:type="fixed"/>
        <w:tblCellMar>
          <w:top w:w="0" w:type="dxa"/>
          <w:left w:w="108" w:type="dxa"/>
          <w:bottom w:w="0" w:type="dxa"/>
          <w:right w:w="108" w:type="dxa"/>
        </w:tblCellMar>
      </w:tblPr>
      <w:tblGrid>
        <w:gridCol w:w="920"/>
        <w:gridCol w:w="1600"/>
        <w:gridCol w:w="938"/>
        <w:gridCol w:w="884"/>
        <w:gridCol w:w="895"/>
        <w:gridCol w:w="1090"/>
        <w:gridCol w:w="5150"/>
        <w:gridCol w:w="1178"/>
        <w:gridCol w:w="698"/>
        <w:gridCol w:w="1113"/>
        <w:gridCol w:w="665"/>
      </w:tblGrid>
      <w:tr>
        <w:tblPrEx>
          <w:tblCellMar>
            <w:top w:w="0" w:type="dxa"/>
            <w:left w:w="108" w:type="dxa"/>
            <w:bottom w:w="0" w:type="dxa"/>
            <w:right w:w="108" w:type="dxa"/>
          </w:tblCellMar>
        </w:tblPrEx>
        <w:trPr>
          <w:trHeight w:val="554" w:hRule="atLeast"/>
        </w:trPr>
        <w:tc>
          <w:tcPr>
            <w:tcW w:w="9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供应商</w:t>
            </w:r>
            <w:r>
              <w:rPr>
                <w:rFonts w:hint="eastAsia" w:ascii="宋体" w:hAnsi="宋体" w:eastAsia="宋体" w:cs="宋体"/>
                <w:color w:val="auto"/>
                <w:kern w:val="0"/>
                <w:sz w:val="22"/>
                <w:szCs w:val="22"/>
              </w:rPr>
              <w:t>名称</w:t>
            </w:r>
          </w:p>
        </w:tc>
        <w:tc>
          <w:tcPr>
            <w:tcW w:w="13546" w:type="dxa"/>
            <w:gridSpan w:val="9"/>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审查项目</w:t>
            </w:r>
          </w:p>
        </w:tc>
        <w:tc>
          <w:tcPr>
            <w:tcW w:w="665"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结论</w:t>
            </w:r>
          </w:p>
        </w:tc>
      </w:tr>
      <w:tr>
        <w:tblPrEx>
          <w:tblCellMar>
            <w:top w:w="0" w:type="dxa"/>
            <w:left w:w="108" w:type="dxa"/>
            <w:bottom w:w="0" w:type="dxa"/>
            <w:right w:w="108" w:type="dxa"/>
          </w:tblCellMar>
        </w:tblPrEx>
        <w:trPr>
          <w:trHeight w:val="3563" w:hRule="atLeast"/>
        </w:trPr>
        <w:tc>
          <w:tcPr>
            <w:tcW w:w="9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600" w:type="dxa"/>
            <w:tcBorders>
              <w:top w:val="nil"/>
              <w:left w:val="nil"/>
              <w:bottom w:val="single" w:color="auto" w:sz="4" w:space="0"/>
              <w:right w:val="single" w:color="auto" w:sz="4" w:space="0"/>
            </w:tcBorders>
            <w:noWrap w:val="0"/>
            <w:vAlign w:val="center"/>
          </w:tcPr>
          <w:p>
            <w:pPr>
              <w:widowControl/>
              <w:spacing w:line="360" w:lineRule="exact"/>
              <w:jc w:val="both"/>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具有独立承担民事责任的能力；（投标时，提供在中华人民共和国境内注册的法人或事业单位法人证书或社会团体法人登记证书复印件；如国家另有规定的，则从其规定。）</w:t>
            </w:r>
          </w:p>
          <w:p>
            <w:pPr>
              <w:widowControl/>
              <w:spacing w:line="360" w:lineRule="exact"/>
              <w:jc w:val="both"/>
              <w:rPr>
                <w:rFonts w:hint="eastAsia" w:ascii="宋体" w:hAnsi="宋体" w:eastAsia="宋体" w:cs="宋体"/>
                <w:color w:val="auto"/>
                <w:kern w:val="0"/>
                <w:sz w:val="16"/>
                <w:szCs w:val="16"/>
                <w:highlight w:val="none"/>
                <w:lang w:val="en-US" w:eastAsia="zh-CN"/>
              </w:rPr>
            </w:pPr>
          </w:p>
        </w:tc>
        <w:tc>
          <w:tcPr>
            <w:tcW w:w="938" w:type="dxa"/>
            <w:tcBorders>
              <w:top w:val="nil"/>
              <w:left w:val="nil"/>
              <w:bottom w:val="single" w:color="auto" w:sz="4" w:space="0"/>
              <w:right w:val="single" w:color="auto" w:sz="4" w:space="0"/>
            </w:tcBorders>
            <w:noWrap w:val="0"/>
            <w:vAlign w:val="center"/>
          </w:tcPr>
          <w:p>
            <w:pPr>
              <w:widowControl/>
              <w:spacing w:line="360" w:lineRule="exact"/>
              <w:jc w:val="both"/>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法人代表身份证明及授权书、被授权人身份证；(法人投标需提供法人身份证复印件)；</w:t>
            </w:r>
          </w:p>
        </w:tc>
        <w:tc>
          <w:tcPr>
            <w:tcW w:w="884" w:type="dxa"/>
            <w:tcBorders>
              <w:top w:val="nil"/>
              <w:left w:val="nil"/>
              <w:bottom w:val="single" w:color="auto" w:sz="4" w:space="0"/>
              <w:right w:val="single" w:color="auto" w:sz="4" w:space="0"/>
            </w:tcBorders>
            <w:noWrap w:val="0"/>
            <w:vAlign w:val="center"/>
          </w:tcPr>
          <w:p>
            <w:pPr>
              <w:widowControl/>
              <w:spacing w:line="360" w:lineRule="exact"/>
              <w:jc w:val="both"/>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依法缴纳近6个月内任意1个月的社会保险的凭据；</w:t>
            </w:r>
          </w:p>
        </w:tc>
        <w:tc>
          <w:tcPr>
            <w:tcW w:w="895" w:type="dxa"/>
            <w:tcBorders>
              <w:top w:val="nil"/>
              <w:left w:val="nil"/>
              <w:bottom w:val="single" w:color="auto" w:sz="4" w:space="0"/>
              <w:right w:val="single" w:color="auto" w:sz="4" w:space="0"/>
            </w:tcBorders>
            <w:noWrap w:val="0"/>
            <w:vAlign w:val="center"/>
          </w:tcPr>
          <w:p>
            <w:pPr>
              <w:widowControl/>
              <w:spacing w:line="360" w:lineRule="exact"/>
              <w:jc w:val="both"/>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税务部门出具的近6个月内任意1个月的完税证明；</w:t>
            </w:r>
          </w:p>
        </w:tc>
        <w:tc>
          <w:tcPr>
            <w:tcW w:w="1090" w:type="dxa"/>
            <w:tcBorders>
              <w:top w:val="nil"/>
              <w:left w:val="nil"/>
              <w:bottom w:val="single" w:color="auto" w:sz="4" w:space="0"/>
              <w:right w:val="single" w:color="auto" w:sz="4" w:space="0"/>
            </w:tcBorders>
            <w:noWrap w:val="0"/>
            <w:vAlign w:val="center"/>
          </w:tcPr>
          <w:p>
            <w:pPr>
              <w:widowControl/>
              <w:spacing w:line="360" w:lineRule="exact"/>
              <w:jc w:val="both"/>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近两年任意一年的财务审计报告，新成立的公司提供近6个月中任意1个月的银行资信证明；</w:t>
            </w:r>
          </w:p>
        </w:tc>
        <w:tc>
          <w:tcPr>
            <w:tcW w:w="5150" w:type="dxa"/>
            <w:tcBorders>
              <w:top w:val="nil"/>
              <w:left w:val="nil"/>
              <w:bottom w:val="single" w:color="auto" w:sz="4" w:space="0"/>
              <w:right w:val="single" w:color="auto" w:sz="4" w:space="0"/>
            </w:tcBorders>
            <w:noWrap w:val="0"/>
            <w:vAlign w:val="center"/>
          </w:tcPr>
          <w:p>
            <w:pPr>
              <w:widowControl/>
              <w:spacing w:line="360" w:lineRule="exact"/>
              <w:jc w:val="both"/>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代理机构或采购人现场查询为准）；</w:t>
            </w:r>
          </w:p>
        </w:tc>
        <w:tc>
          <w:tcPr>
            <w:tcW w:w="1178"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参加政府采购活动前3年内未被列入失信、重大税收违法案件、财政部门禁止参加政府采购活动的承诺书；</w:t>
            </w:r>
          </w:p>
        </w:tc>
        <w:tc>
          <w:tcPr>
            <w:tcW w:w="698" w:type="dxa"/>
            <w:tcBorders>
              <w:top w:val="nil"/>
              <w:left w:val="nil"/>
              <w:bottom w:val="single" w:color="auto" w:sz="4" w:space="0"/>
              <w:right w:val="single" w:color="auto" w:sz="4" w:space="0"/>
            </w:tcBorders>
            <w:noWrap w:val="0"/>
            <w:vAlign w:val="center"/>
          </w:tcPr>
          <w:p>
            <w:pPr>
              <w:widowControl/>
              <w:spacing w:line="360" w:lineRule="exact"/>
              <w:jc w:val="both"/>
              <w:rPr>
                <w:rFonts w:hint="eastAsia" w:ascii="宋体" w:hAnsi="宋体" w:eastAsia="宋体" w:cs="宋体"/>
                <w:color w:val="auto"/>
                <w:kern w:val="0"/>
                <w:sz w:val="16"/>
                <w:szCs w:val="16"/>
                <w:highlight w:val="none"/>
                <w:lang w:val="en-US" w:eastAsia="zh-CN"/>
              </w:rPr>
            </w:pPr>
            <w:r>
              <w:rPr>
                <w:rFonts w:hint="eastAsia" w:ascii="宋体" w:hAnsi="宋体" w:eastAsia="宋体" w:cs="宋体"/>
                <w:color w:val="auto"/>
                <w:kern w:val="0"/>
                <w:sz w:val="16"/>
                <w:szCs w:val="16"/>
                <w:highlight w:val="none"/>
                <w:lang w:val="en-US" w:eastAsia="zh-CN"/>
              </w:rPr>
              <w:t>提供针对本次项目《反商业贿赂承诺书》；</w:t>
            </w:r>
          </w:p>
        </w:tc>
        <w:tc>
          <w:tcPr>
            <w:tcW w:w="1113" w:type="dxa"/>
            <w:tcBorders>
              <w:top w:val="nil"/>
              <w:left w:val="nil"/>
              <w:bottom w:val="single" w:color="auto" w:sz="4" w:space="0"/>
              <w:right w:val="single" w:color="auto" w:sz="4" w:space="0"/>
            </w:tcBorders>
            <w:noWrap w:val="0"/>
            <w:vAlign w:val="center"/>
          </w:tcPr>
          <w:p>
            <w:pPr>
              <w:widowControl/>
              <w:spacing w:line="360" w:lineRule="exact"/>
              <w:jc w:val="both"/>
              <w:rPr>
                <w:rFonts w:hint="eastAsia" w:ascii="宋体" w:hAnsi="宋体" w:eastAsia="宋体" w:cs="宋体"/>
                <w:color w:val="auto"/>
                <w:kern w:val="0"/>
                <w:sz w:val="16"/>
                <w:szCs w:val="16"/>
                <w:highlight w:val="none"/>
                <w:lang w:val="en-US" w:eastAsia="zh-CN"/>
              </w:rPr>
            </w:pPr>
            <w:r>
              <w:rPr>
                <w:rFonts w:hint="eastAsia" w:ascii="宋体" w:hAnsi="宋体" w:cs="宋体"/>
                <w:color w:val="auto"/>
                <w:kern w:val="0"/>
                <w:sz w:val="16"/>
                <w:szCs w:val="16"/>
                <w:highlight w:val="none"/>
                <w:lang w:val="en-US" w:eastAsia="zh-CN"/>
              </w:rPr>
              <w:t>投标保证金银行转账回执单等有效凭证</w:t>
            </w:r>
            <w:r>
              <w:rPr>
                <w:rFonts w:hint="eastAsia" w:ascii="宋体" w:hAnsi="宋体" w:eastAsia="宋体" w:cs="宋体"/>
                <w:color w:val="auto"/>
                <w:kern w:val="0"/>
                <w:sz w:val="16"/>
                <w:szCs w:val="16"/>
                <w:highlight w:val="none"/>
                <w:lang w:val="en-US" w:eastAsia="zh-CN"/>
              </w:rPr>
              <w:t>。</w:t>
            </w:r>
          </w:p>
        </w:tc>
        <w:tc>
          <w:tcPr>
            <w:tcW w:w="66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606"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5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661"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5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645"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51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66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r>
    </w:tbl>
    <w:p>
      <w:pPr>
        <w:spacing w:before="0" w:after="0" w:line="360" w:lineRule="exact"/>
        <w:jc w:val="left"/>
        <w:outlineLvl w:val="9"/>
        <w:rPr>
          <w:rFonts w:hint="eastAsia" w:ascii="宋体" w:hAnsi="宋体" w:eastAsia="宋体" w:cs="宋体"/>
          <w:color w:val="auto"/>
          <w:lang w:eastAsia="zh-CN"/>
        </w:rPr>
        <w:sectPr>
          <w:pgSz w:w="16838" w:h="11906" w:orient="landscape"/>
          <w:pgMar w:top="1797" w:right="1440" w:bottom="1797" w:left="1440" w:header="851" w:footer="992" w:gutter="0"/>
          <w:pgNumType w:fmt="decimal"/>
          <w:cols w:space="720" w:num="1"/>
          <w:docGrid w:linePitch="312" w:charSpace="0"/>
        </w:sectPr>
      </w:pPr>
    </w:p>
    <w:p>
      <w:pPr>
        <w:rPr>
          <w:rFonts w:hint="eastAsia" w:ascii="宋体" w:hAnsi="宋体" w:eastAsia="宋体" w:cs="宋体"/>
        </w:rPr>
      </w:pPr>
    </w:p>
    <w:p>
      <w:pPr>
        <w:pStyle w:val="3"/>
        <w:tabs>
          <w:tab w:val="left" w:pos="0"/>
        </w:tabs>
        <w:spacing w:before="0" w:after="0" w:line="360" w:lineRule="exact"/>
        <w:outlineLvl w:val="0"/>
        <w:rPr>
          <w:rFonts w:hint="eastAsia" w:ascii="宋体" w:hAnsi="宋体" w:eastAsia="宋体" w:cs="宋体"/>
          <w:b w:val="0"/>
          <w:bCs/>
          <w:color w:val="auto"/>
        </w:rPr>
      </w:pPr>
      <w:bookmarkStart w:id="510" w:name="_Toc30101"/>
      <w:bookmarkStart w:id="511" w:name="_Toc515647831"/>
      <w:bookmarkStart w:id="512" w:name="_Toc218935354"/>
      <w:bookmarkStart w:id="513" w:name="_Toc507399906"/>
      <w:bookmarkStart w:id="514" w:name="_Toc9887"/>
      <w:bookmarkStart w:id="515" w:name="_Toc216582825"/>
      <w:bookmarkStart w:id="516" w:name="_Toc9032"/>
      <w:bookmarkStart w:id="517" w:name="_Toc219175638"/>
      <w:bookmarkStart w:id="518" w:name="_Toc512937852"/>
      <w:r>
        <w:rPr>
          <w:rFonts w:hint="eastAsia" w:ascii="宋体" w:hAnsi="宋体" w:eastAsia="宋体" w:cs="宋体"/>
          <w:color w:val="auto"/>
        </w:rPr>
        <w:t>第5章</w:t>
      </w:r>
      <w:r>
        <w:rPr>
          <w:rFonts w:hint="eastAsia" w:ascii="宋体" w:hAnsi="宋体" w:eastAsia="宋体" w:cs="宋体"/>
          <w:color w:val="auto"/>
          <w:lang w:val="en-US" w:eastAsia="zh-CN"/>
        </w:rPr>
        <w:t xml:space="preserve"> </w:t>
      </w:r>
      <w:r>
        <w:rPr>
          <w:rFonts w:hint="eastAsia" w:ascii="宋体" w:hAnsi="宋体" w:eastAsia="宋体" w:cs="宋体"/>
          <w:b w:val="0"/>
          <w:bCs/>
          <w:color w:val="auto"/>
          <w:lang w:val="en-US" w:eastAsia="zh-CN"/>
        </w:rPr>
        <w:t>服务</w:t>
      </w:r>
      <w:r>
        <w:rPr>
          <w:rFonts w:hint="eastAsia" w:ascii="宋体" w:hAnsi="宋体" w:eastAsia="宋体" w:cs="宋体"/>
          <w:b w:val="0"/>
          <w:bCs/>
          <w:color w:val="auto"/>
        </w:rPr>
        <w:t>需求一览表及技术规格</w:t>
      </w:r>
      <w:bookmarkEnd w:id="510"/>
    </w:p>
    <w:p>
      <w:pPr>
        <w:tabs>
          <w:tab w:val="left" w:pos="0"/>
        </w:tabs>
        <w:spacing w:before="0" w:after="0" w:line="360" w:lineRule="exact"/>
        <w:jc w:val="both"/>
        <w:outlineLvl w:val="1"/>
        <w:rPr>
          <w:rFonts w:hint="eastAsia" w:ascii="宋体" w:hAnsi="宋体" w:eastAsia="宋体" w:cs="宋体"/>
          <w:b/>
          <w:bCs/>
          <w:kern w:val="0"/>
          <w:sz w:val="32"/>
          <w:szCs w:val="32"/>
          <w:lang w:val="en-US" w:eastAsia="zh-CN" w:bidi="ar-SA"/>
        </w:rPr>
      </w:pPr>
      <w:bookmarkStart w:id="519" w:name="_Toc13663"/>
      <w:bookmarkStart w:id="520" w:name="_Toc18059"/>
      <w:bookmarkStart w:id="521" w:name="_Toc3395"/>
      <w:bookmarkStart w:id="522" w:name="_Toc17417"/>
      <w:bookmarkStart w:id="523" w:name="_Toc4050"/>
      <w:r>
        <w:rPr>
          <w:rFonts w:hint="eastAsia" w:ascii="宋体" w:hAnsi="宋体" w:eastAsia="宋体" w:cs="宋体"/>
          <w:b/>
          <w:bCs/>
          <w:kern w:val="0"/>
          <w:sz w:val="32"/>
          <w:szCs w:val="32"/>
          <w:lang w:val="en-US" w:eastAsia="zh-CN" w:bidi="ar-SA"/>
        </w:rPr>
        <w:t>一、服务</w:t>
      </w:r>
      <w:bookmarkEnd w:id="511"/>
      <w:bookmarkEnd w:id="512"/>
      <w:bookmarkEnd w:id="513"/>
      <w:bookmarkEnd w:id="514"/>
      <w:bookmarkEnd w:id="515"/>
      <w:bookmarkEnd w:id="516"/>
      <w:bookmarkEnd w:id="517"/>
      <w:r>
        <w:rPr>
          <w:rFonts w:hint="eastAsia" w:ascii="宋体" w:hAnsi="宋体" w:eastAsia="宋体" w:cs="宋体"/>
          <w:b/>
          <w:bCs/>
          <w:kern w:val="0"/>
          <w:sz w:val="32"/>
          <w:szCs w:val="32"/>
          <w:lang w:val="en-US" w:eastAsia="zh-CN" w:bidi="ar-SA"/>
        </w:rPr>
        <w:t>内容</w:t>
      </w:r>
      <w:bookmarkEnd w:id="518"/>
      <w:bookmarkEnd w:id="519"/>
      <w:bookmarkEnd w:id="520"/>
      <w:bookmarkEnd w:id="521"/>
      <w:bookmarkEnd w:id="522"/>
      <w:r>
        <w:rPr>
          <w:rFonts w:hint="eastAsia" w:ascii="宋体" w:hAnsi="宋体" w:eastAsia="宋体" w:cs="宋体"/>
          <w:b/>
          <w:bCs/>
          <w:kern w:val="0"/>
          <w:sz w:val="32"/>
          <w:szCs w:val="32"/>
          <w:lang w:val="en-US" w:eastAsia="zh-CN" w:bidi="ar-SA"/>
        </w:rPr>
        <w:t>：</w:t>
      </w:r>
      <w:bookmarkEnd w:id="523"/>
    </w:p>
    <w:p>
      <w:pPr>
        <w:tabs>
          <w:tab w:val="left" w:pos="0"/>
        </w:tabs>
        <w:spacing w:before="0" w:after="0" w:line="360" w:lineRule="exact"/>
        <w:jc w:val="both"/>
        <w:outlineLvl w:val="1"/>
        <w:rPr>
          <w:rFonts w:hint="eastAsia" w:ascii="宋体" w:hAnsi="宋体" w:cs="宋体"/>
          <w:b w:val="0"/>
          <w:bCs w:val="0"/>
          <w:kern w:val="0"/>
          <w:sz w:val="28"/>
          <w:szCs w:val="28"/>
          <w:lang w:val="en-US" w:eastAsia="zh-CN" w:bidi="ar-SA"/>
        </w:rPr>
      </w:pPr>
      <w:bookmarkStart w:id="524" w:name="_Toc1200"/>
      <w:r>
        <w:rPr>
          <w:rFonts w:hint="eastAsia" w:ascii="宋体" w:hAnsi="宋体" w:cs="宋体"/>
          <w:b w:val="0"/>
          <w:bCs w:val="0"/>
          <w:kern w:val="0"/>
          <w:sz w:val="28"/>
          <w:szCs w:val="28"/>
          <w:lang w:val="en-US" w:eastAsia="zh-CN" w:bidi="ar-SA"/>
        </w:rPr>
        <w:t>第一包：</w:t>
      </w:r>
      <w:bookmarkEnd w:id="524"/>
    </w:p>
    <w:tbl>
      <w:tblPr>
        <w:tblStyle w:val="34"/>
        <w:tblW w:w="10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1091"/>
        <w:gridCol w:w="1244"/>
        <w:gridCol w:w="862"/>
        <w:gridCol w:w="2797"/>
        <w:gridCol w:w="1457"/>
        <w:gridCol w:w="685"/>
        <w:gridCol w:w="698"/>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服务名称</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当地责任单位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上海承接单位</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项目内容</w:t>
            </w:r>
          </w:p>
        </w:tc>
        <w:tc>
          <w:tcPr>
            <w:tcW w:w="2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参加对象及人数</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项目时间及天数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两地互访交流团</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上海援疆叶城分指、叶城县有关部门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开展叶城县和上海两地工作人员（各3人，共6人）和专业技术人员（各3人，共6人）互访和参观学习，交流好经验、好做法，增进合作交流。</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叶城县和上海两地工作人员、专业技术人员</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叶城县村（社区）党支部书记、村委会主任、妇联主席等赴上海参观学习项目</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计划组织11批次，每批次50名叶城县村（社区）党支部书记、村委会主任、妇联主席等赴上海参观学习，全年共计派出约550人。通过派出实地参观上海街道、社区建设服务管理，学习党建、妇联、阵地建设、发展壮大集体经济、开展村（社区）服务等方面好的做法和经验，促进选派骨干提升眼界和思路，促进工作迈上新台阶。</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叶城县村（社区）党支部书记、村委会主任、妇联主席</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550人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宝山区街镇（园区）对口帮扶调研团</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1、宝山区罗店镇对口帮扶调研团（1名专家领队和5名相关专业领域技术人员，共6人），来叶城县萨依巴格乡，针对乡村振兴和产业发展开展帮扶调研、培训。</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有关专业领域（社会治理、产业发展、乡村振兴、绿化保洁等）技术人员</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4</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2、宝山区杨行镇对口帮扶调研团（1名专家领队和5名相关专业领域技术人员，共6人），来叶城县依提木孔镇，针对乡村振兴和产业发展开展帮扶调研、培训。</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5</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3、宝山区大场镇对口帮扶调研团（1名专家领队和5名相关专业领域技术人员，共6人），来叶城县伯西热克乡，针对乡村振兴和产业发展开展帮扶调研、培训。</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6</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4、宝山区顾村镇对口帮扶调研团（1名专家领队和5名相关专业领域技术人员，共6人），来叶城县伯西热克乡，针对乡村振兴和产业发展开展帮扶调研、培训。</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7</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5、宝山区友谊路街道对口帮扶调研团（1名专家领队和5名相关专业领域技术人员，共6人），来叶城县伯西热克乡，针对乡村振兴和产业发展开展帮扶调研、培训。</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8</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6、宝山区淞南镇对口帮扶调研团（1名专家领队和5名相关专业领域技术人员，共6人），来叶城县宗朗乡，针对乡村振兴和产业发展开展帮扶调研、培训。</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9</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7、宝山区属国企对口帮扶调研团（1名专家领队和5名相关专业领域技术人员，共6人），来叶城县铁提乡，针对乡村振兴和产业发展开展帮扶调研、培训。</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10</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8、宝山区工业园区对口帮扶调研团（1名专家领队和5名相关专业领域技术人员，共6人），来叶城工业园区管委会、金果镇，针对园区管理、乡村振兴和产业发展开展帮扶调研、培训。</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11</w:t>
            </w: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9、宝山区杨行月浦镇对口帮扶调研团（1名专家领队和5名相关专业领域技术人员，共6人），来叶城县洛克乡，针对乡村振兴和产业发展开展帮扶调研、培训。</w:t>
            </w: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val="0"/>
                <w:bCs w:val="0"/>
                <w:i w:val="0"/>
                <w:iCs w:val="0"/>
                <w:color w:val="000000"/>
                <w:sz w:val="22"/>
                <w:szCs w:val="22"/>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叶城县人大代表、政协委员赴上海学习考察团</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叶城县人大、各涉及乡镇</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组织叶城县人大代表、政协委员赴上海学习考察，切身感受上海的经济发展成果，增长见识、开阔视野，学习好的经验做法。</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叶城县各级人大代表、政协委员</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50人</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叶城县赴上海学习实施乡村振兴战略考察团</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叶城县委组织部</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组织叶城县有关工作人员、专业技术人员，到上海实地参观经济发展、城市规划建设、乡村振兴等方面的成果，交流经验，学习好的做法。</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叶城县经济口、城建规划口、乡村振兴口、网信办以及有关乡镇（社区）的工作人员、专业技术人员等</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50人</w:t>
            </w:r>
          </w:p>
        </w:tc>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10天</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2022年3月-12月</w:t>
            </w:r>
          </w:p>
        </w:tc>
      </w:tr>
    </w:tbl>
    <w:p>
      <w:pPr>
        <w:tabs>
          <w:tab w:val="left" w:pos="0"/>
        </w:tabs>
        <w:spacing w:before="0" w:after="0" w:line="360" w:lineRule="exact"/>
        <w:jc w:val="both"/>
        <w:outlineLvl w:val="1"/>
        <w:rPr>
          <w:rFonts w:hint="eastAsia" w:ascii="宋体" w:hAnsi="宋体" w:cs="宋体"/>
          <w:b w:val="0"/>
          <w:bCs w:val="0"/>
          <w:kern w:val="0"/>
          <w:sz w:val="28"/>
          <w:szCs w:val="28"/>
          <w:lang w:val="en-US" w:eastAsia="zh-CN" w:bidi="ar-SA"/>
        </w:rPr>
      </w:pPr>
      <w:bookmarkStart w:id="525" w:name="_Toc27201"/>
      <w:r>
        <w:rPr>
          <w:rFonts w:hint="eastAsia" w:ascii="宋体" w:hAnsi="宋体" w:cs="宋体"/>
          <w:b w:val="0"/>
          <w:bCs w:val="0"/>
          <w:kern w:val="0"/>
          <w:sz w:val="28"/>
          <w:szCs w:val="28"/>
          <w:lang w:val="en-US" w:eastAsia="zh-CN" w:bidi="ar-SA"/>
        </w:rPr>
        <w:t>第二包：</w:t>
      </w:r>
      <w:bookmarkEnd w:id="525"/>
    </w:p>
    <w:tbl>
      <w:tblPr>
        <w:tblStyle w:val="34"/>
        <w:tblW w:w="10451" w:type="dxa"/>
        <w:tblInd w:w="-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85"/>
        <w:gridCol w:w="971"/>
        <w:gridCol w:w="840"/>
        <w:gridCol w:w="3633"/>
        <w:gridCol w:w="1307"/>
        <w:gridCol w:w="378"/>
        <w:gridCol w:w="508"/>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序号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服务</w:t>
            </w:r>
            <w:r>
              <w:rPr>
                <w:rFonts w:hint="eastAsia" w:ascii="宋体" w:hAnsi="宋体" w:eastAsia="宋体" w:cs="宋体"/>
                <w:b w:val="0"/>
                <w:bCs w:val="0"/>
                <w:i w:val="0"/>
                <w:iCs w:val="0"/>
                <w:color w:val="000000"/>
                <w:kern w:val="0"/>
                <w:sz w:val="22"/>
                <w:szCs w:val="22"/>
                <w:u w:val="none"/>
                <w:lang w:val="en-US" w:eastAsia="zh-CN" w:bidi="ar"/>
              </w:rPr>
              <w:t>名称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当地责任单位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上海承接单位</w:t>
            </w:r>
          </w:p>
        </w:tc>
        <w:tc>
          <w:tcPr>
            <w:tcW w:w="3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项目内容</w:t>
            </w:r>
          </w:p>
        </w:tc>
        <w:tc>
          <w:tcPr>
            <w:tcW w:w="1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参加对象及人数</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项目时间及天数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叶城县村（社区）干部中华传统文化学习成果展示项目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叶城县委组织部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3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结合村（社区)干部学习国家通用语言文字学习，增加中华传统文化内容，每季度组织开展一次“我爱学国语”学习成果展示活动，并按照经典诗词、书法绘画、传统戏曲、歌曲舞蹈等中华传统文化方面展示评比，促进学习提升。</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参加“我爱学国语”培训的有关叶城县村（社区）工作人员</w:t>
            </w:r>
          </w:p>
        </w:tc>
        <w:tc>
          <w:tcPr>
            <w:tcW w:w="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2022年3月-12月</w:t>
            </w:r>
          </w:p>
        </w:tc>
      </w:tr>
    </w:tbl>
    <w:p>
      <w:pPr>
        <w:tabs>
          <w:tab w:val="left" w:pos="0"/>
        </w:tabs>
        <w:spacing w:before="0" w:after="0" w:line="360" w:lineRule="exact"/>
        <w:jc w:val="both"/>
        <w:outlineLvl w:val="1"/>
        <w:rPr>
          <w:rFonts w:hint="eastAsia" w:ascii="宋体" w:hAnsi="宋体" w:cs="宋体"/>
          <w:b w:val="0"/>
          <w:bCs w:val="0"/>
          <w:kern w:val="0"/>
          <w:sz w:val="28"/>
          <w:szCs w:val="28"/>
          <w:lang w:val="en-US" w:eastAsia="zh-CN" w:bidi="ar-SA"/>
        </w:rPr>
      </w:pPr>
      <w:bookmarkStart w:id="526" w:name="_Toc62"/>
      <w:r>
        <w:rPr>
          <w:rFonts w:hint="eastAsia" w:ascii="宋体" w:hAnsi="宋体" w:cs="宋体"/>
          <w:b w:val="0"/>
          <w:bCs w:val="0"/>
          <w:kern w:val="0"/>
          <w:sz w:val="28"/>
          <w:szCs w:val="28"/>
          <w:lang w:val="en-US" w:eastAsia="zh-CN" w:bidi="ar-SA"/>
        </w:rPr>
        <w:t>第三包：</w:t>
      </w:r>
      <w:bookmarkEnd w:id="526"/>
    </w:p>
    <w:tbl>
      <w:tblPr>
        <w:tblStyle w:val="34"/>
        <w:tblW w:w="10429" w:type="dxa"/>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363"/>
        <w:gridCol w:w="895"/>
        <w:gridCol w:w="720"/>
        <w:gridCol w:w="4156"/>
        <w:gridCol w:w="993"/>
        <w:gridCol w:w="382"/>
        <w:gridCol w:w="523"/>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序号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服务名称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当地责任单位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上海承接单位</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项目内容</w:t>
            </w: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参加对象及人数</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项目时间及天数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引进第三方参与基层社会治理试点工作（1个村、1个社区）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叶城县委组织部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宝山区合作交流办</w:t>
            </w:r>
          </w:p>
        </w:tc>
        <w:tc>
          <w:tcPr>
            <w:tcW w:w="4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引进1个社区社会组织（3-5人）赴叶城开展社区社会组织孵化，为1个试点乡镇（街道）2个村（社区）开展社区社会组织孵化；到今年11月份为1个试点乡镇（街道）孵化5个社区社会组织，为2个试点村（社区）各孵化4个社区社会组织。工作时间至2022年底。其中：人员薪酬，服务场地建设费（2个社区）、社区组织活动（用于支持培育的社会组织开展活动），县级社会组织孵化中心建设（用于县级社会组织活动开展），其他费用，管理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叶城县的1个村、1个社区</w:t>
            </w: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2022年3月-12月</w:t>
            </w:r>
          </w:p>
        </w:tc>
      </w:tr>
      <w:bookmarkEnd w:id="506"/>
      <w:bookmarkEnd w:id="507"/>
      <w:bookmarkEnd w:id="508"/>
      <w:bookmarkEnd w:id="509"/>
    </w:tbl>
    <w:p>
      <w:pPr>
        <w:pStyle w:val="93"/>
        <w:keepNext w:val="0"/>
        <w:keepLines w:val="0"/>
        <w:pageBreakBefore w:val="0"/>
        <w:numPr>
          <w:ilvl w:val="0"/>
          <w:numId w:val="0"/>
        </w:numPr>
        <w:kinsoku/>
        <w:wordWrap/>
        <w:overflowPunct/>
        <w:topLinePunct w:val="0"/>
        <w:autoSpaceDE/>
        <w:autoSpaceDN/>
        <w:bidi w:val="0"/>
        <w:adjustRightInd/>
        <w:spacing w:line="500" w:lineRule="exact"/>
        <w:ind w:leftChars="0"/>
        <w:jc w:val="left"/>
        <w:textAlignment w:val="auto"/>
        <w:outlineLvl w:val="1"/>
        <w:rPr>
          <w:rFonts w:hint="eastAsia" w:ascii="宋体" w:hAnsi="宋体" w:eastAsia="宋体" w:cs="宋体"/>
          <w:b/>
          <w:bCs/>
          <w:sz w:val="32"/>
          <w:szCs w:val="32"/>
          <w:lang w:val="en-US" w:eastAsia="zh-CN"/>
        </w:rPr>
      </w:pPr>
      <w:bookmarkStart w:id="527" w:name="_Toc6716"/>
      <w:bookmarkStart w:id="528" w:name="_Toc31450"/>
      <w:bookmarkStart w:id="529" w:name="_Toc15701"/>
      <w:bookmarkStart w:id="530" w:name="_Toc28843"/>
      <w:bookmarkStart w:id="531" w:name="_Toc216582826"/>
      <w:bookmarkStart w:id="532" w:name="_Toc218935355"/>
      <w:bookmarkStart w:id="533" w:name="_Toc219175639"/>
      <w:r>
        <w:rPr>
          <w:rFonts w:hint="eastAsia" w:ascii="宋体" w:hAnsi="宋体" w:eastAsia="宋体" w:cs="宋体"/>
          <w:b/>
          <w:bCs/>
          <w:sz w:val="32"/>
          <w:szCs w:val="32"/>
          <w:lang w:val="en-US" w:eastAsia="zh-CN"/>
        </w:rPr>
        <w:t>二、项目要求：</w:t>
      </w:r>
      <w:bookmarkEnd w:id="527"/>
      <w:bookmarkEnd w:id="528"/>
      <w:bookmarkEnd w:id="529"/>
      <w:bookmarkEnd w:id="530"/>
    </w:p>
    <w:p>
      <w:pPr>
        <w:pStyle w:val="2"/>
        <w:keepNext w:val="0"/>
        <w:keepLines w:val="0"/>
        <w:pageBreakBefore w:val="0"/>
        <w:numPr>
          <w:ilvl w:val="0"/>
          <w:numId w:val="0"/>
        </w:numPr>
        <w:kinsoku/>
        <w:wordWrap/>
        <w:overflowPunct/>
        <w:topLinePunct w:val="0"/>
        <w:autoSpaceDE/>
        <w:autoSpaceDN/>
        <w:bidi w:val="0"/>
        <w:adjustRightInd/>
        <w:spacing w:line="500" w:lineRule="exact"/>
        <w:ind w:firstLine="240" w:firstLineChars="100"/>
        <w:textAlignment w:val="auto"/>
        <w:rPr>
          <w:rFonts w:hint="eastAsia" w:ascii="宋体" w:hAnsi="宋体" w:eastAsia="宋体" w:cs="宋体"/>
          <w:b w:val="0"/>
          <w:bCs w:val="0"/>
          <w:color w:val="auto"/>
          <w:kern w:val="2"/>
          <w:sz w:val="24"/>
          <w:szCs w:val="24"/>
          <w:highlight w:val="yellow"/>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1、服务期：一年    </w:t>
      </w:r>
    </w:p>
    <w:p>
      <w:pPr>
        <w:pStyle w:val="2"/>
        <w:keepNext w:val="0"/>
        <w:keepLines w:val="0"/>
        <w:pageBreakBefore w:val="0"/>
        <w:numPr>
          <w:ilvl w:val="0"/>
          <w:numId w:val="0"/>
        </w:numPr>
        <w:kinsoku/>
        <w:wordWrap/>
        <w:overflowPunct/>
        <w:topLinePunct w:val="0"/>
        <w:autoSpaceDE/>
        <w:autoSpaceDN/>
        <w:bidi w:val="0"/>
        <w:adjustRightInd/>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2、付款方式：签订合同时另行约定。</w:t>
      </w:r>
    </w:p>
    <w:p>
      <w:pPr>
        <w:pStyle w:val="2"/>
        <w:keepNext w:val="0"/>
        <w:keepLines w:val="0"/>
        <w:pageBreakBefore w:val="0"/>
        <w:numPr>
          <w:ilvl w:val="0"/>
          <w:numId w:val="0"/>
        </w:numPr>
        <w:kinsoku/>
        <w:wordWrap/>
        <w:overflowPunct/>
        <w:topLinePunct w:val="0"/>
        <w:autoSpaceDE/>
        <w:autoSpaceDN/>
        <w:bidi w:val="0"/>
        <w:adjustRightInd/>
        <w:spacing w:line="500" w:lineRule="exact"/>
        <w:ind w:firstLine="240" w:firstLineChars="1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3、项目实施地点：甲方指定地点。</w:t>
      </w:r>
    </w:p>
    <w:p>
      <w:pPr>
        <w:pStyle w:val="89"/>
        <w:keepNext w:val="0"/>
        <w:keepLines w:val="0"/>
        <w:pageBreakBefore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针对项目提供详尽的项目需求分析以及清晰的描述，对该项目提供总体认识、理解以及整体规划；</w:t>
      </w:r>
    </w:p>
    <w:p>
      <w:pPr>
        <w:pStyle w:val="89"/>
        <w:keepNext w:val="0"/>
        <w:keepLines w:val="0"/>
        <w:pageBreakBefore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针对项目实施进度计划以及具体时间安排计划表；</w:t>
      </w:r>
    </w:p>
    <w:p>
      <w:pPr>
        <w:pStyle w:val="89"/>
        <w:keepNext w:val="0"/>
        <w:keepLines w:val="0"/>
        <w:pageBreakBefore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针对本项目有专门负责执行团队，具体的项目负责人及人员组建构成；</w:t>
      </w:r>
    </w:p>
    <w:p>
      <w:pPr>
        <w:pStyle w:val="89"/>
        <w:keepNext w:val="0"/>
        <w:keepLines w:val="0"/>
        <w:pageBreakBefore w:val="0"/>
        <w:kinsoku/>
        <w:wordWrap/>
        <w:overflowPunct/>
        <w:topLinePunct w:val="0"/>
        <w:autoSpaceDE/>
        <w:autoSpaceDN/>
        <w:bidi w:val="0"/>
        <w:adjustRightInd/>
        <w:snapToGrid/>
        <w:spacing w:line="500" w:lineRule="exact"/>
        <w:ind w:left="0" w:leftChars="0" w:firstLine="240" w:firstLineChars="1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7、</w:t>
      </w:r>
      <w:r>
        <w:rPr>
          <w:rFonts w:hint="eastAsia" w:ascii="宋体" w:hAnsi="宋体" w:eastAsia="宋体" w:cs="宋体"/>
          <w:b w:val="0"/>
          <w:bCs w:val="0"/>
          <w:kern w:val="2"/>
          <w:sz w:val="24"/>
          <w:szCs w:val="24"/>
          <w:highlight w:val="none"/>
          <w:lang w:val="en-US" w:eastAsia="zh-CN" w:bidi="ar-SA"/>
        </w:rPr>
        <w:t>从交通出行线路、安全保障措施、交通车辆质量保证措施、急救车安排计划以及对突发性事件预估、应急处理措施；</w:t>
      </w:r>
    </w:p>
    <w:p>
      <w:pPr>
        <w:pStyle w:val="93"/>
        <w:keepNext w:val="0"/>
        <w:keepLines w:val="0"/>
        <w:pageBreakBefore w:val="0"/>
        <w:numPr>
          <w:ilvl w:val="0"/>
          <w:numId w:val="0"/>
        </w:numPr>
        <w:kinsoku/>
        <w:wordWrap/>
        <w:overflowPunct/>
        <w:topLinePunct w:val="0"/>
        <w:autoSpaceDE/>
        <w:autoSpaceDN/>
        <w:bidi w:val="0"/>
        <w:adjustRightInd/>
        <w:spacing w:line="500" w:lineRule="exact"/>
        <w:ind w:leftChars="0"/>
        <w:jc w:val="left"/>
        <w:textAlignment w:val="auto"/>
        <w:outlineLvl w:val="1"/>
        <w:rPr>
          <w:rFonts w:hint="eastAsia" w:ascii="宋体" w:hAnsi="宋体" w:eastAsia="宋体" w:cs="宋体"/>
          <w:b/>
          <w:bCs/>
          <w:sz w:val="32"/>
          <w:szCs w:val="32"/>
          <w:lang w:val="en-US" w:eastAsia="zh-CN"/>
        </w:rPr>
      </w:pPr>
      <w:bookmarkStart w:id="534" w:name="_Toc12533"/>
      <w:bookmarkStart w:id="535" w:name="_Toc13458"/>
      <w:bookmarkStart w:id="536" w:name="_Toc10866"/>
      <w:bookmarkStart w:id="537" w:name="_Toc13544"/>
      <w:r>
        <w:rPr>
          <w:rFonts w:hint="eastAsia" w:ascii="宋体" w:hAnsi="宋体" w:eastAsia="宋体" w:cs="宋体"/>
          <w:b/>
          <w:bCs/>
          <w:sz w:val="32"/>
          <w:szCs w:val="32"/>
          <w:lang w:val="en-US" w:eastAsia="zh-CN"/>
        </w:rPr>
        <w:t>三、其他要求</w:t>
      </w:r>
      <w:bookmarkEnd w:id="534"/>
      <w:bookmarkEnd w:id="535"/>
      <w:bookmarkEnd w:id="536"/>
      <w:bookmarkEnd w:id="537"/>
    </w:p>
    <w:p>
      <w:pPr>
        <w:pStyle w:val="89"/>
        <w:keepNext w:val="0"/>
        <w:keepLines w:val="0"/>
        <w:pageBreakBefore w:val="0"/>
        <w:kinsoku/>
        <w:wordWrap/>
        <w:overflowPunct/>
        <w:topLinePunct w:val="0"/>
        <w:autoSpaceDE/>
        <w:autoSpaceDN/>
        <w:bidi w:val="0"/>
        <w:adjustRightInd/>
        <w:snapToGrid/>
        <w:spacing w:line="500" w:lineRule="exact"/>
        <w:ind w:left="0" w:leftChars="0" w:firstLine="720" w:firstLineChars="3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1、提供近三年内类似项目业绩证明材料（中标通知书或合同）；</w:t>
      </w:r>
    </w:p>
    <w:p>
      <w:pPr>
        <w:pStyle w:val="89"/>
        <w:keepNext w:val="0"/>
        <w:keepLines w:val="0"/>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lang w:val="en-US" w:eastAsia="zh-CN" w:bidi="ar-SA"/>
        </w:rPr>
        <w:t>2、</w:t>
      </w:r>
      <w:r>
        <w:rPr>
          <w:rFonts w:hint="eastAsia" w:ascii="宋体" w:hAnsi="宋体" w:eastAsia="宋体" w:cs="宋体"/>
          <w:b w:val="0"/>
          <w:bCs w:val="0"/>
          <w:kern w:val="2"/>
          <w:sz w:val="24"/>
          <w:szCs w:val="24"/>
          <w:highlight w:val="none"/>
          <w:lang w:val="en-US" w:eastAsia="zh-CN" w:bidi="ar-SA"/>
        </w:rPr>
        <w:t>疫情防控措施：</w:t>
      </w:r>
    </w:p>
    <w:p>
      <w:pPr>
        <w:pStyle w:val="89"/>
        <w:keepNext w:val="0"/>
        <w:keepLines w:val="0"/>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（1）严格遵守当地疫情防控要求（进出扫码、入住酒店做核酸）</w:t>
      </w:r>
    </w:p>
    <w:p>
      <w:pPr>
        <w:pStyle w:val="89"/>
        <w:keepNext w:val="0"/>
        <w:keepLines w:val="0"/>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配备防护用品。配备数量充足且符合一次性使用医用口罩标准或相当防护级别的口罩、体温检测设备、洗手液、一次性手套、消毒用品等防护用品；要督促车辆、酒店客房、餐厅等接待设施和场所进行全面消毒清洁。</w:t>
      </w:r>
    </w:p>
    <w:p>
      <w:pPr>
        <w:pStyle w:val="89"/>
        <w:keepNext w:val="0"/>
        <w:keepLines w:val="0"/>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（3）宣传疫情防控知识，及时发布游客出游防控注意事项,提醒游客落实“戴口罩、勤洗手、不聚集、保持距离”要求，增强游客自我防控意识</w:t>
      </w:r>
    </w:p>
    <w:p>
      <w:pPr>
        <w:pStyle w:val="89"/>
        <w:keepNext w:val="0"/>
        <w:keepLines w:val="0"/>
        <w:pageBreakBefore w:val="0"/>
        <w:kinsoku/>
        <w:wordWrap/>
        <w:overflowPunct/>
        <w:topLinePunct w:val="0"/>
        <w:autoSpaceDE/>
        <w:autoSpaceDN/>
        <w:bidi w:val="0"/>
        <w:adjustRightInd/>
        <w:snapToGrid/>
        <w:spacing w:line="500" w:lineRule="exact"/>
        <w:ind w:firstLine="720" w:firstLineChars="300"/>
        <w:textAlignment w:val="auto"/>
        <w:rPr>
          <w:rFonts w:hint="eastAsia" w:ascii="宋体" w:hAnsi="宋体" w:eastAsia="宋体" w:cs="宋体"/>
          <w:b w:val="0"/>
          <w:bCs w:val="0"/>
          <w:kern w:val="2"/>
          <w:sz w:val="24"/>
          <w:szCs w:val="24"/>
          <w:highlight w:val="none"/>
          <w:lang w:val="en-US" w:eastAsia="zh-CN" w:bidi="ar-SA"/>
        </w:rPr>
        <w:sectPr>
          <w:pgSz w:w="11907" w:h="16840"/>
          <w:pgMar w:top="1474" w:right="1814" w:bottom="1474" w:left="1814" w:header="851" w:footer="850" w:gutter="0"/>
          <w:pgNumType w:fmt="decimal"/>
          <w:cols w:space="720" w:num="1"/>
          <w:rtlGutter w:val="0"/>
          <w:docGrid w:linePitch="462" w:charSpace="0"/>
        </w:sectPr>
      </w:pPr>
      <w:r>
        <w:rPr>
          <w:rFonts w:hint="eastAsia" w:ascii="宋体" w:hAnsi="宋体" w:eastAsia="宋体" w:cs="宋体"/>
          <w:b w:val="0"/>
          <w:bCs w:val="0"/>
          <w:kern w:val="2"/>
          <w:sz w:val="24"/>
          <w:szCs w:val="24"/>
          <w:highlight w:val="none"/>
          <w:lang w:val="en-US" w:eastAsia="zh-CN" w:bidi="ar-SA"/>
        </w:rPr>
        <w:t>（4）应急措施：如行程中客源地发生疫情，严格按照疫情防控办要求，实行隔离或劝返，所产生的费用损失由组织方或客人自行承担。</w:t>
      </w:r>
    </w:p>
    <w:p>
      <w:pPr>
        <w:pStyle w:val="3"/>
        <w:pageBreakBefore w:val="0"/>
        <w:tabs>
          <w:tab w:val="left" w:pos="0"/>
        </w:tabs>
        <w:kinsoku/>
        <w:wordWrap/>
        <w:overflowPunct/>
        <w:topLinePunct w:val="0"/>
        <w:bidi w:val="0"/>
        <w:snapToGrid/>
        <w:spacing w:before="0" w:after="0" w:line="340" w:lineRule="exact"/>
        <w:jc w:val="center"/>
        <w:textAlignment w:val="auto"/>
        <w:rPr>
          <w:rFonts w:hint="eastAsia" w:ascii="宋体" w:hAnsi="宋体" w:eastAsia="宋体" w:cs="宋体"/>
          <w:color w:val="auto"/>
        </w:rPr>
      </w:pPr>
      <w:bookmarkStart w:id="538" w:name="_Toc24978"/>
      <w:r>
        <w:rPr>
          <w:rFonts w:hint="eastAsia" w:ascii="宋体" w:hAnsi="宋体" w:eastAsia="宋体" w:cs="宋体"/>
          <w:color w:val="auto"/>
        </w:rPr>
        <w:t xml:space="preserve">第6章  </w:t>
      </w:r>
      <w:bookmarkStart w:id="539" w:name="_Toc32647"/>
      <w:bookmarkStart w:id="540" w:name="_Toc7971"/>
      <w:bookmarkStart w:id="541" w:name="_Toc515647832"/>
      <w:bookmarkStart w:id="542" w:name="_Toc507399907"/>
      <w:r>
        <w:rPr>
          <w:rFonts w:hint="eastAsia" w:ascii="宋体" w:hAnsi="宋体" w:eastAsia="宋体" w:cs="宋体"/>
          <w:color w:val="auto"/>
        </w:rPr>
        <w:t>评标方法和标准</w:t>
      </w:r>
      <w:bookmarkEnd w:id="531"/>
      <w:bookmarkEnd w:id="532"/>
      <w:bookmarkEnd w:id="533"/>
      <w:bookmarkEnd w:id="538"/>
      <w:bookmarkEnd w:id="539"/>
      <w:bookmarkEnd w:id="540"/>
      <w:bookmarkEnd w:id="541"/>
      <w:bookmarkEnd w:id="542"/>
    </w:p>
    <w:p>
      <w:pPr>
        <w:pStyle w:val="12"/>
        <w:keepNext w:val="0"/>
        <w:keepLines w:val="0"/>
        <w:pageBreakBefore w:val="0"/>
        <w:widowControl w:val="0"/>
        <w:shd w:val="clear" w:color="auto" w:fill="auto"/>
        <w:tabs>
          <w:tab w:val="clear" w:pos="567"/>
        </w:tabs>
        <w:kinsoku/>
        <w:wordWrap/>
        <w:overflowPunct/>
        <w:topLinePunct w:val="0"/>
        <w:bidi w:val="0"/>
        <w:snapToGrid/>
        <w:spacing w:before="0" w:line="400" w:lineRule="exact"/>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本项目将按照招标文件第一章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须知中“五 开标及评标”、“六 确定中标”及本章的规定评标。</w:t>
      </w:r>
    </w:p>
    <w:p>
      <w:pPr>
        <w:pStyle w:val="12"/>
        <w:shd w:val="clear" w:color="auto" w:fill="auto"/>
        <w:tabs>
          <w:tab w:val="clear" w:pos="567"/>
        </w:tabs>
        <w:spacing w:before="0" w:line="400" w:lineRule="exact"/>
        <w:ind w:firstLine="542" w:firstLineChars="225"/>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注：1.投标无效的情形：</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（1）单位负责人为同一人或者存在直接控股、管理关系的不同供应商，其相关投标将被认定为投标无效。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（2）若供应商须知资料表中未写明允许采购进口产品，如供应商所投产品为进口产品，其投标将被认定为投标无效。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（3）为本项目提供过整体设计、规范编制或者项目管理、监理、检测等服务的供应商，不得再参加本项目上述服务以外的其他采购活动。否则其投标将被认定为投标无效。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供应商在投标过程中不得向采购人提供、给予任何有价值的物品，影响其正常决策行为。一经发现，其将被认定为投标无效。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（4）供应商报价超过招标文件规定的预算金额或者分项、分包最高限价的，其投标将被认定为投标无效。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（6）供应商应当对所投分包招标文件中“服务需求”所列的所有内容进行投标，如仅响应某一包中的部分内容，其该包投标将被认定为投标无效。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（7）供应商未按本须知第12.1和12.3条规定提交投标保证金的，其投标将被认定为投标无效。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所有投标均以人民币报价。供应商的投标报价应遵守《中华人民共和国价格法》。同时，根据《中华人民共和国政府采购法》第二条的规定，为保证公平竞争，如有服务主体部分的赠与行为，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（9）供应商所报的各分项投标单价在合同履行过程中是固定不变的，不得以任何理由予以变更。任何包含价格调整要求的投标，其投标将被认定为投标无效。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（10）投标应在供应商须知资料表中规定时间内保持有效。投标有效期不满足要求的投标，其投标将被认定为投标无效。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（11）所有投标文件采用不可拆装的胶订方式装订，否则其投标将被认定为投标无效。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（12）采购人或采购代理机构将在开标前1个工作日至投标截止后1小时的期间内查询供应商的信用记录。供应商存在不良信用记录的，其投标将被认定为投标无效。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（15）如发现下列情况之一的，其投标将被认定为投标无效：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按招标文件规定的形式和金额提交投标保证金的；未按照招标文件规定要求签署、盖章的；未满足招标文件中技术条款的实质性要求；与其他供应商串通投标，或者与采购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pPr>
        <w:pStyle w:val="12"/>
        <w:shd w:val="clear" w:color="auto" w:fill="auto"/>
        <w:tabs>
          <w:tab w:val="clear" w:pos="567"/>
        </w:tabs>
        <w:spacing w:before="0" w:line="400" w:lineRule="exact"/>
        <w:ind w:firstLine="540" w:firstLineChars="225"/>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根据《政府采购促进中小企业发展管理办法》（财库[2020]46号）、《财政部 司法部关于政府采购支持监狱企业发展有关问题的通知》（财库〔2014〕68号）和《三部门联合发布关于促进残疾人就业政府采购政策的通知》（财库〔2017〕141号）的规定，对满足价格扣除条件且在投标文件中提交了《供应商企业类型声明函》、《残疾人福利性单位声明函》或省级以上监狱管理局、戒毒管理局（含新疆生产建设兵团）出具的属于监狱企业的证明文件的供应商，其投标报价扣除10%后参与评审。对于同时属于小微企业、监狱企业或残疾人福利性单位的，不重复进行投标报价扣除。</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3.联合协议中约定，小型、微型企业和监狱企业的协议合同金额占到联合体协议合同总金额30%以上的，可给予联合体2-3%的价格扣除。（本项目不适用）</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联合体各方均为小型、微型企业和监狱企业的，联合体视同为小型、微型企业和监狱企业。</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4.供应商所投产品如被列入财政部与国家主管部门颁发的节能产品目录或环境标志产品目录或无线局域网产品目录，应提供相关证明，在评标时予以优先采购，具体优惠措施为： 投标商所投产品应优先选择《财政部 国家发展改革委关于调整公布第二十四期节能产品政府采购清单的通知》（财库〔2018〕73号）、《财政部 环境保护部关于调整公布第二十二期环境标志产品政府采购清单的通知》（财库〔2018〕70号）目录内的产品（须提供节能、环保认证证书复印件加盖公章）。</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5.如采购人所采购产品为政府强制采购的节能产品，供应商所投产品的品牌及型号必须为清单中有效期内产品并提供证明文件，否则其投标将被认定为投标无效。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6.对创新产品或创新性企业的优惠措施为：    /       </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7.中标候选人并列式时的处理方式：    </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如采用综合评标法，则：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8.开标：</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（1）采购人和采购代理机构将按供应商须知资料表中规定的开标时间和地点组织公开开标并邀请所有供应商代表参加。</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标时，由供应商或其推选的代表检查自己或所代表的投标文件的密封情况，经记录后，由采购人或采购代理机构当众拆封投标文件第一部分，宣读供应商名称、投标价格及招标文件规定的内容。对于供应商在投标截止期前递交的投标声明，在开标时当众宣读，评标时有效。</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（3）未宣读投标价格、价格折扣等实质内容，评标时不予承认。</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（4）采购人或采购代理机构将对开标过程进行记录，由参加开标的各供应商代表和相关工作人员签字确认，并存档备查。</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（5）供应商代表对开标过程和开标记录有疑义，以及认为采购人、采购代理机构相关工作人员有需要回避的情形的，应当场提出询问或者回避申请。</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9.评标：</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（1）采购人或采购代理机构依据法律法规和招标文件中规定的内容，对供应商及其服务的资格进行审查。</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（2）未通过资格审查的供应商不进入评标；通过资格审查的供应商少于不足三家的，不得评标。</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（3）符合性审查是指依据招标文件的规定，从投标文件的有效性和完整性对招标文件的响应程度进行审查，以确定是否对招标文件的实质性要求做出响应。</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（4）经符合性审查合格的投标文件，评标委员会将根据招标文件确定的评标方法和标准，对其技术部分和商务部分作进一步的比较和评价。</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（5）评标严格按照招标文件的要求和条件进行：综合评分法，是指投标文件满足招标文件全部实质性要求，且按照评审因素的量化指标评审得分最高的供应商为中标候选人的评标方法。</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10.定标：</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（1）采购代理机构应当在评标结束后2个工作日内将评标报告送采购人。</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（2）采购人应当自收到评标报告之日起５个工作日内，在评标报告确定的中标候选人名单中按顺序确定中标人。中标候选人并列的，由采购人按照招标文件规定的方式确定中标人。</w:t>
      </w:r>
    </w:p>
    <w:p>
      <w:pPr>
        <w:pStyle w:val="12"/>
        <w:shd w:val="clear" w:color="auto" w:fill="auto"/>
        <w:tabs>
          <w:tab w:val="clear" w:pos="567"/>
        </w:tabs>
        <w:spacing w:before="0" w:line="400" w:lineRule="exact"/>
        <w:ind w:firstLine="540" w:firstLineChars="22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（3）采购人在收到评标报告5个工作日内未按评标报告推荐的中标候选人顺序确定中标人，又不能说明合法理由的，视同按评标报告推荐的顺序确定排名第一的中标候选人为中标人。</w:t>
      </w:r>
    </w:p>
    <w:p>
      <w:pPr>
        <w:pageBreakBefore w:val="0"/>
        <w:kinsoku/>
        <w:wordWrap/>
        <w:overflowPunct/>
        <w:topLinePunct w:val="0"/>
        <w:bidi w:val="0"/>
        <w:snapToGrid/>
        <w:spacing w:line="340" w:lineRule="exact"/>
        <w:jc w:val="center"/>
        <w:textAlignment w:val="auto"/>
        <w:outlineLvl w:val="1"/>
        <w:rPr>
          <w:rFonts w:hint="eastAsia" w:ascii="宋体" w:hAnsi="宋体" w:eastAsia="宋体" w:cs="宋体"/>
          <w:color w:val="auto"/>
          <w:sz w:val="28"/>
          <w:szCs w:val="32"/>
        </w:rPr>
      </w:pPr>
      <w:r>
        <w:rPr>
          <w:rFonts w:hint="eastAsia" w:ascii="宋体" w:hAnsi="宋体" w:eastAsia="宋体" w:cs="宋体"/>
          <w:i/>
          <w:color w:val="auto"/>
        </w:rPr>
        <w:br w:type="page"/>
      </w:r>
      <w:bookmarkStart w:id="543" w:name="_Toc11530"/>
      <w:bookmarkStart w:id="544" w:name="_Toc9265"/>
      <w:bookmarkStart w:id="545" w:name="_Toc14109"/>
      <w:bookmarkStart w:id="546" w:name="_Toc424"/>
      <w:r>
        <w:rPr>
          <w:rFonts w:hint="eastAsia" w:ascii="宋体" w:hAnsi="宋体" w:eastAsia="宋体" w:cs="宋体"/>
          <w:color w:val="auto"/>
          <w:sz w:val="28"/>
          <w:szCs w:val="32"/>
        </w:rPr>
        <w:t>初步评审—资格性审查表</w:t>
      </w:r>
      <w:bookmarkEnd w:id="543"/>
      <w:bookmarkEnd w:id="544"/>
      <w:bookmarkEnd w:id="545"/>
      <w:bookmarkEnd w:id="546"/>
    </w:p>
    <w:tbl>
      <w:tblPr>
        <w:tblStyle w:val="34"/>
        <w:tblpPr w:leftFromText="180" w:rightFromText="180" w:vertAnchor="text" w:horzAnchor="page" w:tblpXSpec="center" w:tblpY="116"/>
        <w:tblOverlap w:val="never"/>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6650"/>
        <w:gridCol w:w="765"/>
        <w:gridCol w:w="853"/>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58"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序号</w:t>
            </w:r>
          </w:p>
        </w:tc>
        <w:tc>
          <w:tcPr>
            <w:tcW w:w="6650"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评审内容</w:t>
            </w:r>
          </w:p>
        </w:tc>
        <w:tc>
          <w:tcPr>
            <w:tcW w:w="2446" w:type="dxa"/>
            <w:gridSpan w:val="3"/>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58"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p>
        </w:tc>
        <w:tc>
          <w:tcPr>
            <w:tcW w:w="6650"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p>
        </w:tc>
        <w:tc>
          <w:tcPr>
            <w:tcW w:w="76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是否合格</w:t>
            </w:r>
          </w:p>
        </w:tc>
        <w:tc>
          <w:tcPr>
            <w:tcW w:w="853"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是否合格</w:t>
            </w:r>
          </w:p>
        </w:tc>
        <w:tc>
          <w:tcPr>
            <w:tcW w:w="828"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w:t>
            </w:r>
          </w:p>
        </w:tc>
        <w:tc>
          <w:tcPr>
            <w:tcW w:w="6650" w:type="dxa"/>
            <w:noWrap w:val="0"/>
            <w:vAlign w:val="center"/>
          </w:tcPr>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具有独立承担民事责任的能力；（投标时，提供在中华人民共和国境内注册的法人或事业单位法人证书或社会团体法人登记证书复印件；如国家另有规定的，则从其规定。）</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w:t>
            </w:r>
          </w:p>
        </w:tc>
        <w:tc>
          <w:tcPr>
            <w:tcW w:w="6650" w:type="dxa"/>
            <w:noWrap w:val="0"/>
            <w:vAlign w:val="center"/>
          </w:tcPr>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法人代表身份证明及授权书、被授权人身份证；(法人投标需提供法人身份证复印件)；</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p>
        </w:tc>
        <w:tc>
          <w:tcPr>
            <w:tcW w:w="6650" w:type="dxa"/>
            <w:noWrap w:val="0"/>
            <w:vAlign w:val="center"/>
          </w:tcPr>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依法缴纳近6个月内任意1个月的社会保险的凭据；</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w:t>
            </w:r>
          </w:p>
        </w:tc>
        <w:tc>
          <w:tcPr>
            <w:tcW w:w="6650" w:type="dxa"/>
            <w:noWrap w:val="0"/>
            <w:vAlign w:val="center"/>
          </w:tcPr>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税务部门出具的近6个月内任意1个月的完税证明；</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6650" w:type="dxa"/>
            <w:noWrap w:val="0"/>
            <w:vAlign w:val="center"/>
          </w:tcPr>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近两年任意一年的财务审计报告，新成立的公司提供近6个月中任意1个月的银行资信证明；</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6650" w:type="dxa"/>
            <w:noWrap w:val="0"/>
            <w:vAlign w:val="center"/>
          </w:tcPr>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根据《财政部关于在政府采购活动中查询及使用信用记录有关问题的通知》（财库﹝2016﹞125号）的要求，凡拟参加本次招标项目的供应商，如在“信用中国”网站（ www.creditchina.gov.cn） 被列入失信被执行人、重大税收违法案件当事人名单(信用服务-失信惩戒对象查询-搜索栏输入单位全称-截图)、中国政府采购网（http://www.ccgp.gov.cn/search/cr/）严重违法失信行为记录名单的（尚在处罚期内的），“国家企业信用信息公示系统（http://www.gsxt.gov.cn）”列入严重违法失信企业名单（黑名单）信息及企业信用信息公示报告，将拒绝其参加本次采购活动（以代理机构或采购人现场查询为准）；</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7</w:t>
            </w:r>
          </w:p>
        </w:tc>
        <w:tc>
          <w:tcPr>
            <w:tcW w:w="6650" w:type="dxa"/>
            <w:noWrap w:val="0"/>
            <w:vAlign w:val="center"/>
          </w:tcPr>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参加政府采购活动前3年内未被列入失信、重大税收违法案件、财政部门禁止参加政府采购活动的承诺书；</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w:t>
            </w:r>
          </w:p>
        </w:tc>
        <w:tc>
          <w:tcPr>
            <w:tcW w:w="6650" w:type="dxa"/>
            <w:noWrap w:val="0"/>
            <w:vAlign w:val="center"/>
          </w:tcPr>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提供针对本次项目《反商业贿赂承诺书》；</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w:t>
            </w:r>
          </w:p>
        </w:tc>
        <w:tc>
          <w:tcPr>
            <w:tcW w:w="6650" w:type="dxa"/>
            <w:noWrap w:val="0"/>
            <w:vAlign w:val="center"/>
          </w:tcPr>
          <w:p>
            <w:pPr>
              <w:pStyle w:val="29"/>
              <w:keepNext w:val="0"/>
              <w:keepLines w:val="0"/>
              <w:pageBreakBefore w:val="0"/>
              <w:widowControl/>
              <w:suppressLineNumbers w:val="0"/>
              <w:kinsoku/>
              <w:wordWrap/>
              <w:overflowPunct/>
              <w:topLinePunct w:val="0"/>
              <w:autoSpaceDE/>
              <w:autoSpaceDN/>
              <w:bidi w:val="0"/>
              <w:adjustRightInd/>
              <w:snapToGrid/>
              <w:spacing w:beforeAutospacing="0" w:afterAutospacing="0" w:line="320" w:lineRule="exact"/>
              <w:ind w:right="0" w:rightChars="0"/>
              <w:jc w:val="left"/>
              <w:textAlignment w:val="auto"/>
              <w:rPr>
                <w:rFonts w:hint="eastAsia" w:ascii="宋体" w:hAnsi="宋体" w:eastAsia="宋体" w:cs="宋体"/>
                <w:color w:val="auto"/>
                <w:kern w:val="2"/>
                <w:sz w:val="22"/>
                <w:szCs w:val="22"/>
                <w:lang w:val="en-US" w:eastAsia="zh-CN" w:bidi="ar-SA"/>
              </w:rPr>
            </w:pPr>
            <w:r>
              <w:rPr>
                <w:rFonts w:hint="eastAsia" w:ascii="宋体" w:hAnsi="宋体" w:cs="宋体"/>
                <w:color w:val="auto"/>
                <w:kern w:val="2"/>
                <w:sz w:val="22"/>
                <w:szCs w:val="22"/>
                <w:lang w:val="en-US" w:eastAsia="zh-CN" w:bidi="ar-SA"/>
              </w:rPr>
              <w:t>投标保证金银行转账回执单等有效凭证</w:t>
            </w:r>
            <w:r>
              <w:rPr>
                <w:rFonts w:hint="eastAsia" w:ascii="宋体" w:hAnsi="宋体" w:eastAsia="宋体" w:cs="宋体"/>
                <w:color w:val="auto"/>
                <w:kern w:val="2"/>
                <w:sz w:val="22"/>
                <w:szCs w:val="22"/>
                <w:lang w:val="en-US" w:eastAsia="zh-CN" w:bidi="ar-SA"/>
              </w:rPr>
              <w:t>。</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2"/>
                <w:szCs w:val="22"/>
              </w:rPr>
            </w:pPr>
          </w:p>
        </w:tc>
        <w:tc>
          <w:tcPr>
            <w:tcW w:w="6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结论</w:t>
            </w:r>
          </w:p>
        </w:tc>
        <w:tc>
          <w:tcPr>
            <w:tcW w:w="76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5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c>
          <w:tcPr>
            <w:tcW w:w="828" w:type="dxa"/>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2"/>
                <w:szCs w:val="22"/>
              </w:rPr>
            </w:pPr>
          </w:p>
        </w:tc>
      </w:tr>
    </w:tbl>
    <w:p>
      <w:pPr>
        <w:keepNext w:val="0"/>
        <w:keepLines w:val="0"/>
        <w:pageBreakBefore w:val="0"/>
        <w:widowControl w:val="0"/>
        <w:kinsoku/>
        <w:wordWrap/>
        <w:overflowPunct/>
        <w:topLinePunct w:val="0"/>
        <w:autoSpaceDE/>
        <w:autoSpaceDN/>
        <w:bidi w:val="0"/>
        <w:adjustRightInd/>
        <w:snapToGrid/>
        <w:spacing w:line="360" w:lineRule="exact"/>
        <w:ind w:left="6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说明：（1）上述各项中用“√”表示</w:t>
      </w:r>
      <w:r>
        <w:rPr>
          <w:rFonts w:hint="eastAsia" w:ascii="宋体" w:hAnsi="宋体" w:eastAsia="宋体" w:cs="宋体"/>
          <w:color w:val="auto"/>
          <w:sz w:val="22"/>
          <w:szCs w:val="22"/>
          <w:lang w:eastAsia="zh-CN"/>
        </w:rPr>
        <w:t>合格</w:t>
      </w:r>
      <w:r>
        <w:rPr>
          <w:rFonts w:hint="eastAsia" w:ascii="宋体" w:hAnsi="宋体" w:eastAsia="宋体" w:cs="宋体"/>
          <w:color w:val="auto"/>
          <w:sz w:val="22"/>
          <w:szCs w:val="22"/>
        </w:rPr>
        <w:t>，“×”表示不</w:t>
      </w:r>
      <w:r>
        <w:rPr>
          <w:rFonts w:hint="eastAsia" w:ascii="宋体" w:hAnsi="宋体" w:eastAsia="宋体" w:cs="宋体"/>
          <w:color w:val="auto"/>
          <w:sz w:val="22"/>
          <w:szCs w:val="22"/>
          <w:lang w:eastAsia="zh-CN"/>
        </w:rPr>
        <w:t>合格</w:t>
      </w:r>
      <w:r>
        <w:rPr>
          <w:rFonts w:hint="eastAsia" w:ascii="宋体" w:hAnsi="宋体" w:eastAsia="宋体" w:cs="宋体"/>
          <w:color w:val="auto"/>
          <w:sz w:val="22"/>
          <w:szCs w:val="22"/>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（2）上述各项中如有一项为“×”，则结论为“×”，表示该投标文件中存在重大偏差，不能通过初步评审；评委对某一分项评审认为不合格时，必须要写明原因。</w:t>
      </w:r>
    </w:p>
    <w:p>
      <w:pPr>
        <w:keepNext w:val="0"/>
        <w:keepLines w:val="0"/>
        <w:pageBreakBefore w:val="0"/>
        <w:widowControl w:val="0"/>
        <w:kinsoku/>
        <w:wordWrap/>
        <w:overflowPunct/>
        <w:topLinePunct w:val="0"/>
        <w:autoSpaceDE/>
        <w:autoSpaceDN/>
        <w:bidi w:val="0"/>
        <w:adjustRightInd/>
        <w:snapToGrid/>
        <w:spacing w:line="360" w:lineRule="exact"/>
        <w:ind w:left="6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（3）投标文件最终合格与否，以所有评委的评审意见中少数服从多数为原则定论。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rPr>
        <w:t>备注：如果投标文件中有一项未通过上述审查标准，评标委员会将认定整个投标文件未响应招标文件而予以废标处理。</w:t>
      </w:r>
    </w:p>
    <w:p>
      <w:pPr>
        <w:pStyle w:val="12"/>
        <w:tabs>
          <w:tab w:val="clear" w:pos="567"/>
        </w:tabs>
        <w:spacing w:before="0" w:line="360" w:lineRule="exact"/>
        <w:ind w:left="-181" w:leftChars="-86" w:firstLine="605" w:firstLineChars="275"/>
        <w:rPr>
          <w:rFonts w:hint="eastAsia" w:ascii="宋体" w:hAnsi="宋体" w:eastAsia="宋体" w:cs="宋体"/>
          <w:i/>
          <w:color w:val="auto"/>
          <w:sz w:val="22"/>
          <w:szCs w:val="22"/>
        </w:rPr>
        <w:sectPr>
          <w:headerReference r:id="rId11" w:type="first"/>
          <w:footerReference r:id="rId14" w:type="first"/>
          <w:headerReference r:id="rId9" w:type="default"/>
          <w:footerReference r:id="rId12" w:type="default"/>
          <w:headerReference r:id="rId10" w:type="even"/>
          <w:footerReference r:id="rId13" w:type="even"/>
          <w:pgSz w:w="11907" w:h="16840"/>
          <w:pgMar w:top="1474" w:right="1814" w:bottom="1474" w:left="1814" w:header="851" w:footer="851" w:gutter="0"/>
          <w:pgNumType w:fmt="decimal"/>
          <w:cols w:space="720" w:num="1"/>
          <w:docGrid w:linePitch="462" w:charSpace="0"/>
        </w:sectPr>
      </w:pPr>
    </w:p>
    <w:p>
      <w:pPr>
        <w:pStyle w:val="9"/>
        <w:spacing w:line="300" w:lineRule="auto"/>
        <w:ind w:firstLine="0"/>
        <w:jc w:val="center"/>
        <w:outlineLvl w:val="1"/>
        <w:rPr>
          <w:rFonts w:hint="eastAsia" w:ascii="宋体" w:hAnsi="宋体" w:eastAsia="宋体" w:cs="宋体"/>
          <w:b/>
          <w:bCs/>
          <w:color w:val="auto"/>
          <w:sz w:val="32"/>
          <w:szCs w:val="32"/>
        </w:rPr>
      </w:pPr>
      <w:bookmarkStart w:id="547" w:name="_Toc14491"/>
      <w:bookmarkStart w:id="548" w:name="_Toc30056"/>
      <w:bookmarkStart w:id="549" w:name="_Toc32287"/>
      <w:bookmarkStart w:id="550" w:name="_Toc20822"/>
      <w:r>
        <w:rPr>
          <w:rFonts w:hint="eastAsia" w:ascii="宋体" w:hAnsi="宋体" w:eastAsia="宋体" w:cs="宋体"/>
          <w:b/>
          <w:bCs/>
          <w:color w:val="auto"/>
          <w:sz w:val="32"/>
          <w:szCs w:val="32"/>
        </w:rPr>
        <w:t>初步评审—符合性审查表</w:t>
      </w:r>
      <w:bookmarkEnd w:id="547"/>
      <w:bookmarkEnd w:id="548"/>
      <w:bookmarkEnd w:id="549"/>
      <w:bookmarkEnd w:id="550"/>
    </w:p>
    <w:tbl>
      <w:tblPr>
        <w:tblStyle w:val="34"/>
        <w:tblpPr w:leftFromText="180" w:rightFromText="180" w:vertAnchor="text" w:horzAnchor="page" w:tblpXSpec="center" w:tblpY="262"/>
        <w:tblOverlap w:val="never"/>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69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评审内容</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序号</w:t>
            </w:r>
          </w:p>
        </w:tc>
        <w:tc>
          <w:tcPr>
            <w:tcW w:w="66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r>
              <w:rPr>
                <w:rFonts w:hint="eastAsia" w:ascii="宋体" w:hAnsi="宋体" w:eastAsia="宋体" w:cs="宋体"/>
                <w:color w:val="auto"/>
                <w:sz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66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各供应商投标报价未高于预算金额；</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66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评标委员会认为供应商的报价无明显低于其他通过符合性审查供应商的报价的，供应商的报价不存在异常一致并成规律性的，其报价合理；</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p>
        </w:tc>
        <w:tc>
          <w:tcPr>
            <w:tcW w:w="66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投标文件按照招标文件的规定编制、标记及签署盖章的，法定代表人或其授权代表签字（章）和加盖供应商公章的（投标文件正本的印章和签字不能为复印件）；</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66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按招标文件规定的格式填写，内容全的；</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66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符合招标文件中规定的其他实质性要求（服务期等）</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66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没有采购人不能接受的附加条件的；</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w:t>
            </w:r>
          </w:p>
        </w:tc>
        <w:tc>
          <w:tcPr>
            <w:tcW w:w="66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不同供应商的投标文件没有错漏一致的情况；</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669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供应商附有详细地址、联系人、电话标明的；</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5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4"/>
              </w:rPr>
            </w:pPr>
            <w:r>
              <w:rPr>
                <w:rFonts w:hint="eastAsia" w:ascii="宋体" w:hAnsi="宋体" w:eastAsia="宋体" w:cs="宋体"/>
                <w:color w:val="auto"/>
                <w:sz w:val="24"/>
              </w:rPr>
              <w:t>结论：通过评审打“√”，未通过评审打“×”</w:t>
            </w:r>
          </w:p>
        </w:tc>
        <w:tc>
          <w:tcPr>
            <w:tcW w:w="16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rPr>
            </w:pPr>
          </w:p>
        </w:tc>
      </w:tr>
    </w:tbl>
    <w:p>
      <w:pPr>
        <w:spacing w:line="300" w:lineRule="auto"/>
        <w:rPr>
          <w:rFonts w:hint="eastAsia" w:ascii="宋体" w:hAnsi="宋体" w:eastAsia="宋体" w:cs="宋体"/>
          <w:color w:val="auto"/>
          <w:sz w:val="21"/>
          <w:szCs w:val="21"/>
        </w:rPr>
      </w:pPr>
    </w:p>
    <w:p>
      <w:pPr>
        <w:spacing w:line="300" w:lineRule="auto"/>
        <w:ind w:left="60"/>
        <w:rPr>
          <w:rFonts w:hint="eastAsia" w:ascii="宋体" w:hAnsi="宋体" w:eastAsia="宋体" w:cs="宋体"/>
          <w:color w:val="auto"/>
          <w:sz w:val="21"/>
          <w:szCs w:val="21"/>
        </w:rPr>
      </w:pPr>
      <w:r>
        <w:rPr>
          <w:rFonts w:hint="eastAsia" w:ascii="宋体" w:hAnsi="宋体" w:eastAsia="宋体" w:cs="宋体"/>
          <w:color w:val="auto"/>
          <w:sz w:val="21"/>
          <w:szCs w:val="21"/>
        </w:rPr>
        <w:t>说明：</w:t>
      </w:r>
    </w:p>
    <w:p>
      <w:pPr>
        <w:spacing w:line="300" w:lineRule="auto"/>
        <w:ind w:left="60"/>
        <w:rPr>
          <w:rFonts w:hint="eastAsia" w:ascii="宋体" w:hAnsi="宋体" w:eastAsia="宋体" w:cs="宋体"/>
          <w:color w:val="auto"/>
          <w:sz w:val="21"/>
          <w:szCs w:val="21"/>
        </w:rPr>
      </w:pPr>
      <w:r>
        <w:rPr>
          <w:rFonts w:hint="eastAsia" w:ascii="宋体" w:hAnsi="宋体" w:eastAsia="宋体" w:cs="宋体"/>
          <w:color w:val="auto"/>
          <w:sz w:val="21"/>
          <w:szCs w:val="21"/>
        </w:rPr>
        <w:t>（1）上述各项中用“√”表示通过，“×”表示不通过；</w:t>
      </w:r>
    </w:p>
    <w:p>
      <w:pPr>
        <w:spacing w:line="300" w:lineRule="auto"/>
        <w:ind w:left="689" w:leftChars="28"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（2）上述各项中如有一项为“×”，则结论为“×”，表示该投标文件中存在重大偏差，不能通过初步评审；评委对某一分项评审认为不合格时，必须要写明原因。</w:t>
      </w:r>
    </w:p>
    <w:p>
      <w:pPr>
        <w:pStyle w:val="9"/>
        <w:spacing w:line="300" w:lineRule="auto"/>
        <w:ind w:firstLine="0"/>
        <w:jc w:val="both"/>
        <w:rPr>
          <w:rFonts w:hint="eastAsia" w:ascii="宋体" w:hAnsi="宋体" w:eastAsia="宋体" w:cs="宋体"/>
          <w:color w:val="auto"/>
          <w:sz w:val="21"/>
          <w:szCs w:val="21"/>
        </w:rPr>
      </w:pPr>
      <w:r>
        <w:rPr>
          <w:rFonts w:hint="eastAsia" w:ascii="宋体" w:hAnsi="宋体" w:eastAsia="宋体" w:cs="宋体"/>
          <w:color w:val="auto"/>
          <w:sz w:val="21"/>
          <w:szCs w:val="21"/>
        </w:rPr>
        <w:t>（3）投标文件最终合格与否，以所有评委的评审意见中少数服从多数为原则定论。</w:t>
      </w:r>
    </w:p>
    <w:p>
      <w:pPr>
        <w:spacing w:line="240" w:lineRule="atLeast"/>
        <w:rPr>
          <w:rFonts w:hint="eastAsia" w:ascii="宋体" w:hAnsi="宋体" w:eastAsia="宋体" w:cs="宋体"/>
          <w:b/>
          <w:bCs/>
          <w:color w:val="auto"/>
          <w:sz w:val="21"/>
          <w:szCs w:val="21"/>
        </w:rPr>
      </w:pPr>
      <w:r>
        <w:rPr>
          <w:rFonts w:hint="eastAsia" w:ascii="宋体" w:hAnsi="宋体" w:eastAsia="宋体" w:cs="宋体"/>
          <w:b/>
          <w:bCs/>
          <w:color w:val="auto"/>
          <w:sz w:val="21"/>
          <w:szCs w:val="21"/>
        </w:rPr>
        <w:t>未通过资格审查的</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不进入评标；通过资格审查的</w:t>
      </w:r>
      <w:r>
        <w:rPr>
          <w:rFonts w:hint="eastAsia" w:ascii="宋体" w:hAnsi="宋体" w:eastAsia="宋体" w:cs="宋体"/>
          <w:b/>
          <w:bCs/>
          <w:color w:val="auto"/>
          <w:sz w:val="21"/>
          <w:szCs w:val="21"/>
          <w:lang w:eastAsia="zh-CN"/>
        </w:rPr>
        <w:t>供应商</w:t>
      </w:r>
      <w:r>
        <w:rPr>
          <w:rFonts w:hint="eastAsia" w:ascii="宋体" w:hAnsi="宋体" w:eastAsia="宋体" w:cs="宋体"/>
          <w:b/>
          <w:bCs/>
          <w:color w:val="auto"/>
          <w:sz w:val="21"/>
          <w:szCs w:val="21"/>
        </w:rPr>
        <w:t>少于不足三家的，不得评标。</w:t>
      </w:r>
    </w:p>
    <w:p>
      <w:pPr>
        <w:pStyle w:val="33"/>
        <w:rPr>
          <w:rFonts w:hint="eastAsia" w:ascii="宋体" w:hAnsi="宋体" w:eastAsia="宋体" w:cs="宋体"/>
          <w:b/>
          <w:bCs/>
          <w:color w:val="auto"/>
          <w:sz w:val="21"/>
          <w:szCs w:val="21"/>
        </w:rPr>
      </w:pPr>
    </w:p>
    <w:p>
      <w:pPr>
        <w:pStyle w:val="33"/>
        <w:rPr>
          <w:rFonts w:hint="eastAsia" w:ascii="宋体" w:hAnsi="宋体" w:eastAsia="宋体" w:cs="宋体"/>
          <w:b/>
          <w:bCs/>
          <w:color w:val="auto"/>
          <w:sz w:val="21"/>
          <w:szCs w:val="21"/>
        </w:rPr>
      </w:pPr>
    </w:p>
    <w:p>
      <w:pPr>
        <w:pStyle w:val="33"/>
        <w:rPr>
          <w:rFonts w:hint="eastAsia" w:ascii="宋体" w:hAnsi="宋体" w:eastAsia="宋体" w:cs="宋体"/>
          <w:b/>
          <w:bCs/>
          <w:color w:val="auto"/>
          <w:sz w:val="21"/>
          <w:szCs w:val="21"/>
        </w:rPr>
      </w:pPr>
    </w:p>
    <w:p>
      <w:pPr>
        <w:pStyle w:val="33"/>
        <w:rPr>
          <w:rFonts w:hint="eastAsia" w:ascii="宋体" w:hAnsi="宋体" w:eastAsia="宋体" w:cs="宋体"/>
          <w:b/>
          <w:bCs/>
          <w:color w:val="auto"/>
          <w:sz w:val="21"/>
          <w:szCs w:val="21"/>
        </w:rPr>
      </w:pPr>
    </w:p>
    <w:p>
      <w:pPr>
        <w:pStyle w:val="33"/>
        <w:rPr>
          <w:rFonts w:hint="eastAsia" w:ascii="宋体" w:hAnsi="宋体" w:eastAsia="宋体" w:cs="宋体"/>
          <w:b/>
          <w:bCs/>
          <w:color w:val="auto"/>
          <w:sz w:val="21"/>
          <w:szCs w:val="21"/>
        </w:rPr>
      </w:pPr>
    </w:p>
    <w:p>
      <w:pPr>
        <w:pStyle w:val="33"/>
        <w:rPr>
          <w:rFonts w:hint="eastAsia" w:ascii="宋体" w:hAnsi="宋体" w:eastAsia="宋体" w:cs="宋体"/>
          <w:b/>
          <w:bCs/>
          <w:color w:val="auto"/>
          <w:sz w:val="21"/>
          <w:szCs w:val="21"/>
        </w:rPr>
      </w:pPr>
    </w:p>
    <w:p>
      <w:pPr>
        <w:pStyle w:val="12"/>
        <w:tabs>
          <w:tab w:val="clear" w:pos="567"/>
        </w:tabs>
        <w:spacing w:before="0" w:line="360" w:lineRule="exact"/>
        <w:rPr>
          <w:rFonts w:hint="eastAsia" w:ascii="宋体" w:hAnsi="宋体" w:eastAsia="宋体" w:cs="宋体"/>
          <w:i/>
          <w:color w:val="auto"/>
        </w:rPr>
      </w:pPr>
    </w:p>
    <w:tbl>
      <w:tblPr>
        <w:tblStyle w:val="34"/>
        <w:tblW w:w="9417" w:type="dxa"/>
        <w:tblInd w:w="-279" w:type="dxa"/>
        <w:tblLayout w:type="fixed"/>
        <w:tblCellMar>
          <w:top w:w="0" w:type="dxa"/>
          <w:left w:w="108" w:type="dxa"/>
          <w:bottom w:w="0" w:type="dxa"/>
          <w:right w:w="108" w:type="dxa"/>
        </w:tblCellMar>
      </w:tblPr>
      <w:tblGrid>
        <w:gridCol w:w="2315"/>
        <w:gridCol w:w="4640"/>
        <w:gridCol w:w="870"/>
        <w:gridCol w:w="722"/>
        <w:gridCol w:w="870"/>
      </w:tblGrid>
      <w:tr>
        <w:tblPrEx>
          <w:tblCellMar>
            <w:top w:w="0" w:type="dxa"/>
            <w:left w:w="108" w:type="dxa"/>
            <w:bottom w:w="0" w:type="dxa"/>
            <w:right w:w="108" w:type="dxa"/>
          </w:tblCellMar>
        </w:tblPrEx>
        <w:trPr>
          <w:trHeight w:val="585" w:hRule="atLeast"/>
        </w:trPr>
        <w:tc>
          <w:tcPr>
            <w:tcW w:w="9417" w:type="dxa"/>
            <w:gridSpan w:val="5"/>
            <w:tcBorders>
              <w:top w:val="nil"/>
              <w:left w:val="nil"/>
              <w:bottom w:val="single" w:color="auto" w:sz="4" w:space="0"/>
              <w:right w:val="nil"/>
            </w:tcBorders>
            <w:noWrap w:val="0"/>
            <w:vAlign w:val="center"/>
          </w:tcPr>
          <w:p>
            <w:pPr>
              <w:widowControl/>
              <w:spacing w:line="360" w:lineRule="exact"/>
              <w:jc w:val="center"/>
              <w:outlineLvl w:val="1"/>
              <w:rPr>
                <w:rFonts w:hint="eastAsia" w:ascii="宋体" w:hAnsi="宋体" w:eastAsia="宋体" w:cs="宋体"/>
                <w:b/>
                <w:bCs/>
                <w:color w:val="auto"/>
                <w:kern w:val="0"/>
                <w:sz w:val="32"/>
                <w:szCs w:val="32"/>
              </w:rPr>
            </w:pPr>
            <w:bookmarkStart w:id="551" w:name="_Toc14334"/>
            <w:bookmarkStart w:id="552" w:name="_Toc27728"/>
            <w:bookmarkStart w:id="553" w:name="_Toc4786"/>
            <w:bookmarkStart w:id="554" w:name="_Toc22581"/>
            <w:bookmarkStart w:id="555" w:name="_Toc29138"/>
            <w:r>
              <w:rPr>
                <w:rFonts w:hint="eastAsia" w:ascii="宋体" w:hAnsi="宋体" w:eastAsia="宋体" w:cs="宋体"/>
                <w:b/>
                <w:bCs/>
                <w:color w:val="auto"/>
                <w:kern w:val="0"/>
                <w:sz w:val="32"/>
                <w:szCs w:val="32"/>
              </w:rPr>
              <w:t>一、商务符合性审查表</w:t>
            </w:r>
            <w:bookmarkEnd w:id="551"/>
            <w:bookmarkEnd w:id="552"/>
            <w:bookmarkEnd w:id="553"/>
            <w:bookmarkEnd w:id="554"/>
            <w:bookmarkEnd w:id="555"/>
          </w:p>
        </w:tc>
      </w:tr>
      <w:tr>
        <w:tblPrEx>
          <w:tblCellMar>
            <w:top w:w="0" w:type="dxa"/>
            <w:left w:w="108" w:type="dxa"/>
            <w:bottom w:w="0" w:type="dxa"/>
            <w:right w:w="108" w:type="dxa"/>
          </w:tblCellMar>
        </w:tblPrEx>
        <w:trPr>
          <w:trHeight w:val="754" w:hRule="atLeast"/>
        </w:trPr>
        <w:tc>
          <w:tcPr>
            <w:tcW w:w="69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审查事项</w:t>
            </w:r>
          </w:p>
        </w:tc>
        <w:tc>
          <w:tcPr>
            <w:tcW w:w="246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lang w:eastAsia="zh-CN"/>
              </w:rPr>
              <w:t>供应商</w:t>
            </w:r>
            <w:r>
              <w:rPr>
                <w:rFonts w:hint="eastAsia" w:ascii="宋体" w:hAnsi="宋体" w:eastAsia="宋体" w:cs="宋体"/>
                <w:b/>
                <w:color w:val="auto"/>
                <w:kern w:val="0"/>
                <w:sz w:val="22"/>
                <w:szCs w:val="22"/>
              </w:rPr>
              <w:t>名称及审查情况</w:t>
            </w:r>
          </w:p>
        </w:tc>
      </w:tr>
      <w:tr>
        <w:tblPrEx>
          <w:tblCellMar>
            <w:top w:w="0" w:type="dxa"/>
            <w:left w:w="108" w:type="dxa"/>
            <w:bottom w:w="0" w:type="dxa"/>
            <w:right w:w="108" w:type="dxa"/>
          </w:tblCellMar>
        </w:tblPrEx>
        <w:trPr>
          <w:trHeight w:val="57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招标文件条款（</w:t>
            </w:r>
            <w:r>
              <w:rPr>
                <w:rFonts w:hint="eastAsia" w:ascii="宋体" w:hAnsi="宋体" w:eastAsia="宋体" w:cs="宋体"/>
                <w:b/>
                <w:color w:val="auto"/>
                <w:kern w:val="0"/>
                <w:sz w:val="22"/>
                <w:szCs w:val="22"/>
                <w:lang w:eastAsia="zh-CN"/>
              </w:rPr>
              <w:t>供应商</w:t>
            </w:r>
            <w:r>
              <w:rPr>
                <w:rFonts w:hint="eastAsia" w:ascii="宋体" w:hAnsi="宋体" w:eastAsia="宋体" w:cs="宋体"/>
                <w:b/>
                <w:color w:val="auto"/>
                <w:kern w:val="0"/>
                <w:sz w:val="22"/>
                <w:szCs w:val="22"/>
              </w:rPr>
              <w:t>须知、</w:t>
            </w:r>
            <w:r>
              <w:rPr>
                <w:rFonts w:hint="eastAsia" w:ascii="宋体" w:hAnsi="宋体" w:eastAsia="宋体" w:cs="宋体"/>
                <w:b/>
                <w:color w:val="auto"/>
                <w:kern w:val="0"/>
                <w:sz w:val="22"/>
                <w:szCs w:val="22"/>
                <w:lang w:eastAsia="zh-CN"/>
              </w:rPr>
              <w:t>供应商</w:t>
            </w:r>
            <w:r>
              <w:rPr>
                <w:rFonts w:hint="eastAsia" w:ascii="宋体" w:hAnsi="宋体" w:eastAsia="宋体" w:cs="宋体"/>
                <w:b/>
                <w:color w:val="auto"/>
                <w:kern w:val="0"/>
                <w:sz w:val="22"/>
                <w:szCs w:val="22"/>
              </w:rPr>
              <w:t>须知资料表条款号）</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本项目要求</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9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中小企业投标要求（1.3.6）</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本项目</w:t>
            </w:r>
            <w:r>
              <w:rPr>
                <w:rFonts w:hint="eastAsia" w:ascii="宋体" w:hAnsi="宋体" w:eastAsia="宋体" w:cs="宋体"/>
                <w:i/>
                <w:iCs/>
                <w:color w:val="auto"/>
                <w:kern w:val="0"/>
                <w:szCs w:val="21"/>
                <w:u w:val="single"/>
              </w:rPr>
              <w:t>适用</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联合体投标规定</w:t>
            </w:r>
          </w:p>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（1.4）</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本项目</w:t>
            </w:r>
            <w:r>
              <w:rPr>
                <w:rFonts w:hint="eastAsia" w:ascii="宋体" w:hAnsi="宋体" w:eastAsia="宋体" w:cs="宋体"/>
                <w:i/>
                <w:iCs/>
                <w:color w:val="auto"/>
                <w:kern w:val="0"/>
                <w:szCs w:val="21"/>
                <w:u w:val="single"/>
              </w:rPr>
              <w:t>不接受</w:t>
            </w:r>
            <w:r>
              <w:rPr>
                <w:rFonts w:hint="eastAsia" w:ascii="宋体" w:hAnsi="宋体" w:eastAsia="宋体" w:cs="宋体"/>
                <w:color w:val="auto"/>
                <w:kern w:val="0"/>
                <w:szCs w:val="21"/>
              </w:rPr>
              <w:t>联合体投标</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供应商</w:t>
            </w:r>
            <w:r>
              <w:rPr>
                <w:rFonts w:hint="eastAsia" w:ascii="宋体" w:hAnsi="宋体" w:eastAsia="宋体" w:cs="宋体"/>
                <w:color w:val="auto"/>
                <w:kern w:val="0"/>
                <w:sz w:val="22"/>
                <w:szCs w:val="22"/>
              </w:rPr>
              <w:t>的关联性</w:t>
            </w:r>
          </w:p>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（1.5）</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在同一标包内，单位负责人为非同一人或者不存在直接控股、管理关系的不同供应商。</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未发现影响采购人决策行为（1.5）</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在投标过程中未向采购人提供、给予任何有价值的物品，影响其正常决策行为。</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满足投标范围的完整性要求（8.1）</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对所投分包招标文件中所列的所有内容进行投标。</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未包含价格调整要求（11.4）</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所报的各分项投标报价在合同履行过程中是固定不变的，不得以任何理由予以变更。</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投标保证金（12.1）</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符合招标文件要求</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投标有效期满足要求（13.1）</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自提交投标文件截止之日起</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60</w:t>
            </w:r>
            <w:r>
              <w:rPr>
                <w:rFonts w:hint="eastAsia" w:ascii="宋体" w:hAnsi="宋体" w:eastAsia="宋体" w:cs="宋体"/>
                <w:color w:val="auto"/>
                <w:szCs w:val="21"/>
                <w:u w:val="single"/>
              </w:rPr>
              <w:t xml:space="preserve"> 日</w:t>
            </w:r>
            <w:r>
              <w:rPr>
                <w:rFonts w:hint="eastAsia" w:ascii="宋体" w:hAnsi="宋体" w:eastAsia="宋体" w:cs="宋体"/>
                <w:color w:val="auto"/>
                <w:szCs w:val="21"/>
              </w:rPr>
              <w:t>历日内</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投标文件的装订方式（14.3）</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所有投标文件采用不可拆装的胶订方式装订</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投标文件的签署和盖章符合要求</w:t>
            </w:r>
          </w:p>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（14.2、14.4）</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按照招标文件规定要求签署、盖章。</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接受价格的算术修正（20.3）</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投标文件报价出现前后不一致的，应按照招标文件规定的顺序修正。修正后的报价经</w:t>
            </w:r>
            <w:r>
              <w:rPr>
                <w:rFonts w:hint="eastAsia" w:ascii="宋体" w:hAnsi="宋体" w:eastAsia="宋体" w:cs="宋体"/>
                <w:color w:val="auto"/>
                <w:szCs w:val="21"/>
                <w:lang w:eastAsia="zh-CN"/>
              </w:rPr>
              <w:t>供应商</w:t>
            </w:r>
            <w:r>
              <w:rPr>
                <w:rFonts w:hint="eastAsia" w:ascii="宋体" w:hAnsi="宋体" w:eastAsia="宋体" w:cs="宋体"/>
                <w:color w:val="auto"/>
                <w:szCs w:val="21"/>
              </w:rPr>
              <w:t>确认后产生约束力。</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符合强制采购节能产品要求（20.6）</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本项目</w:t>
            </w:r>
            <w:r>
              <w:rPr>
                <w:rFonts w:hint="eastAsia" w:ascii="宋体" w:hAnsi="宋体" w:eastAsia="宋体" w:cs="宋体"/>
                <w:i/>
                <w:iCs/>
                <w:color w:val="auto"/>
                <w:kern w:val="0"/>
                <w:szCs w:val="21"/>
                <w:u w:val="single"/>
              </w:rPr>
              <w:t>不适用</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未发现串通投标（22.2）</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未与其他</w:t>
            </w:r>
            <w:r>
              <w:rPr>
                <w:rFonts w:hint="eastAsia" w:ascii="宋体" w:hAnsi="宋体" w:eastAsia="宋体" w:cs="宋体"/>
                <w:color w:val="auto"/>
                <w:szCs w:val="21"/>
                <w:lang w:eastAsia="zh-CN"/>
              </w:rPr>
              <w:t>供应商</w:t>
            </w:r>
            <w:r>
              <w:rPr>
                <w:rFonts w:hint="eastAsia" w:ascii="宋体" w:hAnsi="宋体" w:eastAsia="宋体" w:cs="宋体"/>
                <w:color w:val="auto"/>
                <w:szCs w:val="21"/>
              </w:rPr>
              <w:t>串通投标，或者与招标人串通投标。</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报价说明可以接受（22.2）</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szCs w:val="21"/>
                <w:lang w:eastAsia="zh-CN"/>
              </w:rPr>
              <w:t>供应商</w:t>
            </w:r>
            <w:r>
              <w:rPr>
                <w:rFonts w:hint="eastAsia" w:ascii="宋体" w:hAnsi="宋体" w:eastAsia="宋体" w:cs="宋体"/>
                <w:color w:val="auto"/>
                <w:szCs w:val="21"/>
              </w:rPr>
              <w:t>的报价明显低于其他通过符合性检查</w:t>
            </w:r>
            <w:r>
              <w:rPr>
                <w:rFonts w:hint="eastAsia" w:ascii="宋体" w:hAnsi="宋体" w:eastAsia="宋体" w:cs="宋体"/>
                <w:color w:val="auto"/>
                <w:szCs w:val="21"/>
                <w:lang w:eastAsia="zh-CN"/>
              </w:rPr>
              <w:t>供应商</w:t>
            </w:r>
            <w:r>
              <w:rPr>
                <w:rFonts w:hint="eastAsia" w:ascii="宋体" w:hAnsi="宋体" w:eastAsia="宋体" w:cs="宋体"/>
                <w:color w:val="auto"/>
                <w:szCs w:val="21"/>
              </w:rPr>
              <w:t>的报价，有可能影响履约的，</w:t>
            </w:r>
            <w:r>
              <w:rPr>
                <w:rFonts w:hint="eastAsia" w:ascii="宋体" w:hAnsi="宋体" w:eastAsia="宋体" w:cs="宋体"/>
                <w:color w:val="auto"/>
                <w:szCs w:val="21"/>
                <w:lang w:eastAsia="zh-CN"/>
              </w:rPr>
              <w:t>供应商</w:t>
            </w:r>
            <w:r>
              <w:rPr>
                <w:rFonts w:hint="eastAsia" w:ascii="宋体" w:hAnsi="宋体" w:eastAsia="宋体" w:cs="宋体"/>
                <w:color w:val="auto"/>
                <w:szCs w:val="21"/>
              </w:rPr>
              <w:t>能按照规定证明其报价合理性。</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10" w:hRule="atLeast"/>
        </w:trPr>
        <w:tc>
          <w:tcPr>
            <w:tcW w:w="23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sz w:val="22"/>
                <w:szCs w:val="22"/>
              </w:rPr>
              <w:t>无采购人不能接受的附加条件（22.2）</w:t>
            </w:r>
          </w:p>
        </w:tc>
        <w:tc>
          <w:tcPr>
            <w:tcW w:w="46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Cs w:val="21"/>
              </w:rPr>
            </w:pPr>
            <w:r>
              <w:rPr>
                <w:rFonts w:hint="eastAsia" w:ascii="宋体" w:hAnsi="宋体" w:eastAsia="宋体" w:cs="宋体"/>
                <w:color w:val="auto"/>
                <w:szCs w:val="21"/>
              </w:rPr>
              <w:t>投标文件未含有采购人不能接受的附加条件。</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r>
      <w:tr>
        <w:tblPrEx>
          <w:tblCellMar>
            <w:top w:w="0" w:type="dxa"/>
            <w:left w:w="108" w:type="dxa"/>
            <w:bottom w:w="0" w:type="dxa"/>
            <w:right w:w="108" w:type="dxa"/>
          </w:tblCellMar>
        </w:tblPrEx>
        <w:trPr>
          <w:trHeight w:val="774" w:hRule="atLeast"/>
        </w:trPr>
        <w:tc>
          <w:tcPr>
            <w:tcW w:w="69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b/>
                <w:color w:val="auto"/>
                <w:szCs w:val="21"/>
              </w:rPr>
            </w:pPr>
            <w:r>
              <w:rPr>
                <w:rFonts w:hint="eastAsia" w:ascii="宋体" w:hAnsi="宋体" w:eastAsia="宋体" w:cs="宋体"/>
                <w:b/>
                <w:color w:val="auto"/>
                <w:kern w:val="0"/>
                <w:sz w:val="22"/>
                <w:szCs w:val="22"/>
              </w:rPr>
              <w:t>结论</w:t>
            </w: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722"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87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r>
    </w:tbl>
    <w:p>
      <w:pPr>
        <w:pStyle w:val="33"/>
        <w:rPr>
          <w:rFonts w:hint="eastAsia" w:ascii="宋体" w:hAnsi="宋体" w:eastAsia="宋体" w:cs="宋体"/>
          <w:color w:val="auto"/>
        </w:rPr>
      </w:pPr>
    </w:p>
    <w:tbl>
      <w:tblPr>
        <w:tblStyle w:val="34"/>
        <w:tblW w:w="9105" w:type="dxa"/>
        <w:tblInd w:w="-297" w:type="dxa"/>
        <w:tblLayout w:type="fixed"/>
        <w:tblCellMar>
          <w:top w:w="0" w:type="dxa"/>
          <w:left w:w="108" w:type="dxa"/>
          <w:bottom w:w="0" w:type="dxa"/>
          <w:right w:w="108" w:type="dxa"/>
        </w:tblCellMar>
      </w:tblPr>
      <w:tblGrid>
        <w:gridCol w:w="3225"/>
        <w:gridCol w:w="920"/>
        <w:gridCol w:w="1505"/>
        <w:gridCol w:w="1843"/>
        <w:gridCol w:w="1612"/>
      </w:tblGrid>
      <w:tr>
        <w:tblPrEx>
          <w:tblCellMar>
            <w:top w:w="0" w:type="dxa"/>
            <w:left w:w="108" w:type="dxa"/>
            <w:bottom w:w="0" w:type="dxa"/>
            <w:right w:w="108" w:type="dxa"/>
          </w:tblCellMar>
        </w:tblPrEx>
        <w:trPr>
          <w:trHeight w:val="585" w:hRule="atLeast"/>
        </w:trPr>
        <w:tc>
          <w:tcPr>
            <w:tcW w:w="9105" w:type="dxa"/>
            <w:gridSpan w:val="5"/>
            <w:tcBorders>
              <w:top w:val="nil"/>
              <w:left w:val="nil"/>
              <w:bottom w:val="single" w:color="auto" w:sz="4" w:space="0"/>
              <w:right w:val="nil"/>
            </w:tcBorders>
            <w:noWrap w:val="0"/>
            <w:vAlign w:val="center"/>
          </w:tcPr>
          <w:p>
            <w:pPr>
              <w:widowControl/>
              <w:spacing w:line="360" w:lineRule="exact"/>
              <w:ind w:firstLine="3213" w:firstLineChars="1000"/>
              <w:jc w:val="both"/>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t>技术符合性审查表</w:t>
            </w:r>
          </w:p>
        </w:tc>
      </w:tr>
      <w:tr>
        <w:tblPrEx>
          <w:tblCellMar>
            <w:top w:w="0" w:type="dxa"/>
            <w:left w:w="108" w:type="dxa"/>
            <w:bottom w:w="0" w:type="dxa"/>
            <w:right w:w="108" w:type="dxa"/>
          </w:tblCellMar>
        </w:tblPrEx>
        <w:trPr>
          <w:trHeight w:val="390" w:hRule="atLeast"/>
        </w:trPr>
        <w:tc>
          <w:tcPr>
            <w:tcW w:w="4145"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审查事项</w:t>
            </w:r>
          </w:p>
        </w:tc>
        <w:tc>
          <w:tcPr>
            <w:tcW w:w="150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供应商</w:t>
            </w:r>
            <w:r>
              <w:rPr>
                <w:rFonts w:hint="eastAsia" w:ascii="宋体" w:hAnsi="宋体" w:eastAsia="宋体" w:cs="宋体"/>
                <w:color w:val="auto"/>
                <w:kern w:val="0"/>
                <w:sz w:val="22"/>
                <w:szCs w:val="22"/>
              </w:rPr>
              <w:t>名称</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供应商</w:t>
            </w:r>
            <w:r>
              <w:rPr>
                <w:rFonts w:hint="eastAsia" w:ascii="宋体" w:hAnsi="宋体" w:eastAsia="宋体" w:cs="宋体"/>
                <w:color w:val="auto"/>
                <w:kern w:val="0"/>
                <w:sz w:val="22"/>
                <w:szCs w:val="22"/>
              </w:rPr>
              <w:t>名称</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供应商</w:t>
            </w:r>
            <w:r>
              <w:rPr>
                <w:rFonts w:hint="eastAsia" w:ascii="宋体" w:hAnsi="宋体" w:eastAsia="宋体" w:cs="宋体"/>
                <w:color w:val="auto"/>
                <w:kern w:val="0"/>
                <w:sz w:val="22"/>
                <w:szCs w:val="22"/>
              </w:rPr>
              <w:t>名称</w:t>
            </w:r>
          </w:p>
        </w:tc>
      </w:tr>
      <w:tr>
        <w:tblPrEx>
          <w:tblCellMar>
            <w:top w:w="0" w:type="dxa"/>
            <w:left w:w="108" w:type="dxa"/>
            <w:bottom w:w="0" w:type="dxa"/>
            <w:right w:w="108" w:type="dxa"/>
          </w:tblCellMar>
        </w:tblPrEx>
        <w:trPr>
          <w:trHeight w:val="570" w:hRule="atLeast"/>
        </w:trPr>
        <w:tc>
          <w:tcPr>
            <w:tcW w:w="4145"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spacing w:line="360" w:lineRule="exact"/>
              <w:jc w:val="left"/>
              <w:rPr>
                <w:rFonts w:hint="eastAsia" w:ascii="宋体" w:hAnsi="宋体" w:eastAsia="宋体" w:cs="宋体"/>
                <w:color w:val="auto"/>
                <w:kern w:val="0"/>
                <w:sz w:val="22"/>
                <w:szCs w:val="22"/>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招标文件要求</w:t>
            </w: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条款号</w:t>
            </w: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服务</w:t>
            </w:r>
            <w:r>
              <w:rPr>
                <w:rFonts w:hint="eastAsia" w:ascii="宋体" w:hAnsi="宋体" w:eastAsia="宋体" w:cs="宋体"/>
                <w:color w:val="auto"/>
                <w:kern w:val="0"/>
                <w:sz w:val="22"/>
                <w:szCs w:val="22"/>
              </w:rPr>
              <w:t>需求一览表</w:t>
            </w: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第5章</w:t>
            </w: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w:t>
            </w: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nil"/>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920" w:type="dxa"/>
            <w:tcBorders>
              <w:top w:val="nil"/>
              <w:left w:val="nil"/>
              <w:bottom w:val="nil"/>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nil"/>
              <w:left w:val="nil"/>
              <w:bottom w:val="nil"/>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nil"/>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nil"/>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92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3225"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9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570" w:hRule="atLeast"/>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结论</w:t>
            </w:r>
          </w:p>
        </w:tc>
        <w:tc>
          <w:tcPr>
            <w:tcW w:w="1505"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c>
          <w:tcPr>
            <w:tcW w:w="161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p>
        </w:tc>
      </w:tr>
      <w:tr>
        <w:tblPrEx>
          <w:tblCellMar>
            <w:top w:w="0" w:type="dxa"/>
            <w:left w:w="108" w:type="dxa"/>
            <w:bottom w:w="0" w:type="dxa"/>
            <w:right w:w="108" w:type="dxa"/>
          </w:tblCellMar>
        </w:tblPrEx>
        <w:trPr>
          <w:trHeight w:val="465" w:hRule="atLeast"/>
        </w:trPr>
        <w:tc>
          <w:tcPr>
            <w:tcW w:w="3225" w:type="dxa"/>
            <w:tcBorders>
              <w:top w:val="nil"/>
              <w:left w:val="nil"/>
              <w:bottom w:val="nil"/>
              <w:right w:val="nil"/>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920" w:type="dxa"/>
            <w:tcBorders>
              <w:top w:val="nil"/>
              <w:left w:val="nil"/>
              <w:bottom w:val="nil"/>
              <w:right w:val="nil"/>
            </w:tcBorders>
            <w:noWrap w:val="0"/>
            <w:vAlign w:val="center"/>
          </w:tcPr>
          <w:p>
            <w:pPr>
              <w:widowControl/>
              <w:spacing w:line="360" w:lineRule="exact"/>
              <w:jc w:val="center"/>
              <w:rPr>
                <w:rFonts w:hint="eastAsia" w:ascii="宋体" w:hAnsi="宋体" w:eastAsia="宋体" w:cs="宋体"/>
                <w:color w:val="auto"/>
                <w:kern w:val="0"/>
                <w:sz w:val="22"/>
                <w:szCs w:val="22"/>
              </w:rPr>
            </w:pPr>
          </w:p>
        </w:tc>
        <w:tc>
          <w:tcPr>
            <w:tcW w:w="1505" w:type="dxa"/>
            <w:tcBorders>
              <w:top w:val="nil"/>
              <w:left w:val="nil"/>
              <w:bottom w:val="nil"/>
              <w:right w:val="nil"/>
            </w:tcBorders>
            <w:noWrap w:val="0"/>
            <w:vAlign w:val="center"/>
          </w:tcPr>
          <w:p>
            <w:pPr>
              <w:widowControl/>
              <w:spacing w:line="360" w:lineRule="exact"/>
              <w:jc w:val="center"/>
              <w:rPr>
                <w:rFonts w:hint="eastAsia" w:ascii="宋体" w:hAnsi="宋体" w:eastAsia="宋体" w:cs="宋体"/>
                <w:color w:val="auto"/>
                <w:kern w:val="0"/>
                <w:sz w:val="20"/>
                <w:szCs w:val="20"/>
              </w:rPr>
            </w:pPr>
          </w:p>
        </w:tc>
        <w:tc>
          <w:tcPr>
            <w:tcW w:w="1843" w:type="dxa"/>
            <w:tcBorders>
              <w:top w:val="nil"/>
              <w:left w:val="nil"/>
              <w:bottom w:val="nil"/>
              <w:right w:val="nil"/>
            </w:tcBorders>
            <w:noWrap w:val="0"/>
            <w:vAlign w:val="center"/>
          </w:tcPr>
          <w:p>
            <w:pPr>
              <w:widowControl/>
              <w:spacing w:line="360" w:lineRule="exact"/>
              <w:jc w:val="left"/>
              <w:rPr>
                <w:rFonts w:hint="eastAsia" w:ascii="宋体" w:hAnsi="宋体" w:eastAsia="宋体" w:cs="宋体"/>
                <w:color w:val="auto"/>
                <w:kern w:val="0"/>
                <w:sz w:val="20"/>
                <w:szCs w:val="20"/>
              </w:rPr>
            </w:pPr>
          </w:p>
        </w:tc>
        <w:tc>
          <w:tcPr>
            <w:tcW w:w="1612" w:type="dxa"/>
            <w:tcBorders>
              <w:top w:val="nil"/>
              <w:left w:val="nil"/>
              <w:bottom w:val="nil"/>
              <w:right w:val="nil"/>
            </w:tcBorders>
            <w:noWrap w:val="0"/>
            <w:vAlign w:val="center"/>
          </w:tcPr>
          <w:p>
            <w:pPr>
              <w:widowControl/>
              <w:spacing w:line="360" w:lineRule="exact"/>
              <w:jc w:val="left"/>
              <w:rPr>
                <w:rFonts w:hint="eastAsia" w:ascii="宋体" w:hAnsi="宋体" w:eastAsia="宋体" w:cs="宋体"/>
                <w:color w:val="auto"/>
                <w:kern w:val="0"/>
                <w:sz w:val="22"/>
                <w:szCs w:val="22"/>
              </w:rPr>
            </w:pPr>
          </w:p>
        </w:tc>
      </w:tr>
    </w:tbl>
    <w:p>
      <w:pPr>
        <w:pStyle w:val="99"/>
        <w:spacing w:after="0" w:afterLines="0" w:line="440" w:lineRule="exact"/>
        <w:rPr>
          <w:rFonts w:hint="eastAsia" w:ascii="宋体" w:hAnsi="宋体" w:eastAsia="宋体" w:cs="宋体"/>
          <w:bCs/>
          <w:color w:val="auto"/>
          <w:sz w:val="28"/>
          <w:szCs w:val="28"/>
        </w:rPr>
      </w:pPr>
    </w:p>
    <w:p>
      <w:pPr>
        <w:pStyle w:val="99"/>
        <w:spacing w:after="0" w:afterLines="0" w:line="440" w:lineRule="exact"/>
        <w:outlineLvl w:val="9"/>
        <w:rPr>
          <w:rFonts w:hint="eastAsia" w:ascii="宋体" w:hAnsi="宋体" w:eastAsia="宋体" w:cs="宋体"/>
          <w:bCs/>
          <w:color w:val="auto"/>
          <w:sz w:val="28"/>
          <w:szCs w:val="28"/>
        </w:rPr>
      </w:pPr>
    </w:p>
    <w:p>
      <w:pPr>
        <w:pStyle w:val="99"/>
        <w:spacing w:after="0" w:afterLines="0" w:line="440" w:lineRule="exact"/>
        <w:outlineLvl w:val="9"/>
        <w:rPr>
          <w:rFonts w:hint="eastAsia" w:ascii="宋体" w:hAnsi="宋体" w:eastAsia="宋体" w:cs="宋体"/>
          <w:bCs/>
          <w:color w:val="auto"/>
          <w:sz w:val="28"/>
          <w:szCs w:val="28"/>
        </w:rPr>
      </w:pPr>
    </w:p>
    <w:p>
      <w:pPr>
        <w:pStyle w:val="99"/>
        <w:spacing w:after="0" w:afterLines="0" w:line="440" w:lineRule="exact"/>
        <w:outlineLvl w:val="9"/>
        <w:rPr>
          <w:rFonts w:hint="eastAsia" w:ascii="宋体" w:hAnsi="宋体" w:eastAsia="宋体" w:cs="宋体"/>
          <w:bCs/>
          <w:color w:val="auto"/>
          <w:sz w:val="28"/>
          <w:szCs w:val="28"/>
        </w:rPr>
      </w:pPr>
    </w:p>
    <w:p>
      <w:pPr>
        <w:pStyle w:val="99"/>
        <w:spacing w:after="0" w:afterLines="0" w:line="440" w:lineRule="exact"/>
        <w:jc w:val="center"/>
        <w:outlineLvl w:val="1"/>
        <w:rPr>
          <w:rFonts w:hint="eastAsia" w:ascii="宋体" w:hAnsi="宋体" w:eastAsia="宋体" w:cs="宋体"/>
          <w:b/>
          <w:bCs/>
          <w:color w:val="auto"/>
          <w:sz w:val="24"/>
        </w:rPr>
      </w:pPr>
      <w:bookmarkStart w:id="556" w:name="_Toc3075"/>
      <w:bookmarkStart w:id="557" w:name="_Toc16164"/>
      <w:bookmarkStart w:id="558" w:name="_Toc12883"/>
      <w:bookmarkStart w:id="559" w:name="_Toc234"/>
      <w:r>
        <w:rPr>
          <w:rFonts w:hint="eastAsia" w:cs="宋体"/>
          <w:bCs/>
          <w:color w:val="auto"/>
          <w:sz w:val="28"/>
          <w:szCs w:val="28"/>
          <w:lang w:val="en-US" w:eastAsia="zh-CN"/>
        </w:rPr>
        <w:t>第一包、第三包</w:t>
      </w:r>
      <w:r>
        <w:rPr>
          <w:rFonts w:hint="eastAsia" w:ascii="宋体" w:hAnsi="宋体" w:eastAsia="宋体" w:cs="宋体"/>
          <w:bCs/>
          <w:color w:val="auto"/>
          <w:sz w:val="28"/>
          <w:szCs w:val="28"/>
          <w:lang w:val="en-US" w:eastAsia="zh-CN"/>
        </w:rPr>
        <w:t>综合评分</w:t>
      </w:r>
      <w:r>
        <w:rPr>
          <w:rFonts w:hint="eastAsia" w:ascii="宋体" w:hAnsi="宋体" w:eastAsia="宋体" w:cs="宋体"/>
          <w:bCs/>
          <w:color w:val="auto"/>
          <w:sz w:val="28"/>
          <w:szCs w:val="28"/>
        </w:rPr>
        <w:t>表</w:t>
      </w:r>
      <w:bookmarkEnd w:id="556"/>
      <w:bookmarkEnd w:id="557"/>
      <w:bookmarkEnd w:id="558"/>
      <w:bookmarkEnd w:id="559"/>
    </w:p>
    <w:tbl>
      <w:tblPr>
        <w:tblStyle w:val="34"/>
        <w:tblpPr w:leftFromText="180" w:rightFromText="180" w:vertAnchor="text" w:horzAnchor="page" w:tblpX="1004" w:tblpY="31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3"/>
        <w:gridCol w:w="661"/>
        <w:gridCol w:w="6015"/>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bookmarkStart w:id="560" w:name="_Toc507399904"/>
            <w:r>
              <w:rPr>
                <w:rFonts w:hint="eastAsia" w:ascii="宋体" w:hAnsi="宋体" w:eastAsia="宋体" w:cs="宋体"/>
                <w:b/>
                <w:color w:val="auto"/>
                <w:sz w:val="18"/>
                <w:szCs w:val="18"/>
              </w:rPr>
              <w:t>序号</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评分因素</w:t>
            </w:r>
          </w:p>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及权重</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分值</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评分标准</w:t>
            </w:r>
          </w:p>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color w:val="auto"/>
                <w:sz w:val="18"/>
                <w:szCs w:val="18"/>
                <w:highlight w:val="none"/>
              </w:rPr>
              <w:t>价   格：</w:t>
            </w:r>
            <w:r>
              <w:rPr>
                <w:rFonts w:hint="eastAsia" w:ascii="宋体" w:hAnsi="宋体" w:cs="宋体"/>
                <w:color w:val="auto"/>
                <w:sz w:val="18"/>
                <w:szCs w:val="18"/>
                <w:highlight w:val="none"/>
                <w:lang w:val="en-US" w:eastAsia="zh-CN"/>
              </w:rPr>
              <w:t>15</w:t>
            </w:r>
            <w:r>
              <w:rPr>
                <w:rFonts w:hint="eastAsia" w:ascii="宋体" w:hAnsi="宋体" w:eastAsia="宋体" w:cs="宋体"/>
                <w:color w:val="auto"/>
                <w:sz w:val="18"/>
                <w:szCs w:val="18"/>
                <w:highlight w:val="none"/>
              </w:rPr>
              <w:t>分  商   务：</w:t>
            </w:r>
            <w:r>
              <w:rPr>
                <w:rFonts w:hint="eastAsia" w:ascii="宋体" w:hAnsi="宋体" w:cs="宋体"/>
                <w:color w:val="auto"/>
                <w:sz w:val="18"/>
                <w:szCs w:val="18"/>
                <w:highlight w:val="none"/>
                <w:lang w:val="en-US" w:eastAsia="zh-CN"/>
              </w:rPr>
              <w:t>14</w:t>
            </w:r>
            <w:r>
              <w:rPr>
                <w:rFonts w:hint="eastAsia" w:ascii="宋体" w:hAnsi="宋体" w:eastAsia="宋体" w:cs="宋体"/>
                <w:color w:val="auto"/>
                <w:sz w:val="18"/>
                <w:szCs w:val="18"/>
                <w:highlight w:val="none"/>
              </w:rPr>
              <w:t>分   技   术：</w:t>
            </w:r>
            <w:r>
              <w:rPr>
                <w:rFonts w:hint="eastAsia" w:ascii="宋体" w:hAnsi="宋体" w:cs="宋体"/>
                <w:color w:val="auto"/>
                <w:sz w:val="18"/>
                <w:szCs w:val="18"/>
                <w:highlight w:val="none"/>
                <w:lang w:val="en-US" w:eastAsia="zh-CN"/>
              </w:rPr>
              <w:t>71</w:t>
            </w:r>
            <w:r>
              <w:rPr>
                <w:rFonts w:hint="eastAsia" w:ascii="宋体" w:hAnsi="宋体" w:eastAsia="宋体" w:cs="宋体"/>
                <w:color w:val="auto"/>
                <w:sz w:val="18"/>
                <w:szCs w:val="18"/>
                <w:highlight w:val="none"/>
              </w:rPr>
              <w:t xml:space="preserve">分 </w:t>
            </w:r>
            <w:r>
              <w:rPr>
                <w:rFonts w:hint="eastAsia" w:ascii="宋体" w:hAnsi="宋体" w:eastAsia="宋体" w:cs="宋体"/>
                <w:color w:val="auto"/>
                <w:sz w:val="18"/>
                <w:szCs w:val="18"/>
              </w:rPr>
              <w:t xml:space="preserve">             </w:t>
            </w:r>
          </w:p>
        </w:tc>
        <w:tc>
          <w:tcPr>
            <w:tcW w:w="1343" w:type="dxa"/>
            <w:noWrap w:val="0"/>
            <w:vAlign w:val="center"/>
          </w:tcPr>
          <w:p>
            <w:pPr>
              <w:pStyle w:val="98"/>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价格评分标准</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投标报价</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完全满足</w:t>
            </w:r>
            <w:r>
              <w:rPr>
                <w:rFonts w:hint="eastAsia" w:ascii="宋体" w:hAnsi="宋体" w:eastAsia="宋体" w:cs="宋体"/>
                <w:color w:val="auto"/>
                <w:sz w:val="18"/>
                <w:szCs w:val="18"/>
                <w:lang w:eastAsia="zh-CN"/>
              </w:rPr>
              <w:t>招标文件</w:t>
            </w:r>
            <w:r>
              <w:rPr>
                <w:rFonts w:hint="eastAsia" w:ascii="宋体" w:hAnsi="宋体" w:eastAsia="宋体" w:cs="宋体"/>
                <w:color w:val="auto"/>
                <w:sz w:val="18"/>
                <w:szCs w:val="18"/>
                <w:lang w:val="en-US" w:eastAsia="zh-CN"/>
              </w:rPr>
              <w:t>要求</w:t>
            </w:r>
            <w:r>
              <w:rPr>
                <w:rFonts w:hint="eastAsia" w:ascii="宋体" w:hAnsi="宋体" w:eastAsia="宋体" w:cs="宋体"/>
                <w:color w:val="auto"/>
                <w:sz w:val="18"/>
                <w:szCs w:val="18"/>
              </w:rPr>
              <w:t>的投标报价中的最低价为评标基准价，按照下列公式计算每个</w:t>
            </w:r>
            <w:r>
              <w:rPr>
                <w:rFonts w:hint="eastAsia" w:ascii="宋体" w:hAnsi="宋体" w:eastAsia="宋体" w:cs="宋体"/>
                <w:color w:val="auto"/>
                <w:sz w:val="18"/>
                <w:szCs w:val="18"/>
                <w:lang w:eastAsia="zh-CN"/>
              </w:rPr>
              <w:t>供应商</w:t>
            </w:r>
            <w:r>
              <w:rPr>
                <w:rFonts w:hint="eastAsia" w:ascii="宋体" w:hAnsi="宋体" w:eastAsia="宋体" w:cs="宋体"/>
                <w:color w:val="auto"/>
                <w:sz w:val="18"/>
                <w:szCs w:val="18"/>
              </w:rPr>
              <w:t>的投标价格得分。投标报价得分＝（基准价/投标报价）×价格权重×100。</w:t>
            </w:r>
          </w:p>
        </w:tc>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商务评分标准</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rPr>
              <w:t>企业综合实力</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提供近三年内类似项目业绩证明材料（中标</w:t>
            </w:r>
            <w:r>
              <w:rPr>
                <w:rFonts w:hint="eastAsia" w:ascii="宋体" w:hAnsi="宋体" w:eastAsia="宋体" w:cs="宋体"/>
                <w:color w:val="auto"/>
                <w:sz w:val="18"/>
                <w:szCs w:val="18"/>
                <w:lang w:val="en-US" w:eastAsia="zh-CN"/>
              </w:rPr>
              <w:t>/成交</w:t>
            </w:r>
            <w:r>
              <w:rPr>
                <w:rFonts w:hint="eastAsia" w:ascii="宋体" w:hAnsi="宋体" w:eastAsia="宋体" w:cs="宋体"/>
                <w:color w:val="auto"/>
                <w:sz w:val="18"/>
                <w:szCs w:val="18"/>
              </w:rPr>
              <w:t>通知书或合同），每提供一个得2分，共</w:t>
            </w: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分，不提供不得分。</w:t>
            </w:r>
          </w:p>
        </w:tc>
        <w:tc>
          <w:tcPr>
            <w:tcW w:w="134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8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技术评分标准</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项目总体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规划</w:t>
            </w:r>
            <w:r>
              <w:rPr>
                <w:rFonts w:hint="eastAsia" w:ascii="宋体" w:hAnsi="宋体" w:eastAsia="宋体" w:cs="宋体"/>
                <w:color w:val="auto"/>
                <w:sz w:val="18"/>
                <w:szCs w:val="18"/>
                <w:lang w:eastAsia="zh-CN"/>
              </w:rPr>
              <w:t>与课程安排</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13</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综合考虑供应商对本项目工作的总体认识、理解和课程的整体规划。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内容全面、具体、清晰、课程安排合理得：</w:t>
            </w:r>
            <w:r>
              <w:rPr>
                <w:rFonts w:hint="eastAsia" w:ascii="宋体" w:hAnsi="宋体" w:eastAsia="宋体" w:cs="宋体"/>
                <w:color w:val="auto"/>
                <w:sz w:val="18"/>
                <w:szCs w:val="18"/>
                <w:lang w:val="en-US" w:eastAsia="zh-CN"/>
              </w:rPr>
              <w:t>13</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内容较为全面、较为具体、较为清晰、课程安排较为合理得：</w:t>
            </w:r>
            <w:r>
              <w:rPr>
                <w:rFonts w:hint="eastAsia" w:ascii="宋体" w:hAnsi="宋体" w:eastAsia="宋体" w:cs="宋体"/>
                <w:color w:val="auto"/>
                <w:sz w:val="18"/>
                <w:szCs w:val="18"/>
                <w:lang w:val="en-US" w:eastAsia="zh-CN"/>
              </w:rPr>
              <w:t>9</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内容不够全面、不够具体、不够清晰、课程安排不够合理得：</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不提供不得分。</w:t>
            </w:r>
          </w:p>
        </w:tc>
        <w:tc>
          <w:tcPr>
            <w:tcW w:w="13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拟投入本项目的执行团队情况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项目负责人：项目负责人应具有丰富的实践经验和组织管理能力；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项目组组成人员：项目组的人员构成合理，项目经验丰富，有利于项目的执行，是一支具有专业性、科学性、可靠性的执行团队。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项目团队配置合理、科学性强、专业性强、团队经验丰富得15分；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项目团队配置较为合理、科学性较强、专业性较强、团队欠缺得 10分；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项目团队配置不合理、专业性不足、团队无相关经验得5分；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不提供不得分。</w:t>
            </w:r>
          </w:p>
        </w:tc>
        <w:tc>
          <w:tcPr>
            <w:tcW w:w="13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食宿餐饮方案</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14</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餐饮食宿安排计划周密、考虑全面、饮食及住宿安全保障措施完善得14分；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餐饮食宿安排计划较周密、考虑较全面、饮食及住宿安全保证措施较完善得10分；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餐饮食宿安排计划基本周密、考虑基本全面、饮食及住宿安全保证措施基本完善得8分。不提供不得分。</w:t>
            </w:r>
          </w:p>
        </w:tc>
        <w:tc>
          <w:tcPr>
            <w:tcW w:w="13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交通、车辆安排方案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方案内容考虑全面、交通出行线路安排妥当、安全保障措施完善、交通车辆质量保证措施完善、急救车安排计划完善得</w:t>
            </w:r>
            <w:r>
              <w:rPr>
                <w:rFonts w:hint="eastAsia" w:ascii="宋体" w:hAnsi="宋体" w:eastAsia="宋体" w:cs="宋体"/>
                <w:color w:val="auto"/>
                <w:sz w:val="18"/>
                <w:szCs w:val="18"/>
                <w:lang w:val="en-US" w:eastAsia="zh-CN"/>
              </w:rPr>
              <w:t>16</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方案内容考虑较全面、交通出行线路安排妥当、安全保障措施较完善、交通车辆质量保证措施较完善、急救车安排计划较完善得</w:t>
            </w:r>
            <w:r>
              <w:rPr>
                <w:rFonts w:hint="eastAsia" w:ascii="宋体" w:hAnsi="宋体" w:eastAsia="宋体" w:cs="宋体"/>
                <w:color w:val="auto"/>
                <w:sz w:val="18"/>
                <w:szCs w:val="18"/>
                <w:lang w:val="en-US" w:eastAsia="zh-CN"/>
              </w:rPr>
              <w:t>12</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方案内容考虑不够全面、交通出行线路安排不够妥当、安全保障措施不够完善、交通车辆质量保证措施不够完善、急救车安排计划不够完善得</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不提供不得分。</w:t>
            </w:r>
          </w:p>
        </w:tc>
        <w:tc>
          <w:tcPr>
            <w:tcW w:w="13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应急预案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对突发性事件预估合理性，全面度；应急处理措施的全面性、有效性、可操作性等进行评审。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对于突发事件预估合理、全面；应急预案全面有效、可行、可操作性强，得</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对于突发事件预估不够全面；预案可操作性一般，得</w:t>
            </w: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应急预案较差，可操作性较差，得 </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 xml:space="preserve">分；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不提供不得分。</w:t>
            </w:r>
          </w:p>
        </w:tc>
        <w:tc>
          <w:tcPr>
            <w:tcW w:w="13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0"/>
                <w:sz w:val="18"/>
                <w:szCs w:val="18"/>
              </w:rPr>
              <w:t>标书制作</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601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投标文件目录清晰、页码连续、目录与页码对应准确，评审内容便于查找，正副本内容一样清晰可辨得3分，否则不得分。</w:t>
            </w:r>
          </w:p>
        </w:tc>
        <w:tc>
          <w:tcPr>
            <w:tcW w:w="13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bl>
    <w:p>
      <w:pPr>
        <w:rPr>
          <w:rFonts w:hint="eastAsia" w:ascii="宋体" w:hAnsi="宋体" w:eastAsia="宋体" w:cs="宋体"/>
          <w:color w:val="auto"/>
        </w:rPr>
      </w:pPr>
    </w:p>
    <w:p>
      <w:pPr>
        <w:spacing w:line="360" w:lineRule="exact"/>
        <w:ind w:left="1080" w:leftChars="257" w:hanging="540"/>
        <w:jc w:val="center"/>
        <w:rPr>
          <w:rFonts w:hint="eastAsia" w:ascii="宋体" w:hAnsi="宋体" w:eastAsia="宋体" w:cs="宋体"/>
          <w:color w:val="auto"/>
        </w:rPr>
      </w:pPr>
    </w:p>
    <w:p>
      <w:pPr>
        <w:pStyle w:val="99"/>
        <w:spacing w:after="0" w:afterLines="0" w:line="440" w:lineRule="exact"/>
        <w:rPr>
          <w:rFonts w:hint="eastAsia" w:ascii="宋体" w:hAnsi="宋体" w:eastAsia="宋体" w:cs="宋体"/>
          <w:bCs/>
          <w:color w:val="auto"/>
          <w:sz w:val="28"/>
          <w:szCs w:val="28"/>
        </w:rPr>
      </w:pPr>
    </w:p>
    <w:p>
      <w:pPr>
        <w:pStyle w:val="99"/>
        <w:spacing w:after="0" w:afterLines="0" w:line="440" w:lineRule="exact"/>
        <w:jc w:val="center"/>
        <w:outlineLvl w:val="1"/>
        <w:rPr>
          <w:rFonts w:hint="eastAsia" w:ascii="宋体" w:hAnsi="宋体" w:eastAsia="宋体" w:cs="宋体"/>
          <w:b/>
          <w:bCs/>
          <w:color w:val="auto"/>
          <w:sz w:val="24"/>
        </w:rPr>
      </w:pPr>
      <w:bookmarkStart w:id="561" w:name="_Toc25751"/>
      <w:r>
        <w:rPr>
          <w:rFonts w:hint="eastAsia" w:cs="宋体"/>
          <w:bCs/>
          <w:color w:val="auto"/>
          <w:sz w:val="28"/>
          <w:szCs w:val="28"/>
          <w:lang w:val="en-US" w:eastAsia="zh-CN"/>
        </w:rPr>
        <w:t>第二包</w:t>
      </w:r>
      <w:r>
        <w:rPr>
          <w:rFonts w:hint="eastAsia" w:ascii="宋体" w:hAnsi="宋体" w:eastAsia="宋体" w:cs="宋体"/>
          <w:bCs/>
          <w:color w:val="auto"/>
          <w:sz w:val="28"/>
          <w:szCs w:val="28"/>
          <w:lang w:val="en-US" w:eastAsia="zh-CN"/>
        </w:rPr>
        <w:t>综合评分</w:t>
      </w:r>
      <w:r>
        <w:rPr>
          <w:rFonts w:hint="eastAsia" w:ascii="宋体" w:hAnsi="宋体" w:eastAsia="宋体" w:cs="宋体"/>
          <w:bCs/>
          <w:color w:val="auto"/>
          <w:sz w:val="28"/>
          <w:szCs w:val="28"/>
        </w:rPr>
        <w:t>表</w:t>
      </w:r>
      <w:bookmarkEnd w:id="561"/>
    </w:p>
    <w:tbl>
      <w:tblPr>
        <w:tblStyle w:val="34"/>
        <w:tblpPr w:leftFromText="180" w:rightFromText="180" w:vertAnchor="text" w:horzAnchor="page" w:tblpX="1004" w:tblpY="31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33"/>
        <w:gridCol w:w="661"/>
        <w:gridCol w:w="612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序号</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评分因素</w:t>
            </w:r>
          </w:p>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及权重</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分值</w:t>
            </w:r>
          </w:p>
        </w:tc>
        <w:tc>
          <w:tcPr>
            <w:tcW w:w="6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b/>
                <w:color w:val="auto"/>
                <w:sz w:val="18"/>
                <w:szCs w:val="18"/>
              </w:rPr>
              <w:t>评分标准</w:t>
            </w:r>
          </w:p>
          <w:p>
            <w:pPr>
              <w:keepNext w:val="0"/>
              <w:keepLines w:val="0"/>
              <w:pageBreakBefore w:val="0"/>
              <w:widowControl w:val="0"/>
              <w:kinsoku/>
              <w:wordWrap/>
              <w:overflowPunct/>
              <w:topLinePunct w:val="0"/>
              <w:autoSpaceDE/>
              <w:autoSpaceDN/>
              <w:bidi w:val="0"/>
              <w:adjustRightInd/>
              <w:snapToGrid/>
              <w:spacing w:line="240" w:lineRule="exact"/>
              <w:ind w:firstLine="28"/>
              <w:jc w:val="center"/>
              <w:textAlignment w:val="auto"/>
              <w:rPr>
                <w:rFonts w:hint="eastAsia" w:ascii="宋体" w:hAnsi="宋体" w:eastAsia="宋体" w:cs="宋体"/>
                <w:b/>
                <w:color w:val="auto"/>
                <w:sz w:val="18"/>
                <w:szCs w:val="18"/>
              </w:rPr>
            </w:pPr>
            <w:r>
              <w:rPr>
                <w:rFonts w:hint="eastAsia" w:ascii="宋体" w:hAnsi="宋体" w:eastAsia="宋体" w:cs="宋体"/>
                <w:color w:val="auto"/>
                <w:sz w:val="18"/>
                <w:szCs w:val="18"/>
                <w:highlight w:val="none"/>
              </w:rPr>
              <w:t>价   格：</w:t>
            </w:r>
            <w:r>
              <w:rPr>
                <w:rFonts w:hint="eastAsia" w:ascii="宋体" w:hAnsi="宋体" w:cs="宋体"/>
                <w:color w:val="auto"/>
                <w:sz w:val="18"/>
                <w:szCs w:val="18"/>
                <w:highlight w:val="none"/>
                <w:lang w:val="en-US" w:eastAsia="zh-CN"/>
              </w:rPr>
              <w:t>15</w:t>
            </w:r>
            <w:r>
              <w:rPr>
                <w:rFonts w:hint="eastAsia" w:ascii="宋体" w:hAnsi="宋体" w:eastAsia="宋体" w:cs="宋体"/>
                <w:color w:val="auto"/>
                <w:sz w:val="18"/>
                <w:szCs w:val="18"/>
                <w:highlight w:val="none"/>
              </w:rPr>
              <w:t>分  商   务：</w:t>
            </w:r>
            <w:r>
              <w:rPr>
                <w:rFonts w:hint="eastAsia" w:ascii="宋体" w:hAnsi="宋体" w:cs="宋体"/>
                <w:color w:val="auto"/>
                <w:sz w:val="18"/>
                <w:szCs w:val="18"/>
                <w:highlight w:val="none"/>
                <w:lang w:val="en-US" w:eastAsia="zh-CN"/>
              </w:rPr>
              <w:t>14</w:t>
            </w:r>
            <w:r>
              <w:rPr>
                <w:rFonts w:hint="eastAsia" w:ascii="宋体" w:hAnsi="宋体" w:eastAsia="宋体" w:cs="宋体"/>
                <w:color w:val="auto"/>
                <w:sz w:val="18"/>
                <w:szCs w:val="18"/>
                <w:highlight w:val="none"/>
              </w:rPr>
              <w:t>分   技   术：</w:t>
            </w:r>
            <w:r>
              <w:rPr>
                <w:rFonts w:hint="eastAsia" w:ascii="宋体" w:hAnsi="宋体" w:cs="宋体"/>
                <w:color w:val="auto"/>
                <w:sz w:val="18"/>
                <w:szCs w:val="18"/>
                <w:highlight w:val="none"/>
                <w:lang w:val="en-US" w:eastAsia="zh-CN"/>
              </w:rPr>
              <w:t>71</w:t>
            </w:r>
            <w:r>
              <w:rPr>
                <w:rFonts w:hint="eastAsia" w:ascii="宋体" w:hAnsi="宋体" w:eastAsia="宋体" w:cs="宋体"/>
                <w:color w:val="auto"/>
                <w:sz w:val="18"/>
                <w:szCs w:val="18"/>
                <w:highlight w:val="none"/>
              </w:rPr>
              <w:t xml:space="preserve">分 </w:t>
            </w:r>
            <w:r>
              <w:rPr>
                <w:rFonts w:hint="eastAsia" w:ascii="宋体" w:hAnsi="宋体" w:eastAsia="宋体" w:cs="宋体"/>
                <w:color w:val="auto"/>
                <w:sz w:val="18"/>
                <w:szCs w:val="18"/>
              </w:rPr>
              <w:t xml:space="preserve">             </w:t>
            </w:r>
          </w:p>
        </w:tc>
        <w:tc>
          <w:tcPr>
            <w:tcW w:w="1231" w:type="dxa"/>
            <w:noWrap w:val="0"/>
            <w:vAlign w:val="center"/>
          </w:tcPr>
          <w:p>
            <w:pPr>
              <w:pStyle w:val="98"/>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价格评分标准</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投标报价</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c>
          <w:tcPr>
            <w:tcW w:w="6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完全满足</w:t>
            </w:r>
            <w:r>
              <w:rPr>
                <w:rFonts w:hint="eastAsia" w:ascii="宋体" w:hAnsi="宋体" w:eastAsia="宋体" w:cs="宋体"/>
                <w:color w:val="auto"/>
                <w:sz w:val="18"/>
                <w:szCs w:val="18"/>
                <w:lang w:eastAsia="zh-CN"/>
              </w:rPr>
              <w:t>招标文件</w:t>
            </w:r>
            <w:r>
              <w:rPr>
                <w:rFonts w:hint="eastAsia" w:ascii="宋体" w:hAnsi="宋体" w:eastAsia="宋体" w:cs="宋体"/>
                <w:color w:val="auto"/>
                <w:sz w:val="18"/>
                <w:szCs w:val="18"/>
                <w:lang w:val="en-US" w:eastAsia="zh-CN"/>
              </w:rPr>
              <w:t>要求</w:t>
            </w:r>
            <w:r>
              <w:rPr>
                <w:rFonts w:hint="eastAsia" w:ascii="宋体" w:hAnsi="宋体" w:eastAsia="宋体" w:cs="宋体"/>
                <w:color w:val="auto"/>
                <w:sz w:val="18"/>
                <w:szCs w:val="18"/>
              </w:rPr>
              <w:t>的投标报价中的最低价为评标基准价，按照下列公式计算每个</w:t>
            </w:r>
            <w:r>
              <w:rPr>
                <w:rFonts w:hint="eastAsia" w:ascii="宋体" w:hAnsi="宋体" w:eastAsia="宋体" w:cs="宋体"/>
                <w:color w:val="auto"/>
                <w:sz w:val="18"/>
                <w:szCs w:val="18"/>
                <w:lang w:eastAsia="zh-CN"/>
              </w:rPr>
              <w:t>供应商</w:t>
            </w:r>
            <w:r>
              <w:rPr>
                <w:rFonts w:hint="eastAsia" w:ascii="宋体" w:hAnsi="宋体" w:eastAsia="宋体" w:cs="宋体"/>
                <w:color w:val="auto"/>
                <w:sz w:val="18"/>
                <w:szCs w:val="18"/>
              </w:rPr>
              <w:t>的投标价格得分。投标报价得分＝（基准价/投标报价）×价格权重×100。</w:t>
            </w:r>
          </w:p>
        </w:tc>
        <w:tc>
          <w:tcPr>
            <w:tcW w:w="12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投标报价超过采购预算价的按废标处理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商务评分标准</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sz w:val="18"/>
                <w:szCs w:val="18"/>
              </w:rPr>
              <w:t>企业综合实力</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w:t>
            </w:r>
          </w:p>
        </w:tc>
        <w:tc>
          <w:tcPr>
            <w:tcW w:w="6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提供近三年内类似项目业绩证明材料（中标</w:t>
            </w:r>
            <w:r>
              <w:rPr>
                <w:rFonts w:hint="eastAsia" w:ascii="宋体" w:hAnsi="宋体" w:cs="宋体"/>
                <w:color w:val="auto"/>
                <w:sz w:val="18"/>
                <w:szCs w:val="18"/>
                <w:lang w:val="en-US" w:eastAsia="zh-CN"/>
              </w:rPr>
              <w:t>/成交</w:t>
            </w:r>
            <w:r>
              <w:rPr>
                <w:rFonts w:hint="eastAsia" w:ascii="宋体" w:hAnsi="宋体" w:eastAsia="宋体" w:cs="宋体"/>
                <w:color w:val="auto"/>
                <w:sz w:val="18"/>
                <w:szCs w:val="18"/>
              </w:rPr>
              <w:t>通知书或合同），每提供一个得2分，共</w:t>
            </w:r>
            <w:r>
              <w:rPr>
                <w:rFonts w:hint="eastAsia" w:ascii="宋体" w:hAnsi="宋体" w:cs="宋体"/>
                <w:color w:val="auto"/>
                <w:sz w:val="18"/>
                <w:szCs w:val="18"/>
                <w:lang w:val="en-US" w:eastAsia="zh-CN"/>
              </w:rPr>
              <w:t>14</w:t>
            </w:r>
            <w:r>
              <w:rPr>
                <w:rFonts w:hint="eastAsia" w:ascii="宋体" w:hAnsi="宋体" w:eastAsia="宋体" w:cs="宋体"/>
                <w:color w:val="auto"/>
                <w:sz w:val="18"/>
                <w:szCs w:val="18"/>
              </w:rPr>
              <w:t>分，不提供不得分。</w:t>
            </w:r>
          </w:p>
        </w:tc>
        <w:tc>
          <w:tcPr>
            <w:tcW w:w="12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8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技术评分标准</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项目总体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rPr>
              <w:t>规划</w:t>
            </w:r>
            <w:r>
              <w:rPr>
                <w:rFonts w:hint="eastAsia" w:ascii="宋体" w:hAnsi="宋体" w:cs="宋体"/>
                <w:color w:val="auto"/>
                <w:sz w:val="18"/>
                <w:szCs w:val="18"/>
                <w:lang w:eastAsia="zh-CN"/>
              </w:rPr>
              <w:t>和成果展示的安排</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13</w:t>
            </w:r>
          </w:p>
        </w:tc>
        <w:tc>
          <w:tcPr>
            <w:tcW w:w="6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综合考虑供应商对本项目工作的总体认识、理解和</w:t>
            </w:r>
            <w:r>
              <w:rPr>
                <w:rFonts w:hint="eastAsia" w:ascii="宋体" w:hAnsi="宋体" w:cs="宋体"/>
                <w:color w:val="auto"/>
                <w:sz w:val="18"/>
                <w:szCs w:val="18"/>
                <w:lang w:eastAsia="zh-CN"/>
              </w:rPr>
              <w:t>成果展示</w:t>
            </w:r>
            <w:r>
              <w:rPr>
                <w:rFonts w:hint="eastAsia" w:ascii="宋体" w:hAnsi="宋体" w:eastAsia="宋体" w:cs="宋体"/>
                <w:color w:val="auto"/>
                <w:sz w:val="18"/>
                <w:szCs w:val="18"/>
              </w:rPr>
              <w:t>的整体规划。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内容全面、具体、清晰、</w:t>
            </w:r>
            <w:r>
              <w:rPr>
                <w:rFonts w:hint="eastAsia" w:ascii="宋体" w:hAnsi="宋体" w:cs="宋体"/>
                <w:color w:val="auto"/>
                <w:sz w:val="18"/>
                <w:szCs w:val="18"/>
                <w:lang w:eastAsia="zh-CN"/>
              </w:rPr>
              <w:t>成果展示</w:t>
            </w:r>
            <w:r>
              <w:rPr>
                <w:rFonts w:hint="eastAsia" w:ascii="宋体" w:hAnsi="宋体" w:eastAsia="宋体" w:cs="宋体"/>
                <w:color w:val="auto"/>
                <w:sz w:val="18"/>
                <w:szCs w:val="18"/>
              </w:rPr>
              <w:t>安排合理得：</w:t>
            </w:r>
            <w:r>
              <w:rPr>
                <w:rFonts w:hint="eastAsia" w:ascii="宋体" w:hAnsi="宋体" w:cs="宋体"/>
                <w:color w:val="auto"/>
                <w:sz w:val="18"/>
                <w:szCs w:val="18"/>
                <w:lang w:val="en-US" w:eastAsia="zh-CN"/>
              </w:rPr>
              <w:t>13</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内容较为全面、较为具体、较为清晰、</w:t>
            </w:r>
            <w:r>
              <w:rPr>
                <w:rFonts w:hint="eastAsia" w:ascii="宋体" w:hAnsi="宋体" w:cs="宋体"/>
                <w:color w:val="auto"/>
                <w:sz w:val="18"/>
                <w:szCs w:val="18"/>
                <w:lang w:eastAsia="zh-CN"/>
              </w:rPr>
              <w:t>成果展示</w:t>
            </w:r>
            <w:r>
              <w:rPr>
                <w:rFonts w:hint="eastAsia" w:ascii="宋体" w:hAnsi="宋体" w:eastAsia="宋体" w:cs="宋体"/>
                <w:color w:val="auto"/>
                <w:sz w:val="18"/>
                <w:szCs w:val="18"/>
              </w:rPr>
              <w:t>安排较为合理得：</w:t>
            </w:r>
            <w:r>
              <w:rPr>
                <w:rFonts w:hint="eastAsia" w:ascii="宋体" w:hAnsi="宋体" w:cs="宋体"/>
                <w:color w:val="auto"/>
                <w:sz w:val="18"/>
                <w:szCs w:val="18"/>
                <w:lang w:val="en-US" w:eastAsia="zh-CN"/>
              </w:rPr>
              <w:t>9</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内容不够全面、不够具体、不够清晰、</w:t>
            </w:r>
            <w:r>
              <w:rPr>
                <w:rFonts w:hint="eastAsia" w:ascii="宋体" w:hAnsi="宋体" w:cs="宋体"/>
                <w:color w:val="auto"/>
                <w:sz w:val="18"/>
                <w:szCs w:val="18"/>
                <w:lang w:eastAsia="zh-CN"/>
              </w:rPr>
              <w:t>成果展示</w:t>
            </w:r>
            <w:r>
              <w:rPr>
                <w:rFonts w:hint="eastAsia" w:ascii="宋体" w:hAnsi="宋体" w:eastAsia="宋体" w:cs="宋体"/>
                <w:color w:val="auto"/>
                <w:sz w:val="18"/>
                <w:szCs w:val="18"/>
              </w:rPr>
              <w:t>安排不够合理得：</w:t>
            </w:r>
            <w:r>
              <w:rPr>
                <w:rFonts w:hint="eastAsia" w:ascii="宋体" w:hAnsi="宋体" w:cs="宋体"/>
                <w:color w:val="auto"/>
                <w:sz w:val="18"/>
                <w:szCs w:val="18"/>
                <w:lang w:val="en-US" w:eastAsia="zh-CN"/>
              </w:rPr>
              <w:t>5</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不提供不得分。</w:t>
            </w:r>
          </w:p>
        </w:tc>
        <w:tc>
          <w:tcPr>
            <w:tcW w:w="12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b/>
                <w:bCs/>
                <w:color w:val="auto"/>
                <w:sz w:val="18"/>
                <w:szCs w:val="18"/>
              </w:rPr>
              <w:t>根据需求提供必要的证明资料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拟投入本项目的执行团队情况</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15</w:t>
            </w:r>
          </w:p>
        </w:tc>
        <w:tc>
          <w:tcPr>
            <w:tcW w:w="6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项目负责人：项目负责人应具有丰富的实践经验和组织管理能力；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项目组组成人员：项目组的人员构成合理，项目经验丰富，有利于项目的执行，是一支具有专业性、科学性、可靠性的执行团队。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项目团队配置合理、科学性强、专业性强、团队经验丰富得15分；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项目团队配置较为合理、科学性较强、专业性较强、团队欠缺得 10分；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项目团队配置不合理、专业性不足、团队无相关经验得5分；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不提供不得分。</w:t>
            </w:r>
          </w:p>
        </w:tc>
        <w:tc>
          <w:tcPr>
            <w:tcW w:w="12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食宿餐饮方案</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eastAsia="zh-CN"/>
              </w:rPr>
              <w:t>14</w:t>
            </w:r>
          </w:p>
        </w:tc>
        <w:tc>
          <w:tcPr>
            <w:tcW w:w="6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餐饮食宿安排计划周密、考虑全面、饮食及住宿安全保</w:t>
            </w:r>
            <w:r>
              <w:rPr>
                <w:rFonts w:hint="eastAsia" w:ascii="宋体" w:hAnsi="宋体" w:eastAsia="宋体" w:cs="宋体"/>
                <w:color w:val="auto"/>
                <w:sz w:val="18"/>
                <w:szCs w:val="18"/>
                <w:lang w:eastAsia="zh-CN"/>
              </w:rPr>
              <w:t>障</w:t>
            </w:r>
            <w:r>
              <w:rPr>
                <w:rFonts w:hint="eastAsia" w:ascii="宋体" w:hAnsi="宋体" w:eastAsia="宋体" w:cs="宋体"/>
                <w:color w:val="auto"/>
                <w:sz w:val="18"/>
                <w:szCs w:val="18"/>
              </w:rPr>
              <w:t>措施完善得</w:t>
            </w:r>
            <w:r>
              <w:rPr>
                <w:rFonts w:hint="eastAsia" w:ascii="宋体" w:hAnsi="宋体" w:eastAsia="宋体" w:cs="宋体"/>
                <w:color w:val="auto"/>
                <w:sz w:val="18"/>
                <w:szCs w:val="18"/>
                <w:lang w:val="en-US" w:eastAsia="zh-CN"/>
              </w:rPr>
              <w:t>14</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餐饮食宿安排计划</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周密、考虑</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全面、饮食及住宿安全保证措施</w:t>
            </w:r>
            <w:r>
              <w:rPr>
                <w:rFonts w:hint="eastAsia" w:ascii="宋体" w:hAnsi="宋体" w:eastAsia="宋体" w:cs="宋体"/>
                <w:color w:val="auto"/>
                <w:sz w:val="18"/>
                <w:szCs w:val="18"/>
                <w:lang w:eastAsia="zh-CN"/>
              </w:rPr>
              <w:t>较</w:t>
            </w:r>
            <w:r>
              <w:rPr>
                <w:rFonts w:hint="eastAsia" w:ascii="宋体" w:hAnsi="宋体" w:eastAsia="宋体" w:cs="宋体"/>
                <w:color w:val="auto"/>
                <w:sz w:val="18"/>
                <w:szCs w:val="18"/>
              </w:rPr>
              <w:t>完善得</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餐饮食宿安排计划</w:t>
            </w:r>
            <w:r>
              <w:rPr>
                <w:rFonts w:hint="eastAsia" w:ascii="宋体" w:hAnsi="宋体" w:eastAsia="宋体" w:cs="宋体"/>
                <w:color w:val="auto"/>
                <w:sz w:val="18"/>
                <w:szCs w:val="18"/>
                <w:lang w:eastAsia="zh-CN"/>
              </w:rPr>
              <w:t>基本</w:t>
            </w:r>
            <w:r>
              <w:rPr>
                <w:rFonts w:hint="eastAsia" w:ascii="宋体" w:hAnsi="宋体" w:eastAsia="宋体" w:cs="宋体"/>
                <w:color w:val="auto"/>
                <w:sz w:val="18"/>
                <w:szCs w:val="18"/>
              </w:rPr>
              <w:t>周密、考虑</w:t>
            </w:r>
            <w:r>
              <w:rPr>
                <w:rFonts w:hint="eastAsia" w:ascii="宋体" w:hAnsi="宋体" w:eastAsia="宋体" w:cs="宋体"/>
                <w:color w:val="auto"/>
                <w:sz w:val="18"/>
                <w:szCs w:val="18"/>
                <w:lang w:eastAsia="zh-CN"/>
              </w:rPr>
              <w:t>基本</w:t>
            </w:r>
            <w:r>
              <w:rPr>
                <w:rFonts w:hint="eastAsia" w:ascii="宋体" w:hAnsi="宋体" w:eastAsia="宋体" w:cs="宋体"/>
                <w:color w:val="auto"/>
                <w:sz w:val="18"/>
                <w:szCs w:val="18"/>
              </w:rPr>
              <w:t>全面、饮食及住宿安全保证措施</w:t>
            </w:r>
            <w:r>
              <w:rPr>
                <w:rFonts w:hint="eastAsia" w:ascii="宋体" w:hAnsi="宋体" w:eastAsia="宋体" w:cs="宋体"/>
                <w:color w:val="auto"/>
                <w:sz w:val="18"/>
                <w:szCs w:val="18"/>
                <w:lang w:eastAsia="zh-CN"/>
              </w:rPr>
              <w:t>基本</w:t>
            </w:r>
            <w:r>
              <w:rPr>
                <w:rFonts w:hint="eastAsia" w:ascii="宋体" w:hAnsi="宋体" w:eastAsia="宋体" w:cs="宋体"/>
                <w:color w:val="auto"/>
                <w:sz w:val="18"/>
                <w:szCs w:val="18"/>
              </w:rPr>
              <w:t>完善得</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分。不提供不得分。</w:t>
            </w:r>
          </w:p>
        </w:tc>
        <w:tc>
          <w:tcPr>
            <w:tcW w:w="12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交通、车辆安排方案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16</w:t>
            </w:r>
          </w:p>
        </w:tc>
        <w:tc>
          <w:tcPr>
            <w:tcW w:w="6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方案内容考虑全面、交通出行线路安排妥当、安全保障措施完善、交通车辆质量保证措施完善、急救车安排计划完善得</w:t>
            </w:r>
            <w:r>
              <w:rPr>
                <w:rFonts w:hint="eastAsia" w:ascii="宋体" w:hAnsi="宋体" w:eastAsia="宋体" w:cs="宋体"/>
                <w:color w:val="auto"/>
                <w:sz w:val="18"/>
                <w:szCs w:val="18"/>
                <w:lang w:val="en-US" w:eastAsia="zh-CN"/>
              </w:rPr>
              <w:t>16</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方案内容考虑较全面、交通出行线路安排妥当、安全保障措施较完善、交通车辆质量保证措施较完善、急救车安排计划较完善得</w:t>
            </w:r>
            <w:r>
              <w:rPr>
                <w:rFonts w:hint="eastAsia" w:ascii="宋体" w:hAnsi="宋体" w:eastAsia="宋体" w:cs="宋体"/>
                <w:color w:val="auto"/>
                <w:sz w:val="18"/>
                <w:szCs w:val="18"/>
                <w:lang w:val="en-US" w:eastAsia="zh-CN"/>
              </w:rPr>
              <w:t>12</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方案内容考虑不够全面、交通出行线路安排不够妥当、安全保障措施不够完善、交通车辆质量保证措施不够完善、急救车安排计划不够完善得</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不提供不得分。</w:t>
            </w:r>
          </w:p>
        </w:tc>
        <w:tc>
          <w:tcPr>
            <w:tcW w:w="12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应急预案</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10</w:t>
            </w:r>
          </w:p>
        </w:tc>
        <w:tc>
          <w:tcPr>
            <w:tcW w:w="6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对突发性事件预估合理性，全面度；应急处理措施的全面性、有效性、可操作性等进行评审。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对于突发事件预估合理、全面；应急预案全面有效、可行、可操作性强，得</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对于突发事件预估不够全面；预案可操作性一般，得</w:t>
            </w: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rPr>
              <w:t>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应急预案较差，可操作性较差，得 </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 xml:space="preserve">分；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不提供不得分。</w:t>
            </w:r>
          </w:p>
        </w:tc>
        <w:tc>
          <w:tcPr>
            <w:tcW w:w="12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kern w:val="0"/>
                <w:sz w:val="18"/>
                <w:szCs w:val="18"/>
              </w:rPr>
              <w:t>标书制作</w:t>
            </w:r>
          </w:p>
        </w:tc>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6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rPr>
              <w:t>投标文件目录清晰、页码连续、目录与页码对应准确，评审内容便于查找，正副本内容一样清晰可辨得3分，否则不得分。</w:t>
            </w:r>
          </w:p>
        </w:tc>
        <w:tc>
          <w:tcPr>
            <w:tcW w:w="12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sz w:val="18"/>
                <w:szCs w:val="18"/>
              </w:rPr>
            </w:pPr>
          </w:p>
        </w:tc>
      </w:tr>
    </w:tbl>
    <w:p>
      <w:pPr>
        <w:spacing w:before="0" w:after="0" w:line="440" w:lineRule="exact"/>
        <w:ind w:firstLine="1260" w:firstLineChars="600"/>
        <w:outlineLvl w:val="9"/>
        <w:rPr>
          <w:rFonts w:hint="eastAsia" w:ascii="宋体" w:hAnsi="宋体" w:eastAsia="宋体" w:cs="宋体"/>
          <w:color w:val="auto"/>
          <w:szCs w:val="36"/>
        </w:rPr>
      </w:pPr>
    </w:p>
    <w:p>
      <w:pPr>
        <w:spacing w:line="360" w:lineRule="exact"/>
        <w:ind w:left="1080" w:leftChars="257" w:hanging="540"/>
        <w:jc w:val="center"/>
        <w:rPr>
          <w:rFonts w:hint="eastAsia" w:ascii="宋体" w:hAnsi="宋体" w:eastAsia="宋体" w:cs="宋体"/>
          <w:color w:val="auto"/>
        </w:rPr>
      </w:pPr>
    </w:p>
    <w:p>
      <w:pPr>
        <w:spacing w:line="360" w:lineRule="exact"/>
        <w:ind w:left="1080" w:leftChars="257" w:hanging="540"/>
        <w:jc w:val="center"/>
        <w:rPr>
          <w:rFonts w:hint="eastAsia" w:ascii="宋体" w:hAnsi="宋体" w:eastAsia="宋体" w:cs="宋体"/>
          <w:color w:val="auto"/>
        </w:rPr>
      </w:pPr>
    </w:p>
    <w:p>
      <w:pPr>
        <w:spacing w:line="360" w:lineRule="exact"/>
        <w:ind w:left="1080" w:leftChars="257" w:hanging="540"/>
        <w:jc w:val="center"/>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spacing w:line="360" w:lineRule="exact"/>
        <w:ind w:left="1080" w:leftChars="257" w:hanging="540"/>
        <w:jc w:val="center"/>
        <w:rPr>
          <w:rFonts w:hint="eastAsia" w:ascii="宋体" w:hAnsi="宋体" w:eastAsia="宋体" w:cs="宋体"/>
          <w:color w:val="auto"/>
        </w:rPr>
      </w:pPr>
    </w:p>
    <w:p>
      <w:pPr>
        <w:spacing w:line="360" w:lineRule="auto"/>
        <w:ind w:left="1080" w:leftChars="257" w:hanging="540"/>
        <w:jc w:val="center"/>
        <w:rPr>
          <w:rFonts w:hint="eastAsia" w:ascii="宋体" w:hAnsi="宋体" w:eastAsia="宋体" w:cs="宋体"/>
          <w:color w:val="auto"/>
        </w:rPr>
      </w:pPr>
    </w:p>
    <w:p>
      <w:pPr>
        <w:spacing w:line="360" w:lineRule="auto"/>
        <w:jc w:val="center"/>
        <w:rPr>
          <w:rFonts w:hint="eastAsia" w:ascii="宋体" w:hAnsi="宋体" w:eastAsia="宋体" w:cs="宋体"/>
          <w:b/>
          <w:color w:val="auto"/>
          <w:sz w:val="32"/>
        </w:rPr>
      </w:pP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招 标 文 件</w:t>
      </w:r>
    </w:p>
    <w:p>
      <w:pPr>
        <w:spacing w:line="360" w:lineRule="auto"/>
        <w:jc w:val="center"/>
        <w:rPr>
          <w:rFonts w:hint="eastAsia" w:ascii="宋体" w:hAnsi="宋体" w:eastAsia="宋体" w:cs="宋体"/>
          <w:b/>
          <w:color w:val="auto"/>
          <w:sz w:val="40"/>
          <w:szCs w:val="40"/>
        </w:rPr>
      </w:pPr>
    </w:p>
    <w:p>
      <w:pPr>
        <w:spacing w:line="360" w:lineRule="auto"/>
        <w:jc w:val="center"/>
        <w:rPr>
          <w:rFonts w:hint="eastAsia" w:ascii="宋体" w:hAnsi="宋体" w:eastAsia="宋体" w:cs="宋体"/>
          <w:b/>
          <w:color w:val="auto"/>
          <w:sz w:val="40"/>
          <w:szCs w:val="40"/>
          <w:lang w:val="en-US" w:eastAsia="zh-CN"/>
        </w:rPr>
      </w:pPr>
      <w:r>
        <w:rPr>
          <w:rFonts w:hint="eastAsia" w:ascii="宋体" w:hAnsi="宋体" w:eastAsia="宋体" w:cs="宋体"/>
          <w:b/>
          <w:color w:val="auto"/>
          <w:sz w:val="40"/>
          <w:szCs w:val="40"/>
          <w:lang w:eastAsia="zh-CN"/>
        </w:rPr>
        <w:t>项目编号：ZJ（GK）-2202</w:t>
      </w:r>
      <w:r>
        <w:rPr>
          <w:rFonts w:hint="eastAsia" w:ascii="宋体" w:hAnsi="宋体" w:eastAsia="宋体" w:cs="宋体"/>
          <w:b/>
          <w:color w:val="auto"/>
          <w:sz w:val="40"/>
          <w:szCs w:val="40"/>
          <w:lang w:val="en-US" w:eastAsia="zh-CN"/>
        </w:rPr>
        <w:t>5</w:t>
      </w:r>
      <w:r>
        <w:rPr>
          <w:rFonts w:hint="eastAsia" w:ascii="宋体" w:hAnsi="宋体" w:eastAsia="宋体" w:cs="宋体"/>
          <w:b/>
          <w:color w:val="auto"/>
          <w:sz w:val="40"/>
          <w:szCs w:val="40"/>
          <w:lang w:eastAsia="zh-CN"/>
        </w:rPr>
        <w:t xml:space="preserve"> </w:t>
      </w:r>
    </w:p>
    <w:p>
      <w:pPr>
        <w:spacing w:line="360" w:lineRule="auto"/>
        <w:jc w:val="both"/>
        <w:rPr>
          <w:rFonts w:hint="eastAsia" w:ascii="宋体" w:hAnsi="宋体" w:eastAsia="宋体" w:cs="宋体"/>
          <w:b/>
          <w:color w:val="auto"/>
          <w:sz w:val="40"/>
          <w:szCs w:val="40"/>
        </w:rPr>
      </w:pPr>
    </w:p>
    <w:p>
      <w:pPr>
        <w:spacing w:line="360" w:lineRule="auto"/>
        <w:jc w:val="center"/>
        <w:rPr>
          <w:rFonts w:hint="eastAsia" w:ascii="宋体" w:hAnsi="宋体" w:eastAsia="宋体" w:cs="宋体"/>
          <w:b/>
          <w:color w:val="auto"/>
          <w:sz w:val="40"/>
          <w:szCs w:val="40"/>
        </w:rPr>
      </w:pPr>
      <w:r>
        <w:rPr>
          <w:rFonts w:hint="eastAsia" w:ascii="宋体" w:hAnsi="宋体" w:eastAsia="宋体" w:cs="宋体"/>
          <w:b/>
          <w:color w:val="auto"/>
          <w:sz w:val="40"/>
          <w:szCs w:val="40"/>
        </w:rPr>
        <w:t>第 三 册</w:t>
      </w:r>
    </w:p>
    <w:p>
      <w:pPr>
        <w:spacing w:line="360" w:lineRule="exact"/>
        <w:jc w:val="center"/>
        <w:rPr>
          <w:rFonts w:hint="eastAsia" w:ascii="宋体" w:hAnsi="宋体" w:eastAsia="宋体" w:cs="宋体"/>
          <w:b/>
          <w:color w:val="auto"/>
          <w:sz w:val="3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 w:val="52"/>
        </w:rPr>
      </w:pPr>
    </w:p>
    <w:p>
      <w:pPr>
        <w:spacing w:line="360" w:lineRule="exact"/>
        <w:ind w:left="1080" w:leftChars="257" w:hanging="540"/>
        <w:jc w:val="center"/>
        <w:rPr>
          <w:rFonts w:hint="eastAsia" w:ascii="宋体" w:hAnsi="宋体" w:eastAsia="宋体" w:cs="宋体"/>
          <w:b/>
          <w:color w:val="auto"/>
          <w:szCs w:val="21"/>
        </w:rPr>
      </w:pPr>
      <w:r>
        <w:rPr>
          <w:rFonts w:hint="eastAsia" w:ascii="宋体" w:hAnsi="宋体" w:eastAsia="宋体" w:cs="宋体"/>
          <w:b/>
          <w:color w:val="auto"/>
          <w:sz w:val="52"/>
        </w:rPr>
        <w:t xml:space="preserve">  </w:t>
      </w:r>
    </w:p>
    <w:p>
      <w:pPr>
        <w:spacing w:line="360" w:lineRule="exact"/>
        <w:rPr>
          <w:rFonts w:hint="eastAsia" w:ascii="宋体" w:hAnsi="宋体" w:eastAsia="宋体" w:cs="宋体"/>
          <w:color w:val="auto"/>
        </w:rPr>
      </w:pPr>
    </w:p>
    <w:p>
      <w:pPr>
        <w:pStyle w:val="91"/>
        <w:rPr>
          <w:rFonts w:hint="eastAsia" w:ascii="宋体" w:hAnsi="宋体" w:eastAsia="宋体" w:cs="宋体"/>
          <w:color w:val="auto"/>
        </w:rPr>
      </w:pPr>
    </w:p>
    <w:bookmarkEnd w:id="560"/>
    <w:p>
      <w:pPr>
        <w:pStyle w:val="3"/>
        <w:pageBreakBefore w:val="0"/>
        <w:tabs>
          <w:tab w:val="left" w:pos="0"/>
        </w:tabs>
        <w:kinsoku/>
        <w:wordWrap/>
        <w:overflowPunct/>
        <w:topLinePunct w:val="0"/>
        <w:bidi w:val="0"/>
        <w:snapToGrid/>
        <w:spacing w:before="0" w:after="0" w:line="340" w:lineRule="exact"/>
        <w:jc w:val="center"/>
        <w:textAlignment w:val="auto"/>
        <w:outlineLvl w:val="0"/>
        <w:rPr>
          <w:rFonts w:hint="eastAsia" w:ascii="宋体" w:hAnsi="宋体" w:eastAsia="宋体" w:cs="宋体"/>
          <w:b/>
          <w:bCs w:val="0"/>
          <w:color w:val="auto"/>
          <w:sz w:val="32"/>
          <w:szCs w:val="32"/>
        </w:rPr>
      </w:pPr>
      <w:bookmarkStart w:id="562" w:name="_Toc12914"/>
      <w:bookmarkStart w:id="563" w:name="_Toc802"/>
      <w:bookmarkStart w:id="564" w:name="_Toc487900382"/>
      <w:bookmarkStart w:id="565" w:name="_Toc216513788"/>
      <w:r>
        <w:rPr>
          <w:rFonts w:hint="eastAsia" w:ascii="宋体" w:hAnsi="宋体" w:eastAsia="宋体" w:cs="宋体"/>
          <w:b/>
          <w:bCs w:val="0"/>
          <w:color w:val="auto"/>
          <w:sz w:val="32"/>
          <w:szCs w:val="32"/>
          <w:lang w:eastAsia="zh-CN"/>
        </w:rPr>
        <w:t>第</w:t>
      </w:r>
      <w:r>
        <w:rPr>
          <w:rFonts w:hint="eastAsia" w:ascii="宋体" w:hAnsi="宋体" w:eastAsia="宋体" w:cs="宋体"/>
          <w:b/>
          <w:bCs w:val="0"/>
          <w:color w:val="auto"/>
          <w:sz w:val="32"/>
          <w:szCs w:val="32"/>
          <w:lang w:val="en-US" w:eastAsia="zh-CN"/>
        </w:rPr>
        <w:t>7章</w:t>
      </w:r>
      <w:r>
        <w:rPr>
          <w:rFonts w:hint="eastAsia" w:ascii="宋体" w:hAnsi="宋体" w:eastAsia="宋体" w:cs="宋体"/>
          <w:b/>
          <w:bCs w:val="0"/>
          <w:color w:val="auto"/>
          <w:sz w:val="22"/>
          <w:szCs w:val="22"/>
        </w:rPr>
        <w:t xml:space="preserve">  </w:t>
      </w:r>
      <w:bookmarkStart w:id="566" w:name="_Toc8736"/>
      <w:bookmarkStart w:id="567" w:name="_Toc773"/>
      <w:r>
        <w:rPr>
          <w:rFonts w:hint="eastAsia" w:ascii="宋体" w:hAnsi="宋体" w:eastAsia="宋体" w:cs="宋体"/>
          <w:b/>
          <w:bCs w:val="0"/>
          <w:color w:val="auto"/>
          <w:sz w:val="32"/>
          <w:szCs w:val="32"/>
        </w:rPr>
        <w:t>合同条款</w:t>
      </w:r>
      <w:bookmarkEnd w:id="562"/>
      <w:bookmarkEnd w:id="563"/>
      <w:bookmarkEnd w:id="566"/>
      <w:bookmarkEnd w:id="567"/>
    </w:p>
    <w:bookmarkEnd w:id="564"/>
    <w:bookmarkEnd w:id="565"/>
    <w:p>
      <w:pPr>
        <w:spacing w:line="400" w:lineRule="exact"/>
        <w:rPr>
          <w:rFonts w:hint="eastAsia" w:ascii="宋体" w:hAnsi="宋体" w:eastAsia="宋体" w:cs="宋体"/>
          <w:sz w:val="30"/>
          <w:szCs w:val="30"/>
          <w:u w:val="single"/>
        </w:rPr>
      </w:pPr>
      <w:r>
        <w:rPr>
          <w:rFonts w:hint="eastAsia" w:ascii="宋体" w:hAnsi="宋体" w:eastAsia="宋体" w:cs="宋体"/>
          <w:sz w:val="30"/>
          <w:szCs w:val="30"/>
        </w:rPr>
        <w:t>合同编号：</w:t>
      </w:r>
      <w:r>
        <w:rPr>
          <w:rFonts w:hint="eastAsia" w:ascii="宋体" w:hAnsi="宋体" w:eastAsia="宋体" w:cs="宋体"/>
          <w:sz w:val="30"/>
          <w:szCs w:val="30"/>
          <w:u w:val="single"/>
        </w:rPr>
        <w:t xml:space="preserve">           </w:t>
      </w:r>
    </w:p>
    <w:p>
      <w:pPr>
        <w:spacing w:line="400" w:lineRule="exact"/>
        <w:jc w:val="center"/>
        <w:rPr>
          <w:rFonts w:hint="eastAsia" w:ascii="宋体" w:hAnsi="宋体" w:eastAsia="宋体" w:cs="宋体"/>
          <w:b/>
          <w:sz w:val="21"/>
          <w:szCs w:val="21"/>
        </w:rPr>
      </w:pPr>
    </w:p>
    <w:p>
      <w:pPr>
        <w:spacing w:line="400" w:lineRule="exact"/>
        <w:jc w:val="center"/>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政府采购合同参考范本</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（服务类）</w:t>
      </w:r>
    </w:p>
    <w:p>
      <w:pPr>
        <w:pStyle w:val="45"/>
        <w:spacing w:line="400" w:lineRule="exact"/>
        <w:ind w:firstLine="0"/>
        <w:rPr>
          <w:rFonts w:hint="eastAsia" w:ascii="宋体" w:hAnsi="宋体" w:eastAsia="宋体" w:cs="宋体"/>
          <w:sz w:val="21"/>
          <w:szCs w:val="21"/>
        </w:rPr>
      </w:pPr>
    </w:p>
    <w:p>
      <w:pPr>
        <w:pStyle w:val="45"/>
        <w:spacing w:line="400" w:lineRule="exact"/>
        <w:ind w:firstLine="0"/>
        <w:rPr>
          <w:rFonts w:hint="eastAsia" w:ascii="宋体" w:hAnsi="宋体" w:eastAsia="宋体" w:cs="宋体"/>
          <w:sz w:val="21"/>
          <w:szCs w:val="21"/>
        </w:rPr>
      </w:pPr>
    </w:p>
    <w:p>
      <w:pPr>
        <w:pStyle w:val="45"/>
        <w:spacing w:line="400" w:lineRule="exact"/>
        <w:ind w:firstLine="0"/>
        <w:rPr>
          <w:rFonts w:hint="eastAsia" w:ascii="宋体" w:hAnsi="宋体" w:eastAsia="宋体" w:cs="宋体"/>
          <w:sz w:val="21"/>
          <w:szCs w:val="21"/>
        </w:rPr>
      </w:pPr>
    </w:p>
    <w:p>
      <w:pPr>
        <w:pStyle w:val="45"/>
        <w:spacing w:line="400" w:lineRule="exact"/>
        <w:ind w:firstLine="0"/>
        <w:jc w:val="center"/>
        <w:rPr>
          <w:rFonts w:hint="eastAsia" w:ascii="宋体" w:hAnsi="宋体" w:eastAsia="宋体" w:cs="宋体"/>
          <w:b/>
          <w:sz w:val="21"/>
          <w:szCs w:val="21"/>
        </w:rPr>
      </w:pPr>
      <w:r>
        <w:rPr>
          <w:rFonts w:hint="eastAsia" w:ascii="宋体" w:hAnsi="宋体" w:eastAsia="宋体" w:cs="宋体"/>
          <w:b/>
          <w:sz w:val="21"/>
          <w:szCs w:val="21"/>
        </w:rPr>
        <w:t>第一部分 合同书</w:t>
      </w:r>
    </w:p>
    <w:p>
      <w:pPr>
        <w:pStyle w:val="45"/>
        <w:spacing w:line="400" w:lineRule="exact"/>
        <w:ind w:firstLine="0"/>
        <w:rPr>
          <w:rFonts w:hint="eastAsia" w:ascii="宋体" w:hAnsi="宋体" w:eastAsia="宋体" w:cs="宋体"/>
          <w:sz w:val="21"/>
          <w:szCs w:val="21"/>
        </w:rPr>
      </w:pPr>
    </w:p>
    <w:p>
      <w:pPr>
        <w:pStyle w:val="45"/>
        <w:spacing w:line="400" w:lineRule="exact"/>
        <w:ind w:firstLine="0"/>
        <w:rPr>
          <w:rFonts w:hint="eastAsia" w:ascii="宋体" w:hAnsi="宋体" w:eastAsia="宋体" w:cs="宋体"/>
          <w:sz w:val="21"/>
          <w:szCs w:val="21"/>
        </w:rPr>
      </w:pPr>
    </w:p>
    <w:p>
      <w:pPr>
        <w:spacing w:before="120" w:line="400" w:lineRule="exact"/>
        <w:rPr>
          <w:rFonts w:hint="eastAsia" w:ascii="宋体" w:hAnsi="宋体" w:eastAsia="宋体" w:cs="宋体"/>
          <w:sz w:val="21"/>
          <w:szCs w:val="21"/>
        </w:rPr>
      </w:pPr>
    </w:p>
    <w:p>
      <w:pPr>
        <w:spacing w:before="120" w:line="400" w:lineRule="exact"/>
        <w:ind w:left="960"/>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w:t>
      </w:r>
    </w:p>
    <w:p>
      <w:pPr>
        <w:pStyle w:val="83"/>
        <w:spacing w:before="120"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before="120" w:line="400" w:lineRule="exact"/>
        <w:ind w:left="960"/>
        <w:rPr>
          <w:rFonts w:hint="eastAsia" w:ascii="宋体" w:hAnsi="宋体" w:eastAsia="宋体" w:cs="宋体"/>
          <w:sz w:val="21"/>
          <w:szCs w:val="21"/>
          <w:u w:val="single"/>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w:t>
      </w:r>
    </w:p>
    <w:p>
      <w:pPr>
        <w:spacing w:before="120" w:line="400" w:lineRule="exact"/>
        <w:rPr>
          <w:rFonts w:hint="eastAsia" w:ascii="宋体" w:hAnsi="宋体" w:eastAsia="宋体" w:cs="宋体"/>
          <w:sz w:val="21"/>
          <w:szCs w:val="21"/>
        </w:rPr>
      </w:pPr>
    </w:p>
    <w:p>
      <w:pPr>
        <w:spacing w:before="120" w:line="400" w:lineRule="exact"/>
        <w:ind w:left="960"/>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p>
    <w:p>
      <w:pPr>
        <w:spacing w:before="120" w:line="400" w:lineRule="exact"/>
        <w:rPr>
          <w:rFonts w:hint="eastAsia" w:ascii="宋体" w:hAnsi="宋体" w:eastAsia="宋体" w:cs="宋体"/>
          <w:sz w:val="21"/>
          <w:szCs w:val="21"/>
        </w:rPr>
      </w:pPr>
    </w:p>
    <w:p>
      <w:pPr>
        <w:spacing w:before="120" w:line="400" w:lineRule="exact"/>
        <w:ind w:firstLine="840" w:firstLineChars="400"/>
        <w:rPr>
          <w:rFonts w:hint="eastAsia" w:ascii="宋体" w:hAnsi="宋体" w:eastAsia="宋体" w:cs="宋体"/>
          <w:sz w:val="21"/>
          <w:szCs w:val="21"/>
          <w:u w:val="single"/>
        </w:rPr>
      </w:pPr>
      <w:r>
        <w:rPr>
          <w:rFonts w:hint="eastAsia" w:ascii="宋体" w:hAnsi="宋体" w:eastAsia="宋体" w:cs="宋体"/>
          <w:sz w:val="21"/>
          <w:szCs w:val="21"/>
        </w:rPr>
        <w:t>签订地：</w:t>
      </w:r>
      <w:r>
        <w:rPr>
          <w:rFonts w:hint="eastAsia" w:ascii="宋体" w:hAnsi="宋体" w:eastAsia="宋体" w:cs="宋体"/>
          <w:sz w:val="21"/>
          <w:szCs w:val="21"/>
          <w:u w:val="single"/>
        </w:rPr>
        <w:t xml:space="preserve">                                     </w:t>
      </w:r>
    </w:p>
    <w:p>
      <w:pPr>
        <w:spacing w:before="120" w:line="400" w:lineRule="exact"/>
        <w:rPr>
          <w:rFonts w:hint="eastAsia" w:ascii="宋体" w:hAnsi="宋体" w:eastAsia="宋体" w:cs="宋体"/>
          <w:sz w:val="21"/>
          <w:szCs w:val="21"/>
        </w:rPr>
      </w:pPr>
    </w:p>
    <w:p>
      <w:pPr>
        <w:spacing w:before="120" w:line="400" w:lineRule="exact"/>
        <w:ind w:firstLine="840" w:firstLineChars="400"/>
        <w:rPr>
          <w:rFonts w:hint="eastAsia" w:ascii="宋体" w:hAnsi="宋体" w:eastAsia="宋体" w:cs="宋体"/>
          <w:sz w:val="21"/>
          <w:szCs w:val="21"/>
          <w:u w:val="single"/>
        </w:rPr>
      </w:pPr>
      <w:r>
        <w:rPr>
          <w:rFonts w:hint="eastAsia" w:ascii="宋体" w:hAnsi="宋体" w:eastAsia="宋体" w:cs="宋体"/>
          <w:sz w:val="21"/>
          <w:szCs w:val="21"/>
        </w:rPr>
        <w:t>签订日期：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autoSpaceDE w:val="0"/>
        <w:autoSpaceDN w:val="0"/>
        <w:adjustRightInd w:val="0"/>
        <w:spacing w:line="400" w:lineRule="exact"/>
        <w:ind w:firstLine="640"/>
        <w:jc w:val="center"/>
        <w:rPr>
          <w:rFonts w:hint="eastAsia" w:ascii="宋体" w:hAnsi="宋体" w:eastAsia="宋体" w:cs="宋体"/>
          <w:sz w:val="21"/>
          <w:szCs w:val="21"/>
        </w:rPr>
        <w:sectPr>
          <w:headerReference r:id="rId16" w:type="first"/>
          <w:footerReference r:id="rId19" w:type="first"/>
          <w:footerReference r:id="rId17" w:type="default"/>
          <w:headerReference r:id="rId15" w:type="even"/>
          <w:footerReference r:id="rId18" w:type="even"/>
          <w:pgSz w:w="11907" w:h="16840"/>
          <w:pgMar w:top="1474" w:right="1814" w:bottom="1474" w:left="1814" w:header="851" w:footer="851" w:gutter="0"/>
          <w:pgNumType w:fmt="decimal"/>
          <w:cols w:space="720" w:num="1"/>
          <w:docGrid w:linePitch="462" w:charSpace="0"/>
        </w:sect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年</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月</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日</w:t>
      </w:r>
      <w:r>
        <w:rPr>
          <w:rFonts w:hint="eastAsia" w:ascii="宋体" w:hAnsi="宋体" w:eastAsia="宋体" w:cs="宋体"/>
          <w:sz w:val="21"/>
          <w:szCs w:val="21"/>
        </w:rPr>
        <w:t>，</w:t>
      </w:r>
      <w:r>
        <w:rPr>
          <w:rFonts w:hint="eastAsia" w:ascii="宋体" w:hAnsi="宋体" w:eastAsia="宋体" w:cs="宋体"/>
          <w:sz w:val="21"/>
          <w:szCs w:val="21"/>
          <w:u w:val="single"/>
        </w:rPr>
        <w:t xml:space="preserve">   （采购人名称）   </w:t>
      </w:r>
      <w:r>
        <w:rPr>
          <w:rFonts w:hint="eastAsia" w:ascii="宋体" w:hAnsi="宋体" w:eastAsia="宋体" w:cs="宋体"/>
          <w:sz w:val="21"/>
          <w:szCs w:val="21"/>
        </w:rPr>
        <w:t>以</w:t>
      </w:r>
      <w:r>
        <w:rPr>
          <w:rFonts w:hint="eastAsia" w:ascii="宋体" w:hAnsi="宋体" w:eastAsia="宋体" w:cs="宋体"/>
          <w:sz w:val="21"/>
          <w:szCs w:val="21"/>
          <w:u w:val="single"/>
        </w:rPr>
        <w:t xml:space="preserve">   （政府采购方式）  </w:t>
      </w:r>
      <w:r>
        <w:rPr>
          <w:rFonts w:hint="eastAsia" w:ascii="宋体" w:hAnsi="宋体" w:eastAsia="宋体" w:cs="宋体"/>
          <w:sz w:val="21"/>
          <w:szCs w:val="21"/>
        </w:rPr>
        <w:t>对</w:t>
      </w:r>
      <w:r>
        <w:rPr>
          <w:rFonts w:hint="eastAsia" w:ascii="宋体" w:hAnsi="宋体" w:eastAsia="宋体" w:cs="宋体"/>
          <w:sz w:val="21"/>
          <w:szCs w:val="21"/>
          <w:u w:val="single"/>
        </w:rPr>
        <w:t xml:space="preserve">   （同前页项目名称）   </w:t>
      </w:r>
      <w:r>
        <w:rPr>
          <w:rFonts w:hint="eastAsia" w:ascii="宋体" w:hAnsi="宋体" w:eastAsia="宋体" w:cs="宋体"/>
          <w:sz w:val="21"/>
          <w:szCs w:val="21"/>
        </w:rPr>
        <w:t>项目进行了采购。经</w:t>
      </w:r>
      <w:r>
        <w:rPr>
          <w:rFonts w:hint="eastAsia" w:ascii="宋体" w:hAnsi="宋体" w:eastAsia="宋体" w:cs="宋体"/>
          <w:sz w:val="21"/>
          <w:szCs w:val="21"/>
          <w:u w:val="single"/>
        </w:rPr>
        <w:t xml:space="preserve">   （相关评定主体名称）   </w:t>
      </w:r>
      <w:r>
        <w:rPr>
          <w:rFonts w:hint="eastAsia" w:ascii="宋体" w:hAnsi="宋体" w:eastAsia="宋体" w:cs="宋体"/>
          <w:sz w:val="21"/>
          <w:szCs w:val="21"/>
        </w:rPr>
        <w:t>评定，</w:t>
      </w:r>
      <w:r>
        <w:rPr>
          <w:rFonts w:hint="eastAsia" w:ascii="宋体" w:hAnsi="宋体" w:eastAsia="宋体" w:cs="宋体"/>
          <w:sz w:val="21"/>
          <w:szCs w:val="21"/>
          <w:u w:val="single"/>
        </w:rPr>
        <w:t xml:space="preserve">   （中标供应商名称） </w:t>
      </w:r>
      <w:r>
        <w:rPr>
          <w:rFonts w:hint="eastAsia" w:ascii="宋体" w:hAnsi="宋体" w:eastAsia="宋体" w:cs="宋体"/>
          <w:sz w:val="21"/>
          <w:szCs w:val="21"/>
        </w:rPr>
        <w:t>为该项目中标供应商。现于中标通知书发出之日起三十日内，按照采购文件确定的事项签订本合同。</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根据《中华人民共和国合同法》、《中华人民共和国政府采购法》等相关法律法规之规定，按照平等、自愿、公平和诚实信用的原则，经</w:t>
      </w:r>
      <w:r>
        <w:rPr>
          <w:rFonts w:hint="eastAsia" w:ascii="宋体" w:hAnsi="宋体" w:eastAsia="宋体" w:cs="宋体"/>
          <w:sz w:val="21"/>
          <w:szCs w:val="21"/>
          <w:u w:val="single"/>
        </w:rPr>
        <w:t xml:space="preserve">   （采购人名称）   </w:t>
      </w:r>
      <w:r>
        <w:rPr>
          <w:rFonts w:hint="eastAsia" w:ascii="宋体" w:hAnsi="宋体" w:eastAsia="宋体" w:cs="宋体"/>
          <w:sz w:val="21"/>
          <w:szCs w:val="21"/>
          <w:lang w:val="zh-CN"/>
        </w:rPr>
        <w:t>(以下简称：甲方)和</w:t>
      </w:r>
      <w:r>
        <w:rPr>
          <w:rFonts w:hint="eastAsia" w:ascii="宋体" w:hAnsi="宋体" w:eastAsia="宋体" w:cs="宋体"/>
          <w:sz w:val="21"/>
          <w:szCs w:val="21"/>
          <w:u w:val="single"/>
        </w:rPr>
        <w:t xml:space="preserve">   （中标供应商名称）   </w:t>
      </w:r>
      <w:r>
        <w:rPr>
          <w:rFonts w:hint="eastAsia" w:ascii="宋体" w:hAnsi="宋体" w:eastAsia="宋体" w:cs="宋体"/>
          <w:sz w:val="21"/>
          <w:szCs w:val="21"/>
          <w:lang w:val="zh-CN"/>
        </w:rPr>
        <w:t>(以下简称：乙方)协商一致，约定以下合同</w:t>
      </w:r>
      <w:r>
        <w:rPr>
          <w:rFonts w:hint="eastAsia" w:ascii="宋体" w:hAnsi="宋体" w:eastAsia="宋体" w:cs="宋体"/>
          <w:sz w:val="21"/>
          <w:szCs w:val="21"/>
        </w:rPr>
        <w:t>条款，以兹共同遵守、全面履行。</w:t>
      </w:r>
    </w:p>
    <w:p>
      <w:pPr>
        <w:spacing w:line="400" w:lineRule="exact"/>
        <w:ind w:firstLine="422" w:firstLineChars="200"/>
        <w:outlineLvl w:val="0"/>
        <w:rPr>
          <w:rFonts w:hint="eastAsia" w:ascii="宋体" w:hAnsi="宋体" w:eastAsia="宋体" w:cs="宋体"/>
          <w:sz w:val="21"/>
          <w:szCs w:val="21"/>
        </w:rPr>
      </w:pPr>
      <w:bookmarkStart w:id="568" w:name="_Toc17181"/>
      <w:bookmarkStart w:id="569" w:name="_Toc5753"/>
      <w:bookmarkStart w:id="570" w:name="_Toc23100"/>
      <w:bookmarkStart w:id="571" w:name="_Toc32304"/>
      <w:bookmarkStart w:id="572" w:name="_Toc20421"/>
      <w:bookmarkStart w:id="573" w:name="_Toc5498"/>
      <w:bookmarkStart w:id="574" w:name="_Toc15367"/>
      <w:bookmarkStart w:id="575" w:name="_Toc28855"/>
      <w:bookmarkStart w:id="576" w:name="_Toc21173"/>
      <w:bookmarkStart w:id="577" w:name="_Toc18383"/>
      <w:bookmarkStart w:id="578" w:name="_Toc19273"/>
      <w:bookmarkStart w:id="579" w:name="_Toc20041"/>
      <w:r>
        <w:rPr>
          <w:rFonts w:hint="eastAsia" w:ascii="宋体" w:hAnsi="宋体" w:eastAsia="宋体" w:cs="宋体"/>
          <w:b/>
          <w:sz w:val="21"/>
          <w:szCs w:val="21"/>
        </w:rPr>
        <w:t>1.1 合同组成部分</w:t>
      </w:r>
      <w:bookmarkEnd w:id="568"/>
      <w:bookmarkEnd w:id="569"/>
      <w:bookmarkEnd w:id="570"/>
      <w:bookmarkEnd w:id="571"/>
      <w:bookmarkEnd w:id="572"/>
      <w:bookmarkEnd w:id="573"/>
      <w:bookmarkEnd w:id="574"/>
      <w:bookmarkEnd w:id="575"/>
      <w:bookmarkEnd w:id="576"/>
      <w:bookmarkEnd w:id="577"/>
      <w:bookmarkEnd w:id="578"/>
      <w:bookmarkEnd w:id="579"/>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1.1.1 本合同及其补充合同、变更协议；</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1.1.2 中标通知书；</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1.1.3 </w:t>
      </w:r>
      <w:r>
        <w:rPr>
          <w:rFonts w:hint="eastAsia" w:ascii="宋体" w:hAnsi="宋体" w:eastAsia="宋体" w:cs="宋体"/>
          <w:sz w:val="21"/>
          <w:szCs w:val="21"/>
          <w:lang w:eastAsia="zh-CN"/>
        </w:rPr>
        <w:t>招标</w:t>
      </w:r>
      <w:r>
        <w:rPr>
          <w:rFonts w:hint="eastAsia" w:ascii="宋体" w:hAnsi="宋体" w:eastAsia="宋体" w:cs="宋体"/>
          <w:sz w:val="21"/>
          <w:szCs w:val="21"/>
        </w:rPr>
        <w:t>文件（含澄清或者说明文件）；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1.1.4 </w:t>
      </w:r>
      <w:r>
        <w:rPr>
          <w:rFonts w:hint="eastAsia" w:ascii="宋体" w:hAnsi="宋体" w:eastAsia="宋体" w:cs="宋体"/>
          <w:sz w:val="21"/>
          <w:szCs w:val="21"/>
          <w:lang w:eastAsia="zh-CN"/>
        </w:rPr>
        <w:t>招标文件</w:t>
      </w:r>
      <w:r>
        <w:rPr>
          <w:rFonts w:hint="eastAsia" w:ascii="宋体" w:hAnsi="宋体" w:eastAsia="宋体" w:cs="宋体"/>
          <w:sz w:val="21"/>
          <w:szCs w:val="21"/>
        </w:rPr>
        <w:t>（含澄清或者修改文件）；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1.1.5 其他相关采购文件。</w:t>
      </w:r>
    </w:p>
    <w:p>
      <w:pPr>
        <w:spacing w:line="400" w:lineRule="exact"/>
        <w:ind w:firstLine="422" w:firstLineChars="200"/>
        <w:outlineLvl w:val="0"/>
        <w:rPr>
          <w:rFonts w:hint="eastAsia" w:ascii="宋体" w:hAnsi="宋体" w:eastAsia="宋体" w:cs="宋体"/>
          <w:b/>
          <w:sz w:val="21"/>
          <w:szCs w:val="21"/>
        </w:rPr>
      </w:pPr>
      <w:bookmarkStart w:id="580" w:name="_Toc17319"/>
      <w:bookmarkStart w:id="581" w:name="_Toc29819"/>
      <w:bookmarkStart w:id="582" w:name="_Toc6311"/>
      <w:bookmarkStart w:id="583" w:name="_Toc2918"/>
      <w:bookmarkStart w:id="584" w:name="_Toc27911"/>
      <w:bookmarkStart w:id="585" w:name="_Toc538"/>
      <w:bookmarkStart w:id="586" w:name="_Toc6773"/>
      <w:bookmarkStart w:id="587" w:name="_Toc22185"/>
      <w:bookmarkStart w:id="588" w:name="_Toc15104"/>
      <w:bookmarkStart w:id="589" w:name="_Toc3124"/>
      <w:bookmarkStart w:id="590" w:name="_Toc18585"/>
      <w:bookmarkStart w:id="591" w:name="_Toc23275"/>
      <w:bookmarkStart w:id="592" w:name="_Toc24493"/>
      <w:bookmarkStart w:id="593" w:name="_Toc23334"/>
      <w:r>
        <w:rPr>
          <w:rFonts w:hint="eastAsia" w:ascii="宋体" w:hAnsi="宋体" w:eastAsia="宋体" w:cs="宋体"/>
          <w:b/>
          <w:sz w:val="21"/>
          <w:szCs w:val="21"/>
        </w:rPr>
        <w:t>1.2 标的</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spacing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1.2.1 标的名称：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1.2.2 标的数量：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1.2.3 标的质量：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22" w:firstLineChars="200"/>
        <w:outlineLvl w:val="0"/>
        <w:rPr>
          <w:rFonts w:hint="eastAsia" w:ascii="宋体" w:hAnsi="宋体" w:eastAsia="宋体" w:cs="宋体"/>
          <w:b/>
          <w:sz w:val="21"/>
          <w:szCs w:val="21"/>
        </w:rPr>
      </w:pPr>
      <w:bookmarkStart w:id="594" w:name="_Toc13554"/>
      <w:bookmarkStart w:id="595" w:name="_Toc4929"/>
      <w:bookmarkStart w:id="596" w:name="_Toc12902"/>
      <w:bookmarkStart w:id="597" w:name="_Toc30335"/>
      <w:bookmarkStart w:id="598" w:name="_Toc23906"/>
      <w:bookmarkStart w:id="599" w:name="_Toc2888"/>
      <w:bookmarkStart w:id="600" w:name="_Toc13918"/>
      <w:bookmarkStart w:id="601" w:name="_Toc1386"/>
      <w:bookmarkStart w:id="602" w:name="_Toc5635"/>
      <w:bookmarkStart w:id="603" w:name="_Toc21124"/>
      <w:bookmarkStart w:id="604" w:name="_Toc13706"/>
      <w:bookmarkStart w:id="605" w:name="_Toc4932"/>
      <w:bookmarkStart w:id="606" w:name="_Toc27077"/>
      <w:bookmarkStart w:id="607" w:name="_Toc14732"/>
      <w:r>
        <w:rPr>
          <w:rFonts w:hint="eastAsia" w:ascii="宋体" w:hAnsi="宋体" w:eastAsia="宋体" w:cs="宋体"/>
          <w:b/>
          <w:sz w:val="21"/>
          <w:szCs w:val="21"/>
        </w:rPr>
        <w:t>1.3 价款</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本合同总价为：￥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w:t>
      </w:r>
    </w:p>
    <w:p>
      <w:pPr>
        <w:spacing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分项价格：</w:t>
      </w:r>
    </w:p>
    <w:tbl>
      <w:tblPr>
        <w:tblStyle w:val="3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400" w:lineRule="exact"/>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序号</w:t>
            </w:r>
          </w:p>
        </w:tc>
        <w:tc>
          <w:tcPr>
            <w:tcW w:w="340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分项名称</w:t>
            </w:r>
          </w:p>
        </w:tc>
        <w:tc>
          <w:tcPr>
            <w:tcW w:w="2552" w:type="dxa"/>
            <w:noWrap w:val="0"/>
            <w:vAlign w:val="center"/>
          </w:tcPr>
          <w:p>
            <w:pPr>
              <w:pStyle w:val="71"/>
              <w:spacing w:line="400" w:lineRule="exact"/>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c>
          <w:tcPr>
            <w:tcW w:w="340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c>
          <w:tcPr>
            <w:tcW w:w="255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c>
          <w:tcPr>
            <w:tcW w:w="340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c>
          <w:tcPr>
            <w:tcW w:w="255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c>
          <w:tcPr>
            <w:tcW w:w="340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c>
          <w:tcPr>
            <w:tcW w:w="255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c>
          <w:tcPr>
            <w:tcW w:w="340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c>
          <w:tcPr>
            <w:tcW w:w="255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71"/>
              <w:spacing w:line="400" w:lineRule="exact"/>
              <w:ind w:firstLine="20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总价</w:t>
            </w:r>
          </w:p>
        </w:tc>
        <w:tc>
          <w:tcPr>
            <w:tcW w:w="2552" w:type="dxa"/>
            <w:noWrap w:val="0"/>
            <w:vAlign w:val="center"/>
          </w:tcPr>
          <w:p>
            <w:pPr>
              <w:pStyle w:val="71"/>
              <w:spacing w:line="400" w:lineRule="exact"/>
              <w:ind w:firstLine="200"/>
              <w:jc w:val="center"/>
              <w:rPr>
                <w:rFonts w:hint="eastAsia" w:ascii="宋体" w:hAnsi="宋体" w:eastAsia="宋体" w:cs="宋体"/>
                <w:color w:val="000000"/>
                <w:kern w:val="2"/>
                <w:sz w:val="21"/>
                <w:szCs w:val="21"/>
              </w:rPr>
            </w:pPr>
          </w:p>
        </w:tc>
      </w:tr>
    </w:tbl>
    <w:p>
      <w:pPr>
        <w:spacing w:line="400" w:lineRule="exact"/>
        <w:ind w:firstLine="422" w:firstLineChars="200"/>
        <w:outlineLvl w:val="0"/>
        <w:rPr>
          <w:rFonts w:hint="eastAsia" w:ascii="宋体" w:hAnsi="宋体" w:eastAsia="宋体" w:cs="宋体"/>
          <w:b/>
          <w:sz w:val="21"/>
          <w:szCs w:val="21"/>
        </w:rPr>
      </w:pPr>
      <w:bookmarkStart w:id="608" w:name="_Toc3654"/>
      <w:bookmarkStart w:id="609" w:name="_Toc7832"/>
      <w:bookmarkStart w:id="610" w:name="_Toc17855"/>
      <w:bookmarkStart w:id="611" w:name="_Toc30158"/>
      <w:bookmarkStart w:id="612" w:name="_Toc32305"/>
      <w:bookmarkStart w:id="613" w:name="_Toc27074"/>
      <w:bookmarkStart w:id="614" w:name="_Toc19143"/>
      <w:bookmarkStart w:id="615" w:name="_Toc29873"/>
      <w:bookmarkStart w:id="616" w:name="_Toc30506"/>
      <w:bookmarkStart w:id="617" w:name="_Toc14993"/>
      <w:bookmarkStart w:id="618" w:name="_Toc31028"/>
      <w:bookmarkStart w:id="619" w:name="_Toc26916"/>
      <w:bookmarkStart w:id="620" w:name="_Toc21059"/>
      <w:bookmarkStart w:id="621" w:name="_Toc14234"/>
      <w:r>
        <w:rPr>
          <w:rFonts w:hint="eastAsia" w:ascii="宋体" w:hAnsi="宋体" w:eastAsia="宋体" w:cs="宋体"/>
          <w:b/>
          <w:sz w:val="21"/>
          <w:szCs w:val="21"/>
        </w:rPr>
        <w:t>1.4 付款方式和发票开具方式</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1.4.1付款方式：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1.4.2 发票开具方式：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22" w:firstLineChars="200"/>
        <w:outlineLvl w:val="0"/>
        <w:rPr>
          <w:rFonts w:hint="eastAsia" w:ascii="宋体" w:hAnsi="宋体" w:eastAsia="宋体" w:cs="宋体"/>
          <w:b/>
          <w:sz w:val="21"/>
          <w:szCs w:val="21"/>
        </w:rPr>
      </w:pPr>
      <w:bookmarkStart w:id="622" w:name="_Toc11108"/>
      <w:bookmarkStart w:id="623" w:name="_Toc23172"/>
      <w:bookmarkStart w:id="624" w:name="_Toc31264"/>
      <w:bookmarkStart w:id="625" w:name="_Toc23903"/>
      <w:bookmarkStart w:id="626" w:name="_Toc21606"/>
      <w:bookmarkStart w:id="627" w:name="_Toc3625"/>
      <w:bookmarkStart w:id="628" w:name="_Toc12261"/>
      <w:bookmarkStart w:id="629" w:name="_Toc4760"/>
      <w:bookmarkStart w:id="630" w:name="_Toc32135"/>
      <w:bookmarkStart w:id="631" w:name="_Toc28212"/>
      <w:bookmarkStart w:id="632" w:name="_Toc31421"/>
      <w:bookmarkStart w:id="633" w:name="_Toc24160"/>
      <w:bookmarkStart w:id="634" w:name="_Toc8772"/>
      <w:bookmarkStart w:id="635" w:name="_Toc868"/>
      <w:r>
        <w:rPr>
          <w:rFonts w:hint="eastAsia" w:ascii="宋体" w:hAnsi="宋体" w:eastAsia="宋体" w:cs="宋体"/>
          <w:b/>
          <w:sz w:val="21"/>
          <w:szCs w:val="21"/>
        </w:rPr>
        <w:t>1.5 履行期限、地点和方式</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spacing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1.5.1 履行期限：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1.5.2 履行地点：</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1.5.3 履行方式：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00" w:lineRule="exact"/>
        <w:ind w:firstLine="422" w:firstLineChars="200"/>
        <w:outlineLvl w:val="0"/>
        <w:rPr>
          <w:rFonts w:hint="eastAsia" w:ascii="宋体" w:hAnsi="宋体" w:eastAsia="宋体" w:cs="宋体"/>
          <w:sz w:val="21"/>
          <w:szCs w:val="21"/>
          <w:u w:val="single"/>
        </w:rPr>
      </w:pPr>
      <w:bookmarkStart w:id="636" w:name="_Toc3290"/>
      <w:bookmarkStart w:id="637" w:name="_Toc5418"/>
      <w:bookmarkStart w:id="638" w:name="_Toc5698"/>
      <w:bookmarkStart w:id="639" w:name="_Toc3079"/>
      <w:bookmarkStart w:id="640" w:name="_Toc24662"/>
      <w:bookmarkStart w:id="641" w:name="_Toc2375"/>
      <w:bookmarkStart w:id="642" w:name="_Toc27990"/>
      <w:bookmarkStart w:id="643" w:name="_Toc12217"/>
      <w:bookmarkStart w:id="644" w:name="_Toc8698"/>
      <w:bookmarkStart w:id="645" w:name="_Toc12514"/>
      <w:bookmarkStart w:id="646" w:name="_Toc13712"/>
      <w:bookmarkStart w:id="647" w:name="_Toc8586"/>
      <w:bookmarkStart w:id="648" w:name="_Toc10490"/>
      <w:bookmarkStart w:id="649" w:name="_Toc1287"/>
      <w:r>
        <w:rPr>
          <w:rFonts w:hint="eastAsia" w:ascii="宋体" w:hAnsi="宋体" w:eastAsia="宋体" w:cs="宋体"/>
          <w:b/>
          <w:sz w:val="21"/>
          <w:szCs w:val="21"/>
        </w:rPr>
        <w:t>1.6 违约责任</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1"/>
          <w:szCs w:val="21"/>
          <w:u w:val="single"/>
        </w:rPr>
        <w:t xml:space="preserve">    </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w:t>
      </w:r>
      <w:r>
        <w:rPr>
          <w:rFonts w:hint="eastAsia" w:ascii="宋体" w:hAnsi="宋体" w:eastAsia="宋体" w:cs="宋体"/>
          <w:sz w:val="21"/>
          <w:szCs w:val="21"/>
        </w:rPr>
        <w:t>%；迟延履行的违约金计算数额达到前述最高限额之日起，甲方有权在要求乙方支付违约金的同时，书面通知乙方解除本合同；</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1.6.2 除不可抗力外，如果甲方没有按照本合同约定的付款方式付款，那么乙方可要求甲方支付违约金，违约金按每迟延付款一日的应付而未付款的</w:t>
      </w:r>
      <w:r>
        <w:rPr>
          <w:rFonts w:hint="eastAsia" w:ascii="宋体" w:hAnsi="宋体" w:eastAsia="宋体" w:cs="宋体"/>
          <w:sz w:val="21"/>
          <w:szCs w:val="21"/>
          <w:u w:val="single"/>
        </w:rPr>
        <w:t xml:space="preserve">    </w:t>
      </w:r>
      <w:r>
        <w:rPr>
          <w:rFonts w:hint="eastAsia" w:ascii="宋体" w:hAnsi="宋体" w:eastAsia="宋体" w:cs="宋体"/>
          <w:sz w:val="21"/>
          <w:szCs w:val="21"/>
        </w:rPr>
        <w:t>%计算，最高限额为本合同总价的</w:t>
      </w:r>
      <w:r>
        <w:rPr>
          <w:rFonts w:hint="eastAsia" w:ascii="宋体" w:hAnsi="宋体" w:eastAsia="宋体" w:cs="宋体"/>
          <w:sz w:val="21"/>
          <w:szCs w:val="21"/>
          <w:u w:val="single"/>
        </w:rPr>
        <w:t xml:space="preserve">     </w:t>
      </w:r>
      <w:r>
        <w:rPr>
          <w:rFonts w:hint="eastAsia" w:ascii="宋体" w:hAnsi="宋体" w:eastAsia="宋体" w:cs="宋体"/>
          <w:sz w:val="21"/>
          <w:szCs w:val="21"/>
        </w:rPr>
        <w:t>%；迟延付款的违约金计算数额达到前述最高限额之日起，乙方有权在要求甲方支付违约金的同时，书面通知甲方解除本合同；</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1.6.6 如果出现政府采购监督管理部门在处理投诉事项期间，书面通知甲方暂停采购活动的情形，或者询问或质疑事项可能影响中标结果的，导致甲方中止履行合同的情形，均不视为甲方违约。</w:t>
      </w:r>
    </w:p>
    <w:p>
      <w:pPr>
        <w:spacing w:line="400" w:lineRule="exact"/>
        <w:ind w:firstLine="422" w:firstLineChars="200"/>
        <w:outlineLvl w:val="0"/>
        <w:rPr>
          <w:rFonts w:hint="eastAsia" w:ascii="宋体" w:hAnsi="宋体" w:eastAsia="宋体" w:cs="宋体"/>
          <w:b/>
          <w:sz w:val="21"/>
          <w:szCs w:val="21"/>
        </w:rPr>
      </w:pPr>
      <w:bookmarkStart w:id="650" w:name="_Toc13358"/>
      <w:bookmarkStart w:id="651" w:name="_Toc11195"/>
      <w:bookmarkStart w:id="652" w:name="_Toc9782"/>
      <w:bookmarkStart w:id="653" w:name="_Toc32454"/>
      <w:bookmarkStart w:id="654" w:name="_Toc16760"/>
      <w:bookmarkStart w:id="655" w:name="_Toc25694"/>
      <w:bookmarkStart w:id="656" w:name="_Toc9497"/>
      <w:bookmarkStart w:id="657" w:name="_Toc23069"/>
      <w:bookmarkStart w:id="658" w:name="_Toc26807"/>
      <w:bookmarkStart w:id="659" w:name="_Toc18683"/>
      <w:bookmarkStart w:id="660" w:name="_Toc30329"/>
      <w:bookmarkStart w:id="661" w:name="_Toc21818"/>
      <w:bookmarkStart w:id="662" w:name="_Toc4563"/>
      <w:bookmarkStart w:id="663" w:name="_Toc72"/>
      <w:r>
        <w:rPr>
          <w:rFonts w:hint="eastAsia" w:ascii="宋体" w:hAnsi="宋体" w:eastAsia="宋体" w:cs="宋体"/>
          <w:b/>
          <w:sz w:val="21"/>
          <w:szCs w:val="21"/>
        </w:rPr>
        <w:t>1.7 合同争议的解决</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1.7.1 将争议提交</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仲裁委员会依申请仲裁时其现行有效的仲裁规则裁决；</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1.7.2 向</w:t>
      </w:r>
      <w:r>
        <w:rPr>
          <w:rFonts w:hint="eastAsia" w:ascii="宋体" w:hAnsi="宋体" w:eastAsia="宋体" w:cs="宋体"/>
          <w:sz w:val="21"/>
          <w:szCs w:val="21"/>
          <w:u w:val="single"/>
        </w:rPr>
        <w:t xml:space="preserve">   （被告住所地、合同履行地、合同签订地、原告住所地、标的物所在地等与争议有实际联系的地点中选出的人民法院名称）    </w:t>
      </w:r>
      <w:r>
        <w:rPr>
          <w:rFonts w:hint="eastAsia" w:ascii="宋体" w:hAnsi="宋体" w:eastAsia="宋体" w:cs="宋体"/>
          <w:sz w:val="21"/>
          <w:szCs w:val="21"/>
        </w:rPr>
        <w:t>人民法院起诉。</w:t>
      </w:r>
    </w:p>
    <w:p>
      <w:pPr>
        <w:spacing w:line="400" w:lineRule="exact"/>
        <w:ind w:firstLine="422" w:firstLineChars="200"/>
        <w:outlineLvl w:val="0"/>
        <w:rPr>
          <w:rFonts w:hint="eastAsia" w:ascii="宋体" w:hAnsi="宋体" w:eastAsia="宋体" w:cs="宋体"/>
          <w:b/>
          <w:sz w:val="21"/>
          <w:szCs w:val="21"/>
        </w:rPr>
      </w:pPr>
      <w:bookmarkStart w:id="664" w:name="_Toc15827"/>
      <w:bookmarkStart w:id="665" w:name="_Toc26227"/>
      <w:bookmarkStart w:id="666" w:name="_Toc23784"/>
      <w:bookmarkStart w:id="667" w:name="_Toc16074"/>
      <w:bookmarkStart w:id="668" w:name="_Toc13173"/>
      <w:bookmarkStart w:id="669" w:name="_Toc1048"/>
      <w:bookmarkStart w:id="670" w:name="_Toc6707"/>
      <w:bookmarkStart w:id="671" w:name="_Toc16417"/>
      <w:bookmarkStart w:id="672" w:name="_Toc9721"/>
      <w:bookmarkStart w:id="673" w:name="_Toc12273"/>
      <w:bookmarkStart w:id="674" w:name="_Toc6048"/>
      <w:bookmarkStart w:id="675" w:name="_Toc2709"/>
      <w:bookmarkStart w:id="676" w:name="_Toc17508"/>
      <w:bookmarkStart w:id="677" w:name="_Toc16503"/>
      <w:r>
        <w:rPr>
          <w:rFonts w:hint="eastAsia" w:ascii="宋体" w:hAnsi="宋体" w:eastAsia="宋体" w:cs="宋体"/>
          <w:b/>
          <w:sz w:val="21"/>
          <w:szCs w:val="21"/>
        </w:rPr>
        <w:t>1.8 合同生效</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spacing w:line="400" w:lineRule="exact"/>
        <w:ind w:firstLine="420" w:firstLineChars="200"/>
        <w:rPr>
          <w:rFonts w:hint="eastAsia" w:ascii="宋体" w:hAnsi="宋体" w:eastAsia="宋体" w:cs="宋体"/>
          <w:b/>
          <w:sz w:val="21"/>
          <w:szCs w:val="21"/>
        </w:rPr>
      </w:pPr>
      <w:r>
        <w:rPr>
          <w:rFonts w:hint="eastAsia" w:ascii="宋体" w:hAnsi="宋体" w:eastAsia="宋体" w:cs="宋体"/>
          <w:sz w:val="21"/>
          <w:szCs w:val="21"/>
        </w:rPr>
        <w:t>本合同自双方当事人盖章或者签字时生效。</w:t>
      </w:r>
    </w:p>
    <w:p>
      <w:pPr>
        <w:autoSpaceDE w:val="0"/>
        <w:autoSpaceDN w:val="0"/>
        <w:adjustRightInd w:val="0"/>
        <w:spacing w:line="400" w:lineRule="exact"/>
        <w:rPr>
          <w:rFonts w:hint="eastAsia" w:ascii="宋体" w:hAnsi="宋体" w:eastAsia="宋体" w:cs="宋体"/>
          <w:sz w:val="21"/>
          <w:szCs w:val="21"/>
          <w:lang w:val="zh-CN"/>
        </w:rPr>
      </w:pP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b/>
          <w:sz w:val="21"/>
          <w:szCs w:val="21"/>
          <w:lang w:val="zh-CN"/>
        </w:rPr>
        <w:t>甲方</w:t>
      </w:r>
      <w:r>
        <w:rPr>
          <w:rFonts w:hint="eastAsia" w:ascii="宋体" w:hAnsi="宋体" w:eastAsia="宋体" w:cs="宋体"/>
          <w:sz w:val="21"/>
          <w:szCs w:val="21"/>
          <w:lang w:val="zh-CN"/>
        </w:rPr>
        <w:t xml:space="preserve">：                             </w:t>
      </w:r>
      <w:r>
        <w:rPr>
          <w:rFonts w:hint="eastAsia" w:ascii="宋体" w:hAnsi="宋体" w:eastAsia="宋体" w:cs="宋体"/>
          <w:b/>
          <w:sz w:val="21"/>
          <w:szCs w:val="21"/>
          <w:lang w:val="zh-CN"/>
        </w:rPr>
        <w:t xml:space="preserve">      乙方</w:t>
      </w:r>
      <w:r>
        <w:rPr>
          <w:rFonts w:hint="eastAsia" w:ascii="宋体" w:hAnsi="宋体" w:eastAsia="宋体" w:cs="宋体"/>
          <w:sz w:val="21"/>
          <w:szCs w:val="21"/>
          <w:lang w:val="zh-CN"/>
        </w:rPr>
        <w:t>：</w:t>
      </w: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统一社会信用代码：                        统一社会信用代码或身份证号码：</w:t>
      </w:r>
    </w:p>
    <w:p>
      <w:pPr>
        <w:autoSpaceDE w:val="0"/>
        <w:autoSpaceDN w:val="0"/>
        <w:adjustRightInd w:val="0"/>
        <w:spacing w:line="400" w:lineRule="exact"/>
        <w:rPr>
          <w:rFonts w:hint="eastAsia" w:ascii="宋体" w:hAnsi="宋体" w:eastAsia="宋体" w:cs="宋体"/>
          <w:sz w:val="21"/>
          <w:szCs w:val="21"/>
          <w:lang w:val="zh-CN"/>
        </w:rPr>
      </w:pP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住所：                                   住所：</w:t>
      </w: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法定代表人或                             法定代表人</w:t>
      </w: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 xml:space="preserve">授权代表（签字）：                        或授权代表（签字）: </w:t>
      </w: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联系人：                                 联系人：</w:t>
      </w: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约定送达地址：                           约定送达地址：</w:t>
      </w: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邮政编码：                               邮政编码：</w:t>
      </w: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 xml:space="preserve">电话:                                    电话: </w:t>
      </w:r>
    </w:p>
    <w:p>
      <w:pPr>
        <w:autoSpaceDE w:val="0"/>
        <w:autoSpaceDN w:val="0"/>
        <w:adjustRightInd w:val="0"/>
        <w:spacing w:line="400" w:lineRule="exact"/>
        <w:rPr>
          <w:rFonts w:hint="eastAsia" w:ascii="宋体" w:hAnsi="宋体" w:eastAsia="宋体" w:cs="宋体"/>
          <w:sz w:val="21"/>
          <w:szCs w:val="21"/>
          <w:lang w:val="zh-CN"/>
        </w:rPr>
      </w:pPr>
      <w:r>
        <w:rPr>
          <w:rFonts w:hint="eastAsia" w:ascii="宋体" w:hAnsi="宋体" w:eastAsia="宋体" w:cs="宋体"/>
          <w:sz w:val="21"/>
          <w:szCs w:val="21"/>
          <w:lang w:val="zh-CN"/>
        </w:rPr>
        <w:t>传真:                                    传真:</w:t>
      </w:r>
    </w:p>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sz w:val="21"/>
          <w:szCs w:val="21"/>
          <w:lang w:val="zh-CN"/>
        </w:rPr>
        <w:t>电子邮箱：                               电子邮箱：</w:t>
      </w:r>
    </w:p>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开户名称：                               开户名称： </w:t>
      </w:r>
    </w:p>
    <w:p>
      <w:pPr>
        <w:autoSpaceDE w:val="0"/>
        <w:autoSpaceDN w:val="0"/>
        <w:adjustRightInd w:val="0"/>
        <w:spacing w:line="400" w:lineRule="exact"/>
        <w:rPr>
          <w:rFonts w:hint="eastAsia" w:ascii="宋体" w:hAnsi="宋体" w:eastAsia="宋体" w:cs="宋体"/>
          <w:sz w:val="21"/>
          <w:szCs w:val="21"/>
        </w:rPr>
      </w:pPr>
      <w:r>
        <w:rPr>
          <w:rFonts w:hint="eastAsia" w:ascii="宋体" w:hAnsi="宋体" w:eastAsia="宋体" w:cs="宋体"/>
          <w:sz w:val="21"/>
          <w:szCs w:val="21"/>
        </w:rPr>
        <w:t>开户账号：</w:t>
      </w:r>
      <w:r>
        <w:rPr>
          <w:rFonts w:hint="eastAsia" w:ascii="宋体" w:hAnsi="宋体" w:eastAsia="宋体" w:cs="宋体"/>
          <w:sz w:val="21"/>
          <w:szCs w:val="21"/>
          <w:lang w:val="zh-CN"/>
        </w:rPr>
        <w:t xml:space="preserve">                               </w:t>
      </w:r>
      <w:r>
        <w:rPr>
          <w:rFonts w:hint="eastAsia" w:ascii="宋体" w:hAnsi="宋体" w:eastAsia="宋体" w:cs="宋体"/>
          <w:sz w:val="21"/>
          <w:szCs w:val="21"/>
        </w:rPr>
        <w:t>开户账号：</w:t>
      </w:r>
    </w:p>
    <w:p>
      <w:pPr>
        <w:widowControl/>
        <w:spacing w:line="400" w:lineRule="exact"/>
        <w:jc w:val="left"/>
        <w:rPr>
          <w:rFonts w:hint="eastAsia" w:ascii="宋体" w:hAnsi="宋体" w:eastAsia="宋体" w:cs="宋体"/>
          <w:b/>
          <w:sz w:val="21"/>
          <w:szCs w:val="21"/>
        </w:rPr>
      </w:pPr>
      <w:bookmarkStart w:id="678" w:name="_Toc331685783"/>
    </w:p>
    <w:p>
      <w:pPr>
        <w:widowControl/>
        <w:spacing w:line="400" w:lineRule="exact"/>
        <w:jc w:val="left"/>
        <w:rPr>
          <w:rFonts w:hint="eastAsia" w:ascii="宋体" w:hAnsi="宋体" w:eastAsia="宋体" w:cs="宋体"/>
          <w:b/>
          <w:sz w:val="21"/>
          <w:szCs w:val="21"/>
        </w:rPr>
      </w:pPr>
    </w:p>
    <w:p>
      <w:pPr>
        <w:pStyle w:val="45"/>
        <w:spacing w:line="400" w:lineRule="exact"/>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第二部分 合同一般条款</w:t>
      </w:r>
      <w:bookmarkEnd w:id="678"/>
    </w:p>
    <w:p>
      <w:pPr>
        <w:spacing w:line="400" w:lineRule="exact"/>
        <w:ind w:firstLine="422" w:firstLineChars="200"/>
        <w:outlineLvl w:val="0"/>
        <w:rPr>
          <w:rFonts w:hint="eastAsia" w:ascii="宋体" w:hAnsi="宋体" w:eastAsia="宋体" w:cs="宋体"/>
          <w:b/>
          <w:sz w:val="21"/>
          <w:szCs w:val="21"/>
        </w:rPr>
      </w:pPr>
      <w:bookmarkStart w:id="679" w:name="_Toc14021"/>
      <w:bookmarkStart w:id="680" w:name="_Ref467379109"/>
      <w:bookmarkStart w:id="681" w:name="_Toc5117"/>
      <w:bookmarkStart w:id="682" w:name="_Ref467379214"/>
      <w:bookmarkStart w:id="683" w:name="_Ref467379225"/>
      <w:bookmarkStart w:id="684" w:name="_Toc259093669"/>
      <w:bookmarkStart w:id="685" w:name="_Ref467378499"/>
      <w:bookmarkStart w:id="686" w:name="_Toc29024"/>
      <w:bookmarkStart w:id="687" w:name="_Toc21058"/>
      <w:bookmarkStart w:id="688" w:name="_Toc24176"/>
      <w:bookmarkStart w:id="689" w:name="_Toc31297"/>
      <w:bookmarkStart w:id="690" w:name="_Toc5228"/>
      <w:bookmarkStart w:id="691" w:name="_Toc25079"/>
      <w:bookmarkStart w:id="692" w:name="_Ref467378463"/>
      <w:bookmarkStart w:id="693" w:name="_Ref467379195"/>
      <w:bookmarkStart w:id="694" w:name="_Ref467379094"/>
      <w:bookmarkStart w:id="695" w:name="_Ref467379101"/>
      <w:bookmarkStart w:id="696" w:name="_Ref467379205"/>
      <w:bookmarkStart w:id="697" w:name="_Toc26799"/>
      <w:bookmarkStart w:id="698" w:name="_Toc19680"/>
      <w:bookmarkStart w:id="699" w:name="_Toc279701240"/>
      <w:bookmarkStart w:id="700" w:name="_Toc16934"/>
      <w:bookmarkStart w:id="701" w:name="_Toc487900349"/>
      <w:bookmarkStart w:id="702" w:name="_Ref467378404"/>
      <w:bookmarkStart w:id="703" w:name="_Toc9055"/>
      <w:bookmarkStart w:id="704" w:name="_Toc17704"/>
      <w:bookmarkStart w:id="705" w:name="_Toc4803"/>
      <w:r>
        <w:rPr>
          <w:rFonts w:hint="eastAsia" w:ascii="宋体" w:hAnsi="宋体" w:eastAsia="宋体" w:cs="宋体"/>
          <w:b/>
          <w:sz w:val="21"/>
          <w:szCs w:val="21"/>
        </w:rPr>
        <w:t>2.1 定义</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本合同中的下列词语应按以下内容进行解释：</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2.1.1 “合同”系指采购人和中标供应商签订的载明双方当事人所达成的协议，并包括所有的附件、附录和构成合同的其他文件。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2.1.2 “合同价”系指根据合同约定，中标供应商在完全履行合同义务后，采购人应支付给中标供应商的价格。</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2.1.3 “服务”系指中标供应商根据合同约定应向采购人履行的除货物和工程以外的其他政府采购对象，包括采购人自身需要的服务和向社会公众提供的公共服务。</w:t>
      </w:r>
    </w:p>
    <w:p>
      <w:pPr>
        <w:spacing w:line="400" w:lineRule="exact"/>
        <w:ind w:firstLine="420" w:firstLineChars="200"/>
        <w:rPr>
          <w:rFonts w:hint="eastAsia" w:ascii="宋体" w:hAnsi="宋体" w:eastAsia="宋体" w:cs="宋体"/>
          <w:sz w:val="21"/>
          <w:szCs w:val="21"/>
        </w:rPr>
      </w:pPr>
      <w:bookmarkStart w:id="706" w:name="_Ref467378840"/>
      <w:r>
        <w:rPr>
          <w:rFonts w:hint="eastAsia" w:ascii="宋体" w:hAnsi="宋体" w:eastAsia="宋体" w:cs="宋体"/>
          <w:sz w:val="21"/>
          <w:szCs w:val="21"/>
        </w:rPr>
        <w:t>2.1.4 “甲方”系指与中标供应商签署合同的采购人</w:t>
      </w:r>
      <w:bookmarkEnd w:id="706"/>
      <w:r>
        <w:rPr>
          <w:rFonts w:hint="eastAsia" w:ascii="宋体" w:hAnsi="宋体" w:eastAsia="宋体" w:cs="宋体"/>
          <w:sz w:val="21"/>
          <w:szCs w:val="21"/>
        </w:rPr>
        <w:t>；采购人委托采购代理机构代表其与乙方签订合同的，采购人的授权委托书作为合同附件。</w:t>
      </w:r>
    </w:p>
    <w:p>
      <w:pPr>
        <w:spacing w:line="400" w:lineRule="exact"/>
        <w:ind w:firstLine="420" w:firstLineChars="200"/>
        <w:rPr>
          <w:rFonts w:hint="eastAsia" w:ascii="宋体" w:hAnsi="宋体" w:eastAsia="宋体" w:cs="宋体"/>
          <w:sz w:val="21"/>
          <w:szCs w:val="21"/>
        </w:rPr>
      </w:pPr>
      <w:bookmarkStart w:id="707" w:name="_Ref467379400"/>
      <w:r>
        <w:rPr>
          <w:rFonts w:hint="eastAsia" w:ascii="宋体" w:hAnsi="宋体" w:eastAsia="宋体" w:cs="宋体"/>
          <w:sz w:val="21"/>
          <w:szCs w:val="21"/>
        </w:rPr>
        <w:t>2.1.5 “乙方”系指根据合同约定提供服务的中标供应商</w:t>
      </w:r>
      <w:bookmarkEnd w:id="707"/>
      <w:r>
        <w:rPr>
          <w:rFonts w:hint="eastAsia" w:ascii="宋体" w:hAnsi="宋体" w:eastAsia="宋体" w:cs="宋体"/>
          <w:sz w:val="21"/>
          <w:szCs w:val="21"/>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00" w:lineRule="exact"/>
        <w:ind w:firstLine="420" w:firstLineChars="200"/>
        <w:rPr>
          <w:rFonts w:hint="eastAsia" w:ascii="宋体" w:hAnsi="宋体" w:eastAsia="宋体" w:cs="宋体"/>
          <w:sz w:val="21"/>
          <w:szCs w:val="21"/>
        </w:rPr>
      </w:pPr>
      <w:bookmarkStart w:id="708" w:name="_Ref467379436"/>
      <w:r>
        <w:rPr>
          <w:rFonts w:hint="eastAsia" w:ascii="宋体" w:hAnsi="宋体" w:eastAsia="宋体" w:cs="宋体"/>
          <w:sz w:val="21"/>
          <w:szCs w:val="21"/>
        </w:rPr>
        <w:t>2.1.6 “现场”系指合同约定提供服务的地点。</w:t>
      </w:r>
      <w:bookmarkEnd w:id="708"/>
    </w:p>
    <w:p>
      <w:pPr>
        <w:spacing w:line="400" w:lineRule="exact"/>
        <w:ind w:firstLine="422" w:firstLineChars="200"/>
        <w:outlineLvl w:val="0"/>
        <w:rPr>
          <w:rFonts w:hint="eastAsia" w:ascii="宋体" w:hAnsi="宋体" w:eastAsia="宋体" w:cs="宋体"/>
          <w:b/>
          <w:sz w:val="21"/>
          <w:szCs w:val="21"/>
        </w:rPr>
      </w:pPr>
      <w:bookmarkStart w:id="709" w:name="_Toc23289"/>
      <w:bookmarkStart w:id="710" w:name="_Toc10249"/>
      <w:bookmarkStart w:id="711" w:name="_Toc259093670"/>
      <w:bookmarkStart w:id="712" w:name="_Toc22493"/>
      <w:bookmarkStart w:id="713" w:name="_Toc17554"/>
      <w:bookmarkStart w:id="714" w:name="_Toc3769"/>
      <w:bookmarkStart w:id="715" w:name="_Toc279701241"/>
      <w:bookmarkStart w:id="716" w:name="_Toc487900350"/>
      <w:bookmarkStart w:id="717" w:name="_Toc24501"/>
      <w:bookmarkStart w:id="718" w:name="_Toc15686"/>
      <w:bookmarkStart w:id="719" w:name="_Toc19539"/>
      <w:bookmarkStart w:id="720" w:name="_Toc31402"/>
      <w:bookmarkStart w:id="721" w:name="_Toc13926"/>
      <w:bookmarkStart w:id="722" w:name="_Toc16752"/>
      <w:bookmarkStart w:id="723" w:name="_Toc24815"/>
      <w:bookmarkStart w:id="724" w:name="_Toc25980"/>
      <w:bookmarkStart w:id="725" w:name="_Toc10566"/>
      <w:r>
        <w:rPr>
          <w:rFonts w:hint="eastAsia" w:ascii="宋体" w:hAnsi="宋体" w:eastAsia="宋体" w:cs="宋体"/>
          <w:b/>
          <w:sz w:val="21"/>
          <w:szCs w:val="21"/>
        </w:rPr>
        <w:t>2.2 技术规范</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00" w:lineRule="exact"/>
        <w:ind w:firstLine="422" w:firstLineChars="200"/>
        <w:outlineLvl w:val="0"/>
        <w:rPr>
          <w:rFonts w:hint="eastAsia" w:ascii="宋体" w:hAnsi="宋体" w:eastAsia="宋体" w:cs="宋体"/>
          <w:b/>
          <w:sz w:val="21"/>
          <w:szCs w:val="21"/>
        </w:rPr>
      </w:pPr>
      <w:bookmarkStart w:id="726" w:name="_Toc13673"/>
      <w:bookmarkStart w:id="727" w:name="_Toc279701242"/>
      <w:bookmarkStart w:id="728" w:name="_Toc21762"/>
      <w:bookmarkStart w:id="729" w:name="_Toc9161"/>
      <w:bookmarkStart w:id="730" w:name="_Toc1438"/>
      <w:bookmarkStart w:id="731" w:name="_Toc487900351"/>
      <w:bookmarkStart w:id="732" w:name="_Toc7280"/>
      <w:bookmarkStart w:id="733" w:name="_Toc1059"/>
      <w:bookmarkStart w:id="734" w:name="_Toc22416"/>
      <w:bookmarkStart w:id="735" w:name="_Toc259093671"/>
      <w:bookmarkStart w:id="736" w:name="_Toc9578"/>
      <w:bookmarkStart w:id="737" w:name="_Toc4133"/>
      <w:bookmarkStart w:id="738" w:name="_Toc27945"/>
      <w:bookmarkStart w:id="739" w:name="_Toc30138"/>
      <w:bookmarkStart w:id="740" w:name="_Toc9094"/>
      <w:bookmarkStart w:id="741" w:name="_Toc12412"/>
      <w:bookmarkStart w:id="742" w:name="_Toc11196"/>
      <w:r>
        <w:rPr>
          <w:rFonts w:hint="eastAsia" w:ascii="宋体" w:hAnsi="宋体" w:eastAsia="宋体" w:cs="宋体"/>
          <w:b/>
          <w:sz w:val="21"/>
          <w:szCs w:val="21"/>
        </w:rPr>
        <w:t>2.3 知识产权</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2.3.2 合同涉及技术成果的归属和收益的分成办法的，详见</w:t>
      </w:r>
      <w:r>
        <w:rPr>
          <w:rFonts w:hint="eastAsia" w:ascii="宋体" w:hAnsi="宋体" w:eastAsia="宋体" w:cs="宋体"/>
          <w:b/>
          <w:i/>
          <w:sz w:val="21"/>
          <w:szCs w:val="21"/>
          <w:u w:val="single"/>
        </w:rPr>
        <w:t>合同专用条款</w:t>
      </w:r>
      <w:r>
        <w:rPr>
          <w:rFonts w:hint="eastAsia" w:ascii="宋体" w:hAnsi="宋体" w:eastAsia="宋体" w:cs="宋体"/>
          <w:sz w:val="21"/>
          <w:szCs w:val="21"/>
        </w:rPr>
        <w:t>。</w:t>
      </w:r>
    </w:p>
    <w:p>
      <w:pPr>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2.4 履约检查和问题反馈</w:t>
      </w:r>
    </w:p>
    <w:p>
      <w:pPr>
        <w:spacing w:line="400" w:lineRule="exact"/>
        <w:ind w:firstLine="420" w:firstLineChars="200"/>
        <w:rPr>
          <w:rFonts w:hint="eastAsia" w:ascii="宋体" w:hAnsi="宋体" w:eastAsia="宋体" w:cs="宋体"/>
          <w:sz w:val="21"/>
          <w:szCs w:val="21"/>
        </w:rPr>
      </w:pPr>
      <w:bookmarkStart w:id="743" w:name="_Ref467379657"/>
      <w:r>
        <w:rPr>
          <w:rFonts w:hint="eastAsia" w:ascii="宋体" w:hAnsi="宋体" w:eastAsia="宋体" w:cs="宋体"/>
          <w:sz w:val="21"/>
          <w:szCs w:val="21"/>
        </w:rPr>
        <w:t>2.4.1</w:t>
      </w:r>
      <w:bookmarkEnd w:id="743"/>
      <w:bookmarkStart w:id="744" w:name="_Toc186431854"/>
      <w:bookmarkStart w:id="745" w:name="_Ref467379793"/>
      <w:bookmarkStart w:id="746" w:name="_Ref467379807"/>
      <w:bookmarkStart w:id="747" w:name="_Toc279701247"/>
      <w:bookmarkStart w:id="748" w:name="_Toc259093676"/>
      <w:bookmarkStart w:id="749" w:name="_Toc487900357"/>
      <w:r>
        <w:rPr>
          <w:rFonts w:hint="eastAsia" w:ascii="宋体" w:hAnsi="宋体" w:eastAsia="宋体" w:cs="宋体"/>
          <w:sz w:val="21"/>
          <w:szCs w:val="21"/>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2.4.2 合同履行期间，甲方有权将履行过程中出现的问题反馈给乙方，双方当事人应以书面形式约定需要完善和改进的内容</w:t>
      </w:r>
      <w:bookmarkEnd w:id="744"/>
      <w:bookmarkStart w:id="750" w:name="_Toc186431855"/>
      <w:r>
        <w:rPr>
          <w:rFonts w:hint="eastAsia" w:ascii="宋体" w:hAnsi="宋体" w:eastAsia="宋体" w:cs="宋体"/>
          <w:sz w:val="21"/>
          <w:szCs w:val="21"/>
        </w:rPr>
        <w:t>。</w:t>
      </w:r>
    </w:p>
    <w:bookmarkEnd w:id="750"/>
    <w:p>
      <w:pPr>
        <w:spacing w:line="400" w:lineRule="exact"/>
        <w:ind w:firstLine="422" w:firstLineChars="200"/>
        <w:outlineLvl w:val="0"/>
        <w:rPr>
          <w:rFonts w:hint="eastAsia" w:ascii="宋体" w:hAnsi="宋体" w:eastAsia="宋体" w:cs="宋体"/>
          <w:b/>
          <w:sz w:val="21"/>
          <w:szCs w:val="21"/>
        </w:rPr>
      </w:pPr>
      <w:bookmarkStart w:id="751" w:name="_Toc26555"/>
      <w:bookmarkStart w:id="752" w:name="_Toc31233"/>
      <w:bookmarkStart w:id="753" w:name="_Toc22011"/>
      <w:bookmarkStart w:id="754" w:name="_Toc25428"/>
      <w:bookmarkStart w:id="755" w:name="_Toc4237"/>
      <w:bookmarkStart w:id="756" w:name="_Toc29275"/>
      <w:bookmarkStart w:id="757" w:name="_Toc32670"/>
      <w:bookmarkStart w:id="758" w:name="_Toc32043"/>
      <w:bookmarkStart w:id="759" w:name="_Toc21474"/>
      <w:bookmarkStart w:id="760" w:name="_Toc15447"/>
      <w:bookmarkStart w:id="761" w:name="_Toc15567"/>
      <w:bookmarkStart w:id="762" w:name="_Toc12450"/>
      <w:bookmarkStart w:id="763" w:name="_Toc16669"/>
      <w:bookmarkStart w:id="764" w:name="_Toc18382"/>
      <w:r>
        <w:rPr>
          <w:rFonts w:hint="eastAsia" w:ascii="宋体" w:hAnsi="宋体" w:eastAsia="宋体" w:cs="宋体"/>
          <w:b/>
          <w:sz w:val="21"/>
          <w:szCs w:val="21"/>
        </w:rPr>
        <w:t>2.5 结算方式和付款条件</w:t>
      </w:r>
      <w:bookmarkEnd w:id="745"/>
      <w:bookmarkEnd w:id="746"/>
      <w:bookmarkEnd w:id="747"/>
      <w:bookmarkEnd w:id="748"/>
      <w:bookmarkEnd w:id="749"/>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详见</w:t>
      </w:r>
      <w:r>
        <w:rPr>
          <w:rFonts w:hint="eastAsia" w:ascii="宋体" w:hAnsi="宋体" w:eastAsia="宋体" w:cs="宋体"/>
          <w:b/>
          <w:i/>
          <w:sz w:val="21"/>
          <w:szCs w:val="21"/>
          <w:u w:val="single"/>
        </w:rPr>
        <w:t>合同专用条款</w:t>
      </w:r>
      <w:r>
        <w:rPr>
          <w:rFonts w:hint="eastAsia" w:ascii="宋体" w:hAnsi="宋体" w:eastAsia="宋体" w:cs="宋体"/>
          <w:sz w:val="21"/>
          <w:szCs w:val="21"/>
        </w:rPr>
        <w:t>。</w:t>
      </w:r>
    </w:p>
    <w:p>
      <w:pPr>
        <w:spacing w:line="400" w:lineRule="exact"/>
        <w:ind w:firstLine="422" w:firstLineChars="200"/>
        <w:outlineLvl w:val="0"/>
        <w:rPr>
          <w:rFonts w:hint="eastAsia" w:ascii="宋体" w:hAnsi="宋体" w:eastAsia="宋体" w:cs="宋体"/>
          <w:b/>
          <w:sz w:val="21"/>
          <w:szCs w:val="21"/>
        </w:rPr>
      </w:pPr>
      <w:bookmarkStart w:id="765" w:name="_Toc259093677"/>
      <w:bookmarkStart w:id="766" w:name="_Ref467379863"/>
      <w:bookmarkStart w:id="767" w:name="_Ref467379923"/>
      <w:bookmarkStart w:id="768" w:name="_Toc487900358"/>
      <w:bookmarkStart w:id="769" w:name="_Ref467379852"/>
      <w:bookmarkStart w:id="770" w:name="_Toc279701248"/>
      <w:bookmarkStart w:id="771" w:name="_Toc16163"/>
      <w:bookmarkStart w:id="772" w:name="_Toc13740"/>
      <w:bookmarkStart w:id="773" w:name="_Toc13154"/>
      <w:bookmarkStart w:id="774" w:name="_Toc30507"/>
      <w:bookmarkStart w:id="775" w:name="_Toc29402"/>
      <w:bookmarkStart w:id="776" w:name="_Toc26815"/>
      <w:bookmarkStart w:id="777" w:name="_Toc18990"/>
      <w:bookmarkStart w:id="778" w:name="_Toc13467"/>
      <w:bookmarkStart w:id="779" w:name="_Toc18186"/>
      <w:bookmarkStart w:id="780" w:name="_Toc3982"/>
      <w:bookmarkStart w:id="781" w:name="_Toc18398"/>
      <w:bookmarkStart w:id="782" w:name="_Toc23122"/>
      <w:bookmarkStart w:id="783" w:name="_Toc19435"/>
      <w:bookmarkStart w:id="784" w:name="_Toc26859"/>
      <w:r>
        <w:rPr>
          <w:rFonts w:hint="eastAsia" w:ascii="宋体" w:hAnsi="宋体" w:eastAsia="宋体" w:cs="宋体"/>
          <w:b/>
          <w:sz w:val="21"/>
          <w:szCs w:val="21"/>
        </w:rPr>
        <w:t>2.6 技术资料</w:t>
      </w:r>
      <w:bookmarkEnd w:id="765"/>
      <w:bookmarkEnd w:id="766"/>
      <w:bookmarkEnd w:id="767"/>
      <w:bookmarkEnd w:id="768"/>
      <w:bookmarkEnd w:id="769"/>
      <w:bookmarkEnd w:id="770"/>
      <w:r>
        <w:rPr>
          <w:rFonts w:hint="eastAsia" w:ascii="宋体" w:hAnsi="宋体" w:eastAsia="宋体" w:cs="宋体"/>
          <w:b/>
          <w:sz w:val="21"/>
          <w:szCs w:val="21"/>
        </w:rPr>
        <w:t>和保密义务</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2.6.1 乙方有权依据合同约定和项目需要，向甲方了解有关情况，调阅有关资料等，甲方应予积极配合；</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2.6.2 乙方有义务妥善保管和保护由甲方提供的前款信息和资料等；</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00" w:lineRule="exact"/>
        <w:ind w:firstLine="422" w:firstLineChars="200"/>
        <w:outlineLvl w:val="0"/>
        <w:rPr>
          <w:rFonts w:hint="eastAsia" w:ascii="宋体" w:hAnsi="宋体" w:eastAsia="宋体" w:cs="宋体"/>
          <w:b/>
          <w:sz w:val="21"/>
          <w:szCs w:val="21"/>
        </w:rPr>
      </w:pPr>
      <w:bookmarkStart w:id="785" w:name="_Toc10699"/>
      <w:bookmarkStart w:id="786" w:name="_Toc24552"/>
      <w:bookmarkStart w:id="787" w:name="_Toc20114"/>
      <w:bookmarkStart w:id="788" w:name="_Toc18372"/>
      <w:bookmarkStart w:id="789" w:name="_Toc1948"/>
      <w:bookmarkStart w:id="790" w:name="_Toc10458"/>
      <w:bookmarkStart w:id="791" w:name="_Toc21039"/>
      <w:bookmarkStart w:id="792" w:name="_Toc30162"/>
      <w:bookmarkStart w:id="793" w:name="_Toc19069"/>
      <w:bookmarkStart w:id="794" w:name="_Toc18056"/>
      <w:bookmarkStart w:id="795" w:name="_Toc487900362"/>
      <w:bookmarkStart w:id="796" w:name="_Toc279701252"/>
      <w:bookmarkStart w:id="797" w:name="_Toc259093681"/>
      <w:r>
        <w:rPr>
          <w:rFonts w:hint="eastAsia" w:ascii="宋体" w:hAnsi="宋体" w:eastAsia="宋体" w:cs="宋体"/>
          <w:b/>
          <w:sz w:val="21"/>
          <w:szCs w:val="21"/>
        </w:rPr>
        <w:t>2.7 质量保证</w:t>
      </w:r>
      <w:bookmarkEnd w:id="785"/>
      <w:bookmarkEnd w:id="786"/>
      <w:bookmarkEnd w:id="787"/>
      <w:bookmarkEnd w:id="788"/>
      <w:bookmarkEnd w:id="789"/>
      <w:bookmarkEnd w:id="790"/>
      <w:bookmarkEnd w:id="791"/>
      <w:bookmarkEnd w:id="792"/>
      <w:bookmarkEnd w:id="793"/>
      <w:bookmarkEnd w:id="794"/>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2.7.1 乙方应建立和完善履行合同的内部质量保证体系，并提供相关内部规章制度给甲方，以便甲方进行监督检查；</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2.7.2 乙方应保证履行合同的人员数量和素质、软件和硬件设备的配置、场地、环境和设施等满足全面履行合同的要求，并应接受甲方的监督检查。</w:t>
      </w:r>
    </w:p>
    <w:p>
      <w:pPr>
        <w:spacing w:line="400" w:lineRule="exact"/>
        <w:ind w:firstLine="422" w:firstLineChars="200"/>
        <w:outlineLvl w:val="0"/>
        <w:rPr>
          <w:rFonts w:hint="eastAsia" w:ascii="宋体" w:hAnsi="宋体" w:eastAsia="宋体" w:cs="宋体"/>
          <w:b/>
          <w:sz w:val="21"/>
          <w:szCs w:val="21"/>
        </w:rPr>
      </w:pPr>
      <w:bookmarkStart w:id="798" w:name="_Toc22198"/>
      <w:bookmarkStart w:id="799" w:name="_Toc1263"/>
      <w:bookmarkStart w:id="800" w:name="_Toc24499"/>
      <w:bookmarkStart w:id="801" w:name="_Toc11272"/>
      <w:bookmarkStart w:id="802" w:name="_Toc23262"/>
      <w:bookmarkStart w:id="803" w:name="_Toc31651"/>
      <w:bookmarkStart w:id="804" w:name="_Toc22267"/>
      <w:bookmarkStart w:id="805" w:name="_Toc11034"/>
      <w:bookmarkStart w:id="806" w:name="_Toc7710"/>
      <w:bookmarkStart w:id="807" w:name="_Toc18434"/>
      <w:r>
        <w:rPr>
          <w:rFonts w:hint="eastAsia" w:ascii="宋体" w:hAnsi="宋体" w:eastAsia="宋体" w:cs="宋体"/>
          <w:b/>
          <w:sz w:val="21"/>
          <w:szCs w:val="21"/>
        </w:rPr>
        <w:t>2.8 延迟</w:t>
      </w:r>
      <w:bookmarkEnd w:id="795"/>
      <w:bookmarkEnd w:id="796"/>
      <w:bookmarkEnd w:id="797"/>
      <w:r>
        <w:rPr>
          <w:rFonts w:hint="eastAsia" w:ascii="宋体" w:hAnsi="宋体" w:eastAsia="宋体" w:cs="宋体"/>
          <w:b/>
          <w:sz w:val="21"/>
          <w:szCs w:val="21"/>
        </w:rPr>
        <w:t>履行</w:t>
      </w:r>
      <w:bookmarkEnd w:id="798"/>
      <w:bookmarkEnd w:id="799"/>
      <w:bookmarkEnd w:id="800"/>
      <w:bookmarkEnd w:id="801"/>
      <w:bookmarkEnd w:id="802"/>
      <w:bookmarkEnd w:id="803"/>
      <w:bookmarkEnd w:id="804"/>
      <w:bookmarkEnd w:id="805"/>
      <w:bookmarkEnd w:id="806"/>
      <w:bookmarkEnd w:id="807"/>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400" w:lineRule="exact"/>
        <w:ind w:firstLine="422" w:firstLineChars="200"/>
        <w:outlineLvl w:val="0"/>
        <w:rPr>
          <w:rFonts w:hint="eastAsia" w:ascii="宋体" w:hAnsi="宋体" w:eastAsia="宋体" w:cs="宋体"/>
          <w:b/>
          <w:sz w:val="21"/>
          <w:szCs w:val="21"/>
        </w:rPr>
      </w:pPr>
      <w:bookmarkStart w:id="808" w:name="_Toc3810"/>
      <w:bookmarkStart w:id="809" w:name="_Toc13769"/>
      <w:bookmarkStart w:id="810" w:name="_Toc27101"/>
      <w:bookmarkStart w:id="811" w:name="_Toc12190"/>
      <w:bookmarkStart w:id="812" w:name="_Toc6471"/>
      <w:bookmarkStart w:id="813" w:name="_Toc29936"/>
      <w:bookmarkStart w:id="814" w:name="_Toc20659"/>
      <w:bookmarkStart w:id="815" w:name="_Toc3758"/>
      <w:bookmarkStart w:id="816" w:name="_Toc10611"/>
      <w:bookmarkStart w:id="817" w:name="_Toc7444"/>
      <w:bookmarkStart w:id="818" w:name="_Toc487900364"/>
      <w:bookmarkStart w:id="819" w:name="_Toc279701254"/>
      <w:bookmarkStart w:id="820" w:name="_Ref467378121"/>
      <w:bookmarkStart w:id="821" w:name="_Toc259093683"/>
      <w:r>
        <w:rPr>
          <w:rFonts w:hint="eastAsia" w:ascii="宋体" w:hAnsi="宋体" w:eastAsia="宋体" w:cs="宋体"/>
          <w:b/>
          <w:sz w:val="21"/>
          <w:szCs w:val="21"/>
        </w:rPr>
        <w:t>2.9 合同变更</w:t>
      </w:r>
      <w:bookmarkEnd w:id="808"/>
      <w:bookmarkEnd w:id="809"/>
      <w:bookmarkEnd w:id="810"/>
      <w:bookmarkEnd w:id="811"/>
      <w:bookmarkEnd w:id="812"/>
      <w:bookmarkEnd w:id="813"/>
      <w:bookmarkEnd w:id="814"/>
      <w:bookmarkEnd w:id="815"/>
      <w:bookmarkEnd w:id="816"/>
      <w:bookmarkEnd w:id="817"/>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2.9.2 合同继续履行将损害国家利益和社会公共利益的，双方当事人应当以书面形式变更合同。有过错的一方应当承担赔偿责任，双方当事人都有过错的，各自承担相应的责任。</w:t>
      </w:r>
      <w:bookmarkStart w:id="822" w:name="_Toc487900369"/>
      <w:bookmarkStart w:id="823" w:name="_Toc259093688"/>
      <w:bookmarkStart w:id="824" w:name="_Toc279701259"/>
    </w:p>
    <w:p>
      <w:pPr>
        <w:spacing w:line="400" w:lineRule="exact"/>
        <w:ind w:firstLine="422" w:firstLineChars="200"/>
        <w:outlineLvl w:val="0"/>
        <w:rPr>
          <w:rFonts w:hint="eastAsia" w:ascii="宋体" w:hAnsi="宋体" w:eastAsia="宋体" w:cs="宋体"/>
          <w:b/>
          <w:sz w:val="21"/>
          <w:szCs w:val="21"/>
        </w:rPr>
      </w:pPr>
      <w:bookmarkStart w:id="825" w:name="_Toc23368"/>
      <w:bookmarkStart w:id="826" w:name="_Toc26689"/>
      <w:bookmarkStart w:id="827" w:name="_Toc30446"/>
      <w:bookmarkStart w:id="828" w:name="_Toc7775"/>
      <w:bookmarkStart w:id="829" w:name="_Toc17116"/>
      <w:bookmarkStart w:id="830" w:name="_Toc10663"/>
      <w:bookmarkStart w:id="831" w:name="_Toc7532"/>
      <w:bookmarkStart w:id="832" w:name="_Toc28640"/>
      <w:bookmarkStart w:id="833" w:name="_Toc1805"/>
      <w:bookmarkStart w:id="834" w:name="_Toc21830"/>
      <w:bookmarkStart w:id="835" w:name="_Toc6424"/>
      <w:bookmarkStart w:id="836" w:name="_Toc18298"/>
      <w:bookmarkStart w:id="837" w:name="_Toc42"/>
      <w:bookmarkStart w:id="838" w:name="_Toc22537"/>
      <w:r>
        <w:rPr>
          <w:rFonts w:hint="eastAsia" w:ascii="宋体" w:hAnsi="宋体" w:eastAsia="宋体" w:cs="宋体"/>
          <w:b/>
          <w:sz w:val="21"/>
          <w:szCs w:val="21"/>
        </w:rPr>
        <w:t>2.10 合同转让</w:t>
      </w:r>
      <w:bookmarkEnd w:id="822"/>
      <w:bookmarkEnd w:id="823"/>
      <w:bookmarkEnd w:id="824"/>
      <w:r>
        <w:rPr>
          <w:rFonts w:hint="eastAsia" w:ascii="宋体" w:hAnsi="宋体" w:eastAsia="宋体" w:cs="宋体"/>
          <w:b/>
          <w:sz w:val="21"/>
          <w:szCs w:val="21"/>
        </w:rPr>
        <w:t>和分包</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400" w:lineRule="exact"/>
        <w:ind w:firstLine="422" w:firstLineChars="200"/>
        <w:outlineLvl w:val="0"/>
        <w:rPr>
          <w:rFonts w:hint="eastAsia" w:ascii="宋体" w:hAnsi="宋体" w:eastAsia="宋体" w:cs="宋体"/>
          <w:b/>
          <w:sz w:val="21"/>
          <w:szCs w:val="21"/>
        </w:rPr>
      </w:pPr>
      <w:bookmarkStart w:id="839" w:name="_Toc32494"/>
      <w:bookmarkStart w:id="840" w:name="_Toc25571"/>
      <w:bookmarkStart w:id="841" w:name="_Toc14371"/>
      <w:bookmarkStart w:id="842" w:name="_Toc21769"/>
      <w:bookmarkStart w:id="843" w:name="_Toc4211"/>
      <w:bookmarkStart w:id="844" w:name="_Toc26633"/>
      <w:bookmarkStart w:id="845" w:name="_Toc9705"/>
      <w:bookmarkStart w:id="846" w:name="_Toc30847"/>
      <w:bookmarkStart w:id="847" w:name="_Toc8431"/>
      <w:bookmarkStart w:id="848" w:name="_Toc31144"/>
      <w:bookmarkStart w:id="849" w:name="_Toc9462"/>
      <w:bookmarkStart w:id="850" w:name="_Toc4720"/>
      <w:bookmarkStart w:id="851" w:name="_Toc24708"/>
      <w:bookmarkStart w:id="852" w:name="_Toc25755"/>
      <w:r>
        <w:rPr>
          <w:rFonts w:hint="eastAsia" w:ascii="宋体" w:hAnsi="宋体" w:eastAsia="宋体" w:cs="宋体"/>
          <w:b/>
          <w:sz w:val="21"/>
          <w:szCs w:val="21"/>
        </w:rPr>
        <w:t>2.11 不可抗力</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2.11.1如果任何一方遭遇法律规定的不可抗力，致使合同履行受阻时，履行合同的期限应予延长，延长的期限应相当于不可抗力所影响的时间；</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2.11.2 因不可抗力致使不能实现合同目的的，当事人可以解除合同；</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2.11.3 因不可抗力致使合同有变更必要的，双方当事人应在</w:t>
      </w:r>
      <w:r>
        <w:rPr>
          <w:rFonts w:hint="eastAsia" w:ascii="宋体" w:hAnsi="宋体" w:eastAsia="宋体" w:cs="宋体"/>
          <w:b/>
          <w:i/>
          <w:sz w:val="21"/>
          <w:szCs w:val="21"/>
          <w:u w:val="single"/>
        </w:rPr>
        <w:t>合同专用条款</w:t>
      </w:r>
      <w:r>
        <w:rPr>
          <w:rFonts w:hint="eastAsia" w:ascii="宋体" w:hAnsi="宋体" w:eastAsia="宋体" w:cs="宋体"/>
          <w:sz w:val="21"/>
          <w:szCs w:val="21"/>
        </w:rPr>
        <w:t>约定时间内以书面形式变更合同；</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2.11.4受不可抗力影响的一方在不可抗力发生后，应在</w:t>
      </w:r>
      <w:r>
        <w:rPr>
          <w:rFonts w:hint="eastAsia" w:ascii="宋体" w:hAnsi="宋体" w:eastAsia="宋体" w:cs="宋体"/>
          <w:b/>
          <w:i/>
          <w:sz w:val="21"/>
          <w:szCs w:val="21"/>
          <w:u w:val="single"/>
        </w:rPr>
        <w:t>合同专用条款</w:t>
      </w:r>
      <w:r>
        <w:rPr>
          <w:rFonts w:hint="eastAsia" w:ascii="宋体" w:hAnsi="宋体" w:eastAsia="宋体" w:cs="宋体"/>
          <w:sz w:val="21"/>
          <w:szCs w:val="21"/>
        </w:rPr>
        <w:t>约定时间内以书面形式通知对方当事人，并在</w:t>
      </w:r>
      <w:r>
        <w:rPr>
          <w:rFonts w:hint="eastAsia" w:ascii="宋体" w:hAnsi="宋体" w:eastAsia="宋体" w:cs="宋体"/>
          <w:b/>
          <w:i/>
          <w:sz w:val="21"/>
          <w:szCs w:val="21"/>
          <w:u w:val="single"/>
        </w:rPr>
        <w:t>合同专用条款</w:t>
      </w:r>
      <w:r>
        <w:rPr>
          <w:rFonts w:hint="eastAsia" w:ascii="宋体" w:hAnsi="宋体" w:eastAsia="宋体" w:cs="宋体"/>
          <w:sz w:val="21"/>
          <w:szCs w:val="21"/>
        </w:rPr>
        <w:t>约定时间内，将有关部门出具的证明文件送达对方当事人。</w:t>
      </w:r>
    </w:p>
    <w:p>
      <w:pPr>
        <w:spacing w:line="400" w:lineRule="exact"/>
        <w:ind w:firstLine="422" w:firstLineChars="200"/>
        <w:outlineLvl w:val="0"/>
        <w:rPr>
          <w:rFonts w:hint="eastAsia" w:ascii="宋体" w:hAnsi="宋体" w:eastAsia="宋体" w:cs="宋体"/>
          <w:b/>
          <w:sz w:val="21"/>
          <w:szCs w:val="21"/>
        </w:rPr>
      </w:pPr>
      <w:bookmarkStart w:id="853" w:name="_Toc2665"/>
      <w:bookmarkStart w:id="854" w:name="_Toc6743"/>
      <w:bookmarkStart w:id="855" w:name="_Toc13565"/>
      <w:bookmarkStart w:id="856" w:name="_Toc14115"/>
      <w:bookmarkStart w:id="857" w:name="_Toc487900365"/>
      <w:bookmarkStart w:id="858" w:name="_Toc3638"/>
      <w:bookmarkStart w:id="859" w:name="_Toc24465"/>
      <w:bookmarkStart w:id="860" w:name="_Toc25783"/>
      <w:bookmarkStart w:id="861" w:name="_Toc3156"/>
      <w:bookmarkStart w:id="862" w:name="_Toc259093684"/>
      <w:bookmarkStart w:id="863" w:name="_Toc32181"/>
      <w:bookmarkStart w:id="864" w:name="_Toc219"/>
      <w:bookmarkStart w:id="865" w:name="_Toc14370"/>
      <w:bookmarkStart w:id="866" w:name="_Toc23854"/>
      <w:bookmarkStart w:id="867" w:name="_Toc279701255"/>
      <w:bookmarkStart w:id="868" w:name="_Toc2995"/>
      <w:bookmarkStart w:id="869" w:name="_Toc706"/>
      <w:r>
        <w:rPr>
          <w:rFonts w:hint="eastAsia" w:ascii="宋体" w:hAnsi="宋体" w:eastAsia="宋体" w:cs="宋体"/>
          <w:b/>
          <w:sz w:val="21"/>
          <w:szCs w:val="21"/>
        </w:rPr>
        <w:t>2.12 税费</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与合同有关的一切税费，均按照中华人民共和国法律的相关规定缴纳。</w:t>
      </w:r>
    </w:p>
    <w:p>
      <w:pPr>
        <w:spacing w:line="400" w:lineRule="exact"/>
        <w:ind w:firstLine="422" w:firstLineChars="200"/>
        <w:outlineLvl w:val="0"/>
        <w:rPr>
          <w:rFonts w:hint="eastAsia" w:ascii="宋体" w:hAnsi="宋体" w:eastAsia="宋体" w:cs="宋体"/>
          <w:b/>
          <w:sz w:val="21"/>
          <w:szCs w:val="21"/>
        </w:rPr>
      </w:pPr>
      <w:bookmarkStart w:id="870" w:name="_Toc14814"/>
      <w:bookmarkStart w:id="871" w:name="_Toc29427"/>
      <w:bookmarkStart w:id="872" w:name="_Toc7315"/>
      <w:bookmarkStart w:id="873" w:name="_Toc4896"/>
      <w:bookmarkStart w:id="874" w:name="_Toc279701258"/>
      <w:bookmarkStart w:id="875" w:name="_Toc24809"/>
      <w:bookmarkStart w:id="876" w:name="_Toc15966"/>
      <w:bookmarkStart w:id="877" w:name="_Toc259093687"/>
      <w:bookmarkStart w:id="878" w:name="_Toc31237"/>
      <w:bookmarkStart w:id="879" w:name="_Toc25525"/>
      <w:bookmarkStart w:id="880" w:name="_Toc10735"/>
      <w:bookmarkStart w:id="881" w:name="_Toc26883"/>
      <w:bookmarkStart w:id="882" w:name="_Toc487900368"/>
      <w:bookmarkStart w:id="883" w:name="_Toc3759"/>
      <w:bookmarkStart w:id="884" w:name="_Toc30105"/>
      <w:bookmarkStart w:id="885" w:name="_Toc7330"/>
      <w:bookmarkStart w:id="886" w:name="_Toc10281"/>
      <w:r>
        <w:rPr>
          <w:rFonts w:hint="eastAsia" w:ascii="宋体" w:hAnsi="宋体" w:eastAsia="宋体" w:cs="宋体"/>
          <w:b/>
          <w:sz w:val="21"/>
          <w:szCs w:val="21"/>
        </w:rPr>
        <w:t>2.13 乙方破产</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00" w:lineRule="exact"/>
        <w:ind w:firstLine="422" w:firstLineChars="200"/>
        <w:outlineLvl w:val="0"/>
        <w:rPr>
          <w:rFonts w:hint="eastAsia" w:ascii="宋体" w:hAnsi="宋体" w:eastAsia="宋体" w:cs="宋体"/>
          <w:b/>
          <w:sz w:val="21"/>
          <w:szCs w:val="21"/>
        </w:rPr>
      </w:pPr>
      <w:bookmarkStart w:id="887" w:name="_Toc2305"/>
      <w:bookmarkStart w:id="888" w:name="_Toc15650"/>
      <w:bookmarkStart w:id="889" w:name="_Toc2016"/>
      <w:bookmarkStart w:id="890" w:name="_Toc26320"/>
      <w:bookmarkStart w:id="891" w:name="_Toc1123"/>
      <w:bookmarkStart w:id="892" w:name="_Toc21402"/>
      <w:bookmarkStart w:id="893" w:name="_Toc4845"/>
      <w:bookmarkStart w:id="894" w:name="_Toc23637"/>
      <w:bookmarkStart w:id="895" w:name="_Toc8069"/>
      <w:bookmarkStart w:id="896" w:name="_Toc23323"/>
      <w:bookmarkStart w:id="897" w:name="_Toc31298"/>
      <w:bookmarkStart w:id="898" w:name="_Toc5650"/>
      <w:r>
        <w:rPr>
          <w:rFonts w:hint="eastAsia" w:ascii="宋体" w:hAnsi="宋体" w:eastAsia="宋体" w:cs="宋体"/>
          <w:b/>
          <w:sz w:val="21"/>
          <w:szCs w:val="21"/>
        </w:rPr>
        <w:t>2.14 合同中止、终止</w:t>
      </w:r>
      <w:bookmarkEnd w:id="887"/>
      <w:bookmarkEnd w:id="888"/>
      <w:bookmarkEnd w:id="889"/>
      <w:bookmarkEnd w:id="890"/>
      <w:bookmarkEnd w:id="891"/>
      <w:bookmarkEnd w:id="892"/>
      <w:bookmarkEnd w:id="893"/>
      <w:bookmarkEnd w:id="894"/>
      <w:bookmarkEnd w:id="895"/>
      <w:bookmarkEnd w:id="896"/>
      <w:bookmarkEnd w:id="897"/>
      <w:bookmarkEnd w:id="898"/>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2.14.1 双方当事人不得擅自中止或者终止合同；</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2.14.2合同继续履行将损害国家利益和社会公共利益的，双方当事人应当中止或者终止合同。有过错的一方应当承担赔偿责任，双方当事人都有过错的，各自承担相应的责任。</w:t>
      </w:r>
    </w:p>
    <w:p>
      <w:pPr>
        <w:spacing w:line="400" w:lineRule="exact"/>
        <w:ind w:firstLine="422" w:firstLineChars="200"/>
        <w:outlineLvl w:val="0"/>
        <w:rPr>
          <w:rFonts w:hint="eastAsia" w:ascii="宋体" w:hAnsi="宋体" w:eastAsia="宋体" w:cs="宋体"/>
          <w:b/>
          <w:sz w:val="21"/>
          <w:szCs w:val="21"/>
        </w:rPr>
      </w:pPr>
      <w:bookmarkStart w:id="899" w:name="_Toc25753"/>
      <w:bookmarkStart w:id="900" w:name="_Toc14653"/>
      <w:bookmarkStart w:id="901" w:name="_Toc16198"/>
      <w:bookmarkStart w:id="902" w:name="_Toc25815"/>
      <w:bookmarkStart w:id="903" w:name="_Toc6071"/>
      <w:bookmarkStart w:id="904" w:name="_Toc22475"/>
      <w:bookmarkStart w:id="905" w:name="_Toc7924"/>
      <w:bookmarkStart w:id="906" w:name="_Toc17363"/>
      <w:bookmarkStart w:id="907" w:name="_Toc31348"/>
      <w:bookmarkStart w:id="908" w:name="_Toc1969"/>
      <w:bookmarkStart w:id="909" w:name="_Toc14525"/>
      <w:bookmarkStart w:id="910" w:name="_Toc22767"/>
      <w:r>
        <w:rPr>
          <w:rFonts w:hint="eastAsia" w:ascii="宋体" w:hAnsi="宋体" w:eastAsia="宋体" w:cs="宋体"/>
          <w:b/>
          <w:sz w:val="21"/>
          <w:szCs w:val="21"/>
        </w:rPr>
        <w:t>2.15 检验和验收</w:t>
      </w:r>
      <w:bookmarkEnd w:id="899"/>
      <w:bookmarkEnd w:id="900"/>
      <w:bookmarkEnd w:id="901"/>
      <w:bookmarkEnd w:id="902"/>
      <w:bookmarkEnd w:id="903"/>
      <w:bookmarkEnd w:id="904"/>
      <w:bookmarkEnd w:id="905"/>
      <w:bookmarkEnd w:id="906"/>
      <w:bookmarkEnd w:id="907"/>
      <w:bookmarkEnd w:id="908"/>
      <w:bookmarkEnd w:id="909"/>
      <w:bookmarkEnd w:id="910"/>
    </w:p>
    <w:p>
      <w:pPr>
        <w:tabs>
          <w:tab w:val="left" w:pos="360"/>
          <w:tab w:val="left" w:pos="540"/>
          <w:tab w:val="left" w:pos="108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2.15.1 乙方按照</w:t>
      </w:r>
      <w:r>
        <w:rPr>
          <w:rFonts w:hint="eastAsia" w:ascii="宋体" w:hAnsi="宋体" w:eastAsia="宋体" w:cs="宋体"/>
          <w:b/>
          <w:i/>
          <w:sz w:val="21"/>
          <w:szCs w:val="21"/>
          <w:u w:val="single"/>
        </w:rPr>
        <w:t>合同专用条款</w:t>
      </w:r>
      <w:r>
        <w:rPr>
          <w:rFonts w:hint="eastAsia" w:ascii="宋体" w:hAnsi="宋体" w:eastAsia="宋体" w:cs="宋体"/>
          <w:sz w:val="21"/>
          <w:szCs w:val="21"/>
        </w:rPr>
        <w:t>的约定，定期提交服务报告，甲方按照</w:t>
      </w:r>
      <w:r>
        <w:rPr>
          <w:rFonts w:hint="eastAsia" w:ascii="宋体" w:hAnsi="宋体" w:eastAsia="宋体" w:cs="宋体"/>
          <w:b/>
          <w:i/>
          <w:sz w:val="21"/>
          <w:szCs w:val="21"/>
          <w:u w:val="single"/>
        </w:rPr>
        <w:t>合同专用条款</w:t>
      </w:r>
      <w:r>
        <w:rPr>
          <w:rFonts w:hint="eastAsia" w:ascii="宋体" w:hAnsi="宋体" w:eastAsia="宋体" w:cs="宋体"/>
          <w:sz w:val="21"/>
          <w:szCs w:val="21"/>
        </w:rPr>
        <w:t>的约定进行定期验收；</w:t>
      </w:r>
    </w:p>
    <w:p>
      <w:pPr>
        <w:tabs>
          <w:tab w:val="left" w:pos="360"/>
          <w:tab w:val="left" w:pos="540"/>
          <w:tab w:val="left" w:pos="108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2.15.3 检验和验收标准、程序等具体内容以及前述验收书的效力详见</w:t>
      </w:r>
      <w:r>
        <w:rPr>
          <w:rFonts w:hint="eastAsia" w:ascii="宋体" w:hAnsi="宋体" w:eastAsia="宋体" w:cs="宋体"/>
          <w:b/>
          <w:i/>
          <w:sz w:val="21"/>
          <w:szCs w:val="21"/>
          <w:u w:val="single"/>
        </w:rPr>
        <w:t>合同专用条款</w:t>
      </w:r>
      <w:r>
        <w:rPr>
          <w:rFonts w:hint="eastAsia" w:ascii="宋体" w:hAnsi="宋体" w:eastAsia="宋体" w:cs="宋体"/>
          <w:i/>
          <w:sz w:val="21"/>
          <w:szCs w:val="21"/>
        </w:rPr>
        <w:t>。</w:t>
      </w:r>
    </w:p>
    <w:bookmarkEnd w:id="818"/>
    <w:bookmarkEnd w:id="819"/>
    <w:bookmarkEnd w:id="820"/>
    <w:bookmarkEnd w:id="821"/>
    <w:p>
      <w:pPr>
        <w:spacing w:line="400" w:lineRule="exact"/>
        <w:ind w:firstLine="422" w:firstLineChars="200"/>
        <w:outlineLvl w:val="0"/>
        <w:rPr>
          <w:rFonts w:hint="eastAsia" w:ascii="宋体" w:hAnsi="宋体" w:eastAsia="宋体" w:cs="宋体"/>
          <w:b/>
          <w:sz w:val="21"/>
          <w:szCs w:val="21"/>
        </w:rPr>
      </w:pPr>
      <w:bookmarkStart w:id="911" w:name="_Toc487900371"/>
      <w:bookmarkStart w:id="912" w:name="_Toc259093690"/>
      <w:bookmarkStart w:id="913" w:name="_Toc279701261"/>
      <w:bookmarkStart w:id="914" w:name="_Toc14978"/>
      <w:bookmarkStart w:id="915" w:name="_Toc26095"/>
      <w:bookmarkStart w:id="916" w:name="_Toc25198"/>
      <w:bookmarkStart w:id="917" w:name="_Toc10819"/>
      <w:bookmarkStart w:id="918" w:name="_Toc12666"/>
      <w:bookmarkStart w:id="919" w:name="_Toc2308"/>
      <w:bookmarkStart w:id="920" w:name="_Toc6307"/>
      <w:bookmarkStart w:id="921" w:name="_Toc31892"/>
      <w:bookmarkStart w:id="922" w:name="_Toc29667"/>
      <w:bookmarkStart w:id="923" w:name="_Toc10525"/>
      <w:bookmarkStart w:id="924" w:name="_Toc15607"/>
      <w:bookmarkStart w:id="925" w:name="_Toc953"/>
      <w:bookmarkStart w:id="926" w:name="_Toc9808"/>
      <w:bookmarkStart w:id="927" w:name="_Toc13757"/>
      <w:r>
        <w:rPr>
          <w:rFonts w:hint="eastAsia" w:ascii="宋体" w:hAnsi="宋体" w:eastAsia="宋体" w:cs="宋体"/>
          <w:b/>
          <w:sz w:val="21"/>
          <w:szCs w:val="21"/>
        </w:rPr>
        <w:t>2.16 通知</w:t>
      </w:r>
      <w:bookmarkEnd w:id="911"/>
      <w:bookmarkEnd w:id="912"/>
      <w:bookmarkEnd w:id="913"/>
      <w:r>
        <w:rPr>
          <w:rFonts w:hint="eastAsia" w:ascii="宋体" w:hAnsi="宋体" w:eastAsia="宋体" w:cs="宋体"/>
          <w:b/>
          <w:sz w:val="21"/>
          <w:szCs w:val="21"/>
        </w:rPr>
        <w:t>和送达</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spacing w:line="400" w:lineRule="exact"/>
        <w:ind w:firstLine="420" w:firstLineChars="200"/>
        <w:rPr>
          <w:rFonts w:hint="eastAsia" w:ascii="宋体" w:hAnsi="宋体" w:eastAsia="宋体" w:cs="宋体"/>
          <w:sz w:val="21"/>
          <w:szCs w:val="21"/>
        </w:rPr>
      </w:pPr>
      <w:bookmarkStart w:id="928" w:name="_Toc7073"/>
      <w:bookmarkStart w:id="929" w:name="_Toc29220"/>
      <w:bookmarkStart w:id="930" w:name="_Toc279701262"/>
      <w:bookmarkStart w:id="931" w:name="_Toc487900372"/>
      <w:bookmarkStart w:id="932" w:name="_Toc259093691"/>
      <w:r>
        <w:rPr>
          <w:rFonts w:hint="eastAsia" w:ascii="宋体" w:hAnsi="宋体" w:eastAsia="宋体" w:cs="宋体"/>
          <w:sz w:val="21"/>
          <w:szCs w:val="21"/>
        </w:rPr>
        <w:t>2.16.1 任何一方因履行合同而以合同第一部分尾部所列明的</w:t>
      </w:r>
      <w:r>
        <w:rPr>
          <w:rFonts w:hint="eastAsia" w:ascii="宋体" w:hAnsi="宋体" w:eastAsia="宋体" w:cs="宋体"/>
          <w:sz w:val="21"/>
          <w:szCs w:val="21"/>
          <w:u w:val="single"/>
        </w:rPr>
        <w:t xml:space="preserve">          </w:t>
      </w:r>
      <w:r>
        <w:rPr>
          <w:rFonts w:hint="eastAsia" w:ascii="宋体" w:hAnsi="宋体" w:eastAsia="宋体" w:cs="宋体"/>
          <w:sz w:val="21"/>
          <w:szCs w:val="21"/>
        </w:rPr>
        <w:t>发出的所有通知、文件、材料，均视为已向对方当事人送达；任何一方变更上述送达方式或者地址的，应于</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个工作日内书面通知对方当事人，在对方当事人收到有关变更通知之前，变更前的约定送达方式或者地址仍视为有效。</w:t>
      </w:r>
      <w:bookmarkEnd w:id="928"/>
      <w:bookmarkEnd w:id="929"/>
    </w:p>
    <w:p>
      <w:pPr>
        <w:spacing w:line="400" w:lineRule="exact"/>
        <w:ind w:firstLine="420" w:firstLineChars="200"/>
        <w:rPr>
          <w:rFonts w:hint="eastAsia" w:ascii="宋体" w:hAnsi="宋体" w:eastAsia="宋体" w:cs="宋体"/>
          <w:sz w:val="21"/>
          <w:szCs w:val="21"/>
        </w:rPr>
      </w:pPr>
      <w:bookmarkStart w:id="933" w:name="_Toc27674"/>
      <w:bookmarkStart w:id="934" w:name="_Toc18401"/>
      <w:r>
        <w:rPr>
          <w:rFonts w:hint="eastAsia" w:ascii="宋体" w:hAnsi="宋体" w:eastAsia="宋体" w:cs="宋体"/>
          <w:sz w:val="21"/>
          <w:szCs w:val="21"/>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933"/>
      <w:bookmarkEnd w:id="934"/>
    </w:p>
    <w:bookmarkEnd w:id="930"/>
    <w:bookmarkEnd w:id="931"/>
    <w:bookmarkEnd w:id="932"/>
    <w:p>
      <w:pPr>
        <w:spacing w:line="400" w:lineRule="exact"/>
        <w:ind w:firstLine="422" w:firstLineChars="200"/>
        <w:outlineLvl w:val="0"/>
        <w:rPr>
          <w:rFonts w:hint="eastAsia" w:ascii="宋体" w:hAnsi="宋体" w:eastAsia="宋体" w:cs="宋体"/>
          <w:b/>
          <w:sz w:val="21"/>
          <w:szCs w:val="21"/>
        </w:rPr>
      </w:pPr>
      <w:bookmarkStart w:id="935" w:name="_Toc279701263"/>
      <w:bookmarkStart w:id="936" w:name="_Toc19148"/>
      <w:bookmarkStart w:id="937" w:name="_Toc556"/>
      <w:bookmarkStart w:id="938" w:name="_Toc28906"/>
      <w:bookmarkStart w:id="939" w:name="_Toc1846"/>
      <w:bookmarkStart w:id="940" w:name="_Toc487900373"/>
      <w:bookmarkStart w:id="941" w:name="_Toc7037"/>
      <w:bookmarkStart w:id="942" w:name="_Toc5063"/>
      <w:bookmarkStart w:id="943" w:name="_Toc17963"/>
      <w:bookmarkStart w:id="944" w:name="_Toc31615"/>
      <w:bookmarkStart w:id="945" w:name="_Toc20808"/>
      <w:bookmarkStart w:id="946" w:name="_Toc16009"/>
      <w:bookmarkStart w:id="947" w:name="_Toc259093692"/>
      <w:bookmarkStart w:id="948" w:name="_Toc27644"/>
      <w:bookmarkStart w:id="949" w:name="_Toc4407"/>
      <w:bookmarkStart w:id="950" w:name="_Toc12254"/>
      <w:bookmarkStart w:id="951" w:name="_Toc3476"/>
      <w:r>
        <w:rPr>
          <w:rFonts w:hint="eastAsia" w:ascii="宋体" w:hAnsi="宋体" w:eastAsia="宋体" w:cs="宋体"/>
          <w:b/>
          <w:sz w:val="21"/>
          <w:szCs w:val="21"/>
        </w:rPr>
        <w:t>2.17 合同使用的文字和适用的法律</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2.17.1 合同使用汉语书就、变更和解释；</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2.17.2 合同适用中华人民共和国法律。</w:t>
      </w:r>
    </w:p>
    <w:p>
      <w:pPr>
        <w:spacing w:line="400" w:lineRule="exact"/>
        <w:ind w:firstLine="422" w:firstLineChars="200"/>
        <w:outlineLvl w:val="0"/>
        <w:rPr>
          <w:rFonts w:hint="eastAsia" w:ascii="宋体" w:hAnsi="宋体" w:eastAsia="宋体" w:cs="宋体"/>
          <w:b/>
          <w:sz w:val="21"/>
          <w:szCs w:val="21"/>
        </w:rPr>
      </w:pPr>
      <w:bookmarkStart w:id="952" w:name="_Toc27127"/>
      <w:bookmarkStart w:id="953" w:name="_Toc26691"/>
      <w:bookmarkStart w:id="954" w:name="_Toc1492"/>
      <w:bookmarkStart w:id="955" w:name="_Toc24074"/>
      <w:bookmarkStart w:id="956" w:name="_Toc15033"/>
      <w:bookmarkStart w:id="957" w:name="_Toc279701264"/>
      <w:bookmarkStart w:id="958" w:name="_Toc30096"/>
      <w:bookmarkStart w:id="959" w:name="_Toc17086"/>
      <w:bookmarkStart w:id="960" w:name="_Toc22266"/>
      <w:bookmarkStart w:id="961" w:name="_Toc18902"/>
      <w:bookmarkStart w:id="962" w:name="_Toc4961"/>
      <w:bookmarkStart w:id="963" w:name="_Toc259093693"/>
      <w:bookmarkStart w:id="964" w:name="_Toc20559"/>
      <w:bookmarkStart w:id="965" w:name="_Toc30312"/>
      <w:bookmarkStart w:id="966" w:name="_Toc27403"/>
      <w:bookmarkStart w:id="967" w:name="_Toc24569"/>
      <w:bookmarkStart w:id="968" w:name="_Toc487900374"/>
      <w:r>
        <w:rPr>
          <w:rFonts w:hint="eastAsia" w:ascii="宋体" w:hAnsi="宋体" w:eastAsia="宋体" w:cs="宋体"/>
          <w:b/>
          <w:sz w:val="21"/>
          <w:szCs w:val="21"/>
        </w:rPr>
        <w:t>2.18 履约保证金</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2.18.1 采购文件要求乙方提交履约保证金的，乙方应按</w:t>
      </w:r>
      <w:r>
        <w:rPr>
          <w:rFonts w:hint="eastAsia" w:ascii="宋体" w:hAnsi="宋体" w:eastAsia="宋体" w:cs="宋体"/>
          <w:b/>
          <w:i/>
          <w:sz w:val="21"/>
          <w:szCs w:val="21"/>
          <w:u w:val="single"/>
        </w:rPr>
        <w:t>合同专用条款</w:t>
      </w:r>
      <w:r>
        <w:rPr>
          <w:rFonts w:hint="eastAsia" w:ascii="宋体" w:hAnsi="宋体" w:eastAsia="宋体" w:cs="宋体"/>
          <w:sz w:val="21"/>
          <w:szCs w:val="21"/>
        </w:rPr>
        <w:t>约定的方式，以支票、汇票、本票或者金融机构、担保机构出具的保函等非现金形式，提交不超过合同价10%的履约保证金；</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2.18.2 履约保证金在</w:t>
      </w:r>
      <w:r>
        <w:rPr>
          <w:rFonts w:hint="eastAsia" w:ascii="宋体" w:hAnsi="宋体" w:eastAsia="宋体" w:cs="宋体"/>
          <w:b/>
          <w:i/>
          <w:sz w:val="21"/>
          <w:szCs w:val="21"/>
          <w:u w:val="single"/>
        </w:rPr>
        <w:t>合同专用条款</w:t>
      </w:r>
      <w:r>
        <w:rPr>
          <w:rFonts w:hint="eastAsia" w:ascii="宋体" w:hAnsi="宋体" w:eastAsia="宋体" w:cs="宋体"/>
          <w:sz w:val="21"/>
          <w:szCs w:val="21"/>
        </w:rPr>
        <w:t>约定期间内不予退还或者应完全有效，前述约定期间届满之日起</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个工作日内，甲方应将履约保证金退还乙方；</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968"/>
    <w:p>
      <w:pPr>
        <w:spacing w:line="40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2.19 合同份数</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合同份数按</w:t>
      </w:r>
      <w:r>
        <w:rPr>
          <w:rFonts w:hint="eastAsia" w:ascii="宋体" w:hAnsi="宋体" w:eastAsia="宋体" w:cs="宋体"/>
          <w:b/>
          <w:i/>
          <w:sz w:val="21"/>
          <w:szCs w:val="21"/>
          <w:u w:val="single"/>
        </w:rPr>
        <w:t>合同专用条款</w:t>
      </w:r>
      <w:r>
        <w:rPr>
          <w:rFonts w:hint="eastAsia" w:ascii="宋体" w:hAnsi="宋体" w:eastAsia="宋体" w:cs="宋体"/>
          <w:sz w:val="21"/>
          <w:szCs w:val="21"/>
        </w:rPr>
        <w:t>规定，每份均具有同等法律效力。</w:t>
      </w:r>
    </w:p>
    <w:p>
      <w:pPr>
        <w:pStyle w:val="45"/>
        <w:spacing w:line="400" w:lineRule="exact"/>
        <w:ind w:firstLine="0"/>
        <w:jc w:val="center"/>
        <w:rPr>
          <w:rFonts w:hint="eastAsia" w:ascii="宋体" w:hAnsi="宋体" w:eastAsia="宋体" w:cs="宋体"/>
          <w:b/>
          <w:sz w:val="21"/>
          <w:szCs w:val="21"/>
        </w:rPr>
      </w:pPr>
      <w:r>
        <w:rPr>
          <w:rFonts w:hint="eastAsia" w:ascii="宋体" w:hAnsi="宋体" w:eastAsia="宋体" w:cs="宋体"/>
          <w:sz w:val="21"/>
          <w:szCs w:val="21"/>
        </w:rPr>
        <w:br w:type="page"/>
      </w:r>
      <w:bookmarkStart w:id="969" w:name="_Toc331685784"/>
      <w:r>
        <w:rPr>
          <w:rFonts w:hint="eastAsia" w:ascii="宋体" w:hAnsi="宋体" w:eastAsia="宋体" w:cs="宋体"/>
          <w:b/>
          <w:sz w:val="21"/>
          <w:szCs w:val="21"/>
        </w:rPr>
        <w:t>第三部分  合同专用条款</w:t>
      </w:r>
      <w:bookmarkEnd w:id="969"/>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4"/>
        <w:tblW w:w="843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7633" w:type="dxa"/>
            <w:noWrap w:val="0"/>
            <w:vAlign w:val="center"/>
          </w:tcPr>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pPr>
              <w:spacing w:line="400" w:lineRule="exact"/>
              <w:rPr>
                <w:rFonts w:hint="eastAsia" w:ascii="宋体" w:hAnsi="宋体" w:eastAsia="宋体" w:cs="宋体"/>
                <w:sz w:val="21"/>
                <w:szCs w:val="21"/>
              </w:rPr>
            </w:pPr>
          </w:p>
        </w:tc>
        <w:tc>
          <w:tcPr>
            <w:tcW w:w="7633" w:type="dxa"/>
            <w:noWrap w:val="0"/>
            <w:vAlign w:val="center"/>
          </w:tcPr>
          <w:p>
            <w:pPr>
              <w:spacing w:line="400" w:lineRule="exact"/>
              <w:rPr>
                <w:rFonts w:hint="eastAsia" w:ascii="宋体" w:hAnsi="宋体" w:eastAsia="宋体" w:cs="宋体"/>
                <w:sz w:val="21"/>
                <w:szCs w:val="21"/>
              </w:rPr>
            </w:pPr>
          </w:p>
        </w:tc>
      </w:tr>
    </w:tbl>
    <w:p>
      <w:pPr>
        <w:spacing w:after="156" w:line="400" w:lineRule="exact"/>
        <w:ind w:firstLine="480"/>
        <w:rPr>
          <w:rFonts w:hint="eastAsia" w:ascii="宋体" w:hAnsi="宋体" w:eastAsia="宋体" w:cs="宋体"/>
          <w:sz w:val="21"/>
          <w:szCs w:val="21"/>
        </w:rPr>
      </w:pPr>
    </w:p>
    <w:p>
      <w:pPr>
        <w:bidi w:val="0"/>
        <w:rPr>
          <w:rFonts w:hint="eastAsia" w:ascii="宋体" w:hAnsi="宋体" w:eastAsia="宋体" w:cs="宋体"/>
        </w:rPr>
      </w:pPr>
    </w:p>
    <w:p>
      <w:pPr>
        <w:spacing w:line="400" w:lineRule="exact"/>
        <w:rPr>
          <w:rFonts w:hint="eastAsia" w:ascii="宋体" w:hAnsi="宋体" w:eastAsia="宋体" w:cs="宋体"/>
          <w:sz w:val="21"/>
          <w:szCs w:val="21"/>
        </w:rPr>
      </w:pPr>
    </w:p>
    <w:p>
      <w:pPr>
        <w:bidi w:val="0"/>
        <w:rPr>
          <w:rFonts w:hint="eastAsia" w:ascii="宋体" w:hAnsi="宋体" w:eastAsia="宋体" w:cs="宋体"/>
        </w:rPr>
      </w:pP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bidi w:val="0"/>
        <w:rPr>
          <w:rFonts w:hint="eastAsia" w:ascii="宋体" w:hAnsi="宋体" w:eastAsia="宋体" w:cs="宋体"/>
          <w:lang w:val="en-US" w:eastAsia="zh-CN"/>
        </w:rPr>
      </w:pPr>
    </w:p>
    <w:sectPr>
      <w:footerReference r:id="rId20" w:type="default"/>
      <w:pgSz w:w="11907" w:h="16840"/>
      <w:pgMar w:top="1474" w:right="1474" w:bottom="1474" w:left="158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7A"/>
    <w:family w:val="auto"/>
    <w:pitch w:val="default"/>
    <w:sig w:usb0="80000287" w:usb1="280F3C52" w:usb2="00000016" w:usb3="00000000" w:csb0="0004001F" w:csb1="00000000"/>
  </w:font>
  <w:font w:name="新宋体">
    <w:panose1 w:val="02010609030101010101"/>
    <w:charset w:val="7A"/>
    <w:family w:val="modern"/>
    <w:pitch w:val="default"/>
    <w:sig w:usb0="000000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jc w:val="center"/>
      <w:rPr>
        <w:rFonts w:hint="eastAsia"/>
      </w:rPr>
    </w:pPr>
    <w:r>
      <w:rPr>
        <w:color w:val="800000"/>
      </w:rPr>
      <w:t>Add</w:t>
    </w:r>
    <w:r>
      <w:rPr>
        <w:rFonts w:hint="eastAsia" w:cs="宋体"/>
        <w:color w:val="800000"/>
      </w:rPr>
      <w:t>：喀什经济开发区深喀大道深圳城3号楼9楼</w:t>
    </w:r>
    <w:r>
      <w:rPr>
        <w:color w:val="800000"/>
      </w:rPr>
      <w:t xml:space="preserve">        Tel</w:t>
    </w:r>
    <w:r>
      <w:rPr>
        <w:rFonts w:hint="eastAsia" w:cs="宋体"/>
        <w:color w:val="800000"/>
      </w:rPr>
      <w:t>：15099650569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MMJskBAACb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uAlLSiwzOPHzzx/nX3/Ov7+T&#10;qkoC9R5qzHv0mBmHD27A5NkP6Ey8BxlM+iIjgnGU93SRVwyR8PRoVa1W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hcwwmyQEAAJsDAAAOAAAAAAAAAAEAIAAAAB4BAABkcnMvZTJvRG9j&#10;LnhtbFBLBQYAAAAABgAGAFkBAABZ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60</w:t>
                    </w:r>
                    <w:r>
                      <w:fldChar w:fldCharType="end"/>
                    </w:r>
                  </w:p>
                </w:txbxContent>
              </v:textbox>
            </v:shape>
          </w:pict>
        </mc:Fallback>
      </mc:AlternateContent>
    </w:r>
  </w:p>
  <w:p>
    <w:pPr>
      <w:pStyle w:val="21"/>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MTMMg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imN33OLAL9+/XX78uvz8SpZv&#10;sj59gBrTHgImpuHOD7g1sx/QmWkPKtr8RUIE46ju+aquHBIR+dF6tV5XGBIYmy+Izx6fhwjprfSW&#10;ZKOhEcdXVOWn95DG1DklV3P+XhtTRmjcXw7EzB6Wex97zFYa9sNEaO/bM/LpcfINdbjolJh3DoXN&#10;SzIbcTb2s3EMUR+6skW5HoTbY8ImSm+5wgg7FcaRFXbT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dzEzDIAQAAmgMAAA4AAAAAAAAAAQAgAAAAHgEAAGRycy9lMm9Eb2Mu&#10;eG1sUEsFBgAAAAAGAAYAWQEAAFg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p>
    <w:pPr>
      <w:pStyle w:val="21"/>
      <w:ind w:right="360"/>
      <w:jc w:val="center"/>
      <w:rPr>
        <w:rFonts w:hint="eastAsia"/>
      </w:rPr>
    </w:pPr>
    <w:r>
      <w:rPr>
        <w:color w:val="800000"/>
      </w:rPr>
      <w:t>Add</w:t>
    </w:r>
    <w:r>
      <w:rPr>
        <w:rFonts w:hint="eastAsia" w:cs="宋体"/>
        <w:color w:val="800000"/>
      </w:rPr>
      <w:t xml:space="preserve">：喀什经济开发区深圳城3号楼12层1204 </w:t>
    </w:r>
    <w:r>
      <w:rPr>
        <w:color w:val="800000"/>
      </w:rPr>
      <w:t xml:space="preserve">        Tel</w:t>
    </w:r>
    <w:r>
      <w:rPr>
        <w:rFonts w:hint="eastAsia" w:cs="宋体"/>
        <w:color w:val="800000"/>
      </w:rPr>
      <w:t>：15099650569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8"/>
      </w:rPr>
    </w:pPr>
    <w:r>
      <w:fldChar w:fldCharType="begin"/>
    </w:r>
    <w:r>
      <w:rPr>
        <w:rStyle w:val="38"/>
      </w:rPr>
      <w:instrText xml:space="preserve">PAGE  </w:instrText>
    </w:r>
    <w:r>
      <w:fldChar w:fldCharType="end"/>
    </w: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KcaKLIAQAAmgMAAA4AAAAAAAAAAQAgAAAAHgEAAGRycy9lMm9Eb2Mu&#10;eG1sUEsFBgAAAAAGAAYAWQEAAFg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47</w:t>
                    </w:r>
                    <w:r>
                      <w:fldChar w:fldCharType="end"/>
                    </w:r>
                  </w:p>
                </w:txbxContent>
              </v:textbox>
            </v:shape>
          </w:pict>
        </mc:Fallback>
      </mc:AlternateContent>
    </w:r>
    <w:r>
      <w:rPr>
        <w:color w:val="800000"/>
      </w:rPr>
      <w:t>Add</w:t>
    </w:r>
    <w:r>
      <w:rPr>
        <w:rFonts w:hint="eastAsia" w:cs="宋体"/>
        <w:color w:val="800000"/>
      </w:rPr>
      <w:t>：喀什经济开发区深喀大道深圳城3号楼9楼</w:t>
    </w:r>
    <w:r>
      <w:rPr>
        <w:color w:val="800000"/>
      </w:rPr>
      <w:t xml:space="preserve">        Tel</w:t>
    </w:r>
    <w:r>
      <w:rPr>
        <w:rFonts w:hint="eastAsia" w:cs="宋体"/>
        <w:color w:val="800000"/>
      </w:rPr>
      <w:t>：15099650569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5pvwc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UBJHLc48cvPH5dffy6/v5PV&#10;MgvUB6gx7z5gZhre+QGTZz+gM/MeVLT5i4wIxhHrfJVXDomI/Gi9Wq8rDAmMzRfEZw/PQ4T0XnpL&#10;stHQiPMrsvLTR0hj6pySqzl/p40pMzTuHwdiZg/LvY89ZisN+2EitPftGfn0OPqGOtx0SswHh8pi&#10;f2k24mzsZ+MYoj50ZY1yPQi3x4RNlN5yhRF2KowzK+ym/cpL8fhes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uab8HIAQAAmwMAAA4AAAAAAAAAAQAgAAAAHgEAAGRycy9lMm9Eb2Mu&#10;eG1sUEsFBgAAAAAGAAYAWQEAAFgFA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53</w:t>
                    </w:r>
                    <w:r>
                      <w:fldChar w:fldCharType="end"/>
                    </w:r>
                  </w:p>
                </w:txbxContent>
              </v:textbox>
            </v:shape>
          </w:pict>
        </mc:Fallback>
      </mc:AlternateContent>
    </w:r>
  </w:p>
  <w:p>
    <w:pPr>
      <w:pStyle w:val="2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double" w:color="auto" w:sz="8" w:space="0"/>
      </w:pBdr>
      <w:jc w:val="left"/>
    </w:pPr>
    <w:r>
      <w:pict>
        <v:shape id="_x0000_s2049" o:spid="_x0000_s2049" o:spt="136" type="#_x0000_t136" style="position:absolute;left:0pt;margin-left:67.2pt;margin-top:32.95pt;height:15.6pt;width:152.25pt;z-index:251659264;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rotate-letters:f;v-same-letter-heights:f;v-text-align:left;"/>
        </v:shape>
      </w:pict>
    </w:r>
    <w:r>
      <w:drawing>
        <wp:inline distT="0" distB="0" distL="114300" distR="114300">
          <wp:extent cx="991235" cy="633095"/>
          <wp:effectExtent l="0" t="0" r="18415" b="1460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double" w:color="auto" w:sz="8" w:space="0"/>
      </w:pBdr>
      <w:jc w:val="left"/>
    </w:pPr>
    <w:r>
      <w:drawing>
        <wp:inline distT="0" distB="0" distL="114300" distR="114300">
          <wp:extent cx="991235" cy="633095"/>
          <wp:effectExtent l="0" t="0" r="18415" b="1460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r>
      <w:pict>
        <v:shape id="_x0000_s2055" o:spid="_x0000_s2055" o:spt="136" type="#_x0000_t136" style="position:absolute;left:0pt;margin-left:67.2pt;margin-top:32.95pt;height:15.6pt;width:152.25pt;z-index:251660288;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rotate-letters:f;v-same-letter-heights:f;v-text-align:le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double" w:color="auto" w:sz="8" w:space="0"/>
      </w:pBdr>
      <w:jc w:val="left"/>
    </w:pPr>
    <w:r>
      <w:drawing>
        <wp:inline distT="0" distB="0" distL="114300" distR="114300">
          <wp:extent cx="991235" cy="633095"/>
          <wp:effectExtent l="0" t="0" r="18415" b="1460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
                  <a:stretch>
                    <a:fillRect/>
                  </a:stretch>
                </pic:blipFill>
                <pic:spPr>
                  <a:xfrm>
                    <a:off x="0" y="0"/>
                    <a:ext cx="991235" cy="633095"/>
                  </a:xfrm>
                  <a:prstGeom prst="rect">
                    <a:avLst/>
                  </a:prstGeom>
                  <a:noFill/>
                  <a:ln>
                    <a:noFill/>
                  </a:ln>
                </pic:spPr>
              </pic:pic>
            </a:graphicData>
          </a:graphic>
        </wp:inline>
      </w:drawing>
    </w:r>
    <w:r>
      <w:pict>
        <v:shape id="_x0000_s2057" o:spid="_x0000_s2057" o:spt="136" type="#_x0000_t136" style="position:absolute;left:0pt;margin-left:66.35pt;margin-top:32.95pt;height:15.6pt;width:152.25pt;z-index:251661312;mso-width-relative:page;mso-height-relative:page;" fillcolor="#333333" filled="t" coordsize="21600,21600">
          <v:path/>
          <v:fill on="t" focussize="0,0"/>
          <v:stroke weight="0pt"/>
          <v:imagedata o:title=""/>
          <o:lock v:ext="edit"/>
          <v:textpath on="t" fitshape="t" fitpath="t" trim="t" xscale="f" string="   中经国际招标集团有限公司" style="font-family:黑体;font-size:12pt;v-rotate-letters:f;v-same-letter-heights:f;v-text-align:le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00000002"/>
    <w:multiLevelType w:val="multilevel"/>
    <w:tmpl w:val="00000002"/>
    <w:lvl w:ilvl="0" w:tentative="0">
      <w:start w:val="1"/>
      <w:numFmt w:val="decimal"/>
      <w:lvlText w:val="第%1章"/>
      <w:lvlJc w:val="left"/>
      <w:pPr>
        <w:tabs>
          <w:tab w:val="left" w:pos="3134"/>
        </w:tabs>
        <w:ind w:left="649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2">
    <w:nsid w:val="00000003"/>
    <w:multiLevelType w:val="multilevel"/>
    <w:tmpl w:val="00000003"/>
    <w:lvl w:ilvl="0" w:tentative="0">
      <w:start w:val="1"/>
      <w:numFmt w:val="decimal"/>
      <w:lvlText w:val="（%1）"/>
      <w:lvlJc w:val="left"/>
      <w:pPr>
        <w:tabs>
          <w:tab w:val="left" w:pos="1571"/>
        </w:tabs>
        <w:ind w:left="1720" w:hanging="720"/>
      </w:pPr>
      <w:rPr>
        <w:rFonts w:ascii="仿宋_GB2312" w:hAnsi="宋体" w:eastAsia="仿宋_GB2312" w:cs="Times New Roman"/>
      </w:rPr>
    </w:lvl>
    <w:lvl w:ilvl="1" w:tentative="0">
      <w:start w:val="1"/>
      <w:numFmt w:val="lowerLetter"/>
      <w:lvlText w:val="%2)"/>
      <w:lvlJc w:val="left"/>
      <w:pPr>
        <w:tabs>
          <w:tab w:val="left" w:pos="1739"/>
        </w:tabs>
        <w:ind w:left="1888" w:hanging="420"/>
      </w:pPr>
    </w:lvl>
    <w:lvl w:ilvl="2" w:tentative="0">
      <w:start w:val="1"/>
      <w:numFmt w:val="lowerRoman"/>
      <w:lvlText w:val="%3."/>
      <w:lvlJc w:val="right"/>
      <w:pPr>
        <w:tabs>
          <w:tab w:val="left" w:pos="2159"/>
        </w:tabs>
        <w:ind w:left="2308" w:hanging="420"/>
      </w:pPr>
    </w:lvl>
    <w:lvl w:ilvl="3" w:tentative="0">
      <w:start w:val="1"/>
      <w:numFmt w:val="decimal"/>
      <w:lvlText w:val="%4."/>
      <w:lvlJc w:val="left"/>
      <w:pPr>
        <w:tabs>
          <w:tab w:val="left" w:pos="2579"/>
        </w:tabs>
        <w:ind w:left="2728" w:hanging="420"/>
      </w:pPr>
    </w:lvl>
    <w:lvl w:ilvl="4" w:tentative="0">
      <w:start w:val="1"/>
      <w:numFmt w:val="lowerLetter"/>
      <w:lvlText w:val="%5)"/>
      <w:lvlJc w:val="left"/>
      <w:pPr>
        <w:tabs>
          <w:tab w:val="left" w:pos="2999"/>
        </w:tabs>
        <w:ind w:left="3148" w:hanging="420"/>
      </w:pPr>
    </w:lvl>
    <w:lvl w:ilvl="5" w:tentative="0">
      <w:start w:val="1"/>
      <w:numFmt w:val="lowerRoman"/>
      <w:lvlText w:val="%6."/>
      <w:lvlJc w:val="right"/>
      <w:pPr>
        <w:tabs>
          <w:tab w:val="left" w:pos="3419"/>
        </w:tabs>
        <w:ind w:left="3568" w:hanging="420"/>
      </w:pPr>
    </w:lvl>
    <w:lvl w:ilvl="6" w:tentative="0">
      <w:start w:val="1"/>
      <w:numFmt w:val="decimal"/>
      <w:lvlText w:val="%7."/>
      <w:lvlJc w:val="left"/>
      <w:pPr>
        <w:tabs>
          <w:tab w:val="left" w:pos="3839"/>
        </w:tabs>
        <w:ind w:left="3988" w:hanging="420"/>
      </w:pPr>
    </w:lvl>
    <w:lvl w:ilvl="7" w:tentative="0">
      <w:start w:val="1"/>
      <w:numFmt w:val="lowerLetter"/>
      <w:lvlText w:val="%8)"/>
      <w:lvlJc w:val="left"/>
      <w:pPr>
        <w:tabs>
          <w:tab w:val="left" w:pos="4259"/>
        </w:tabs>
        <w:ind w:left="4408" w:hanging="420"/>
      </w:pPr>
    </w:lvl>
    <w:lvl w:ilvl="8" w:tentative="0">
      <w:start w:val="1"/>
      <w:numFmt w:val="lowerRoman"/>
      <w:lvlText w:val="%9."/>
      <w:lvlJc w:val="right"/>
      <w:pPr>
        <w:tabs>
          <w:tab w:val="left" w:pos="4679"/>
        </w:tabs>
        <w:ind w:left="4828" w:hanging="420"/>
      </w:pPr>
    </w:lvl>
  </w:abstractNum>
  <w:abstractNum w:abstractNumId="3">
    <w:nsid w:val="00000004"/>
    <w:multiLevelType w:val="multilevel"/>
    <w:tmpl w:val="00000004"/>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00000007"/>
    <w:multiLevelType w:val="multilevel"/>
    <w:tmpl w:val="00000007"/>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MWYxNWJhYzcyOTJlNmM1OWRmZDY0MDIwYmQ4ZWMifQ=="/>
  </w:docVars>
  <w:rsids>
    <w:rsidRoot w:val="00172A27"/>
    <w:rsid w:val="000004CD"/>
    <w:rsid w:val="00001783"/>
    <w:rsid w:val="00001797"/>
    <w:rsid w:val="0000273B"/>
    <w:rsid w:val="000041A8"/>
    <w:rsid w:val="000055D7"/>
    <w:rsid w:val="0001529F"/>
    <w:rsid w:val="000157E2"/>
    <w:rsid w:val="0001697A"/>
    <w:rsid w:val="000169E1"/>
    <w:rsid w:val="00020D78"/>
    <w:rsid w:val="00021486"/>
    <w:rsid w:val="00021AE8"/>
    <w:rsid w:val="00022E94"/>
    <w:rsid w:val="000313B5"/>
    <w:rsid w:val="00032B95"/>
    <w:rsid w:val="000333A8"/>
    <w:rsid w:val="000434F9"/>
    <w:rsid w:val="00043533"/>
    <w:rsid w:val="00045D67"/>
    <w:rsid w:val="0004677C"/>
    <w:rsid w:val="000538CC"/>
    <w:rsid w:val="000541C7"/>
    <w:rsid w:val="00054A8E"/>
    <w:rsid w:val="00055A71"/>
    <w:rsid w:val="00056583"/>
    <w:rsid w:val="00056932"/>
    <w:rsid w:val="00057BB2"/>
    <w:rsid w:val="0006019D"/>
    <w:rsid w:val="000612B3"/>
    <w:rsid w:val="00061B68"/>
    <w:rsid w:val="00063750"/>
    <w:rsid w:val="00065379"/>
    <w:rsid w:val="000673C5"/>
    <w:rsid w:val="00070907"/>
    <w:rsid w:val="000719AB"/>
    <w:rsid w:val="00073852"/>
    <w:rsid w:val="00076670"/>
    <w:rsid w:val="00080B56"/>
    <w:rsid w:val="00080FC7"/>
    <w:rsid w:val="00081D11"/>
    <w:rsid w:val="00083115"/>
    <w:rsid w:val="00093645"/>
    <w:rsid w:val="00096150"/>
    <w:rsid w:val="00096F54"/>
    <w:rsid w:val="000A31C4"/>
    <w:rsid w:val="000A3727"/>
    <w:rsid w:val="000A49C1"/>
    <w:rsid w:val="000A799B"/>
    <w:rsid w:val="000B3242"/>
    <w:rsid w:val="000B3392"/>
    <w:rsid w:val="000B362F"/>
    <w:rsid w:val="000B366A"/>
    <w:rsid w:val="000B6C50"/>
    <w:rsid w:val="000C0FDF"/>
    <w:rsid w:val="000C15AF"/>
    <w:rsid w:val="000C3524"/>
    <w:rsid w:val="000C5071"/>
    <w:rsid w:val="000C55ED"/>
    <w:rsid w:val="000C6F86"/>
    <w:rsid w:val="000D10E4"/>
    <w:rsid w:val="000D1613"/>
    <w:rsid w:val="000D19C1"/>
    <w:rsid w:val="000D4E69"/>
    <w:rsid w:val="000D5125"/>
    <w:rsid w:val="000D7812"/>
    <w:rsid w:val="000E1288"/>
    <w:rsid w:val="000E3784"/>
    <w:rsid w:val="000E37E0"/>
    <w:rsid w:val="000E47A0"/>
    <w:rsid w:val="000E597F"/>
    <w:rsid w:val="000E5BFC"/>
    <w:rsid w:val="000E694F"/>
    <w:rsid w:val="000E7158"/>
    <w:rsid w:val="000E74D4"/>
    <w:rsid w:val="000F2D05"/>
    <w:rsid w:val="000F2EEE"/>
    <w:rsid w:val="000F4234"/>
    <w:rsid w:val="000F6215"/>
    <w:rsid w:val="000F63C8"/>
    <w:rsid w:val="000F6581"/>
    <w:rsid w:val="00102417"/>
    <w:rsid w:val="001032CC"/>
    <w:rsid w:val="00105B0B"/>
    <w:rsid w:val="0011024E"/>
    <w:rsid w:val="00112163"/>
    <w:rsid w:val="00114579"/>
    <w:rsid w:val="00115BF1"/>
    <w:rsid w:val="0012032C"/>
    <w:rsid w:val="0012244B"/>
    <w:rsid w:val="001224B5"/>
    <w:rsid w:val="00122643"/>
    <w:rsid w:val="0012425B"/>
    <w:rsid w:val="001244F8"/>
    <w:rsid w:val="001247F0"/>
    <w:rsid w:val="001252D8"/>
    <w:rsid w:val="001257D4"/>
    <w:rsid w:val="00131E0D"/>
    <w:rsid w:val="0013359E"/>
    <w:rsid w:val="00137694"/>
    <w:rsid w:val="00141EAC"/>
    <w:rsid w:val="00143652"/>
    <w:rsid w:val="0014627C"/>
    <w:rsid w:val="0015142E"/>
    <w:rsid w:val="00157C74"/>
    <w:rsid w:val="00157D8E"/>
    <w:rsid w:val="00161678"/>
    <w:rsid w:val="00161D71"/>
    <w:rsid w:val="00162805"/>
    <w:rsid w:val="00165014"/>
    <w:rsid w:val="0017180F"/>
    <w:rsid w:val="001733C3"/>
    <w:rsid w:val="00173BFF"/>
    <w:rsid w:val="00174749"/>
    <w:rsid w:val="00174FCA"/>
    <w:rsid w:val="00175AFB"/>
    <w:rsid w:val="00176F12"/>
    <w:rsid w:val="001770BE"/>
    <w:rsid w:val="00177A3E"/>
    <w:rsid w:val="00183E4B"/>
    <w:rsid w:val="00187B13"/>
    <w:rsid w:val="00187EB4"/>
    <w:rsid w:val="0019618B"/>
    <w:rsid w:val="00196FA0"/>
    <w:rsid w:val="001A3B44"/>
    <w:rsid w:val="001A4571"/>
    <w:rsid w:val="001A5EEB"/>
    <w:rsid w:val="001A62A5"/>
    <w:rsid w:val="001B4216"/>
    <w:rsid w:val="001B49A4"/>
    <w:rsid w:val="001B521B"/>
    <w:rsid w:val="001B5CC8"/>
    <w:rsid w:val="001B6587"/>
    <w:rsid w:val="001C0582"/>
    <w:rsid w:val="001C058D"/>
    <w:rsid w:val="001C24DD"/>
    <w:rsid w:val="001C54C3"/>
    <w:rsid w:val="001C577E"/>
    <w:rsid w:val="001D027D"/>
    <w:rsid w:val="001D4A1E"/>
    <w:rsid w:val="001D70E9"/>
    <w:rsid w:val="001E181E"/>
    <w:rsid w:val="001E1DCD"/>
    <w:rsid w:val="001E4481"/>
    <w:rsid w:val="001E44EF"/>
    <w:rsid w:val="001E6C1A"/>
    <w:rsid w:val="001E7629"/>
    <w:rsid w:val="001E7846"/>
    <w:rsid w:val="001E7E8B"/>
    <w:rsid w:val="001F2F0B"/>
    <w:rsid w:val="001F3130"/>
    <w:rsid w:val="001F5903"/>
    <w:rsid w:val="001F7292"/>
    <w:rsid w:val="001F736E"/>
    <w:rsid w:val="002001DC"/>
    <w:rsid w:val="002032B0"/>
    <w:rsid w:val="00203778"/>
    <w:rsid w:val="0020407A"/>
    <w:rsid w:val="00210AE7"/>
    <w:rsid w:val="002123C7"/>
    <w:rsid w:val="002124BD"/>
    <w:rsid w:val="00213411"/>
    <w:rsid w:val="00216D4F"/>
    <w:rsid w:val="00216E43"/>
    <w:rsid w:val="00220866"/>
    <w:rsid w:val="002231A4"/>
    <w:rsid w:val="00223245"/>
    <w:rsid w:val="00224447"/>
    <w:rsid w:val="00224A77"/>
    <w:rsid w:val="0022671D"/>
    <w:rsid w:val="0023090E"/>
    <w:rsid w:val="00231C64"/>
    <w:rsid w:val="00232C22"/>
    <w:rsid w:val="0023318A"/>
    <w:rsid w:val="00236A9B"/>
    <w:rsid w:val="0023715B"/>
    <w:rsid w:val="00237592"/>
    <w:rsid w:val="00244A0E"/>
    <w:rsid w:val="00244F73"/>
    <w:rsid w:val="002501BB"/>
    <w:rsid w:val="002509CA"/>
    <w:rsid w:val="00250C1D"/>
    <w:rsid w:val="00251A29"/>
    <w:rsid w:val="00251B89"/>
    <w:rsid w:val="00253615"/>
    <w:rsid w:val="00253950"/>
    <w:rsid w:val="00254F7E"/>
    <w:rsid w:val="0025569E"/>
    <w:rsid w:val="002564FE"/>
    <w:rsid w:val="002603EB"/>
    <w:rsid w:val="00261FEB"/>
    <w:rsid w:val="00264327"/>
    <w:rsid w:val="002650F1"/>
    <w:rsid w:val="00266403"/>
    <w:rsid w:val="00266406"/>
    <w:rsid w:val="002679CA"/>
    <w:rsid w:val="00272722"/>
    <w:rsid w:val="002745E7"/>
    <w:rsid w:val="002760AC"/>
    <w:rsid w:val="00277935"/>
    <w:rsid w:val="00277E8E"/>
    <w:rsid w:val="00280DD6"/>
    <w:rsid w:val="00282496"/>
    <w:rsid w:val="00283033"/>
    <w:rsid w:val="002854DC"/>
    <w:rsid w:val="0028616B"/>
    <w:rsid w:val="00290CDE"/>
    <w:rsid w:val="00290DE2"/>
    <w:rsid w:val="002959CC"/>
    <w:rsid w:val="002A0C27"/>
    <w:rsid w:val="002A2315"/>
    <w:rsid w:val="002A2732"/>
    <w:rsid w:val="002A3153"/>
    <w:rsid w:val="002A6C9C"/>
    <w:rsid w:val="002C10AC"/>
    <w:rsid w:val="002C2AE8"/>
    <w:rsid w:val="002C2FF3"/>
    <w:rsid w:val="002C3A5A"/>
    <w:rsid w:val="002C4ABE"/>
    <w:rsid w:val="002C71EC"/>
    <w:rsid w:val="002C7548"/>
    <w:rsid w:val="002C780B"/>
    <w:rsid w:val="002C7E47"/>
    <w:rsid w:val="002D2C13"/>
    <w:rsid w:val="002D2FFB"/>
    <w:rsid w:val="002D4E0A"/>
    <w:rsid w:val="002D4E16"/>
    <w:rsid w:val="002D505C"/>
    <w:rsid w:val="002D5DF8"/>
    <w:rsid w:val="002E334D"/>
    <w:rsid w:val="002E486A"/>
    <w:rsid w:val="002E53C0"/>
    <w:rsid w:val="002E766C"/>
    <w:rsid w:val="002F02C8"/>
    <w:rsid w:val="002F0A07"/>
    <w:rsid w:val="002F2D5F"/>
    <w:rsid w:val="002F46DC"/>
    <w:rsid w:val="002F5145"/>
    <w:rsid w:val="002F5CB9"/>
    <w:rsid w:val="002F5E9B"/>
    <w:rsid w:val="002F683C"/>
    <w:rsid w:val="00310C52"/>
    <w:rsid w:val="0031140B"/>
    <w:rsid w:val="00314E3D"/>
    <w:rsid w:val="00317120"/>
    <w:rsid w:val="003171BB"/>
    <w:rsid w:val="0032100C"/>
    <w:rsid w:val="003212C2"/>
    <w:rsid w:val="00321921"/>
    <w:rsid w:val="00321926"/>
    <w:rsid w:val="00327707"/>
    <w:rsid w:val="0033060D"/>
    <w:rsid w:val="003318F3"/>
    <w:rsid w:val="00331ECA"/>
    <w:rsid w:val="00333919"/>
    <w:rsid w:val="00334F3E"/>
    <w:rsid w:val="003379AF"/>
    <w:rsid w:val="00337C5C"/>
    <w:rsid w:val="00343E4C"/>
    <w:rsid w:val="003528B8"/>
    <w:rsid w:val="00352BC8"/>
    <w:rsid w:val="00355D82"/>
    <w:rsid w:val="00356CAF"/>
    <w:rsid w:val="003612A6"/>
    <w:rsid w:val="003671F3"/>
    <w:rsid w:val="00367712"/>
    <w:rsid w:val="00367C88"/>
    <w:rsid w:val="00367DB2"/>
    <w:rsid w:val="00370B19"/>
    <w:rsid w:val="00371C8C"/>
    <w:rsid w:val="00373408"/>
    <w:rsid w:val="003748EB"/>
    <w:rsid w:val="00375DCD"/>
    <w:rsid w:val="00376F36"/>
    <w:rsid w:val="003800A6"/>
    <w:rsid w:val="0038151E"/>
    <w:rsid w:val="00382FFA"/>
    <w:rsid w:val="00383B0A"/>
    <w:rsid w:val="0038491D"/>
    <w:rsid w:val="00387606"/>
    <w:rsid w:val="00391DD2"/>
    <w:rsid w:val="003925E1"/>
    <w:rsid w:val="00393D74"/>
    <w:rsid w:val="003943A7"/>
    <w:rsid w:val="00396A66"/>
    <w:rsid w:val="003A0E06"/>
    <w:rsid w:val="003A1A69"/>
    <w:rsid w:val="003A37B8"/>
    <w:rsid w:val="003A582F"/>
    <w:rsid w:val="003A6B72"/>
    <w:rsid w:val="003B020F"/>
    <w:rsid w:val="003B3917"/>
    <w:rsid w:val="003B41D9"/>
    <w:rsid w:val="003B4356"/>
    <w:rsid w:val="003B5422"/>
    <w:rsid w:val="003B7293"/>
    <w:rsid w:val="003B7D7E"/>
    <w:rsid w:val="003C0EF3"/>
    <w:rsid w:val="003C53B2"/>
    <w:rsid w:val="003C6422"/>
    <w:rsid w:val="003C6C9A"/>
    <w:rsid w:val="003D6961"/>
    <w:rsid w:val="003E2C77"/>
    <w:rsid w:val="003E2C89"/>
    <w:rsid w:val="003E3C14"/>
    <w:rsid w:val="003E6516"/>
    <w:rsid w:val="003E747A"/>
    <w:rsid w:val="003F0149"/>
    <w:rsid w:val="003F11BD"/>
    <w:rsid w:val="003F4748"/>
    <w:rsid w:val="003F61AC"/>
    <w:rsid w:val="00401267"/>
    <w:rsid w:val="00401B70"/>
    <w:rsid w:val="00402836"/>
    <w:rsid w:val="0040298F"/>
    <w:rsid w:val="0040367C"/>
    <w:rsid w:val="00404B23"/>
    <w:rsid w:val="00405154"/>
    <w:rsid w:val="004109B8"/>
    <w:rsid w:val="0041238C"/>
    <w:rsid w:val="00412829"/>
    <w:rsid w:val="0041314E"/>
    <w:rsid w:val="00414EDB"/>
    <w:rsid w:val="004164DF"/>
    <w:rsid w:val="0042141B"/>
    <w:rsid w:val="00425F1F"/>
    <w:rsid w:val="00425FB2"/>
    <w:rsid w:val="004261AF"/>
    <w:rsid w:val="00426BB0"/>
    <w:rsid w:val="00427182"/>
    <w:rsid w:val="00433EEA"/>
    <w:rsid w:val="004408B0"/>
    <w:rsid w:val="004408EE"/>
    <w:rsid w:val="00441C7F"/>
    <w:rsid w:val="00441E5E"/>
    <w:rsid w:val="0044524F"/>
    <w:rsid w:val="0044654E"/>
    <w:rsid w:val="004504F2"/>
    <w:rsid w:val="00450C1F"/>
    <w:rsid w:val="00455240"/>
    <w:rsid w:val="0045705D"/>
    <w:rsid w:val="00457AEF"/>
    <w:rsid w:val="0046046C"/>
    <w:rsid w:val="004663F3"/>
    <w:rsid w:val="00467553"/>
    <w:rsid w:val="00471F78"/>
    <w:rsid w:val="00473B94"/>
    <w:rsid w:val="00473DC2"/>
    <w:rsid w:val="0047556E"/>
    <w:rsid w:val="00475991"/>
    <w:rsid w:val="00475B13"/>
    <w:rsid w:val="00480D8D"/>
    <w:rsid w:val="004814E5"/>
    <w:rsid w:val="004827CD"/>
    <w:rsid w:val="00484641"/>
    <w:rsid w:val="004846F8"/>
    <w:rsid w:val="00485EFC"/>
    <w:rsid w:val="00490A94"/>
    <w:rsid w:val="004911E4"/>
    <w:rsid w:val="004912F4"/>
    <w:rsid w:val="004922BC"/>
    <w:rsid w:val="00492CE8"/>
    <w:rsid w:val="00493558"/>
    <w:rsid w:val="00493EC9"/>
    <w:rsid w:val="00494ECE"/>
    <w:rsid w:val="00495251"/>
    <w:rsid w:val="00495B0C"/>
    <w:rsid w:val="004963A5"/>
    <w:rsid w:val="004A1759"/>
    <w:rsid w:val="004A2275"/>
    <w:rsid w:val="004A3872"/>
    <w:rsid w:val="004A3AC0"/>
    <w:rsid w:val="004A42D0"/>
    <w:rsid w:val="004A4ED0"/>
    <w:rsid w:val="004A6F61"/>
    <w:rsid w:val="004B0706"/>
    <w:rsid w:val="004B22B1"/>
    <w:rsid w:val="004B46E5"/>
    <w:rsid w:val="004B6542"/>
    <w:rsid w:val="004B72A3"/>
    <w:rsid w:val="004C1E33"/>
    <w:rsid w:val="004C6870"/>
    <w:rsid w:val="004D29A3"/>
    <w:rsid w:val="004D4D48"/>
    <w:rsid w:val="004D5250"/>
    <w:rsid w:val="004D6AD9"/>
    <w:rsid w:val="004E0517"/>
    <w:rsid w:val="004E0C12"/>
    <w:rsid w:val="004E13F0"/>
    <w:rsid w:val="004E4854"/>
    <w:rsid w:val="004E5FCE"/>
    <w:rsid w:val="004F036B"/>
    <w:rsid w:val="004F052D"/>
    <w:rsid w:val="004F0E54"/>
    <w:rsid w:val="004F7B7E"/>
    <w:rsid w:val="00501785"/>
    <w:rsid w:val="00503724"/>
    <w:rsid w:val="00504E3C"/>
    <w:rsid w:val="00507AD5"/>
    <w:rsid w:val="00513F7C"/>
    <w:rsid w:val="005149B8"/>
    <w:rsid w:val="005168FA"/>
    <w:rsid w:val="005175C0"/>
    <w:rsid w:val="00520001"/>
    <w:rsid w:val="00521717"/>
    <w:rsid w:val="0052391C"/>
    <w:rsid w:val="0052393A"/>
    <w:rsid w:val="00530C3F"/>
    <w:rsid w:val="00532B1D"/>
    <w:rsid w:val="00533524"/>
    <w:rsid w:val="00534347"/>
    <w:rsid w:val="00540C55"/>
    <w:rsid w:val="00542227"/>
    <w:rsid w:val="005422EB"/>
    <w:rsid w:val="0054426F"/>
    <w:rsid w:val="0054508F"/>
    <w:rsid w:val="00546F3A"/>
    <w:rsid w:val="005475C6"/>
    <w:rsid w:val="00550C61"/>
    <w:rsid w:val="00552FBA"/>
    <w:rsid w:val="00554D9D"/>
    <w:rsid w:val="00555A82"/>
    <w:rsid w:val="00556C52"/>
    <w:rsid w:val="0056008C"/>
    <w:rsid w:val="00570A8A"/>
    <w:rsid w:val="00571BE1"/>
    <w:rsid w:val="0057268E"/>
    <w:rsid w:val="00573C95"/>
    <w:rsid w:val="005750B7"/>
    <w:rsid w:val="005806C7"/>
    <w:rsid w:val="00582CA5"/>
    <w:rsid w:val="00582FE9"/>
    <w:rsid w:val="0058511B"/>
    <w:rsid w:val="005852AF"/>
    <w:rsid w:val="00586FF5"/>
    <w:rsid w:val="005900EE"/>
    <w:rsid w:val="005A0332"/>
    <w:rsid w:val="005A1737"/>
    <w:rsid w:val="005A1914"/>
    <w:rsid w:val="005A1D6F"/>
    <w:rsid w:val="005A378B"/>
    <w:rsid w:val="005A3804"/>
    <w:rsid w:val="005A40B3"/>
    <w:rsid w:val="005B1361"/>
    <w:rsid w:val="005B177D"/>
    <w:rsid w:val="005B3B4A"/>
    <w:rsid w:val="005B4C4C"/>
    <w:rsid w:val="005B7966"/>
    <w:rsid w:val="005C0341"/>
    <w:rsid w:val="005C3CDD"/>
    <w:rsid w:val="005D2B33"/>
    <w:rsid w:val="005D4B36"/>
    <w:rsid w:val="005D5B37"/>
    <w:rsid w:val="005D6D35"/>
    <w:rsid w:val="005E1062"/>
    <w:rsid w:val="005E12BD"/>
    <w:rsid w:val="005E132E"/>
    <w:rsid w:val="005E1F41"/>
    <w:rsid w:val="005E305E"/>
    <w:rsid w:val="005E3ECC"/>
    <w:rsid w:val="005E53A4"/>
    <w:rsid w:val="005F1F63"/>
    <w:rsid w:val="005F324D"/>
    <w:rsid w:val="005F4C0F"/>
    <w:rsid w:val="006011F9"/>
    <w:rsid w:val="006016B0"/>
    <w:rsid w:val="00602247"/>
    <w:rsid w:val="006054AE"/>
    <w:rsid w:val="00606661"/>
    <w:rsid w:val="00612A91"/>
    <w:rsid w:val="00615BD4"/>
    <w:rsid w:val="006176D9"/>
    <w:rsid w:val="0062063C"/>
    <w:rsid w:val="00621EEA"/>
    <w:rsid w:val="00622049"/>
    <w:rsid w:val="006267AC"/>
    <w:rsid w:val="006275F8"/>
    <w:rsid w:val="00630C8F"/>
    <w:rsid w:val="0063126C"/>
    <w:rsid w:val="006321D9"/>
    <w:rsid w:val="00635ACD"/>
    <w:rsid w:val="00645F9B"/>
    <w:rsid w:val="006462F4"/>
    <w:rsid w:val="00646C7B"/>
    <w:rsid w:val="00653EEF"/>
    <w:rsid w:val="00656DB1"/>
    <w:rsid w:val="0065706C"/>
    <w:rsid w:val="006570F3"/>
    <w:rsid w:val="006574CA"/>
    <w:rsid w:val="00663087"/>
    <w:rsid w:val="00666E6E"/>
    <w:rsid w:val="00667926"/>
    <w:rsid w:val="00672A07"/>
    <w:rsid w:val="00672A3D"/>
    <w:rsid w:val="00673284"/>
    <w:rsid w:val="00673C56"/>
    <w:rsid w:val="00674E3C"/>
    <w:rsid w:val="00684218"/>
    <w:rsid w:val="00684A17"/>
    <w:rsid w:val="0068548A"/>
    <w:rsid w:val="00686ACA"/>
    <w:rsid w:val="006904AF"/>
    <w:rsid w:val="00695821"/>
    <w:rsid w:val="0069607D"/>
    <w:rsid w:val="006960C5"/>
    <w:rsid w:val="006A05F8"/>
    <w:rsid w:val="006A0897"/>
    <w:rsid w:val="006A27B1"/>
    <w:rsid w:val="006A4246"/>
    <w:rsid w:val="006A56B9"/>
    <w:rsid w:val="006A64EB"/>
    <w:rsid w:val="006A7750"/>
    <w:rsid w:val="006A7FD4"/>
    <w:rsid w:val="006B0E91"/>
    <w:rsid w:val="006B0FD8"/>
    <w:rsid w:val="006B1891"/>
    <w:rsid w:val="006B37AE"/>
    <w:rsid w:val="006B3C07"/>
    <w:rsid w:val="006B476E"/>
    <w:rsid w:val="006B7254"/>
    <w:rsid w:val="006B73B9"/>
    <w:rsid w:val="006C0F43"/>
    <w:rsid w:val="006C2D51"/>
    <w:rsid w:val="006C4083"/>
    <w:rsid w:val="006C4B81"/>
    <w:rsid w:val="006C517C"/>
    <w:rsid w:val="006C5CAA"/>
    <w:rsid w:val="006C6855"/>
    <w:rsid w:val="006C7F43"/>
    <w:rsid w:val="006D16F3"/>
    <w:rsid w:val="006D49E3"/>
    <w:rsid w:val="006D4C2C"/>
    <w:rsid w:val="006D62FF"/>
    <w:rsid w:val="006E019F"/>
    <w:rsid w:val="006E18C4"/>
    <w:rsid w:val="006E3E50"/>
    <w:rsid w:val="006E402A"/>
    <w:rsid w:val="006E525F"/>
    <w:rsid w:val="006E74F5"/>
    <w:rsid w:val="006E7DCA"/>
    <w:rsid w:val="006F03B7"/>
    <w:rsid w:val="006F2035"/>
    <w:rsid w:val="006F28EE"/>
    <w:rsid w:val="006F42C2"/>
    <w:rsid w:val="006F602A"/>
    <w:rsid w:val="006F7412"/>
    <w:rsid w:val="00704E65"/>
    <w:rsid w:val="0071025E"/>
    <w:rsid w:val="007105A5"/>
    <w:rsid w:val="00710B8D"/>
    <w:rsid w:val="00712CF9"/>
    <w:rsid w:val="00713024"/>
    <w:rsid w:val="00713EA1"/>
    <w:rsid w:val="00715D6B"/>
    <w:rsid w:val="00717F6B"/>
    <w:rsid w:val="007212F0"/>
    <w:rsid w:val="00722EC6"/>
    <w:rsid w:val="00723FF6"/>
    <w:rsid w:val="0072460B"/>
    <w:rsid w:val="00726876"/>
    <w:rsid w:val="007269B1"/>
    <w:rsid w:val="00730DF7"/>
    <w:rsid w:val="0073123A"/>
    <w:rsid w:val="007331F6"/>
    <w:rsid w:val="0073362F"/>
    <w:rsid w:val="00733A3E"/>
    <w:rsid w:val="00736B54"/>
    <w:rsid w:val="00740605"/>
    <w:rsid w:val="00740FA5"/>
    <w:rsid w:val="007440A8"/>
    <w:rsid w:val="00747B97"/>
    <w:rsid w:val="00747DD4"/>
    <w:rsid w:val="00751820"/>
    <w:rsid w:val="00751B7E"/>
    <w:rsid w:val="00752AB2"/>
    <w:rsid w:val="00754193"/>
    <w:rsid w:val="007556C8"/>
    <w:rsid w:val="00756FA1"/>
    <w:rsid w:val="007605DF"/>
    <w:rsid w:val="0076093D"/>
    <w:rsid w:val="0076244A"/>
    <w:rsid w:val="00762D9D"/>
    <w:rsid w:val="00763FD6"/>
    <w:rsid w:val="0076431D"/>
    <w:rsid w:val="00766DE9"/>
    <w:rsid w:val="007678A5"/>
    <w:rsid w:val="00770841"/>
    <w:rsid w:val="00771F67"/>
    <w:rsid w:val="00772012"/>
    <w:rsid w:val="0077418F"/>
    <w:rsid w:val="00774C01"/>
    <w:rsid w:val="007823C9"/>
    <w:rsid w:val="007835B7"/>
    <w:rsid w:val="007863E1"/>
    <w:rsid w:val="007910D3"/>
    <w:rsid w:val="0079336E"/>
    <w:rsid w:val="007A5BD0"/>
    <w:rsid w:val="007B4B46"/>
    <w:rsid w:val="007B5E5F"/>
    <w:rsid w:val="007B6CA0"/>
    <w:rsid w:val="007B6F71"/>
    <w:rsid w:val="007C06F8"/>
    <w:rsid w:val="007C27E5"/>
    <w:rsid w:val="007C2E24"/>
    <w:rsid w:val="007C3F78"/>
    <w:rsid w:val="007C4B09"/>
    <w:rsid w:val="007C6167"/>
    <w:rsid w:val="007C6EB8"/>
    <w:rsid w:val="007C7809"/>
    <w:rsid w:val="007D13B9"/>
    <w:rsid w:val="007D2774"/>
    <w:rsid w:val="007D71F7"/>
    <w:rsid w:val="007E024C"/>
    <w:rsid w:val="007E160E"/>
    <w:rsid w:val="007E1BDD"/>
    <w:rsid w:val="007E700C"/>
    <w:rsid w:val="007E7388"/>
    <w:rsid w:val="007F1BAF"/>
    <w:rsid w:val="007F1F1C"/>
    <w:rsid w:val="007F2277"/>
    <w:rsid w:val="007F433C"/>
    <w:rsid w:val="007F4428"/>
    <w:rsid w:val="008004B0"/>
    <w:rsid w:val="008045D9"/>
    <w:rsid w:val="00806C8A"/>
    <w:rsid w:val="0080702C"/>
    <w:rsid w:val="00807165"/>
    <w:rsid w:val="00812094"/>
    <w:rsid w:val="0081333B"/>
    <w:rsid w:val="008140D7"/>
    <w:rsid w:val="0081653B"/>
    <w:rsid w:val="00821DF6"/>
    <w:rsid w:val="00823CCC"/>
    <w:rsid w:val="00827179"/>
    <w:rsid w:val="0083029A"/>
    <w:rsid w:val="00830426"/>
    <w:rsid w:val="00830E02"/>
    <w:rsid w:val="00831C83"/>
    <w:rsid w:val="00831E0A"/>
    <w:rsid w:val="008343C4"/>
    <w:rsid w:val="00835847"/>
    <w:rsid w:val="00835C6F"/>
    <w:rsid w:val="00837429"/>
    <w:rsid w:val="0083745B"/>
    <w:rsid w:val="00837759"/>
    <w:rsid w:val="00840252"/>
    <w:rsid w:val="00840420"/>
    <w:rsid w:val="00842DE3"/>
    <w:rsid w:val="00844F5E"/>
    <w:rsid w:val="00846701"/>
    <w:rsid w:val="0085232F"/>
    <w:rsid w:val="00854E2A"/>
    <w:rsid w:val="008550CD"/>
    <w:rsid w:val="00857E3A"/>
    <w:rsid w:val="00861135"/>
    <w:rsid w:val="00864495"/>
    <w:rsid w:val="0086449D"/>
    <w:rsid w:val="008651BC"/>
    <w:rsid w:val="00867059"/>
    <w:rsid w:val="00867A5A"/>
    <w:rsid w:val="008711B1"/>
    <w:rsid w:val="00871FBA"/>
    <w:rsid w:val="00872119"/>
    <w:rsid w:val="008722FB"/>
    <w:rsid w:val="00877EA2"/>
    <w:rsid w:val="008808CA"/>
    <w:rsid w:val="00887D93"/>
    <w:rsid w:val="00890912"/>
    <w:rsid w:val="00890D7D"/>
    <w:rsid w:val="008917B4"/>
    <w:rsid w:val="008933C7"/>
    <w:rsid w:val="008941B9"/>
    <w:rsid w:val="00894216"/>
    <w:rsid w:val="008959F9"/>
    <w:rsid w:val="00896786"/>
    <w:rsid w:val="00897413"/>
    <w:rsid w:val="008A118C"/>
    <w:rsid w:val="008A15EA"/>
    <w:rsid w:val="008A46DC"/>
    <w:rsid w:val="008A4806"/>
    <w:rsid w:val="008A4BF4"/>
    <w:rsid w:val="008A510D"/>
    <w:rsid w:val="008A5EDE"/>
    <w:rsid w:val="008A7A4E"/>
    <w:rsid w:val="008A7C4F"/>
    <w:rsid w:val="008B2FA8"/>
    <w:rsid w:val="008B3253"/>
    <w:rsid w:val="008B3F5C"/>
    <w:rsid w:val="008C020E"/>
    <w:rsid w:val="008C2F9E"/>
    <w:rsid w:val="008D03EA"/>
    <w:rsid w:val="008D16BD"/>
    <w:rsid w:val="008D17A7"/>
    <w:rsid w:val="008D2E91"/>
    <w:rsid w:val="008D58E2"/>
    <w:rsid w:val="008D6283"/>
    <w:rsid w:val="008D7FB0"/>
    <w:rsid w:val="008E050B"/>
    <w:rsid w:val="008E1010"/>
    <w:rsid w:val="008E2C2E"/>
    <w:rsid w:val="008E5C25"/>
    <w:rsid w:val="008E72A8"/>
    <w:rsid w:val="008F0627"/>
    <w:rsid w:val="008F1FF1"/>
    <w:rsid w:val="008F2498"/>
    <w:rsid w:val="008F41FB"/>
    <w:rsid w:val="008F4B49"/>
    <w:rsid w:val="008F5977"/>
    <w:rsid w:val="008F5C9B"/>
    <w:rsid w:val="009039C8"/>
    <w:rsid w:val="00904BCF"/>
    <w:rsid w:val="00905B77"/>
    <w:rsid w:val="00906FD6"/>
    <w:rsid w:val="009079D0"/>
    <w:rsid w:val="00907DCD"/>
    <w:rsid w:val="009104AA"/>
    <w:rsid w:val="00914466"/>
    <w:rsid w:val="00915D8A"/>
    <w:rsid w:val="00917746"/>
    <w:rsid w:val="009209A5"/>
    <w:rsid w:val="00920F98"/>
    <w:rsid w:val="00922448"/>
    <w:rsid w:val="009228BB"/>
    <w:rsid w:val="00922FDA"/>
    <w:rsid w:val="009244DF"/>
    <w:rsid w:val="00927EF6"/>
    <w:rsid w:val="00930D45"/>
    <w:rsid w:val="00930E14"/>
    <w:rsid w:val="00933885"/>
    <w:rsid w:val="009338DA"/>
    <w:rsid w:val="00936E93"/>
    <w:rsid w:val="00937FDA"/>
    <w:rsid w:val="00947632"/>
    <w:rsid w:val="0094786C"/>
    <w:rsid w:val="00947B9F"/>
    <w:rsid w:val="00947FB4"/>
    <w:rsid w:val="00952D2F"/>
    <w:rsid w:val="00952D60"/>
    <w:rsid w:val="00952E44"/>
    <w:rsid w:val="00955447"/>
    <w:rsid w:val="00955A17"/>
    <w:rsid w:val="00957C50"/>
    <w:rsid w:val="00960E12"/>
    <w:rsid w:val="0096331F"/>
    <w:rsid w:val="00963914"/>
    <w:rsid w:val="00963A90"/>
    <w:rsid w:val="009729D8"/>
    <w:rsid w:val="0097453F"/>
    <w:rsid w:val="00974577"/>
    <w:rsid w:val="00975045"/>
    <w:rsid w:val="00976670"/>
    <w:rsid w:val="00976BC3"/>
    <w:rsid w:val="00976E64"/>
    <w:rsid w:val="00977929"/>
    <w:rsid w:val="0098426D"/>
    <w:rsid w:val="00993B1F"/>
    <w:rsid w:val="00993F70"/>
    <w:rsid w:val="0099428D"/>
    <w:rsid w:val="00995932"/>
    <w:rsid w:val="00996D49"/>
    <w:rsid w:val="009A1C77"/>
    <w:rsid w:val="009A51E6"/>
    <w:rsid w:val="009A5BC5"/>
    <w:rsid w:val="009A61AA"/>
    <w:rsid w:val="009A747C"/>
    <w:rsid w:val="009A7DAC"/>
    <w:rsid w:val="009B2B6E"/>
    <w:rsid w:val="009B3C1F"/>
    <w:rsid w:val="009B7D7E"/>
    <w:rsid w:val="009C10F7"/>
    <w:rsid w:val="009C11B1"/>
    <w:rsid w:val="009C1722"/>
    <w:rsid w:val="009C6235"/>
    <w:rsid w:val="009C6E76"/>
    <w:rsid w:val="009D00B8"/>
    <w:rsid w:val="009D3E42"/>
    <w:rsid w:val="009D682E"/>
    <w:rsid w:val="009E40F9"/>
    <w:rsid w:val="009E5844"/>
    <w:rsid w:val="009E653F"/>
    <w:rsid w:val="009E7C9A"/>
    <w:rsid w:val="009F4C6D"/>
    <w:rsid w:val="009F5062"/>
    <w:rsid w:val="00A01D25"/>
    <w:rsid w:val="00A0624A"/>
    <w:rsid w:val="00A06830"/>
    <w:rsid w:val="00A12892"/>
    <w:rsid w:val="00A149DF"/>
    <w:rsid w:val="00A1634D"/>
    <w:rsid w:val="00A1707B"/>
    <w:rsid w:val="00A32694"/>
    <w:rsid w:val="00A33A18"/>
    <w:rsid w:val="00A350BE"/>
    <w:rsid w:val="00A35C8A"/>
    <w:rsid w:val="00A36343"/>
    <w:rsid w:val="00A36638"/>
    <w:rsid w:val="00A36B9A"/>
    <w:rsid w:val="00A4149B"/>
    <w:rsid w:val="00A51ECF"/>
    <w:rsid w:val="00A5335D"/>
    <w:rsid w:val="00A53EBD"/>
    <w:rsid w:val="00A56524"/>
    <w:rsid w:val="00A610B8"/>
    <w:rsid w:val="00A61208"/>
    <w:rsid w:val="00A62660"/>
    <w:rsid w:val="00A62D2C"/>
    <w:rsid w:val="00A64D6A"/>
    <w:rsid w:val="00A66A0F"/>
    <w:rsid w:val="00A67FB0"/>
    <w:rsid w:val="00A700BE"/>
    <w:rsid w:val="00A7038D"/>
    <w:rsid w:val="00A73440"/>
    <w:rsid w:val="00A75908"/>
    <w:rsid w:val="00A75D01"/>
    <w:rsid w:val="00A76B01"/>
    <w:rsid w:val="00A813D7"/>
    <w:rsid w:val="00A83BB1"/>
    <w:rsid w:val="00A87807"/>
    <w:rsid w:val="00A90332"/>
    <w:rsid w:val="00A94426"/>
    <w:rsid w:val="00A9734B"/>
    <w:rsid w:val="00A97D26"/>
    <w:rsid w:val="00AA06C5"/>
    <w:rsid w:val="00AA1669"/>
    <w:rsid w:val="00AA3A8E"/>
    <w:rsid w:val="00AA5BB8"/>
    <w:rsid w:val="00AA5D50"/>
    <w:rsid w:val="00AA6487"/>
    <w:rsid w:val="00AB001E"/>
    <w:rsid w:val="00AB2D04"/>
    <w:rsid w:val="00AB318B"/>
    <w:rsid w:val="00AB7D6A"/>
    <w:rsid w:val="00AC0A22"/>
    <w:rsid w:val="00AC3A3F"/>
    <w:rsid w:val="00AD190D"/>
    <w:rsid w:val="00AD2DAB"/>
    <w:rsid w:val="00AE1BBB"/>
    <w:rsid w:val="00AE2F4C"/>
    <w:rsid w:val="00AE3B4A"/>
    <w:rsid w:val="00AE4A87"/>
    <w:rsid w:val="00AE673D"/>
    <w:rsid w:val="00AE749B"/>
    <w:rsid w:val="00AF0629"/>
    <w:rsid w:val="00AF1BF1"/>
    <w:rsid w:val="00AF32B8"/>
    <w:rsid w:val="00AF3CB3"/>
    <w:rsid w:val="00AF531B"/>
    <w:rsid w:val="00AF5337"/>
    <w:rsid w:val="00AF53C2"/>
    <w:rsid w:val="00AF71F6"/>
    <w:rsid w:val="00AF7C60"/>
    <w:rsid w:val="00B005C5"/>
    <w:rsid w:val="00B02305"/>
    <w:rsid w:val="00B02E23"/>
    <w:rsid w:val="00B060D5"/>
    <w:rsid w:val="00B1175D"/>
    <w:rsid w:val="00B12731"/>
    <w:rsid w:val="00B12AA5"/>
    <w:rsid w:val="00B146BC"/>
    <w:rsid w:val="00B14DF1"/>
    <w:rsid w:val="00B153B3"/>
    <w:rsid w:val="00B17CBB"/>
    <w:rsid w:val="00B20BBF"/>
    <w:rsid w:val="00B217CC"/>
    <w:rsid w:val="00B25447"/>
    <w:rsid w:val="00B271C9"/>
    <w:rsid w:val="00B31C57"/>
    <w:rsid w:val="00B32F09"/>
    <w:rsid w:val="00B33D96"/>
    <w:rsid w:val="00B33E36"/>
    <w:rsid w:val="00B34F0E"/>
    <w:rsid w:val="00B35F5F"/>
    <w:rsid w:val="00B36F78"/>
    <w:rsid w:val="00B3755E"/>
    <w:rsid w:val="00B404A6"/>
    <w:rsid w:val="00B40A63"/>
    <w:rsid w:val="00B41213"/>
    <w:rsid w:val="00B45C45"/>
    <w:rsid w:val="00B47277"/>
    <w:rsid w:val="00B56FB7"/>
    <w:rsid w:val="00B577A6"/>
    <w:rsid w:val="00B607BE"/>
    <w:rsid w:val="00B61E09"/>
    <w:rsid w:val="00B6274D"/>
    <w:rsid w:val="00B62B63"/>
    <w:rsid w:val="00B64D41"/>
    <w:rsid w:val="00B66CB3"/>
    <w:rsid w:val="00B66D6E"/>
    <w:rsid w:val="00B67351"/>
    <w:rsid w:val="00B706C6"/>
    <w:rsid w:val="00B739CF"/>
    <w:rsid w:val="00B7475F"/>
    <w:rsid w:val="00B80B07"/>
    <w:rsid w:val="00B8178C"/>
    <w:rsid w:val="00B81BF0"/>
    <w:rsid w:val="00B82E33"/>
    <w:rsid w:val="00B82ECB"/>
    <w:rsid w:val="00B8310B"/>
    <w:rsid w:val="00B83C8B"/>
    <w:rsid w:val="00B85BAF"/>
    <w:rsid w:val="00B90874"/>
    <w:rsid w:val="00B90BFA"/>
    <w:rsid w:val="00B93044"/>
    <w:rsid w:val="00B931B0"/>
    <w:rsid w:val="00B93ED9"/>
    <w:rsid w:val="00B95E2C"/>
    <w:rsid w:val="00BA2C17"/>
    <w:rsid w:val="00BA40F3"/>
    <w:rsid w:val="00BA5F6B"/>
    <w:rsid w:val="00BA6BD0"/>
    <w:rsid w:val="00BB0589"/>
    <w:rsid w:val="00BB1AF8"/>
    <w:rsid w:val="00BB2E2A"/>
    <w:rsid w:val="00BB4B39"/>
    <w:rsid w:val="00BC3515"/>
    <w:rsid w:val="00BC59C2"/>
    <w:rsid w:val="00BD02CC"/>
    <w:rsid w:val="00BD22C7"/>
    <w:rsid w:val="00BD277B"/>
    <w:rsid w:val="00BD530D"/>
    <w:rsid w:val="00BE205B"/>
    <w:rsid w:val="00BE264E"/>
    <w:rsid w:val="00BE4E80"/>
    <w:rsid w:val="00BE68B4"/>
    <w:rsid w:val="00C029B6"/>
    <w:rsid w:val="00C03B0F"/>
    <w:rsid w:val="00C03E68"/>
    <w:rsid w:val="00C05139"/>
    <w:rsid w:val="00C124B7"/>
    <w:rsid w:val="00C16AB3"/>
    <w:rsid w:val="00C17224"/>
    <w:rsid w:val="00C17685"/>
    <w:rsid w:val="00C20CBD"/>
    <w:rsid w:val="00C223A5"/>
    <w:rsid w:val="00C23A93"/>
    <w:rsid w:val="00C23BCF"/>
    <w:rsid w:val="00C2546E"/>
    <w:rsid w:val="00C2648A"/>
    <w:rsid w:val="00C2711D"/>
    <w:rsid w:val="00C275B4"/>
    <w:rsid w:val="00C310A0"/>
    <w:rsid w:val="00C351DB"/>
    <w:rsid w:val="00C36A88"/>
    <w:rsid w:val="00C44141"/>
    <w:rsid w:val="00C53EEF"/>
    <w:rsid w:val="00C55A01"/>
    <w:rsid w:val="00C56A39"/>
    <w:rsid w:val="00C57DD6"/>
    <w:rsid w:val="00C607D5"/>
    <w:rsid w:val="00C62A8F"/>
    <w:rsid w:val="00C634E0"/>
    <w:rsid w:val="00C671BC"/>
    <w:rsid w:val="00C70919"/>
    <w:rsid w:val="00C759E4"/>
    <w:rsid w:val="00C75BEC"/>
    <w:rsid w:val="00C80D96"/>
    <w:rsid w:val="00C83560"/>
    <w:rsid w:val="00C836E3"/>
    <w:rsid w:val="00C83A19"/>
    <w:rsid w:val="00C8527E"/>
    <w:rsid w:val="00C855D2"/>
    <w:rsid w:val="00C85E96"/>
    <w:rsid w:val="00C86FBD"/>
    <w:rsid w:val="00C9128F"/>
    <w:rsid w:val="00C91666"/>
    <w:rsid w:val="00C9219D"/>
    <w:rsid w:val="00C923D5"/>
    <w:rsid w:val="00C94E84"/>
    <w:rsid w:val="00CA0D9F"/>
    <w:rsid w:val="00CA18FB"/>
    <w:rsid w:val="00CA1BD1"/>
    <w:rsid w:val="00CA1CEF"/>
    <w:rsid w:val="00CB030A"/>
    <w:rsid w:val="00CB125C"/>
    <w:rsid w:val="00CB455B"/>
    <w:rsid w:val="00CB4D87"/>
    <w:rsid w:val="00CC4E6E"/>
    <w:rsid w:val="00CC6E0A"/>
    <w:rsid w:val="00CC7617"/>
    <w:rsid w:val="00CC7935"/>
    <w:rsid w:val="00CD17D1"/>
    <w:rsid w:val="00CD20F9"/>
    <w:rsid w:val="00CD66FB"/>
    <w:rsid w:val="00CD67D5"/>
    <w:rsid w:val="00CE098B"/>
    <w:rsid w:val="00CE6D2A"/>
    <w:rsid w:val="00CE70E4"/>
    <w:rsid w:val="00CF0889"/>
    <w:rsid w:val="00CF2156"/>
    <w:rsid w:val="00CF41C5"/>
    <w:rsid w:val="00CF4D7B"/>
    <w:rsid w:val="00CF6914"/>
    <w:rsid w:val="00CF7F30"/>
    <w:rsid w:val="00D003AF"/>
    <w:rsid w:val="00D049C3"/>
    <w:rsid w:val="00D062A5"/>
    <w:rsid w:val="00D07715"/>
    <w:rsid w:val="00D106FE"/>
    <w:rsid w:val="00D10ED3"/>
    <w:rsid w:val="00D125E8"/>
    <w:rsid w:val="00D12D3B"/>
    <w:rsid w:val="00D13D7B"/>
    <w:rsid w:val="00D14535"/>
    <w:rsid w:val="00D15FDA"/>
    <w:rsid w:val="00D161B7"/>
    <w:rsid w:val="00D21A22"/>
    <w:rsid w:val="00D21ED8"/>
    <w:rsid w:val="00D22A32"/>
    <w:rsid w:val="00D23012"/>
    <w:rsid w:val="00D26EC1"/>
    <w:rsid w:val="00D2709A"/>
    <w:rsid w:val="00D30569"/>
    <w:rsid w:val="00D31F30"/>
    <w:rsid w:val="00D31F45"/>
    <w:rsid w:val="00D335BB"/>
    <w:rsid w:val="00D34B05"/>
    <w:rsid w:val="00D37504"/>
    <w:rsid w:val="00D37996"/>
    <w:rsid w:val="00D43094"/>
    <w:rsid w:val="00D4725F"/>
    <w:rsid w:val="00D47EAE"/>
    <w:rsid w:val="00D54091"/>
    <w:rsid w:val="00D54B9A"/>
    <w:rsid w:val="00D54F2F"/>
    <w:rsid w:val="00D557F5"/>
    <w:rsid w:val="00D61100"/>
    <w:rsid w:val="00D61C45"/>
    <w:rsid w:val="00D62AEF"/>
    <w:rsid w:val="00D62CE1"/>
    <w:rsid w:val="00D64DD6"/>
    <w:rsid w:val="00D6587C"/>
    <w:rsid w:val="00D72C4E"/>
    <w:rsid w:val="00D756CA"/>
    <w:rsid w:val="00D77713"/>
    <w:rsid w:val="00D7798A"/>
    <w:rsid w:val="00D8307B"/>
    <w:rsid w:val="00D8327C"/>
    <w:rsid w:val="00D836F7"/>
    <w:rsid w:val="00D84645"/>
    <w:rsid w:val="00D864F8"/>
    <w:rsid w:val="00D879A3"/>
    <w:rsid w:val="00D93123"/>
    <w:rsid w:val="00DA527C"/>
    <w:rsid w:val="00DA5B6B"/>
    <w:rsid w:val="00DA700C"/>
    <w:rsid w:val="00DB2EF0"/>
    <w:rsid w:val="00DB4640"/>
    <w:rsid w:val="00DB72D0"/>
    <w:rsid w:val="00DC44F4"/>
    <w:rsid w:val="00DD027E"/>
    <w:rsid w:val="00DD0447"/>
    <w:rsid w:val="00DD05BB"/>
    <w:rsid w:val="00DD688C"/>
    <w:rsid w:val="00DE2783"/>
    <w:rsid w:val="00DE27B8"/>
    <w:rsid w:val="00DE3D55"/>
    <w:rsid w:val="00DE5707"/>
    <w:rsid w:val="00DE70C6"/>
    <w:rsid w:val="00DF0DB1"/>
    <w:rsid w:val="00DF21A8"/>
    <w:rsid w:val="00DF3A84"/>
    <w:rsid w:val="00DF7C6E"/>
    <w:rsid w:val="00E01663"/>
    <w:rsid w:val="00E01A46"/>
    <w:rsid w:val="00E04FDE"/>
    <w:rsid w:val="00E07A39"/>
    <w:rsid w:val="00E104EF"/>
    <w:rsid w:val="00E125CB"/>
    <w:rsid w:val="00E13C7D"/>
    <w:rsid w:val="00E13EDF"/>
    <w:rsid w:val="00E146EE"/>
    <w:rsid w:val="00E165C9"/>
    <w:rsid w:val="00E17165"/>
    <w:rsid w:val="00E202E6"/>
    <w:rsid w:val="00E21B3E"/>
    <w:rsid w:val="00E21F7E"/>
    <w:rsid w:val="00E224C3"/>
    <w:rsid w:val="00E22BB4"/>
    <w:rsid w:val="00E23B83"/>
    <w:rsid w:val="00E23FD1"/>
    <w:rsid w:val="00E25D87"/>
    <w:rsid w:val="00E27377"/>
    <w:rsid w:val="00E300EC"/>
    <w:rsid w:val="00E31E46"/>
    <w:rsid w:val="00E332F5"/>
    <w:rsid w:val="00E34AE2"/>
    <w:rsid w:val="00E37601"/>
    <w:rsid w:val="00E42235"/>
    <w:rsid w:val="00E43B3E"/>
    <w:rsid w:val="00E4414C"/>
    <w:rsid w:val="00E443BA"/>
    <w:rsid w:val="00E45FB7"/>
    <w:rsid w:val="00E470CE"/>
    <w:rsid w:val="00E50F94"/>
    <w:rsid w:val="00E528C9"/>
    <w:rsid w:val="00E5462E"/>
    <w:rsid w:val="00E62AD0"/>
    <w:rsid w:val="00E65605"/>
    <w:rsid w:val="00E65AFF"/>
    <w:rsid w:val="00E6767D"/>
    <w:rsid w:val="00E7411A"/>
    <w:rsid w:val="00E77A83"/>
    <w:rsid w:val="00E85972"/>
    <w:rsid w:val="00E90E9C"/>
    <w:rsid w:val="00E9512C"/>
    <w:rsid w:val="00EA0077"/>
    <w:rsid w:val="00EA0E38"/>
    <w:rsid w:val="00EA1872"/>
    <w:rsid w:val="00EA604E"/>
    <w:rsid w:val="00EA6536"/>
    <w:rsid w:val="00EA7167"/>
    <w:rsid w:val="00EB0026"/>
    <w:rsid w:val="00EB0384"/>
    <w:rsid w:val="00EB39F8"/>
    <w:rsid w:val="00EB3AE8"/>
    <w:rsid w:val="00EB6196"/>
    <w:rsid w:val="00EB67F0"/>
    <w:rsid w:val="00EB6B0C"/>
    <w:rsid w:val="00EB6F46"/>
    <w:rsid w:val="00EC058C"/>
    <w:rsid w:val="00EC1BDE"/>
    <w:rsid w:val="00EC1F4B"/>
    <w:rsid w:val="00ED1413"/>
    <w:rsid w:val="00ED1663"/>
    <w:rsid w:val="00ED50F5"/>
    <w:rsid w:val="00ED6BE1"/>
    <w:rsid w:val="00ED7099"/>
    <w:rsid w:val="00ED7757"/>
    <w:rsid w:val="00EE027B"/>
    <w:rsid w:val="00EE31DF"/>
    <w:rsid w:val="00EE7916"/>
    <w:rsid w:val="00EF1C6E"/>
    <w:rsid w:val="00EF2C80"/>
    <w:rsid w:val="00EF4D3B"/>
    <w:rsid w:val="00EF6A34"/>
    <w:rsid w:val="00EF7579"/>
    <w:rsid w:val="00F00BE0"/>
    <w:rsid w:val="00F016BD"/>
    <w:rsid w:val="00F026F0"/>
    <w:rsid w:val="00F0680A"/>
    <w:rsid w:val="00F06ED0"/>
    <w:rsid w:val="00F12013"/>
    <w:rsid w:val="00F12999"/>
    <w:rsid w:val="00F13822"/>
    <w:rsid w:val="00F14565"/>
    <w:rsid w:val="00F14A70"/>
    <w:rsid w:val="00F175A5"/>
    <w:rsid w:val="00F230F1"/>
    <w:rsid w:val="00F27B8D"/>
    <w:rsid w:val="00F304FB"/>
    <w:rsid w:val="00F31239"/>
    <w:rsid w:val="00F313F8"/>
    <w:rsid w:val="00F315AB"/>
    <w:rsid w:val="00F33F07"/>
    <w:rsid w:val="00F3528D"/>
    <w:rsid w:val="00F35871"/>
    <w:rsid w:val="00F35D52"/>
    <w:rsid w:val="00F35F8C"/>
    <w:rsid w:val="00F36C93"/>
    <w:rsid w:val="00F373E1"/>
    <w:rsid w:val="00F42574"/>
    <w:rsid w:val="00F45257"/>
    <w:rsid w:val="00F45CA2"/>
    <w:rsid w:val="00F45D78"/>
    <w:rsid w:val="00F46154"/>
    <w:rsid w:val="00F46AD5"/>
    <w:rsid w:val="00F47DCD"/>
    <w:rsid w:val="00F50CA4"/>
    <w:rsid w:val="00F50CE7"/>
    <w:rsid w:val="00F51438"/>
    <w:rsid w:val="00F5301A"/>
    <w:rsid w:val="00F549E7"/>
    <w:rsid w:val="00F5550D"/>
    <w:rsid w:val="00F618BB"/>
    <w:rsid w:val="00F6302F"/>
    <w:rsid w:val="00F67625"/>
    <w:rsid w:val="00F76B14"/>
    <w:rsid w:val="00F81487"/>
    <w:rsid w:val="00F85F21"/>
    <w:rsid w:val="00F90CF5"/>
    <w:rsid w:val="00F91AD8"/>
    <w:rsid w:val="00F922B1"/>
    <w:rsid w:val="00FA1CBD"/>
    <w:rsid w:val="00FA56EF"/>
    <w:rsid w:val="00FA5D99"/>
    <w:rsid w:val="00FA6505"/>
    <w:rsid w:val="00FA72F6"/>
    <w:rsid w:val="00FB10A3"/>
    <w:rsid w:val="00FB36D4"/>
    <w:rsid w:val="00FB3B0F"/>
    <w:rsid w:val="00FB510B"/>
    <w:rsid w:val="00FB5D1B"/>
    <w:rsid w:val="00FB75F9"/>
    <w:rsid w:val="00FB7C5A"/>
    <w:rsid w:val="00FC1C97"/>
    <w:rsid w:val="00FC26BF"/>
    <w:rsid w:val="00FC423E"/>
    <w:rsid w:val="00FC523E"/>
    <w:rsid w:val="00FC6CE0"/>
    <w:rsid w:val="00FC7232"/>
    <w:rsid w:val="00FC7525"/>
    <w:rsid w:val="00FD1A30"/>
    <w:rsid w:val="00FD418F"/>
    <w:rsid w:val="00FD4365"/>
    <w:rsid w:val="00FD4D39"/>
    <w:rsid w:val="00FD4F52"/>
    <w:rsid w:val="00FD532F"/>
    <w:rsid w:val="00FE1EF3"/>
    <w:rsid w:val="00FE315D"/>
    <w:rsid w:val="00FE3182"/>
    <w:rsid w:val="00FE41E1"/>
    <w:rsid w:val="00FE55F1"/>
    <w:rsid w:val="00FF213C"/>
    <w:rsid w:val="00FF4D81"/>
    <w:rsid w:val="00FF75F5"/>
    <w:rsid w:val="01475050"/>
    <w:rsid w:val="01592D24"/>
    <w:rsid w:val="01775986"/>
    <w:rsid w:val="018E7ABF"/>
    <w:rsid w:val="0198796C"/>
    <w:rsid w:val="019F3704"/>
    <w:rsid w:val="01BF557D"/>
    <w:rsid w:val="01C133B8"/>
    <w:rsid w:val="01D923E8"/>
    <w:rsid w:val="020F2171"/>
    <w:rsid w:val="02177213"/>
    <w:rsid w:val="024F0D82"/>
    <w:rsid w:val="02515380"/>
    <w:rsid w:val="02564337"/>
    <w:rsid w:val="02602565"/>
    <w:rsid w:val="027D6EBC"/>
    <w:rsid w:val="029E5678"/>
    <w:rsid w:val="02A3645B"/>
    <w:rsid w:val="02BA79B2"/>
    <w:rsid w:val="02F778BD"/>
    <w:rsid w:val="03121468"/>
    <w:rsid w:val="03295B1A"/>
    <w:rsid w:val="035D669A"/>
    <w:rsid w:val="03642DDB"/>
    <w:rsid w:val="036E1DEC"/>
    <w:rsid w:val="03822C68"/>
    <w:rsid w:val="039F2BBC"/>
    <w:rsid w:val="03D96AC5"/>
    <w:rsid w:val="03EC4379"/>
    <w:rsid w:val="041328B5"/>
    <w:rsid w:val="042372E8"/>
    <w:rsid w:val="0433593B"/>
    <w:rsid w:val="04370391"/>
    <w:rsid w:val="048255E0"/>
    <w:rsid w:val="04EB6588"/>
    <w:rsid w:val="050135EA"/>
    <w:rsid w:val="05071955"/>
    <w:rsid w:val="05072433"/>
    <w:rsid w:val="050B36B6"/>
    <w:rsid w:val="051E3875"/>
    <w:rsid w:val="0524125B"/>
    <w:rsid w:val="0533125B"/>
    <w:rsid w:val="054D71B9"/>
    <w:rsid w:val="054F4EE9"/>
    <w:rsid w:val="05931D03"/>
    <w:rsid w:val="05D250B1"/>
    <w:rsid w:val="05D4775F"/>
    <w:rsid w:val="062C3C62"/>
    <w:rsid w:val="067335FA"/>
    <w:rsid w:val="068239D5"/>
    <w:rsid w:val="06AB5586"/>
    <w:rsid w:val="06CB44B7"/>
    <w:rsid w:val="06EE20B1"/>
    <w:rsid w:val="07064A74"/>
    <w:rsid w:val="072F1EC7"/>
    <w:rsid w:val="07505328"/>
    <w:rsid w:val="0757657B"/>
    <w:rsid w:val="075B63E2"/>
    <w:rsid w:val="076B186A"/>
    <w:rsid w:val="07B1625B"/>
    <w:rsid w:val="07C64BE5"/>
    <w:rsid w:val="07C8386F"/>
    <w:rsid w:val="07D96E9C"/>
    <w:rsid w:val="08266553"/>
    <w:rsid w:val="08485E5F"/>
    <w:rsid w:val="08534B88"/>
    <w:rsid w:val="087067C9"/>
    <w:rsid w:val="089B6095"/>
    <w:rsid w:val="08B64B66"/>
    <w:rsid w:val="08D31906"/>
    <w:rsid w:val="08E50158"/>
    <w:rsid w:val="08F062C2"/>
    <w:rsid w:val="090B19E1"/>
    <w:rsid w:val="090D5235"/>
    <w:rsid w:val="0910646C"/>
    <w:rsid w:val="092855CA"/>
    <w:rsid w:val="09303C1C"/>
    <w:rsid w:val="093158CD"/>
    <w:rsid w:val="094305C3"/>
    <w:rsid w:val="09437F29"/>
    <w:rsid w:val="095538B8"/>
    <w:rsid w:val="09AC6517"/>
    <w:rsid w:val="09E15530"/>
    <w:rsid w:val="0A036205"/>
    <w:rsid w:val="0A1B58FF"/>
    <w:rsid w:val="0A1F196D"/>
    <w:rsid w:val="0A294D9D"/>
    <w:rsid w:val="0A33700C"/>
    <w:rsid w:val="0A6D7B49"/>
    <w:rsid w:val="0A7A5BFF"/>
    <w:rsid w:val="0AAE7299"/>
    <w:rsid w:val="0AB67EFC"/>
    <w:rsid w:val="0ABA7CC7"/>
    <w:rsid w:val="0AD11D45"/>
    <w:rsid w:val="0AE903B8"/>
    <w:rsid w:val="0AEB13EA"/>
    <w:rsid w:val="0B0D375C"/>
    <w:rsid w:val="0B167BE5"/>
    <w:rsid w:val="0B1873A5"/>
    <w:rsid w:val="0B5074A6"/>
    <w:rsid w:val="0B5758FD"/>
    <w:rsid w:val="0B7462A1"/>
    <w:rsid w:val="0B807F85"/>
    <w:rsid w:val="0BA16641"/>
    <w:rsid w:val="0BC9304F"/>
    <w:rsid w:val="0BCD6D72"/>
    <w:rsid w:val="0C192D19"/>
    <w:rsid w:val="0C225630"/>
    <w:rsid w:val="0C3B2D30"/>
    <w:rsid w:val="0C54333A"/>
    <w:rsid w:val="0C615DB9"/>
    <w:rsid w:val="0CA15A2A"/>
    <w:rsid w:val="0CAC6BB6"/>
    <w:rsid w:val="0CAE1BA4"/>
    <w:rsid w:val="0CB35ABE"/>
    <w:rsid w:val="0CC34F37"/>
    <w:rsid w:val="0CEA1C84"/>
    <w:rsid w:val="0D1F40D0"/>
    <w:rsid w:val="0D3E646C"/>
    <w:rsid w:val="0D4702B5"/>
    <w:rsid w:val="0D584380"/>
    <w:rsid w:val="0D864353"/>
    <w:rsid w:val="0D8814CD"/>
    <w:rsid w:val="0D9F44C3"/>
    <w:rsid w:val="0DD505F0"/>
    <w:rsid w:val="0DEA5E6A"/>
    <w:rsid w:val="0DFC36FB"/>
    <w:rsid w:val="0DFE1C5C"/>
    <w:rsid w:val="0E1E7C17"/>
    <w:rsid w:val="0E7A2AE2"/>
    <w:rsid w:val="0E971DB0"/>
    <w:rsid w:val="0EB37705"/>
    <w:rsid w:val="0EDC465F"/>
    <w:rsid w:val="0EE334D5"/>
    <w:rsid w:val="0F0D26CC"/>
    <w:rsid w:val="0F184ADA"/>
    <w:rsid w:val="0F2A0C95"/>
    <w:rsid w:val="0F6F24BB"/>
    <w:rsid w:val="0FA1669B"/>
    <w:rsid w:val="0FA50879"/>
    <w:rsid w:val="101F20D6"/>
    <w:rsid w:val="10214D87"/>
    <w:rsid w:val="103D0A77"/>
    <w:rsid w:val="105A0E14"/>
    <w:rsid w:val="108D68AD"/>
    <w:rsid w:val="10D20006"/>
    <w:rsid w:val="10DB318E"/>
    <w:rsid w:val="10EE2B8A"/>
    <w:rsid w:val="10EF538B"/>
    <w:rsid w:val="112265B9"/>
    <w:rsid w:val="11252420"/>
    <w:rsid w:val="11312DC0"/>
    <w:rsid w:val="11445A50"/>
    <w:rsid w:val="114701EB"/>
    <w:rsid w:val="115F4013"/>
    <w:rsid w:val="117E05A4"/>
    <w:rsid w:val="118848CF"/>
    <w:rsid w:val="11C11380"/>
    <w:rsid w:val="11F1426F"/>
    <w:rsid w:val="11F36FDC"/>
    <w:rsid w:val="12092462"/>
    <w:rsid w:val="120F2891"/>
    <w:rsid w:val="120F4DC7"/>
    <w:rsid w:val="121D403F"/>
    <w:rsid w:val="124C5748"/>
    <w:rsid w:val="12984B53"/>
    <w:rsid w:val="129F7C67"/>
    <w:rsid w:val="12B26B12"/>
    <w:rsid w:val="12C9467E"/>
    <w:rsid w:val="12CD3DE7"/>
    <w:rsid w:val="13035355"/>
    <w:rsid w:val="13380DD8"/>
    <w:rsid w:val="1344521A"/>
    <w:rsid w:val="134475AE"/>
    <w:rsid w:val="13472E02"/>
    <w:rsid w:val="13645ACB"/>
    <w:rsid w:val="13A37686"/>
    <w:rsid w:val="13BC4C04"/>
    <w:rsid w:val="13D926C2"/>
    <w:rsid w:val="13DD18CC"/>
    <w:rsid w:val="13E833A5"/>
    <w:rsid w:val="13E957B5"/>
    <w:rsid w:val="13F54664"/>
    <w:rsid w:val="13F746A9"/>
    <w:rsid w:val="14033731"/>
    <w:rsid w:val="142B7510"/>
    <w:rsid w:val="14412BB2"/>
    <w:rsid w:val="146F2D0E"/>
    <w:rsid w:val="149C72DC"/>
    <w:rsid w:val="14BC5BA2"/>
    <w:rsid w:val="15202F40"/>
    <w:rsid w:val="155A49C0"/>
    <w:rsid w:val="15A078BC"/>
    <w:rsid w:val="15A626B8"/>
    <w:rsid w:val="15AC208D"/>
    <w:rsid w:val="15AE733A"/>
    <w:rsid w:val="15DD7F56"/>
    <w:rsid w:val="16214067"/>
    <w:rsid w:val="1636158B"/>
    <w:rsid w:val="16473792"/>
    <w:rsid w:val="16921356"/>
    <w:rsid w:val="16BF0FD8"/>
    <w:rsid w:val="16D820D5"/>
    <w:rsid w:val="16EE0D13"/>
    <w:rsid w:val="16F93153"/>
    <w:rsid w:val="172A1253"/>
    <w:rsid w:val="174D4953"/>
    <w:rsid w:val="1765194C"/>
    <w:rsid w:val="17874B40"/>
    <w:rsid w:val="17D84D84"/>
    <w:rsid w:val="180475D9"/>
    <w:rsid w:val="182461DA"/>
    <w:rsid w:val="18251BF1"/>
    <w:rsid w:val="18277484"/>
    <w:rsid w:val="188A4DE2"/>
    <w:rsid w:val="18904498"/>
    <w:rsid w:val="18A27B72"/>
    <w:rsid w:val="18A3471E"/>
    <w:rsid w:val="18A478A1"/>
    <w:rsid w:val="18FE0EA9"/>
    <w:rsid w:val="19093343"/>
    <w:rsid w:val="192876D4"/>
    <w:rsid w:val="192A48B5"/>
    <w:rsid w:val="192B4DF7"/>
    <w:rsid w:val="194525A5"/>
    <w:rsid w:val="195E1EBD"/>
    <w:rsid w:val="198606BB"/>
    <w:rsid w:val="19906754"/>
    <w:rsid w:val="199419A3"/>
    <w:rsid w:val="199C4C10"/>
    <w:rsid w:val="19B15441"/>
    <w:rsid w:val="19BA6371"/>
    <w:rsid w:val="19D22568"/>
    <w:rsid w:val="19F90D7B"/>
    <w:rsid w:val="19FC4671"/>
    <w:rsid w:val="1A0C7411"/>
    <w:rsid w:val="1A276136"/>
    <w:rsid w:val="1A325030"/>
    <w:rsid w:val="1A4964D8"/>
    <w:rsid w:val="1A4B50CC"/>
    <w:rsid w:val="1A6C4CF2"/>
    <w:rsid w:val="1A6D2AC3"/>
    <w:rsid w:val="1AE13A15"/>
    <w:rsid w:val="1AF6583C"/>
    <w:rsid w:val="1B0F5DDA"/>
    <w:rsid w:val="1B2E2B60"/>
    <w:rsid w:val="1B39093F"/>
    <w:rsid w:val="1B602AA7"/>
    <w:rsid w:val="1B7B66B5"/>
    <w:rsid w:val="1BD50FAE"/>
    <w:rsid w:val="1C025B30"/>
    <w:rsid w:val="1C225F98"/>
    <w:rsid w:val="1C252361"/>
    <w:rsid w:val="1C272EF4"/>
    <w:rsid w:val="1C310BAA"/>
    <w:rsid w:val="1C3249CE"/>
    <w:rsid w:val="1C84148C"/>
    <w:rsid w:val="1CAD4BAE"/>
    <w:rsid w:val="1CC64A9B"/>
    <w:rsid w:val="1CE3111D"/>
    <w:rsid w:val="1CEA3FE8"/>
    <w:rsid w:val="1CF12070"/>
    <w:rsid w:val="1D0613A9"/>
    <w:rsid w:val="1D320A97"/>
    <w:rsid w:val="1D3541D9"/>
    <w:rsid w:val="1D3E6FE0"/>
    <w:rsid w:val="1D412D21"/>
    <w:rsid w:val="1D4766C2"/>
    <w:rsid w:val="1D4F2685"/>
    <w:rsid w:val="1D9E42D9"/>
    <w:rsid w:val="1DA7214D"/>
    <w:rsid w:val="1DF546C5"/>
    <w:rsid w:val="1E0D6559"/>
    <w:rsid w:val="1E1574E9"/>
    <w:rsid w:val="1E273F23"/>
    <w:rsid w:val="1E3E2D25"/>
    <w:rsid w:val="1E4507E4"/>
    <w:rsid w:val="1E4C6080"/>
    <w:rsid w:val="1E6210B8"/>
    <w:rsid w:val="1E6372FB"/>
    <w:rsid w:val="1E656768"/>
    <w:rsid w:val="1E7243D6"/>
    <w:rsid w:val="1E9E6F14"/>
    <w:rsid w:val="1EB32A14"/>
    <w:rsid w:val="1EC014EF"/>
    <w:rsid w:val="1EC664F8"/>
    <w:rsid w:val="1EDA6951"/>
    <w:rsid w:val="1F0538CF"/>
    <w:rsid w:val="1F08544B"/>
    <w:rsid w:val="1F4D28DA"/>
    <w:rsid w:val="1F9D7579"/>
    <w:rsid w:val="1FA10C7F"/>
    <w:rsid w:val="1FB330DF"/>
    <w:rsid w:val="1FBF390B"/>
    <w:rsid w:val="1FCF7B92"/>
    <w:rsid w:val="1FE230D8"/>
    <w:rsid w:val="1FE31598"/>
    <w:rsid w:val="1FEF5E1C"/>
    <w:rsid w:val="1FF91559"/>
    <w:rsid w:val="200C647D"/>
    <w:rsid w:val="203B7BB0"/>
    <w:rsid w:val="20873064"/>
    <w:rsid w:val="208B7FF1"/>
    <w:rsid w:val="20B20B7E"/>
    <w:rsid w:val="20CC332B"/>
    <w:rsid w:val="214A59F5"/>
    <w:rsid w:val="214E7C92"/>
    <w:rsid w:val="21A3266E"/>
    <w:rsid w:val="21A66B25"/>
    <w:rsid w:val="21DC146A"/>
    <w:rsid w:val="21F45784"/>
    <w:rsid w:val="22155EFF"/>
    <w:rsid w:val="2238122B"/>
    <w:rsid w:val="226006F6"/>
    <w:rsid w:val="22833ACF"/>
    <w:rsid w:val="22881CDA"/>
    <w:rsid w:val="228A692A"/>
    <w:rsid w:val="22902E9F"/>
    <w:rsid w:val="22B11172"/>
    <w:rsid w:val="22B77183"/>
    <w:rsid w:val="22D13917"/>
    <w:rsid w:val="23207452"/>
    <w:rsid w:val="232446E0"/>
    <w:rsid w:val="23245841"/>
    <w:rsid w:val="23404F3D"/>
    <w:rsid w:val="235C60DC"/>
    <w:rsid w:val="235F361B"/>
    <w:rsid w:val="2364528E"/>
    <w:rsid w:val="23723632"/>
    <w:rsid w:val="237878F9"/>
    <w:rsid w:val="23867E53"/>
    <w:rsid w:val="2395665B"/>
    <w:rsid w:val="23A178E3"/>
    <w:rsid w:val="23B76016"/>
    <w:rsid w:val="23C34481"/>
    <w:rsid w:val="243A4911"/>
    <w:rsid w:val="244D238E"/>
    <w:rsid w:val="2452764C"/>
    <w:rsid w:val="247B7075"/>
    <w:rsid w:val="249030E1"/>
    <w:rsid w:val="24CC3AFF"/>
    <w:rsid w:val="24F36825"/>
    <w:rsid w:val="25171854"/>
    <w:rsid w:val="25195C57"/>
    <w:rsid w:val="25445D9E"/>
    <w:rsid w:val="255E23FD"/>
    <w:rsid w:val="25856A2D"/>
    <w:rsid w:val="259932E2"/>
    <w:rsid w:val="25B274E0"/>
    <w:rsid w:val="25C27FD1"/>
    <w:rsid w:val="25C473C7"/>
    <w:rsid w:val="25E6396A"/>
    <w:rsid w:val="25E70642"/>
    <w:rsid w:val="26186173"/>
    <w:rsid w:val="26225933"/>
    <w:rsid w:val="2632322C"/>
    <w:rsid w:val="263D4A6F"/>
    <w:rsid w:val="2646672D"/>
    <w:rsid w:val="265D221E"/>
    <w:rsid w:val="2675482A"/>
    <w:rsid w:val="26CF57CC"/>
    <w:rsid w:val="26F75C98"/>
    <w:rsid w:val="26FF563B"/>
    <w:rsid w:val="270124D8"/>
    <w:rsid w:val="27022042"/>
    <w:rsid w:val="27117049"/>
    <w:rsid w:val="27330776"/>
    <w:rsid w:val="274976E1"/>
    <w:rsid w:val="276C29FF"/>
    <w:rsid w:val="27B13177"/>
    <w:rsid w:val="27B5702F"/>
    <w:rsid w:val="27B755B5"/>
    <w:rsid w:val="27FC081F"/>
    <w:rsid w:val="28067B30"/>
    <w:rsid w:val="28225438"/>
    <w:rsid w:val="28390F72"/>
    <w:rsid w:val="287C2442"/>
    <w:rsid w:val="28855A7D"/>
    <w:rsid w:val="28C06DE5"/>
    <w:rsid w:val="28F441D6"/>
    <w:rsid w:val="28F56D38"/>
    <w:rsid w:val="292C4FEB"/>
    <w:rsid w:val="293B2995"/>
    <w:rsid w:val="29CA55AC"/>
    <w:rsid w:val="29D61821"/>
    <w:rsid w:val="29D64F4E"/>
    <w:rsid w:val="29EB624B"/>
    <w:rsid w:val="29F86C2E"/>
    <w:rsid w:val="2A025891"/>
    <w:rsid w:val="2A2742E7"/>
    <w:rsid w:val="2A3E0585"/>
    <w:rsid w:val="2A472991"/>
    <w:rsid w:val="2A4901FE"/>
    <w:rsid w:val="2A506DBA"/>
    <w:rsid w:val="2ABE6C1D"/>
    <w:rsid w:val="2ABF25ED"/>
    <w:rsid w:val="2AC33F50"/>
    <w:rsid w:val="2AEA115B"/>
    <w:rsid w:val="2AF27B83"/>
    <w:rsid w:val="2B2A3917"/>
    <w:rsid w:val="2B313286"/>
    <w:rsid w:val="2B565717"/>
    <w:rsid w:val="2B5A518A"/>
    <w:rsid w:val="2BE95450"/>
    <w:rsid w:val="2BF30BAD"/>
    <w:rsid w:val="2C0440A1"/>
    <w:rsid w:val="2C0F6E41"/>
    <w:rsid w:val="2C1F3898"/>
    <w:rsid w:val="2C2643AF"/>
    <w:rsid w:val="2C9C798C"/>
    <w:rsid w:val="2CAF27AF"/>
    <w:rsid w:val="2CC76232"/>
    <w:rsid w:val="2CF271A5"/>
    <w:rsid w:val="2D0E401C"/>
    <w:rsid w:val="2D395076"/>
    <w:rsid w:val="2D3F7C2B"/>
    <w:rsid w:val="2D426A09"/>
    <w:rsid w:val="2D69305E"/>
    <w:rsid w:val="2D7D4560"/>
    <w:rsid w:val="2D8400D7"/>
    <w:rsid w:val="2D851D9A"/>
    <w:rsid w:val="2DA75449"/>
    <w:rsid w:val="2DD17EBA"/>
    <w:rsid w:val="2DE177EA"/>
    <w:rsid w:val="2DFC5902"/>
    <w:rsid w:val="2E071577"/>
    <w:rsid w:val="2E0E65DA"/>
    <w:rsid w:val="2EDE0726"/>
    <w:rsid w:val="2F2E08E0"/>
    <w:rsid w:val="2F347E84"/>
    <w:rsid w:val="2F5F787A"/>
    <w:rsid w:val="2F656DC3"/>
    <w:rsid w:val="2F6D1EE9"/>
    <w:rsid w:val="2F7B10A8"/>
    <w:rsid w:val="2F80779A"/>
    <w:rsid w:val="2F917401"/>
    <w:rsid w:val="2F950A10"/>
    <w:rsid w:val="2FDB604A"/>
    <w:rsid w:val="2FE7396B"/>
    <w:rsid w:val="2FEA4FF7"/>
    <w:rsid w:val="300556F4"/>
    <w:rsid w:val="300D7D4A"/>
    <w:rsid w:val="301F1F33"/>
    <w:rsid w:val="3055288C"/>
    <w:rsid w:val="30633714"/>
    <w:rsid w:val="30647D42"/>
    <w:rsid w:val="30EF3549"/>
    <w:rsid w:val="30F72CC9"/>
    <w:rsid w:val="31984C12"/>
    <w:rsid w:val="31C02BAF"/>
    <w:rsid w:val="31D816FE"/>
    <w:rsid w:val="31FE7C49"/>
    <w:rsid w:val="323F6EB6"/>
    <w:rsid w:val="324463DD"/>
    <w:rsid w:val="324E53DD"/>
    <w:rsid w:val="32537FB9"/>
    <w:rsid w:val="32743184"/>
    <w:rsid w:val="327F2033"/>
    <w:rsid w:val="32C25FB9"/>
    <w:rsid w:val="32E64696"/>
    <w:rsid w:val="33006072"/>
    <w:rsid w:val="33185FAF"/>
    <w:rsid w:val="333E72A9"/>
    <w:rsid w:val="33AA59E9"/>
    <w:rsid w:val="33C336E9"/>
    <w:rsid w:val="33C44212"/>
    <w:rsid w:val="33E541BA"/>
    <w:rsid w:val="340A39D8"/>
    <w:rsid w:val="343D3E2D"/>
    <w:rsid w:val="343E7D20"/>
    <w:rsid w:val="346644D8"/>
    <w:rsid w:val="346932C7"/>
    <w:rsid w:val="34A501E1"/>
    <w:rsid w:val="34D84DA0"/>
    <w:rsid w:val="34E140E4"/>
    <w:rsid w:val="35074B08"/>
    <w:rsid w:val="35173E26"/>
    <w:rsid w:val="351B231A"/>
    <w:rsid w:val="355855BD"/>
    <w:rsid w:val="358566E3"/>
    <w:rsid w:val="359C4649"/>
    <w:rsid w:val="35A069CF"/>
    <w:rsid w:val="35B6520A"/>
    <w:rsid w:val="35FC443B"/>
    <w:rsid w:val="35FE4179"/>
    <w:rsid w:val="36032528"/>
    <w:rsid w:val="360607D9"/>
    <w:rsid w:val="36190C5C"/>
    <w:rsid w:val="361D323E"/>
    <w:rsid w:val="36291B91"/>
    <w:rsid w:val="363D616D"/>
    <w:rsid w:val="364269D5"/>
    <w:rsid w:val="3680580C"/>
    <w:rsid w:val="3687340C"/>
    <w:rsid w:val="369C6266"/>
    <w:rsid w:val="36C669AD"/>
    <w:rsid w:val="36DA4B0F"/>
    <w:rsid w:val="36DB4768"/>
    <w:rsid w:val="36DC20F9"/>
    <w:rsid w:val="37903768"/>
    <w:rsid w:val="37925725"/>
    <w:rsid w:val="37977513"/>
    <w:rsid w:val="38303478"/>
    <w:rsid w:val="3850132D"/>
    <w:rsid w:val="385A07E5"/>
    <w:rsid w:val="38675474"/>
    <w:rsid w:val="38815E8C"/>
    <w:rsid w:val="389E008F"/>
    <w:rsid w:val="38A94C99"/>
    <w:rsid w:val="38AE5657"/>
    <w:rsid w:val="38B01D2C"/>
    <w:rsid w:val="38BB6F11"/>
    <w:rsid w:val="38D6246F"/>
    <w:rsid w:val="38F00189"/>
    <w:rsid w:val="391E1D1E"/>
    <w:rsid w:val="395555EB"/>
    <w:rsid w:val="39ED47AD"/>
    <w:rsid w:val="39FF4534"/>
    <w:rsid w:val="3A1C2224"/>
    <w:rsid w:val="3A3C70DA"/>
    <w:rsid w:val="3A8E5D10"/>
    <w:rsid w:val="3AB66A70"/>
    <w:rsid w:val="3AC72B8C"/>
    <w:rsid w:val="3AE11A4E"/>
    <w:rsid w:val="3AE530EE"/>
    <w:rsid w:val="3AFB6AC0"/>
    <w:rsid w:val="3B10495E"/>
    <w:rsid w:val="3B2A4FB6"/>
    <w:rsid w:val="3B514A49"/>
    <w:rsid w:val="3B691352"/>
    <w:rsid w:val="3B7B1A31"/>
    <w:rsid w:val="3B932D9C"/>
    <w:rsid w:val="3BAF251D"/>
    <w:rsid w:val="3BC422D5"/>
    <w:rsid w:val="3BCA6412"/>
    <w:rsid w:val="3BD26834"/>
    <w:rsid w:val="3C13618B"/>
    <w:rsid w:val="3C19288C"/>
    <w:rsid w:val="3C587AB0"/>
    <w:rsid w:val="3C833CC7"/>
    <w:rsid w:val="3C865275"/>
    <w:rsid w:val="3C881C99"/>
    <w:rsid w:val="3C8866BD"/>
    <w:rsid w:val="3CBA43FC"/>
    <w:rsid w:val="3CCE5FE8"/>
    <w:rsid w:val="3CD27F25"/>
    <w:rsid w:val="3D384E0A"/>
    <w:rsid w:val="3D573AAE"/>
    <w:rsid w:val="3D7D541E"/>
    <w:rsid w:val="3DA60AB4"/>
    <w:rsid w:val="3DBC4307"/>
    <w:rsid w:val="3DDC6AF7"/>
    <w:rsid w:val="3DE01DB2"/>
    <w:rsid w:val="3DFD50F4"/>
    <w:rsid w:val="3E190884"/>
    <w:rsid w:val="3E2A5C4F"/>
    <w:rsid w:val="3E5212C8"/>
    <w:rsid w:val="3E593C8B"/>
    <w:rsid w:val="3E5F1E94"/>
    <w:rsid w:val="3EFE0737"/>
    <w:rsid w:val="3F022944"/>
    <w:rsid w:val="3F125943"/>
    <w:rsid w:val="3F5F1127"/>
    <w:rsid w:val="3F817D6A"/>
    <w:rsid w:val="3FA91820"/>
    <w:rsid w:val="3FAF4912"/>
    <w:rsid w:val="3FEE6AC2"/>
    <w:rsid w:val="3FF45064"/>
    <w:rsid w:val="4004716E"/>
    <w:rsid w:val="401621C8"/>
    <w:rsid w:val="404B3E9C"/>
    <w:rsid w:val="406A72FF"/>
    <w:rsid w:val="408213B1"/>
    <w:rsid w:val="40B83F50"/>
    <w:rsid w:val="40CD787E"/>
    <w:rsid w:val="412E0665"/>
    <w:rsid w:val="416B0D88"/>
    <w:rsid w:val="416C1802"/>
    <w:rsid w:val="421B7832"/>
    <w:rsid w:val="421D6E4B"/>
    <w:rsid w:val="421F4D8D"/>
    <w:rsid w:val="42254A34"/>
    <w:rsid w:val="424865BD"/>
    <w:rsid w:val="42616642"/>
    <w:rsid w:val="426771C5"/>
    <w:rsid w:val="42825920"/>
    <w:rsid w:val="429462ED"/>
    <w:rsid w:val="42993A57"/>
    <w:rsid w:val="42BC7DDF"/>
    <w:rsid w:val="42EB34FD"/>
    <w:rsid w:val="42F3523B"/>
    <w:rsid w:val="42F468C8"/>
    <w:rsid w:val="43076C51"/>
    <w:rsid w:val="437779CD"/>
    <w:rsid w:val="437C3045"/>
    <w:rsid w:val="437E2698"/>
    <w:rsid w:val="43801D8E"/>
    <w:rsid w:val="43AD43B9"/>
    <w:rsid w:val="43AE66F3"/>
    <w:rsid w:val="43CF3366"/>
    <w:rsid w:val="43E74E6E"/>
    <w:rsid w:val="44201AAB"/>
    <w:rsid w:val="444C7148"/>
    <w:rsid w:val="448A72D9"/>
    <w:rsid w:val="44EF1B82"/>
    <w:rsid w:val="44F93196"/>
    <w:rsid w:val="451166E0"/>
    <w:rsid w:val="45797C51"/>
    <w:rsid w:val="457F3ABC"/>
    <w:rsid w:val="45A168B6"/>
    <w:rsid w:val="45C319D4"/>
    <w:rsid w:val="45C67BA8"/>
    <w:rsid w:val="45EE4E64"/>
    <w:rsid w:val="45F03BF4"/>
    <w:rsid w:val="46053869"/>
    <w:rsid w:val="460D316A"/>
    <w:rsid w:val="461B2714"/>
    <w:rsid w:val="462C7BBB"/>
    <w:rsid w:val="46A97B09"/>
    <w:rsid w:val="46DB52C0"/>
    <w:rsid w:val="46F41301"/>
    <w:rsid w:val="46FB4C79"/>
    <w:rsid w:val="46FC6C97"/>
    <w:rsid w:val="470D751B"/>
    <w:rsid w:val="471E1799"/>
    <w:rsid w:val="472332A6"/>
    <w:rsid w:val="473D2DF8"/>
    <w:rsid w:val="474B026A"/>
    <w:rsid w:val="47500F68"/>
    <w:rsid w:val="476826FD"/>
    <w:rsid w:val="476C55F0"/>
    <w:rsid w:val="47831A92"/>
    <w:rsid w:val="47C967E5"/>
    <w:rsid w:val="47F66832"/>
    <w:rsid w:val="480E38CB"/>
    <w:rsid w:val="481C695F"/>
    <w:rsid w:val="482E4DBC"/>
    <w:rsid w:val="484B304F"/>
    <w:rsid w:val="48641766"/>
    <w:rsid w:val="488C5ECA"/>
    <w:rsid w:val="488D700A"/>
    <w:rsid w:val="48AC46F7"/>
    <w:rsid w:val="48B967C6"/>
    <w:rsid w:val="48D3794F"/>
    <w:rsid w:val="48E979C3"/>
    <w:rsid w:val="48F21691"/>
    <w:rsid w:val="498D1813"/>
    <w:rsid w:val="499B778A"/>
    <w:rsid w:val="49A630A9"/>
    <w:rsid w:val="49C15D06"/>
    <w:rsid w:val="4A112E3F"/>
    <w:rsid w:val="4A13457D"/>
    <w:rsid w:val="4AC50AF6"/>
    <w:rsid w:val="4AF42255"/>
    <w:rsid w:val="4B2342C6"/>
    <w:rsid w:val="4B2D1DE6"/>
    <w:rsid w:val="4B454D62"/>
    <w:rsid w:val="4B807D59"/>
    <w:rsid w:val="4BA72EF2"/>
    <w:rsid w:val="4BE62E49"/>
    <w:rsid w:val="4BED171A"/>
    <w:rsid w:val="4C0C3C89"/>
    <w:rsid w:val="4C0E4504"/>
    <w:rsid w:val="4C0F397C"/>
    <w:rsid w:val="4C3E203F"/>
    <w:rsid w:val="4C4A2448"/>
    <w:rsid w:val="4C884056"/>
    <w:rsid w:val="4C8C77FA"/>
    <w:rsid w:val="4CF6285E"/>
    <w:rsid w:val="4CFD6F4C"/>
    <w:rsid w:val="4D1751D8"/>
    <w:rsid w:val="4D52132B"/>
    <w:rsid w:val="4D6624CB"/>
    <w:rsid w:val="4DB85FA2"/>
    <w:rsid w:val="4DED52D5"/>
    <w:rsid w:val="4E227DFD"/>
    <w:rsid w:val="4E3B2540"/>
    <w:rsid w:val="4E414825"/>
    <w:rsid w:val="4E993BBD"/>
    <w:rsid w:val="4EA96CFE"/>
    <w:rsid w:val="4ECF17A1"/>
    <w:rsid w:val="4F73779A"/>
    <w:rsid w:val="4F815C76"/>
    <w:rsid w:val="4FB97DFA"/>
    <w:rsid w:val="500363B3"/>
    <w:rsid w:val="501150E2"/>
    <w:rsid w:val="502E20C4"/>
    <w:rsid w:val="50427642"/>
    <w:rsid w:val="505805E5"/>
    <w:rsid w:val="508924E3"/>
    <w:rsid w:val="50902684"/>
    <w:rsid w:val="50C91EF6"/>
    <w:rsid w:val="50D71E15"/>
    <w:rsid w:val="50DF56DA"/>
    <w:rsid w:val="50E340B3"/>
    <w:rsid w:val="5141174F"/>
    <w:rsid w:val="516A1F01"/>
    <w:rsid w:val="516B7550"/>
    <w:rsid w:val="51806DE1"/>
    <w:rsid w:val="51864A75"/>
    <w:rsid w:val="51A4443E"/>
    <w:rsid w:val="51B426ED"/>
    <w:rsid w:val="51D066E1"/>
    <w:rsid w:val="51E413C8"/>
    <w:rsid w:val="51E73753"/>
    <w:rsid w:val="52293672"/>
    <w:rsid w:val="52393390"/>
    <w:rsid w:val="523D4C05"/>
    <w:rsid w:val="523F6E60"/>
    <w:rsid w:val="524E5A9B"/>
    <w:rsid w:val="52693681"/>
    <w:rsid w:val="527103FC"/>
    <w:rsid w:val="528E57E1"/>
    <w:rsid w:val="529A792F"/>
    <w:rsid w:val="52A4759B"/>
    <w:rsid w:val="52AF082D"/>
    <w:rsid w:val="52B35629"/>
    <w:rsid w:val="52D32AFD"/>
    <w:rsid w:val="52E8238E"/>
    <w:rsid w:val="53481136"/>
    <w:rsid w:val="53563CBE"/>
    <w:rsid w:val="535848AB"/>
    <w:rsid w:val="53593027"/>
    <w:rsid w:val="539F3171"/>
    <w:rsid w:val="53B04407"/>
    <w:rsid w:val="53BF6A0D"/>
    <w:rsid w:val="54161C7D"/>
    <w:rsid w:val="541C1301"/>
    <w:rsid w:val="54C011E1"/>
    <w:rsid w:val="550C558B"/>
    <w:rsid w:val="551A224E"/>
    <w:rsid w:val="558668A9"/>
    <w:rsid w:val="55992337"/>
    <w:rsid w:val="55B21C95"/>
    <w:rsid w:val="55CC5FDF"/>
    <w:rsid w:val="55D0480F"/>
    <w:rsid w:val="561F1F50"/>
    <w:rsid w:val="56262AA1"/>
    <w:rsid w:val="562E2336"/>
    <w:rsid w:val="565F1615"/>
    <w:rsid w:val="566C5F18"/>
    <w:rsid w:val="567231B5"/>
    <w:rsid w:val="567C4485"/>
    <w:rsid w:val="568440AD"/>
    <w:rsid w:val="56B912C9"/>
    <w:rsid w:val="56DC7CFB"/>
    <w:rsid w:val="56E76413"/>
    <w:rsid w:val="56ED21A5"/>
    <w:rsid w:val="57143D75"/>
    <w:rsid w:val="577F01DF"/>
    <w:rsid w:val="57B62CFD"/>
    <w:rsid w:val="57E412FA"/>
    <w:rsid w:val="57F059F0"/>
    <w:rsid w:val="580931C3"/>
    <w:rsid w:val="582B6D0B"/>
    <w:rsid w:val="585E41AF"/>
    <w:rsid w:val="58DF6CF4"/>
    <w:rsid w:val="58F00712"/>
    <w:rsid w:val="58F270AE"/>
    <w:rsid w:val="58F911E7"/>
    <w:rsid w:val="590400C7"/>
    <w:rsid w:val="5904132B"/>
    <w:rsid w:val="59096C4B"/>
    <w:rsid w:val="59107DF2"/>
    <w:rsid w:val="59157827"/>
    <w:rsid w:val="591D516E"/>
    <w:rsid w:val="594400A5"/>
    <w:rsid w:val="59460EC7"/>
    <w:rsid w:val="5946342B"/>
    <w:rsid w:val="5956454D"/>
    <w:rsid w:val="59735D4E"/>
    <w:rsid w:val="59C90F05"/>
    <w:rsid w:val="5A0877EA"/>
    <w:rsid w:val="5A0C1131"/>
    <w:rsid w:val="5A4F1B74"/>
    <w:rsid w:val="5A58029B"/>
    <w:rsid w:val="5A6452F4"/>
    <w:rsid w:val="5A734B88"/>
    <w:rsid w:val="5A7A573C"/>
    <w:rsid w:val="5A8A523A"/>
    <w:rsid w:val="5A9410D3"/>
    <w:rsid w:val="5A943E04"/>
    <w:rsid w:val="5AA37B72"/>
    <w:rsid w:val="5AB23A35"/>
    <w:rsid w:val="5ADA59DF"/>
    <w:rsid w:val="5AF413B3"/>
    <w:rsid w:val="5AF53EC7"/>
    <w:rsid w:val="5B2C39F6"/>
    <w:rsid w:val="5B383F1E"/>
    <w:rsid w:val="5B4F7AA0"/>
    <w:rsid w:val="5B987355"/>
    <w:rsid w:val="5BAA2E83"/>
    <w:rsid w:val="5BAE7D55"/>
    <w:rsid w:val="5BF7186B"/>
    <w:rsid w:val="5C1F2335"/>
    <w:rsid w:val="5C305D14"/>
    <w:rsid w:val="5C3914B8"/>
    <w:rsid w:val="5C5E624F"/>
    <w:rsid w:val="5C6D68F5"/>
    <w:rsid w:val="5C85755D"/>
    <w:rsid w:val="5C975E72"/>
    <w:rsid w:val="5CD272ED"/>
    <w:rsid w:val="5CE944B2"/>
    <w:rsid w:val="5D085B0F"/>
    <w:rsid w:val="5D372F06"/>
    <w:rsid w:val="5D705862"/>
    <w:rsid w:val="5D7647EC"/>
    <w:rsid w:val="5D98392D"/>
    <w:rsid w:val="5DA6626A"/>
    <w:rsid w:val="5DBA1FF8"/>
    <w:rsid w:val="5DCE05A9"/>
    <w:rsid w:val="5DD6310C"/>
    <w:rsid w:val="5DF33B1E"/>
    <w:rsid w:val="5E030143"/>
    <w:rsid w:val="5E171441"/>
    <w:rsid w:val="5E187D62"/>
    <w:rsid w:val="5E1C3537"/>
    <w:rsid w:val="5E1C5448"/>
    <w:rsid w:val="5E1D3725"/>
    <w:rsid w:val="5E37668B"/>
    <w:rsid w:val="5E3C2027"/>
    <w:rsid w:val="5E805680"/>
    <w:rsid w:val="5E9C51FA"/>
    <w:rsid w:val="5EC42D73"/>
    <w:rsid w:val="5ED54C52"/>
    <w:rsid w:val="5F2F7406"/>
    <w:rsid w:val="5F720CEA"/>
    <w:rsid w:val="5F7A745B"/>
    <w:rsid w:val="5F92436A"/>
    <w:rsid w:val="5FCD2398"/>
    <w:rsid w:val="5FD0797B"/>
    <w:rsid w:val="5FDD330E"/>
    <w:rsid w:val="60047E35"/>
    <w:rsid w:val="603D75C9"/>
    <w:rsid w:val="608A166B"/>
    <w:rsid w:val="60A116EF"/>
    <w:rsid w:val="60A4613E"/>
    <w:rsid w:val="60C346C6"/>
    <w:rsid w:val="60C73328"/>
    <w:rsid w:val="61141727"/>
    <w:rsid w:val="61604610"/>
    <w:rsid w:val="61763C29"/>
    <w:rsid w:val="61A0775B"/>
    <w:rsid w:val="61CC4E31"/>
    <w:rsid w:val="61D10697"/>
    <w:rsid w:val="61D41829"/>
    <w:rsid w:val="61FB0F8B"/>
    <w:rsid w:val="6228204F"/>
    <w:rsid w:val="625E1FC6"/>
    <w:rsid w:val="62677529"/>
    <w:rsid w:val="62B2507E"/>
    <w:rsid w:val="62C934AE"/>
    <w:rsid w:val="62E63B22"/>
    <w:rsid w:val="630048F7"/>
    <w:rsid w:val="63182069"/>
    <w:rsid w:val="63215DB8"/>
    <w:rsid w:val="632757F0"/>
    <w:rsid w:val="6378543F"/>
    <w:rsid w:val="63B77B8E"/>
    <w:rsid w:val="63E11A2B"/>
    <w:rsid w:val="63F07E82"/>
    <w:rsid w:val="63F22236"/>
    <w:rsid w:val="643D5C22"/>
    <w:rsid w:val="64430EF5"/>
    <w:rsid w:val="644F3EA4"/>
    <w:rsid w:val="645079A9"/>
    <w:rsid w:val="647C5A5C"/>
    <w:rsid w:val="64BE130D"/>
    <w:rsid w:val="64D23768"/>
    <w:rsid w:val="64E64F73"/>
    <w:rsid w:val="650808BF"/>
    <w:rsid w:val="650A4AEB"/>
    <w:rsid w:val="653B1E64"/>
    <w:rsid w:val="653E2502"/>
    <w:rsid w:val="65510496"/>
    <w:rsid w:val="6554061E"/>
    <w:rsid w:val="65593DE8"/>
    <w:rsid w:val="65674EA7"/>
    <w:rsid w:val="65752EBA"/>
    <w:rsid w:val="657D1C0C"/>
    <w:rsid w:val="65907C33"/>
    <w:rsid w:val="65CE3536"/>
    <w:rsid w:val="65F07B59"/>
    <w:rsid w:val="66340632"/>
    <w:rsid w:val="66611B82"/>
    <w:rsid w:val="666E595E"/>
    <w:rsid w:val="668661B4"/>
    <w:rsid w:val="668F7750"/>
    <w:rsid w:val="66B57168"/>
    <w:rsid w:val="66CE6A39"/>
    <w:rsid w:val="66E56F57"/>
    <w:rsid w:val="67793D72"/>
    <w:rsid w:val="67816FAB"/>
    <w:rsid w:val="67842746"/>
    <w:rsid w:val="67BA614D"/>
    <w:rsid w:val="67E5455A"/>
    <w:rsid w:val="67E941A2"/>
    <w:rsid w:val="67FA2386"/>
    <w:rsid w:val="68342FDA"/>
    <w:rsid w:val="6878082B"/>
    <w:rsid w:val="6888580B"/>
    <w:rsid w:val="68892419"/>
    <w:rsid w:val="68F10571"/>
    <w:rsid w:val="692B0CE1"/>
    <w:rsid w:val="69B11812"/>
    <w:rsid w:val="69C16BA7"/>
    <w:rsid w:val="69F81F39"/>
    <w:rsid w:val="6A160FCF"/>
    <w:rsid w:val="6A16697F"/>
    <w:rsid w:val="6A232BA1"/>
    <w:rsid w:val="6A296146"/>
    <w:rsid w:val="6A4150A5"/>
    <w:rsid w:val="6A7D0DCA"/>
    <w:rsid w:val="6A8F72B9"/>
    <w:rsid w:val="6A91215A"/>
    <w:rsid w:val="6AAB7F50"/>
    <w:rsid w:val="6ABA37F6"/>
    <w:rsid w:val="6AF20FCD"/>
    <w:rsid w:val="6B0E56ED"/>
    <w:rsid w:val="6B184809"/>
    <w:rsid w:val="6B245AEA"/>
    <w:rsid w:val="6B573195"/>
    <w:rsid w:val="6B6B2790"/>
    <w:rsid w:val="6B795CE9"/>
    <w:rsid w:val="6B9B32B9"/>
    <w:rsid w:val="6B9F193F"/>
    <w:rsid w:val="6BA83124"/>
    <w:rsid w:val="6BB46349"/>
    <w:rsid w:val="6BB5594B"/>
    <w:rsid w:val="6BD231CD"/>
    <w:rsid w:val="6BD64C8F"/>
    <w:rsid w:val="6BD97C4E"/>
    <w:rsid w:val="6BE648F5"/>
    <w:rsid w:val="6BE91D29"/>
    <w:rsid w:val="6BFA67E5"/>
    <w:rsid w:val="6C0978D6"/>
    <w:rsid w:val="6C310293"/>
    <w:rsid w:val="6C44793C"/>
    <w:rsid w:val="6C484530"/>
    <w:rsid w:val="6C5D7FE5"/>
    <w:rsid w:val="6C615EA7"/>
    <w:rsid w:val="6C7E4ACD"/>
    <w:rsid w:val="6C9E126D"/>
    <w:rsid w:val="6CAD70E4"/>
    <w:rsid w:val="6CBE0064"/>
    <w:rsid w:val="6CC90D79"/>
    <w:rsid w:val="6CCD4D2E"/>
    <w:rsid w:val="6CE67F4E"/>
    <w:rsid w:val="6D043E2D"/>
    <w:rsid w:val="6D0D30D1"/>
    <w:rsid w:val="6D214629"/>
    <w:rsid w:val="6D4E69C1"/>
    <w:rsid w:val="6D9956BA"/>
    <w:rsid w:val="6DFC351E"/>
    <w:rsid w:val="6E0F566A"/>
    <w:rsid w:val="6E610D0A"/>
    <w:rsid w:val="6E625129"/>
    <w:rsid w:val="6E8E53F0"/>
    <w:rsid w:val="6EA16987"/>
    <w:rsid w:val="6EDF48AF"/>
    <w:rsid w:val="6EFE048F"/>
    <w:rsid w:val="6F0E11EF"/>
    <w:rsid w:val="6F484143"/>
    <w:rsid w:val="6F4B2FEF"/>
    <w:rsid w:val="6F574271"/>
    <w:rsid w:val="6F61667D"/>
    <w:rsid w:val="6F750F26"/>
    <w:rsid w:val="6F7B72E9"/>
    <w:rsid w:val="6F8445D4"/>
    <w:rsid w:val="6F8D5C1A"/>
    <w:rsid w:val="6F8E342E"/>
    <w:rsid w:val="6FA8133A"/>
    <w:rsid w:val="6FD27139"/>
    <w:rsid w:val="6FE37E70"/>
    <w:rsid w:val="6FEB1EC0"/>
    <w:rsid w:val="708E05A3"/>
    <w:rsid w:val="70A4760C"/>
    <w:rsid w:val="70C5753D"/>
    <w:rsid w:val="70CD2B48"/>
    <w:rsid w:val="70D2709E"/>
    <w:rsid w:val="70E002FA"/>
    <w:rsid w:val="70F725F8"/>
    <w:rsid w:val="71071A64"/>
    <w:rsid w:val="71126EE7"/>
    <w:rsid w:val="713F4DC7"/>
    <w:rsid w:val="7147515D"/>
    <w:rsid w:val="715D183E"/>
    <w:rsid w:val="71654E27"/>
    <w:rsid w:val="71971F13"/>
    <w:rsid w:val="719E73CE"/>
    <w:rsid w:val="71F6500C"/>
    <w:rsid w:val="721C62DD"/>
    <w:rsid w:val="72455164"/>
    <w:rsid w:val="72633A6A"/>
    <w:rsid w:val="72AA7B18"/>
    <w:rsid w:val="72AB1549"/>
    <w:rsid w:val="72AE5C5C"/>
    <w:rsid w:val="72DE790D"/>
    <w:rsid w:val="730336BD"/>
    <w:rsid w:val="73435055"/>
    <w:rsid w:val="735C296A"/>
    <w:rsid w:val="735D2EB3"/>
    <w:rsid w:val="737E24ED"/>
    <w:rsid w:val="737F1141"/>
    <w:rsid w:val="73903B50"/>
    <w:rsid w:val="73971C7D"/>
    <w:rsid w:val="73CF190D"/>
    <w:rsid w:val="73F632DD"/>
    <w:rsid w:val="74027DFF"/>
    <w:rsid w:val="741F22C1"/>
    <w:rsid w:val="74203020"/>
    <w:rsid w:val="745B3EE7"/>
    <w:rsid w:val="745F1F6C"/>
    <w:rsid w:val="746F4D19"/>
    <w:rsid w:val="748C471F"/>
    <w:rsid w:val="74960D99"/>
    <w:rsid w:val="74AE27E7"/>
    <w:rsid w:val="74B26AE2"/>
    <w:rsid w:val="74B3403E"/>
    <w:rsid w:val="74E516DA"/>
    <w:rsid w:val="74F52BB4"/>
    <w:rsid w:val="75115283"/>
    <w:rsid w:val="75613C83"/>
    <w:rsid w:val="757C043C"/>
    <w:rsid w:val="75CC46A2"/>
    <w:rsid w:val="75D933E6"/>
    <w:rsid w:val="75DA0533"/>
    <w:rsid w:val="75EA13C3"/>
    <w:rsid w:val="75F11861"/>
    <w:rsid w:val="7603678B"/>
    <w:rsid w:val="76134845"/>
    <w:rsid w:val="763922F4"/>
    <w:rsid w:val="766271A8"/>
    <w:rsid w:val="766B5F36"/>
    <w:rsid w:val="766F48A1"/>
    <w:rsid w:val="76B4336C"/>
    <w:rsid w:val="77117315"/>
    <w:rsid w:val="77423CA2"/>
    <w:rsid w:val="774B075C"/>
    <w:rsid w:val="77870647"/>
    <w:rsid w:val="77896DD2"/>
    <w:rsid w:val="779032EC"/>
    <w:rsid w:val="77BD5709"/>
    <w:rsid w:val="77F554DB"/>
    <w:rsid w:val="77F653DF"/>
    <w:rsid w:val="77FF63CD"/>
    <w:rsid w:val="782A7F03"/>
    <w:rsid w:val="789F12DD"/>
    <w:rsid w:val="78A17B1C"/>
    <w:rsid w:val="78A32629"/>
    <w:rsid w:val="78AB7D91"/>
    <w:rsid w:val="78E9772B"/>
    <w:rsid w:val="78FD0246"/>
    <w:rsid w:val="79616DC4"/>
    <w:rsid w:val="79624854"/>
    <w:rsid w:val="798F221F"/>
    <w:rsid w:val="798F2B44"/>
    <w:rsid w:val="79921C96"/>
    <w:rsid w:val="79A232FD"/>
    <w:rsid w:val="79BC6932"/>
    <w:rsid w:val="79C22CD2"/>
    <w:rsid w:val="79E62F88"/>
    <w:rsid w:val="79E820BE"/>
    <w:rsid w:val="7A174A60"/>
    <w:rsid w:val="7A402145"/>
    <w:rsid w:val="7A4D4979"/>
    <w:rsid w:val="7A582C61"/>
    <w:rsid w:val="7A69237F"/>
    <w:rsid w:val="7A862644"/>
    <w:rsid w:val="7AA41B46"/>
    <w:rsid w:val="7ACA7D58"/>
    <w:rsid w:val="7B26731C"/>
    <w:rsid w:val="7B3F7218"/>
    <w:rsid w:val="7B4128F5"/>
    <w:rsid w:val="7B460C14"/>
    <w:rsid w:val="7B5D43AB"/>
    <w:rsid w:val="7B681A01"/>
    <w:rsid w:val="7B86410F"/>
    <w:rsid w:val="7BA637FC"/>
    <w:rsid w:val="7BD3539E"/>
    <w:rsid w:val="7BF71A38"/>
    <w:rsid w:val="7C47478B"/>
    <w:rsid w:val="7C5E740D"/>
    <w:rsid w:val="7C615E2D"/>
    <w:rsid w:val="7C7F0CA1"/>
    <w:rsid w:val="7CB42860"/>
    <w:rsid w:val="7CF14B72"/>
    <w:rsid w:val="7D021F92"/>
    <w:rsid w:val="7D0F05B5"/>
    <w:rsid w:val="7D441F5F"/>
    <w:rsid w:val="7D5C4DE3"/>
    <w:rsid w:val="7D7D7CF0"/>
    <w:rsid w:val="7D88642F"/>
    <w:rsid w:val="7D922712"/>
    <w:rsid w:val="7E47198D"/>
    <w:rsid w:val="7E6E2E4D"/>
    <w:rsid w:val="7E7F0779"/>
    <w:rsid w:val="7E8174D0"/>
    <w:rsid w:val="7EBE6F11"/>
    <w:rsid w:val="7EBF3D8D"/>
    <w:rsid w:val="7EC40A46"/>
    <w:rsid w:val="7EE30DF1"/>
    <w:rsid w:val="7EE811AF"/>
    <w:rsid w:val="7F3F0976"/>
    <w:rsid w:val="7F485B07"/>
    <w:rsid w:val="7F4B3A46"/>
    <w:rsid w:val="7F521735"/>
    <w:rsid w:val="7F6A6508"/>
    <w:rsid w:val="7F833D8D"/>
    <w:rsid w:val="7F8671C8"/>
    <w:rsid w:val="7FC248DA"/>
    <w:rsid w:val="7FDC13B0"/>
    <w:rsid w:val="7FE475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2"/>
    <w:qFormat/>
    <w:uiPriority w:val="0"/>
    <w:pPr>
      <w:keepNext/>
      <w:keepLines/>
      <w:autoSpaceDE w:val="0"/>
      <w:autoSpaceDN w:val="0"/>
      <w:adjustRightInd w:val="0"/>
      <w:spacing w:before="240" w:after="120" w:line="300" w:lineRule="auto"/>
      <w:jc w:val="center"/>
      <w:outlineLvl w:val="0"/>
    </w:pPr>
    <w:rPr>
      <w:rFonts w:ascii="宋体" w:hAnsi="Calibri" w:eastAsia="宋体" w:cs="Times New Roman"/>
      <w:b/>
      <w:kern w:val="44"/>
      <w:sz w:val="32"/>
      <w:szCs w:val="20"/>
    </w:rPr>
  </w:style>
  <w:style w:type="paragraph" w:styleId="4">
    <w:name w:val="heading 2"/>
    <w:basedOn w:val="1"/>
    <w:next w:val="1"/>
    <w:link w:val="43"/>
    <w:qFormat/>
    <w:uiPriority w:val="0"/>
    <w:pPr>
      <w:keepNext/>
      <w:keepLines/>
      <w:autoSpaceDE w:val="0"/>
      <w:autoSpaceDN w:val="0"/>
      <w:adjustRightInd w:val="0"/>
      <w:spacing w:before="120" w:line="300" w:lineRule="auto"/>
      <w:jc w:val="center"/>
      <w:outlineLvl w:val="1"/>
    </w:pPr>
    <w:rPr>
      <w:rFonts w:ascii="Arial" w:hAnsi="Arial" w:eastAsia="黑体" w:cs="Times New Roman"/>
      <w:b/>
      <w:kern w:val="0"/>
      <w:sz w:val="30"/>
      <w:szCs w:val="20"/>
    </w:rPr>
  </w:style>
  <w:style w:type="paragraph" w:styleId="5">
    <w:name w:val="heading 3"/>
    <w:basedOn w:val="1"/>
    <w:next w:val="1"/>
    <w:link w:val="50"/>
    <w:qFormat/>
    <w:uiPriority w:val="0"/>
    <w:pPr>
      <w:keepNext/>
      <w:keepLines/>
      <w:autoSpaceDE w:val="0"/>
      <w:autoSpaceDN w:val="0"/>
      <w:adjustRightInd w:val="0"/>
      <w:spacing w:before="360" w:after="120"/>
      <w:jc w:val="left"/>
      <w:outlineLvl w:val="2"/>
    </w:pPr>
    <w:rPr>
      <w:rFonts w:ascii="宋体" w:hAnsi="Times New Roman" w:eastAsia="宋体" w:cs="Times New Roman"/>
      <w:sz w:val="24"/>
      <w:u w:val="single"/>
    </w:rPr>
  </w:style>
  <w:style w:type="paragraph" w:styleId="6">
    <w:name w:val="heading 4"/>
    <w:basedOn w:val="1"/>
    <w:next w:val="1"/>
    <w:qFormat/>
    <w:uiPriority w:val="0"/>
    <w:pPr>
      <w:keepNext/>
      <w:widowControl/>
      <w:jc w:val="left"/>
      <w:outlineLvl w:val="3"/>
    </w:pPr>
    <w:rPr>
      <w:rFonts w:ascii="宋体" w:hAnsi="宋体" w:eastAsia="宋体"/>
      <w:b/>
      <w:bCs/>
      <w:w w:val="80"/>
      <w:sz w:val="24"/>
    </w:rPr>
  </w:style>
  <w:style w:type="paragraph" w:styleId="7">
    <w:name w:val="heading 9"/>
    <w:basedOn w:val="1"/>
    <w:next w:val="1"/>
    <w:qFormat/>
    <w:uiPriority w:val="0"/>
    <w:pPr>
      <w:keepNext/>
      <w:keepLines/>
      <w:spacing w:before="240" w:beforeLines="0" w:beforeAutospacing="0" w:after="64" w:afterLines="0" w:afterAutospacing="0" w:line="317" w:lineRule="auto"/>
      <w:outlineLvl w:val="8"/>
    </w:pPr>
    <w:rPr>
      <w:rFonts w:ascii="Arial" w:hAnsi="Arial" w:eastAsia="黑体" w:cs="Times New Roman"/>
      <w:sz w:val="21"/>
    </w:rPr>
  </w:style>
  <w:style w:type="character" w:default="1" w:styleId="36">
    <w:name w:val="Default Paragraph Font"/>
    <w:qFormat/>
    <w:uiPriority w:val="0"/>
    <w:rPr>
      <w:rFonts w:ascii="Calibri" w:hAnsi="Calibri" w:eastAsia="宋体" w:cs="Times New Roman"/>
    </w:rPr>
  </w:style>
  <w:style w:type="table" w:default="1" w:styleId="34">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8">
    <w:name w:val="toc 7"/>
    <w:basedOn w:val="1"/>
    <w:next w:val="1"/>
    <w:qFormat/>
    <w:uiPriority w:val="0"/>
    <w:pPr>
      <w:ind w:left="2520" w:leftChars="1200"/>
    </w:pPr>
    <w:rPr>
      <w:rFonts w:ascii="Calibri" w:hAnsi="Calibri" w:eastAsia="宋体" w:cs="Times New Roman"/>
    </w:rPr>
  </w:style>
  <w:style w:type="paragraph" w:styleId="9">
    <w:name w:val="Normal Indent"/>
    <w:basedOn w:val="1"/>
    <w:next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styleId="10">
    <w:name w:val="toa heading"/>
    <w:basedOn w:val="1"/>
    <w:next w:val="1"/>
    <w:unhideWhenUsed/>
    <w:qFormat/>
    <w:uiPriority w:val="99"/>
    <w:pPr>
      <w:spacing w:before="120"/>
    </w:pPr>
    <w:rPr>
      <w:rFonts w:ascii="Cambria" w:hAnsi="Cambria" w:eastAsia="宋体" w:cs="Times New Roman"/>
      <w:sz w:val="24"/>
    </w:rPr>
  </w:style>
  <w:style w:type="paragraph" w:styleId="11">
    <w:name w:val="annotation text"/>
    <w:basedOn w:val="1"/>
    <w:link w:val="53"/>
    <w:qFormat/>
    <w:uiPriority w:val="0"/>
    <w:pPr>
      <w:jc w:val="left"/>
    </w:pPr>
    <w:rPr>
      <w:rFonts w:ascii="Calibri" w:hAnsi="Calibri" w:eastAsia="宋体" w:cs="Times New Roman"/>
    </w:rPr>
  </w:style>
  <w:style w:type="paragraph" w:styleId="12">
    <w:name w:val="Body Text"/>
    <w:basedOn w:val="1"/>
    <w:next w:val="1"/>
    <w:link w:val="55"/>
    <w:qFormat/>
    <w:uiPriority w:val="0"/>
    <w:pPr>
      <w:tabs>
        <w:tab w:val="left" w:pos="567"/>
      </w:tabs>
      <w:spacing w:before="120" w:line="22" w:lineRule="atLeast"/>
    </w:pPr>
    <w:rPr>
      <w:rFonts w:ascii="宋体" w:hAnsi="宋体" w:eastAsia="宋体" w:cs="Times New Roman"/>
      <w:sz w:val="24"/>
    </w:rPr>
  </w:style>
  <w:style w:type="paragraph" w:styleId="13">
    <w:name w:val="Body Text Indent"/>
    <w:basedOn w:val="1"/>
    <w:next w:val="1"/>
    <w:qFormat/>
    <w:uiPriority w:val="0"/>
    <w:pPr>
      <w:spacing w:line="360" w:lineRule="auto"/>
      <w:ind w:firstLine="570"/>
    </w:pPr>
    <w:rPr>
      <w:rFonts w:ascii="Calibri" w:hAnsi="Calibri" w:eastAsia="宋体" w:cs="Times New Roman"/>
      <w:sz w:val="24"/>
    </w:rPr>
  </w:style>
  <w:style w:type="paragraph" w:styleId="14">
    <w:name w:val="toc 5"/>
    <w:basedOn w:val="1"/>
    <w:next w:val="1"/>
    <w:qFormat/>
    <w:uiPriority w:val="0"/>
    <w:pPr>
      <w:ind w:left="1680" w:leftChars="800"/>
    </w:pPr>
    <w:rPr>
      <w:rFonts w:ascii="Calibri" w:hAnsi="Calibri" w:eastAsia="宋体" w:cs="Times New Roman"/>
    </w:rPr>
  </w:style>
  <w:style w:type="paragraph" w:styleId="15">
    <w:name w:val="toc 3"/>
    <w:basedOn w:val="1"/>
    <w:next w:val="1"/>
    <w:qFormat/>
    <w:uiPriority w:val="0"/>
    <w:pPr>
      <w:tabs>
        <w:tab w:val="left" w:pos="1260"/>
        <w:tab w:val="right" w:leader="dot" w:pos="8630"/>
      </w:tabs>
      <w:ind w:left="840" w:leftChars="400"/>
    </w:pPr>
    <w:rPr>
      <w:rFonts w:ascii="Calibri" w:hAnsi="Calibri" w:eastAsia="宋体" w:cs="Times New Roman"/>
    </w:rPr>
  </w:style>
  <w:style w:type="paragraph" w:styleId="16">
    <w:name w:val="Plain Text"/>
    <w:basedOn w:val="1"/>
    <w:link w:val="56"/>
    <w:qFormat/>
    <w:uiPriority w:val="0"/>
    <w:rPr>
      <w:rFonts w:ascii="宋体" w:hAnsi="Courier New" w:eastAsia="宋体" w:cs="Times New Roman"/>
      <w:szCs w:val="20"/>
    </w:rPr>
  </w:style>
  <w:style w:type="paragraph" w:styleId="17">
    <w:name w:val="toc 8"/>
    <w:basedOn w:val="1"/>
    <w:next w:val="1"/>
    <w:qFormat/>
    <w:uiPriority w:val="0"/>
    <w:pPr>
      <w:ind w:left="2940" w:leftChars="1400"/>
    </w:pPr>
    <w:rPr>
      <w:rFonts w:ascii="Calibri" w:hAnsi="Calibri" w:eastAsia="宋体" w:cs="Times New Roman"/>
    </w:rPr>
  </w:style>
  <w:style w:type="paragraph" w:styleId="18">
    <w:name w:val="Date"/>
    <w:basedOn w:val="1"/>
    <w:next w:val="1"/>
    <w:link w:val="57"/>
    <w:qFormat/>
    <w:uiPriority w:val="0"/>
    <w:pPr>
      <w:ind w:left="100" w:leftChars="2500"/>
    </w:pPr>
    <w:rPr>
      <w:rFonts w:ascii="仿宋_GB2312" w:hAnsi="宋体" w:eastAsia="仿宋_GB2312" w:cs="Times New Roman"/>
      <w:color w:val="000000"/>
      <w:sz w:val="24"/>
    </w:rPr>
  </w:style>
  <w:style w:type="paragraph" w:styleId="19">
    <w:name w:val="Body Text Indent 2"/>
    <w:basedOn w:val="1"/>
    <w:qFormat/>
    <w:uiPriority w:val="0"/>
    <w:pPr>
      <w:ind w:firstLine="480" w:firstLineChars="200"/>
    </w:pPr>
    <w:rPr>
      <w:rFonts w:ascii="仿宋_GB2312" w:hAnsi="Calibri" w:eastAsia="仿宋_GB2312" w:cs="Times New Roman"/>
      <w:sz w:val="24"/>
    </w:rPr>
  </w:style>
  <w:style w:type="paragraph" w:styleId="20">
    <w:name w:val="Balloon Text"/>
    <w:basedOn w:val="1"/>
    <w:link w:val="58"/>
    <w:qFormat/>
    <w:uiPriority w:val="0"/>
    <w:rPr>
      <w:rFonts w:ascii="Calibri" w:hAnsi="Calibri" w:eastAsia="宋体" w:cs="Times New Roman"/>
      <w:sz w:val="18"/>
      <w:szCs w:val="18"/>
    </w:rPr>
  </w:style>
  <w:style w:type="paragraph" w:styleId="21">
    <w:name w:val="footer"/>
    <w:basedOn w:val="1"/>
    <w:link w:val="59"/>
    <w:qFormat/>
    <w:uiPriority w:val="0"/>
    <w:pPr>
      <w:tabs>
        <w:tab w:val="center" w:pos="4153"/>
        <w:tab w:val="right" w:pos="8306"/>
      </w:tabs>
      <w:autoSpaceDE w:val="0"/>
      <w:autoSpaceDN w:val="0"/>
      <w:adjustRightInd w:val="0"/>
      <w:snapToGrid w:val="0"/>
      <w:jc w:val="left"/>
    </w:pPr>
    <w:rPr>
      <w:rFonts w:ascii="宋体" w:hAnsi="Calibri" w:eastAsia="宋体" w:cs="Times New Roman"/>
      <w:kern w:val="0"/>
      <w:sz w:val="18"/>
      <w:szCs w:val="20"/>
    </w:rPr>
  </w:style>
  <w:style w:type="paragraph" w:styleId="22">
    <w:name w:val="header"/>
    <w:basedOn w:val="1"/>
    <w:link w:val="4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3">
    <w:name w:val="toc 1"/>
    <w:basedOn w:val="1"/>
    <w:next w:val="1"/>
    <w:qFormat/>
    <w:uiPriority w:val="0"/>
    <w:rPr>
      <w:rFonts w:ascii="Calibri" w:hAnsi="Calibri" w:eastAsia="宋体" w:cs="Times New Roman"/>
    </w:rPr>
  </w:style>
  <w:style w:type="paragraph" w:styleId="24">
    <w:name w:val="toc 4"/>
    <w:basedOn w:val="1"/>
    <w:next w:val="1"/>
    <w:qFormat/>
    <w:uiPriority w:val="0"/>
    <w:pPr>
      <w:ind w:left="1260" w:leftChars="600"/>
    </w:pPr>
    <w:rPr>
      <w:rFonts w:ascii="Calibri" w:hAnsi="Calibri" w:eastAsia="宋体" w:cs="Times New Roman"/>
    </w:rPr>
  </w:style>
  <w:style w:type="paragraph" w:styleId="25">
    <w:name w:val="toc 6"/>
    <w:basedOn w:val="1"/>
    <w:next w:val="1"/>
    <w:qFormat/>
    <w:uiPriority w:val="0"/>
    <w:pPr>
      <w:ind w:left="2100" w:leftChars="1000"/>
    </w:pPr>
    <w:rPr>
      <w:rFonts w:ascii="Calibri" w:hAnsi="Calibri" w:eastAsia="宋体" w:cs="Times New Roman"/>
    </w:rPr>
  </w:style>
  <w:style w:type="paragraph" w:styleId="26">
    <w:name w:val="Body Text Indent 3"/>
    <w:basedOn w:val="1"/>
    <w:qFormat/>
    <w:uiPriority w:val="0"/>
    <w:pPr>
      <w:autoSpaceDE w:val="0"/>
      <w:autoSpaceDN w:val="0"/>
      <w:adjustRightInd w:val="0"/>
      <w:spacing w:before="120" w:line="22" w:lineRule="atLeast"/>
      <w:ind w:left="720" w:firstLine="480"/>
      <w:jc w:val="left"/>
    </w:pPr>
    <w:rPr>
      <w:rFonts w:ascii="宋体" w:hAnsi="Calibri" w:eastAsia="宋体" w:cs="Times New Roman"/>
      <w:kern w:val="0"/>
      <w:sz w:val="24"/>
      <w:szCs w:val="20"/>
    </w:rPr>
  </w:style>
  <w:style w:type="paragraph" w:styleId="27">
    <w:name w:val="toc 2"/>
    <w:basedOn w:val="1"/>
    <w:next w:val="1"/>
    <w:qFormat/>
    <w:uiPriority w:val="0"/>
    <w:pPr>
      <w:ind w:left="420" w:leftChars="200"/>
    </w:pPr>
    <w:rPr>
      <w:rFonts w:ascii="Calibri" w:hAnsi="Calibri" w:eastAsia="宋体" w:cs="Times New Roman"/>
    </w:rPr>
  </w:style>
  <w:style w:type="paragraph" w:styleId="28">
    <w:name w:val="toc 9"/>
    <w:basedOn w:val="1"/>
    <w:next w:val="1"/>
    <w:qFormat/>
    <w:uiPriority w:val="0"/>
    <w:pPr>
      <w:ind w:left="3360" w:leftChars="1600"/>
    </w:pPr>
    <w:rPr>
      <w:rFonts w:ascii="Calibri" w:hAnsi="Calibri" w:eastAsia="宋体" w:cs="Times New Roman"/>
    </w:rPr>
  </w:style>
  <w:style w:type="paragraph" w:styleId="29">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30">
    <w:name w:val="index 1"/>
    <w:basedOn w:val="1"/>
    <w:next w:val="1"/>
    <w:qFormat/>
    <w:uiPriority w:val="0"/>
    <w:rPr>
      <w:rFonts w:ascii="Calibri" w:hAnsi="Calibri" w:eastAsia="宋体" w:cs="Times New Roman"/>
      <w:szCs w:val="20"/>
    </w:rPr>
  </w:style>
  <w:style w:type="paragraph" w:styleId="31">
    <w:name w:val="Title"/>
    <w:basedOn w:val="1"/>
    <w:next w:val="1"/>
    <w:qFormat/>
    <w:uiPriority w:val="10"/>
    <w:pPr>
      <w:spacing w:before="240" w:after="60"/>
      <w:jc w:val="center"/>
      <w:outlineLvl w:val="0"/>
    </w:pPr>
    <w:rPr>
      <w:rFonts w:ascii="Calibri Light" w:hAnsi="Calibri Light" w:eastAsia="宋体" w:cs="宋体"/>
      <w:b/>
      <w:bCs/>
      <w:sz w:val="32"/>
      <w:szCs w:val="32"/>
    </w:rPr>
  </w:style>
  <w:style w:type="paragraph" w:styleId="32">
    <w:name w:val="annotation subject"/>
    <w:basedOn w:val="11"/>
    <w:next w:val="11"/>
    <w:link w:val="60"/>
    <w:qFormat/>
    <w:uiPriority w:val="0"/>
    <w:rPr>
      <w:rFonts w:ascii="Calibri" w:hAnsi="Calibri" w:eastAsia="宋体" w:cs="Times New Roman"/>
      <w:b/>
      <w:bCs/>
    </w:rPr>
  </w:style>
  <w:style w:type="paragraph" w:styleId="33">
    <w:name w:val="Body Text First Indent 2"/>
    <w:basedOn w:val="13"/>
    <w:qFormat/>
    <w:uiPriority w:val="0"/>
    <w:pPr>
      <w:ind w:firstLine="420" w:firstLineChars="200"/>
    </w:pPr>
    <w:rPr>
      <w:rFonts w:ascii="Calibri" w:hAnsi="Calibri" w:eastAsia="宋体" w:cs="Times New Roman"/>
      <w:szCs w:val="24"/>
    </w:rPr>
  </w:style>
  <w:style w:type="table" w:styleId="35">
    <w:name w:val="Table Grid"/>
    <w:basedOn w:val="3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rFonts w:ascii="Calibri" w:hAnsi="Calibri" w:eastAsia="宋体" w:cs="Times New Roman"/>
      <w:b/>
      <w:bCs/>
    </w:rPr>
  </w:style>
  <w:style w:type="character" w:styleId="38">
    <w:name w:val="page number"/>
    <w:basedOn w:val="36"/>
    <w:qFormat/>
    <w:uiPriority w:val="0"/>
    <w:rPr>
      <w:rFonts w:ascii="Calibri" w:hAnsi="Calibri" w:eastAsia="宋体" w:cs="Times New Roman"/>
    </w:rPr>
  </w:style>
  <w:style w:type="character" w:styleId="39">
    <w:name w:val="FollowedHyperlink"/>
    <w:basedOn w:val="36"/>
    <w:qFormat/>
    <w:uiPriority w:val="0"/>
    <w:rPr>
      <w:rFonts w:ascii="Calibri" w:hAnsi="Calibri" w:eastAsia="宋体" w:cs="Times New Roman"/>
      <w:color w:val="020202"/>
      <w:sz w:val="18"/>
      <w:szCs w:val="18"/>
      <w:u w:val="none"/>
    </w:rPr>
  </w:style>
  <w:style w:type="character" w:styleId="40">
    <w:name w:val="Hyperlink"/>
    <w:basedOn w:val="36"/>
    <w:qFormat/>
    <w:uiPriority w:val="0"/>
    <w:rPr>
      <w:rFonts w:ascii="Calibri" w:hAnsi="Calibri" w:eastAsia="宋体" w:cs="Times New Roman"/>
      <w:color w:val="020202"/>
      <w:sz w:val="18"/>
      <w:szCs w:val="18"/>
      <w:u w:val="none"/>
    </w:rPr>
  </w:style>
  <w:style w:type="character" w:styleId="41">
    <w:name w:val="annotation reference"/>
    <w:qFormat/>
    <w:uiPriority w:val="0"/>
    <w:rPr>
      <w:rFonts w:ascii="Calibri" w:hAnsi="Calibri" w:eastAsia="宋体" w:cs="Times New Roman"/>
      <w:sz w:val="21"/>
      <w:szCs w:val="21"/>
    </w:rPr>
  </w:style>
  <w:style w:type="character" w:customStyle="1" w:styleId="42">
    <w:name w:val="标题 1 Char"/>
    <w:link w:val="3"/>
    <w:qFormat/>
    <w:uiPriority w:val="0"/>
    <w:rPr>
      <w:rFonts w:ascii="宋体" w:hAnsi="Calibri" w:eastAsia="宋体" w:cs="Times New Roman"/>
      <w:b/>
      <w:kern w:val="44"/>
      <w:sz w:val="32"/>
    </w:rPr>
  </w:style>
  <w:style w:type="character" w:customStyle="1" w:styleId="43">
    <w:name w:val="标题 2 Char"/>
    <w:link w:val="4"/>
    <w:qFormat/>
    <w:uiPriority w:val="0"/>
    <w:rPr>
      <w:rFonts w:ascii="Arial" w:hAnsi="Arial" w:eastAsia="黑体" w:cs="Times New Roman"/>
      <w:b/>
      <w:sz w:val="30"/>
    </w:rPr>
  </w:style>
  <w:style w:type="character" w:customStyle="1" w:styleId="44">
    <w:name w:val="正文缩进 Char1"/>
    <w:link w:val="45"/>
    <w:qFormat/>
    <w:uiPriority w:val="0"/>
    <w:rPr>
      <w:rFonts w:ascii="宋体" w:hAnsi="Calibri" w:eastAsia="宋体" w:cs="Times New Roman"/>
      <w:sz w:val="24"/>
    </w:rPr>
  </w:style>
  <w:style w:type="paragraph" w:customStyle="1" w:styleId="45">
    <w:name w:val="正文缩进1"/>
    <w:basedOn w:val="1"/>
    <w:link w:val="44"/>
    <w:qFormat/>
    <w:uiPriority w:val="0"/>
    <w:pPr>
      <w:autoSpaceDE w:val="0"/>
      <w:autoSpaceDN w:val="0"/>
      <w:adjustRightInd w:val="0"/>
      <w:ind w:firstLine="420"/>
      <w:jc w:val="left"/>
    </w:pPr>
    <w:rPr>
      <w:rFonts w:ascii="宋体" w:hAnsi="Calibri" w:eastAsia="宋体" w:cs="Times New Roman"/>
      <w:kern w:val="0"/>
      <w:sz w:val="24"/>
      <w:szCs w:val="20"/>
    </w:rPr>
  </w:style>
  <w:style w:type="character" w:customStyle="1" w:styleId="46">
    <w:name w:val="wdlg"/>
    <w:basedOn w:val="36"/>
    <w:qFormat/>
    <w:uiPriority w:val="0"/>
    <w:rPr>
      <w:rFonts w:ascii="宋体" w:hAnsi="宋体" w:eastAsia="宋体" w:cs="宋体"/>
      <w:b/>
      <w:color w:val="000000"/>
      <w:sz w:val="21"/>
      <w:szCs w:val="21"/>
      <w:u w:val="none"/>
    </w:rPr>
  </w:style>
  <w:style w:type="character" w:customStyle="1" w:styleId="47">
    <w:name w:val="页眉 Char"/>
    <w:link w:val="22"/>
    <w:qFormat/>
    <w:uiPriority w:val="0"/>
    <w:rPr>
      <w:rFonts w:ascii="Calibri" w:hAnsi="Calibri" w:eastAsia="宋体" w:cs="Times New Roman"/>
      <w:kern w:val="2"/>
      <w:sz w:val="18"/>
      <w:szCs w:val="18"/>
    </w:rPr>
  </w:style>
  <w:style w:type="character" w:customStyle="1" w:styleId="48">
    <w:name w:val="zhou"/>
    <w:basedOn w:val="36"/>
    <w:qFormat/>
    <w:uiPriority w:val="0"/>
    <w:rPr>
      <w:rFonts w:ascii="Calibri" w:hAnsi="Calibri" w:eastAsia="宋体" w:cs="Times New Roman"/>
      <w:bdr w:val="single" w:color="666666" w:sz="6" w:space="0"/>
    </w:rPr>
  </w:style>
  <w:style w:type="character" w:customStyle="1" w:styleId="49">
    <w:name w:val="font31"/>
    <w:basedOn w:val="36"/>
    <w:qFormat/>
    <w:uiPriority w:val="0"/>
    <w:rPr>
      <w:rFonts w:hint="eastAsia" w:ascii="宋体" w:hAnsi="宋体" w:eastAsia="宋体" w:cs="宋体"/>
      <w:color w:val="000000"/>
      <w:sz w:val="20"/>
      <w:szCs w:val="20"/>
      <w:u w:val="none"/>
    </w:rPr>
  </w:style>
  <w:style w:type="character" w:customStyle="1" w:styleId="50">
    <w:name w:val="标题 3 Char"/>
    <w:link w:val="5"/>
    <w:qFormat/>
    <w:uiPriority w:val="0"/>
    <w:rPr>
      <w:rFonts w:ascii="宋体" w:hAnsi="Calibri" w:eastAsia="宋体" w:cs="Times New Roman"/>
      <w:b/>
      <w:sz w:val="24"/>
      <w:u w:val="single"/>
    </w:rPr>
  </w:style>
  <w:style w:type="character" w:customStyle="1" w:styleId="51">
    <w:name w:val="font112"/>
    <w:qFormat/>
    <w:uiPriority w:val="0"/>
    <w:rPr>
      <w:rFonts w:hint="eastAsia" w:ascii="微软雅黑" w:hAnsi="微软雅黑" w:eastAsia="微软雅黑" w:cs="微软雅黑"/>
      <w:color w:val="000000"/>
      <w:sz w:val="20"/>
      <w:szCs w:val="20"/>
      <w:u w:val="none"/>
    </w:rPr>
  </w:style>
  <w:style w:type="character" w:customStyle="1" w:styleId="52">
    <w:name w:val="navadr"/>
    <w:basedOn w:val="36"/>
    <w:qFormat/>
    <w:uiPriority w:val="0"/>
    <w:rPr>
      <w:rFonts w:ascii="Calibri" w:hAnsi="Calibri" w:eastAsia="宋体" w:cs="Times New Roman"/>
    </w:rPr>
  </w:style>
  <w:style w:type="character" w:customStyle="1" w:styleId="53">
    <w:name w:val="批注文字 Char"/>
    <w:link w:val="11"/>
    <w:qFormat/>
    <w:uiPriority w:val="0"/>
    <w:rPr>
      <w:rFonts w:ascii="Calibri" w:hAnsi="Calibri" w:eastAsia="宋体" w:cs="Times New Roman"/>
      <w:kern w:val="2"/>
      <w:sz w:val="21"/>
      <w:szCs w:val="24"/>
    </w:rPr>
  </w:style>
  <w:style w:type="character" w:customStyle="1" w:styleId="54">
    <w:name w:val="批注框文本 Char1"/>
    <w:qFormat/>
    <w:uiPriority w:val="0"/>
    <w:rPr>
      <w:rFonts w:ascii="Calibri" w:hAnsi="Calibri" w:eastAsia="宋体" w:cs="Times New Roman"/>
      <w:kern w:val="2"/>
      <w:sz w:val="18"/>
      <w:szCs w:val="18"/>
    </w:rPr>
  </w:style>
  <w:style w:type="character" w:customStyle="1" w:styleId="55">
    <w:name w:val="正文文本 Char"/>
    <w:link w:val="12"/>
    <w:qFormat/>
    <w:uiPriority w:val="0"/>
    <w:rPr>
      <w:rFonts w:ascii="宋体" w:hAnsi="宋体" w:eastAsia="宋体" w:cs="Times New Roman"/>
      <w:kern w:val="2"/>
      <w:sz w:val="24"/>
      <w:szCs w:val="24"/>
    </w:rPr>
  </w:style>
  <w:style w:type="character" w:customStyle="1" w:styleId="56">
    <w:name w:val="纯文本 Char"/>
    <w:link w:val="16"/>
    <w:qFormat/>
    <w:uiPriority w:val="0"/>
    <w:rPr>
      <w:rFonts w:ascii="宋体" w:hAnsi="Courier New" w:eastAsia="宋体" w:cs="Times New Roman"/>
      <w:kern w:val="2"/>
      <w:sz w:val="21"/>
    </w:rPr>
  </w:style>
  <w:style w:type="character" w:customStyle="1" w:styleId="57">
    <w:name w:val="日期 Char"/>
    <w:link w:val="18"/>
    <w:qFormat/>
    <w:uiPriority w:val="0"/>
    <w:rPr>
      <w:rFonts w:ascii="仿宋_GB2312" w:hAnsi="宋体" w:eastAsia="仿宋_GB2312" w:cs="Times New Roman"/>
      <w:color w:val="000000"/>
      <w:kern w:val="2"/>
      <w:sz w:val="24"/>
      <w:szCs w:val="24"/>
    </w:rPr>
  </w:style>
  <w:style w:type="character" w:customStyle="1" w:styleId="58">
    <w:name w:val="批注框文本 Char"/>
    <w:link w:val="20"/>
    <w:qFormat/>
    <w:uiPriority w:val="0"/>
    <w:rPr>
      <w:rFonts w:ascii="Calibri" w:hAnsi="Calibri" w:eastAsia="宋体" w:cs="Times New Roman"/>
      <w:kern w:val="2"/>
      <w:sz w:val="18"/>
      <w:szCs w:val="18"/>
    </w:rPr>
  </w:style>
  <w:style w:type="character" w:customStyle="1" w:styleId="59">
    <w:name w:val="页脚 Char"/>
    <w:link w:val="21"/>
    <w:qFormat/>
    <w:uiPriority w:val="0"/>
    <w:rPr>
      <w:rFonts w:ascii="宋体" w:hAnsi="Calibri" w:eastAsia="宋体" w:cs="Times New Roman"/>
      <w:sz w:val="18"/>
    </w:rPr>
  </w:style>
  <w:style w:type="character" w:customStyle="1" w:styleId="60">
    <w:name w:val="批注主题 Char"/>
    <w:link w:val="32"/>
    <w:qFormat/>
    <w:uiPriority w:val="0"/>
    <w:rPr>
      <w:rFonts w:ascii="Calibri" w:hAnsi="Calibri" w:eastAsia="宋体" w:cs="Times New Roman"/>
      <w:b/>
      <w:bCs/>
      <w:kern w:val="2"/>
      <w:sz w:val="21"/>
      <w:szCs w:val="24"/>
    </w:rPr>
  </w:style>
  <w:style w:type="character" w:customStyle="1" w:styleId="61">
    <w:name w:val="批注主题 Char1"/>
    <w:qFormat/>
    <w:uiPriority w:val="0"/>
    <w:rPr>
      <w:rFonts w:ascii="Calibri" w:hAnsi="Calibri" w:eastAsia="宋体" w:cs="Times New Roman"/>
      <w:b/>
      <w:bCs/>
      <w:kern w:val="2"/>
      <w:sz w:val="21"/>
      <w:szCs w:val="24"/>
    </w:rPr>
  </w:style>
  <w:style w:type="character" w:customStyle="1" w:styleId="62">
    <w:name w:val="批注文字 Char1"/>
    <w:qFormat/>
    <w:uiPriority w:val="0"/>
    <w:rPr>
      <w:rFonts w:ascii="Calibri" w:hAnsi="Calibri" w:eastAsia="宋体" w:cs="Times New Roman"/>
      <w:kern w:val="2"/>
      <w:sz w:val="21"/>
      <w:szCs w:val="24"/>
    </w:rPr>
  </w:style>
  <w:style w:type="character" w:customStyle="1" w:styleId="63">
    <w:name w:val="prev_page"/>
    <w:basedOn w:val="36"/>
    <w:qFormat/>
    <w:uiPriority w:val="0"/>
    <w:rPr>
      <w:rFonts w:ascii="Calibri" w:hAnsi="Calibri" w:eastAsia="宋体" w:cs="Times New Roman"/>
      <w:color w:val="C0C0C0"/>
    </w:rPr>
  </w:style>
  <w:style w:type="character" w:customStyle="1" w:styleId="64">
    <w:name w:val="current2"/>
    <w:basedOn w:val="36"/>
    <w:qFormat/>
    <w:uiPriority w:val="0"/>
    <w:rPr>
      <w:rFonts w:ascii="Calibri" w:hAnsi="Calibri" w:eastAsia="宋体" w:cs="Times New Roman"/>
      <w:color w:val="FFFFFF"/>
      <w:sz w:val="21"/>
      <w:szCs w:val="21"/>
      <w:bdr w:val="single" w:color="0077C3" w:sz="6" w:space="0"/>
      <w:shd w:val="clear" w:color="auto" w:fill="0077C3"/>
    </w:rPr>
  </w:style>
  <w:style w:type="character" w:customStyle="1" w:styleId="65">
    <w:name w:val="font71"/>
    <w:basedOn w:val="36"/>
    <w:qFormat/>
    <w:uiPriority w:val="0"/>
    <w:rPr>
      <w:rFonts w:hint="eastAsia" w:ascii="新宋体" w:hAnsi="新宋体" w:eastAsia="新宋体" w:cs="新宋体"/>
      <w:color w:val="000000"/>
      <w:sz w:val="20"/>
      <w:szCs w:val="20"/>
      <w:u w:val="none"/>
      <w:vertAlign w:val="superscript"/>
    </w:rPr>
  </w:style>
  <w:style w:type="character" w:customStyle="1" w:styleId="66">
    <w:name w:val="font131"/>
    <w:basedOn w:val="36"/>
    <w:qFormat/>
    <w:uiPriority w:val="0"/>
    <w:rPr>
      <w:rFonts w:hint="eastAsia" w:ascii="新宋体" w:hAnsi="新宋体" w:eastAsia="新宋体" w:cs="新宋体"/>
      <w:color w:val="000000"/>
      <w:sz w:val="20"/>
      <w:szCs w:val="20"/>
      <w:u w:val="none"/>
    </w:rPr>
  </w:style>
  <w:style w:type="character" w:customStyle="1" w:styleId="67">
    <w:name w:val="font21"/>
    <w:basedOn w:val="36"/>
    <w:qFormat/>
    <w:uiPriority w:val="0"/>
    <w:rPr>
      <w:rFonts w:hint="eastAsia" w:ascii="宋体" w:hAnsi="宋体" w:eastAsia="宋体" w:cs="宋体"/>
      <w:color w:val="000000"/>
      <w:sz w:val="24"/>
      <w:szCs w:val="24"/>
      <w:u w:val="none"/>
    </w:rPr>
  </w:style>
  <w:style w:type="character" w:customStyle="1" w:styleId="68">
    <w:name w:val="页眉 Char1"/>
    <w:qFormat/>
    <w:uiPriority w:val="0"/>
    <w:rPr>
      <w:rFonts w:ascii="Calibri" w:hAnsi="Calibri" w:eastAsia="宋体" w:cs="Times New Roman"/>
      <w:kern w:val="2"/>
      <w:sz w:val="18"/>
      <w:szCs w:val="18"/>
    </w:rPr>
  </w:style>
  <w:style w:type="character" w:customStyle="1" w:styleId="69">
    <w:name w:val="zpimg"/>
    <w:basedOn w:val="36"/>
    <w:qFormat/>
    <w:uiPriority w:val="0"/>
    <w:rPr>
      <w:rFonts w:ascii="Calibri" w:hAnsi="Calibri" w:eastAsia="宋体" w:cs="Times New Roman"/>
    </w:rPr>
  </w:style>
  <w:style w:type="character" w:customStyle="1" w:styleId="70">
    <w:name w:val="纯文本 Char1"/>
    <w:link w:val="71"/>
    <w:qFormat/>
    <w:uiPriority w:val="0"/>
    <w:rPr>
      <w:rFonts w:ascii="宋体" w:hAnsi="Courier New" w:eastAsia="宋体" w:cs="Times New Roman"/>
    </w:rPr>
  </w:style>
  <w:style w:type="paragraph" w:customStyle="1" w:styleId="71">
    <w:name w:val="纯文本1"/>
    <w:basedOn w:val="1"/>
    <w:link w:val="70"/>
    <w:qFormat/>
    <w:uiPriority w:val="0"/>
    <w:rPr>
      <w:rFonts w:ascii="宋体" w:hAnsi="Courier New" w:eastAsia="宋体" w:cs="Times New Roman"/>
      <w:kern w:val="0"/>
      <w:sz w:val="20"/>
      <w:szCs w:val="20"/>
    </w:rPr>
  </w:style>
  <w:style w:type="character" w:customStyle="1" w:styleId="72">
    <w:name w:val="font91"/>
    <w:basedOn w:val="36"/>
    <w:qFormat/>
    <w:uiPriority w:val="0"/>
    <w:rPr>
      <w:rFonts w:hint="eastAsia" w:ascii="新宋体" w:hAnsi="新宋体" w:eastAsia="新宋体" w:cs="新宋体"/>
      <w:b/>
      <w:color w:val="000000"/>
      <w:sz w:val="20"/>
      <w:szCs w:val="20"/>
      <w:u w:val="none"/>
    </w:rPr>
  </w:style>
  <w:style w:type="character" w:customStyle="1" w:styleId="73">
    <w:name w:val="current3"/>
    <w:basedOn w:val="36"/>
    <w:qFormat/>
    <w:uiPriority w:val="0"/>
    <w:rPr>
      <w:rFonts w:ascii="Calibri" w:hAnsi="Calibri" w:eastAsia="宋体" w:cs="Times New Roman"/>
      <w:color w:val="FFFFFF"/>
      <w:bdr w:val="single" w:color="F53F00" w:sz="6" w:space="0"/>
      <w:shd w:val="clear" w:color="auto" w:fill="F53F00"/>
    </w:rPr>
  </w:style>
  <w:style w:type="character" w:customStyle="1" w:styleId="74">
    <w:name w:val="firstspanwx"/>
    <w:basedOn w:val="36"/>
    <w:qFormat/>
    <w:uiPriority w:val="0"/>
    <w:rPr>
      <w:rFonts w:ascii="Calibri" w:hAnsi="Calibri" w:eastAsia="宋体" w:cs="Times New Roman"/>
    </w:rPr>
  </w:style>
  <w:style w:type="character" w:customStyle="1" w:styleId="75">
    <w:name w:val="no_mr"/>
    <w:basedOn w:val="36"/>
    <w:qFormat/>
    <w:uiPriority w:val="0"/>
    <w:rPr>
      <w:rFonts w:ascii="Calibri" w:hAnsi="Calibri" w:eastAsia="宋体" w:cs="Times New Roman"/>
    </w:rPr>
  </w:style>
  <w:style w:type="character" w:customStyle="1" w:styleId="76">
    <w:name w:val="yue"/>
    <w:basedOn w:val="36"/>
    <w:qFormat/>
    <w:uiPriority w:val="0"/>
    <w:rPr>
      <w:rFonts w:ascii="Calibri" w:hAnsi="Calibri" w:eastAsia="宋体" w:cs="Times New Roman"/>
    </w:rPr>
  </w:style>
  <w:style w:type="character" w:customStyle="1" w:styleId="77">
    <w:name w:val="hs_prev_page"/>
    <w:basedOn w:val="36"/>
    <w:qFormat/>
    <w:uiPriority w:val="0"/>
    <w:rPr>
      <w:rFonts w:ascii="Calibri" w:hAnsi="Calibri" w:eastAsia="宋体" w:cs="Times New Roman"/>
      <w:color w:val="C0C0C0"/>
    </w:rPr>
  </w:style>
  <w:style w:type="character" w:customStyle="1" w:styleId="78">
    <w:name w:val="font01"/>
    <w:basedOn w:val="36"/>
    <w:qFormat/>
    <w:uiPriority w:val="0"/>
    <w:rPr>
      <w:rFonts w:ascii="Symbol" w:hAnsi="Symbol" w:eastAsia="宋体" w:cs="Symbol"/>
      <w:color w:val="000000"/>
      <w:sz w:val="24"/>
      <w:szCs w:val="24"/>
      <w:u w:val="none"/>
    </w:rPr>
  </w:style>
  <w:style w:type="character" w:customStyle="1" w:styleId="79">
    <w:name w:val="font61"/>
    <w:basedOn w:val="36"/>
    <w:qFormat/>
    <w:uiPriority w:val="0"/>
    <w:rPr>
      <w:rFonts w:hint="eastAsia" w:ascii="新宋体" w:hAnsi="新宋体" w:eastAsia="新宋体" w:cs="新宋体"/>
      <w:color w:val="000000"/>
      <w:sz w:val="20"/>
      <w:szCs w:val="20"/>
      <w:u w:val="none"/>
    </w:rPr>
  </w:style>
  <w:style w:type="character" w:customStyle="1" w:styleId="80">
    <w:name w:val="仿宋_GB2312 下划线"/>
    <w:qFormat/>
    <w:uiPriority w:val="99"/>
    <w:rPr>
      <w:rFonts w:ascii="仿宋_GB2312" w:hAnsi="仿宋_GB2312" w:eastAsia="仿宋_GB2312"/>
      <w:sz w:val="28"/>
      <w:u w:val="single"/>
    </w:rPr>
  </w:style>
  <w:style w:type="character" w:customStyle="1" w:styleId="81">
    <w:name w:val="red2"/>
    <w:basedOn w:val="36"/>
    <w:qFormat/>
    <w:uiPriority w:val="0"/>
    <w:rPr>
      <w:rFonts w:ascii="Calibri" w:hAnsi="Calibri" w:eastAsia="宋体" w:cs="Times New Roman"/>
      <w:b/>
      <w:color w:val="DA2F27"/>
      <w:sz w:val="21"/>
      <w:szCs w:val="21"/>
    </w:rPr>
  </w:style>
  <w:style w:type="paragraph" w:customStyle="1" w:styleId="82">
    <w:name w:val="采购正文"/>
    <w:basedOn w:val="1"/>
    <w:qFormat/>
    <w:uiPriority w:val="0"/>
    <w:pPr>
      <w:snapToGrid w:val="0"/>
      <w:spacing w:line="560" w:lineRule="exact"/>
      <w:ind w:firstLine="480" w:firstLineChars="200"/>
    </w:pPr>
    <w:rPr>
      <w:rFonts w:ascii="宋体" w:hAnsi="宋体" w:eastAsia="仿宋"/>
      <w:color w:val="000000"/>
      <w:sz w:val="24"/>
      <w:szCs w:val="24"/>
    </w:rPr>
  </w:style>
  <w:style w:type="paragraph" w:customStyle="1" w:styleId="83">
    <w:name w:val="索引 11"/>
    <w:basedOn w:val="1"/>
    <w:next w:val="1"/>
    <w:qFormat/>
    <w:uiPriority w:val="0"/>
    <w:pPr>
      <w:spacing w:line="360" w:lineRule="auto"/>
    </w:pPr>
    <w:rPr>
      <w:rFonts w:ascii="仿宋_GB2312" w:hAnsi="Calibri" w:eastAsia="仿宋_GB2312" w:cs="Times New Roman"/>
      <w:sz w:val="24"/>
      <w:szCs w:val="20"/>
    </w:rPr>
  </w:style>
  <w:style w:type="paragraph" w:customStyle="1" w:styleId="84">
    <w:name w:val="List Paragraph_950ef204-ccf4-4d36-8da3-09d279cbb147"/>
    <w:basedOn w:val="1"/>
    <w:qFormat/>
    <w:uiPriority w:val="0"/>
    <w:pPr>
      <w:ind w:firstLine="420" w:firstLineChars="200"/>
    </w:pPr>
    <w:rPr>
      <w:rFonts w:ascii="Calibri" w:hAnsi="Calibri" w:eastAsia="宋体" w:cs="Times New Roman"/>
    </w:rPr>
  </w:style>
  <w:style w:type="paragraph" w:customStyle="1" w:styleId="85">
    <w:name w:val="采购二级"/>
    <w:basedOn w:val="1"/>
    <w:qFormat/>
    <w:uiPriority w:val="0"/>
    <w:pPr>
      <w:snapToGrid w:val="0"/>
      <w:spacing w:line="560" w:lineRule="exact"/>
      <w:ind w:firstLine="480" w:firstLineChars="200"/>
      <w:outlineLvl w:val="1"/>
    </w:pPr>
    <w:rPr>
      <w:rFonts w:ascii="仿宋" w:hAnsi="仿宋" w:eastAsia="仿宋"/>
      <w:b/>
      <w:color w:val="000000"/>
      <w:sz w:val="24"/>
      <w:szCs w:val="24"/>
    </w:rPr>
  </w:style>
  <w:style w:type="paragraph" w:customStyle="1" w:styleId="86">
    <w:name w:val="黑体 四号 加粗"/>
    <w:basedOn w:val="1"/>
    <w:next w:val="1"/>
    <w:qFormat/>
    <w:uiPriority w:val="99"/>
    <w:pPr>
      <w:spacing w:line="360" w:lineRule="auto"/>
      <w:ind w:firstLine="420" w:firstLineChars="200"/>
      <w:jc w:val="center"/>
    </w:pPr>
    <w:rPr>
      <w:rFonts w:ascii="黑体" w:hAnsi="黑体" w:eastAsia="黑体" w:cs="宋体"/>
      <w:b/>
      <w:bCs/>
      <w:snapToGrid w:val="0"/>
      <w:spacing w:val="-4"/>
      <w:w w:val="90"/>
      <w:sz w:val="28"/>
      <w:szCs w:val="24"/>
    </w:rPr>
  </w:style>
  <w:style w:type="paragraph" w:customStyle="1" w:styleId="87">
    <w:name w:val="Char"/>
    <w:basedOn w:val="1"/>
    <w:qFormat/>
    <w:uiPriority w:val="0"/>
    <w:pPr>
      <w:tabs>
        <w:tab w:val="left" w:pos="360"/>
      </w:tabs>
    </w:pPr>
    <w:rPr>
      <w:rFonts w:ascii="Calibri" w:hAnsi="Calibri" w:eastAsia="宋体" w:cs="Times New Roman"/>
      <w:sz w:val="24"/>
    </w:rPr>
  </w:style>
  <w:style w:type="paragraph" w:customStyle="1" w:styleId="88">
    <w:name w:val="样式 (符号) 宋体 四号 加粗"/>
    <w:basedOn w:val="1"/>
    <w:qFormat/>
    <w:uiPriority w:val="99"/>
    <w:pPr>
      <w:spacing w:line="360" w:lineRule="auto"/>
      <w:ind w:firstLine="200" w:firstLineChars="200"/>
      <w:jc w:val="left"/>
    </w:pPr>
    <w:rPr>
      <w:rFonts w:ascii="仿宋_GB2312" w:hAnsi="宋体" w:eastAsia="仿宋_GB2312" w:cs="Times New Roman"/>
      <w:b/>
      <w:snapToGrid w:val="0"/>
      <w:sz w:val="28"/>
      <w:szCs w:val="24"/>
    </w:rPr>
  </w:style>
  <w:style w:type="paragraph" w:customStyle="1" w:styleId="89">
    <w:name w:val="列出段落1"/>
    <w:basedOn w:val="1"/>
    <w:qFormat/>
    <w:uiPriority w:val="0"/>
    <w:pPr>
      <w:ind w:firstLine="420" w:firstLineChars="200"/>
    </w:pPr>
    <w:rPr>
      <w:rFonts w:ascii="Calibri" w:hAnsi="Calibri" w:eastAsia="宋体" w:cs="Times New Roman"/>
    </w:rPr>
  </w:style>
  <w:style w:type="paragraph" w:customStyle="1" w:styleId="90">
    <w:name w:val="样式 样式 仿宋＋首行缩进 + 首行缩进:  2 字符 + 首行缩进:  2 字符"/>
    <w:basedOn w:val="1"/>
    <w:qFormat/>
    <w:uiPriority w:val="99"/>
    <w:pPr>
      <w:adjustRightInd w:val="0"/>
      <w:snapToGrid w:val="0"/>
      <w:spacing w:line="360" w:lineRule="auto"/>
      <w:ind w:firstLine="200" w:firstLineChars="200"/>
      <w:jc w:val="left"/>
    </w:pPr>
    <w:rPr>
      <w:rFonts w:ascii="仿宋_GB2312" w:hAnsi="Times New Roman" w:eastAsia="仿宋_GB2312" w:cs="宋体"/>
      <w:kern w:val="0"/>
      <w:sz w:val="28"/>
      <w:szCs w:val="20"/>
    </w:rPr>
  </w:style>
  <w:style w:type="paragraph" w:customStyle="1" w:styleId="91">
    <w:name w:val="Default"/>
    <w:qFormat/>
    <w:uiPriority w:val="0"/>
    <w:pPr>
      <w:widowControl w:val="0"/>
      <w:autoSpaceDE w:val="0"/>
      <w:autoSpaceDN w:val="0"/>
    </w:pPr>
    <w:rPr>
      <w:rFonts w:ascii="宋体" w:hAnsi="Calibri" w:eastAsia="宋体" w:cs="宋体"/>
      <w:color w:val="000000"/>
      <w:sz w:val="24"/>
      <w:szCs w:val="24"/>
      <w:lang w:val="en-US" w:eastAsia="zh-CN" w:bidi="ar-SA"/>
    </w:rPr>
  </w:style>
  <w:style w:type="paragraph" w:customStyle="1" w:styleId="92">
    <w:name w:val="样式 正文小四wg + 首行缩进:  2 字符"/>
    <w:basedOn w:val="1"/>
    <w:qFormat/>
    <w:uiPriority w:val="0"/>
    <w:pPr>
      <w:autoSpaceDE w:val="0"/>
      <w:autoSpaceDN w:val="0"/>
      <w:adjustRightInd w:val="0"/>
      <w:spacing w:line="400" w:lineRule="exact"/>
      <w:ind w:firstLine="200" w:firstLineChars="200"/>
    </w:pPr>
    <w:rPr>
      <w:rFonts w:ascii="仿宋_GB2312" w:hAnsi="宋体" w:eastAsia="仿宋_GB2312" w:cs="宋体"/>
      <w:color w:val="000000"/>
      <w:kern w:val="20"/>
      <w:sz w:val="24"/>
      <w:szCs w:val="20"/>
    </w:rPr>
  </w:style>
  <w:style w:type="paragraph" w:styleId="93">
    <w:name w:val="List Paragraph"/>
    <w:basedOn w:val="1"/>
    <w:qFormat/>
    <w:uiPriority w:val="0"/>
    <w:pPr>
      <w:widowControl/>
      <w:ind w:firstLine="420" w:firstLineChars="200"/>
      <w:jc w:val="left"/>
    </w:pPr>
    <w:rPr>
      <w:rFonts w:ascii="Calibri" w:hAnsi="Calibri" w:eastAsia="宋体" w:cs="Times New Roman"/>
      <w:kern w:val="0"/>
      <w:sz w:val="24"/>
    </w:rPr>
  </w:style>
  <w:style w:type="paragraph" w:customStyle="1" w:styleId="94">
    <w:name w:val="Default Tex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95">
    <w:name w:val="采购一级"/>
    <w:basedOn w:val="3"/>
    <w:qFormat/>
    <w:uiPriority w:val="0"/>
    <w:pPr>
      <w:keepLines w:val="0"/>
      <w:tabs>
        <w:tab w:val="left" w:pos="1530"/>
        <w:tab w:val="left" w:pos="3360"/>
      </w:tabs>
      <w:snapToGrid w:val="0"/>
      <w:spacing w:before="120" w:beforeLines="50" w:after="120" w:afterLines="50" w:line="560" w:lineRule="exact"/>
      <w:jc w:val="center"/>
    </w:pPr>
    <w:rPr>
      <w:rFonts w:ascii="方正小标宋简体" w:hAnsi="仿宋" w:eastAsia="方正小标宋简体"/>
      <w:sz w:val="36"/>
      <w:szCs w:val="36"/>
    </w:rPr>
  </w:style>
  <w:style w:type="paragraph" w:customStyle="1" w:styleId="96">
    <w:name w:val="列出段落2"/>
    <w:basedOn w:val="1"/>
    <w:qFormat/>
    <w:uiPriority w:val="34"/>
    <w:pPr>
      <w:ind w:firstLine="420" w:firstLineChars="200"/>
    </w:pPr>
  </w:style>
  <w:style w:type="paragraph" w:customStyle="1" w:styleId="97">
    <w:name w:val="采购三级"/>
    <w:basedOn w:val="1"/>
    <w:qFormat/>
    <w:uiPriority w:val="0"/>
    <w:pPr>
      <w:overflowPunct w:val="0"/>
      <w:spacing w:line="560" w:lineRule="exact"/>
      <w:jc w:val="left"/>
      <w:outlineLvl w:val="1"/>
    </w:pPr>
    <w:rPr>
      <w:rFonts w:ascii="仿宋" w:hAnsi="仿宋" w:eastAsia="方正小标宋简体"/>
      <w:b/>
      <w:sz w:val="32"/>
      <w:szCs w:val="32"/>
    </w:rPr>
  </w:style>
  <w:style w:type="paragraph" w:customStyle="1" w:styleId="98">
    <w:name w:val="图例"/>
    <w:basedOn w:val="1"/>
    <w:qFormat/>
    <w:uiPriority w:val="0"/>
    <w:pPr>
      <w:spacing w:before="120" w:after="120" w:line="360" w:lineRule="auto"/>
      <w:jc w:val="center"/>
    </w:pPr>
    <w:rPr>
      <w:rFonts w:eastAsia="仿宋_GB2312"/>
      <w:b/>
      <w:sz w:val="24"/>
    </w:rPr>
  </w:style>
  <w:style w:type="paragraph" w:customStyle="1" w:styleId="99">
    <w:name w:val="1"/>
    <w:basedOn w:val="1"/>
    <w:qFormat/>
    <w:uiPriority w:val="0"/>
    <w:pPr>
      <w:spacing w:after="120" w:afterLines="50" w:line="360" w:lineRule="auto"/>
      <w:jc w:val="center"/>
    </w:pPr>
    <w:rPr>
      <w:rFonts w:ascii="宋体" w:hAnsi="宋体"/>
      <w:b/>
      <w:sz w:val="3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textRotate="1"/>
    <customShpInfo spid="_x0000_s205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36338</Words>
  <Characters>38762</Characters>
  <Lines>487</Lines>
  <Paragraphs>137</Paragraphs>
  <TotalTime>19</TotalTime>
  <ScaleCrop>false</ScaleCrop>
  <LinksUpToDate>false</LinksUpToDate>
  <CharactersWithSpaces>43573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2018-08-15T03:05:00Z</dcterms:created>
  <dc:creator>USER-</dc:creator>
  <cp:lastModifiedBy>Administrator</cp:lastModifiedBy>
  <cp:lastPrinted>2022-07-13T04:17:42Z</cp:lastPrinted>
  <dcterms:modified xsi:type="dcterms:W3CDTF">2022-07-13T04:28:34Z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251F018419504CABA9BB9A8505549B3E</vt:lpwstr>
  </property>
</Properties>
</file>