
<file path=[Content_Types].xml><?xml version="1.0" encoding="utf-8"?>
<Types xmlns="http://schemas.openxmlformats.org/package/2006/content-types">
  <Default Extension="xml" ContentType="application/xml"/>
  <Default Extension="emf" ContentType="image/x-e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jc w:val="both"/>
        <w:outlineLvl w:val="9"/>
        <w:rPr>
          <w:rFonts w:hint="eastAsia" w:ascii="宋体" w:hAnsi="宋体" w:eastAsia="宋体" w:cs="宋体"/>
          <w:b/>
          <w:color w:val="auto"/>
          <w:sz w:val="44"/>
          <w:szCs w:val="44"/>
          <w:highlight w:val="none"/>
        </w:rPr>
      </w:pPr>
    </w:p>
    <w:p>
      <w:pPr>
        <w:pStyle w:val="6"/>
        <w:rPr>
          <w:rFonts w:hint="eastAsia" w:ascii="宋体" w:hAnsi="宋体" w:eastAsia="宋体" w:cs="宋体"/>
          <w:b/>
          <w:bCs/>
          <w:color w:val="auto"/>
          <w:sz w:val="48"/>
          <w:szCs w:val="36"/>
          <w:highlight w:val="none"/>
          <w:lang w:eastAsia="zh-CN"/>
        </w:rPr>
      </w:pPr>
      <w:r>
        <w:rPr>
          <w:rFonts w:hint="eastAsia" w:hAnsi="宋体" w:cs="宋体"/>
          <w:b/>
          <w:bCs/>
          <w:color w:val="auto"/>
          <w:sz w:val="48"/>
          <w:szCs w:val="36"/>
          <w:highlight w:val="none"/>
          <w:lang w:eastAsia="zh-CN"/>
        </w:rPr>
        <w:t>泽普县人民医院购置64排螺旋CT项目</w:t>
      </w:r>
    </w:p>
    <w:p>
      <w:pPr>
        <w:spacing w:line="240" w:lineRule="atLeast"/>
        <w:jc w:val="center"/>
        <w:rPr>
          <w:rFonts w:hint="eastAsia" w:ascii="宋体" w:hAnsi="宋体" w:eastAsia="宋体" w:cs="宋体"/>
          <w:b/>
          <w:color w:val="auto"/>
          <w:sz w:val="44"/>
          <w:szCs w:val="44"/>
          <w:highlight w:val="none"/>
        </w:rPr>
      </w:pPr>
    </w:p>
    <w:p>
      <w:pPr>
        <w:spacing w:line="240" w:lineRule="atLeast"/>
        <w:jc w:val="center"/>
        <w:rPr>
          <w:rFonts w:hint="eastAsia" w:ascii="宋体" w:hAnsi="宋体" w:eastAsia="宋体" w:cs="宋体"/>
          <w:b/>
          <w:color w:val="auto"/>
          <w:sz w:val="44"/>
          <w:szCs w:val="44"/>
          <w:highlight w:val="none"/>
        </w:rPr>
      </w:pPr>
      <w:r>
        <w:rPr>
          <w:rFonts w:hint="eastAsia" w:ascii="宋体" w:hAnsi="宋体" w:eastAsia="宋体" w:cs="宋体"/>
          <w:b/>
          <w:color w:val="auto"/>
          <w:sz w:val="44"/>
          <w:szCs w:val="44"/>
          <w:highlight w:val="none"/>
        </w:rPr>
        <w:t>招 标 文 件</w:t>
      </w:r>
    </w:p>
    <w:p>
      <w:pPr>
        <w:pStyle w:val="6"/>
        <w:rPr>
          <w:rFonts w:hint="eastAsia" w:ascii="宋体" w:hAnsi="宋体" w:eastAsia="宋体" w:cs="宋体"/>
          <w:b/>
          <w:color w:val="auto"/>
          <w:sz w:val="44"/>
          <w:szCs w:val="44"/>
          <w:highlight w:val="none"/>
        </w:rPr>
      </w:pPr>
    </w:p>
    <w:p>
      <w:pPr>
        <w:rPr>
          <w:rFonts w:hint="eastAsia" w:ascii="宋体" w:hAnsi="宋体" w:eastAsia="宋体" w:cs="宋体"/>
          <w:color w:val="auto"/>
          <w:highlight w:val="none"/>
        </w:rPr>
      </w:pPr>
    </w:p>
    <w:p>
      <w:pPr>
        <w:spacing w:line="240" w:lineRule="atLeast"/>
        <w:ind w:firstLine="1920" w:firstLineChars="600"/>
        <w:jc w:val="both"/>
        <w:rPr>
          <w:rFonts w:hint="eastAsia" w:ascii="宋体" w:hAnsi="宋体" w:eastAsia="宋体" w:cs="宋体"/>
          <w:b/>
          <w:color w:val="auto"/>
          <w:sz w:val="32"/>
          <w:highlight w:val="none"/>
          <w:lang w:val="en-US" w:eastAsia="zh-CN"/>
        </w:rPr>
      </w:pPr>
      <w:r>
        <w:rPr>
          <w:rFonts w:hint="eastAsia" w:ascii="宋体" w:hAnsi="宋体" w:eastAsia="宋体" w:cs="宋体"/>
          <w:b/>
          <w:color w:val="auto"/>
          <w:sz w:val="32"/>
          <w:highlight w:val="none"/>
        </w:rPr>
        <w:t>项目编号：</w:t>
      </w:r>
      <w:r>
        <w:rPr>
          <w:rFonts w:hint="eastAsia" w:ascii="宋体" w:hAnsi="宋体" w:cs="宋体"/>
          <w:b/>
          <w:color w:val="auto"/>
          <w:sz w:val="32"/>
          <w:highlight w:val="none"/>
          <w:lang w:eastAsia="zh-CN"/>
        </w:rPr>
        <w:t>ZPDL(2022)022</w:t>
      </w:r>
    </w:p>
    <w:p>
      <w:pPr>
        <w:spacing w:line="240" w:lineRule="atLeast"/>
        <w:jc w:val="center"/>
        <w:rPr>
          <w:rFonts w:hint="eastAsia" w:ascii="宋体" w:hAnsi="宋体" w:eastAsia="宋体" w:cs="宋体"/>
          <w:b/>
          <w:color w:val="auto"/>
          <w:sz w:val="32"/>
          <w:highlight w:val="none"/>
        </w:rPr>
      </w:pPr>
    </w:p>
    <w:p>
      <w:pPr>
        <w:spacing w:line="240" w:lineRule="atLeast"/>
        <w:jc w:val="center"/>
        <w:rPr>
          <w:rFonts w:hint="eastAsia" w:ascii="宋体" w:hAnsi="宋体" w:eastAsia="宋体" w:cs="宋体"/>
          <w:b/>
          <w:color w:val="auto"/>
          <w:sz w:val="32"/>
          <w:highlight w:val="none"/>
        </w:rPr>
      </w:pPr>
      <w:r>
        <w:rPr>
          <w:rFonts w:hint="eastAsia" w:ascii="宋体" w:hAnsi="宋体" w:eastAsia="宋体" w:cs="宋体"/>
          <w:b/>
          <w:color w:val="auto"/>
          <w:sz w:val="32"/>
          <w:highlight w:val="none"/>
        </w:rPr>
        <w:t xml:space="preserve">  </w:t>
      </w:r>
    </w:p>
    <w:p>
      <w:pPr>
        <w:spacing w:line="240" w:lineRule="atLeast"/>
        <w:ind w:firstLine="1120" w:firstLineChars="40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lang w:eastAsia="zh-CN"/>
        </w:rPr>
        <w:t>采</w:t>
      </w:r>
      <w:r>
        <w:rPr>
          <w:rFonts w:hint="eastAsia" w:ascii="宋体" w:hAnsi="宋体" w:cs="宋体"/>
          <w:b/>
          <w:color w:val="auto"/>
          <w:sz w:val="28"/>
          <w:szCs w:val="28"/>
          <w:highlight w:val="none"/>
          <w:lang w:val="en-US" w:eastAsia="zh-CN"/>
        </w:rPr>
        <w:t xml:space="preserve"> </w:t>
      </w:r>
      <w:r>
        <w:rPr>
          <w:rFonts w:hint="eastAsia" w:ascii="宋体" w:hAnsi="宋体" w:eastAsia="宋体" w:cs="宋体"/>
          <w:b/>
          <w:color w:val="auto"/>
          <w:sz w:val="28"/>
          <w:szCs w:val="28"/>
          <w:highlight w:val="none"/>
          <w:lang w:eastAsia="zh-CN"/>
        </w:rPr>
        <w:t>购</w:t>
      </w:r>
      <w:r>
        <w:rPr>
          <w:rFonts w:hint="eastAsia" w:ascii="宋体" w:hAnsi="宋体" w:cs="宋体"/>
          <w:b/>
          <w:color w:val="auto"/>
          <w:sz w:val="28"/>
          <w:szCs w:val="28"/>
          <w:highlight w:val="none"/>
          <w:lang w:val="en-US" w:eastAsia="zh-CN"/>
        </w:rPr>
        <w:t xml:space="preserve"> </w:t>
      </w:r>
      <w:r>
        <w:rPr>
          <w:rFonts w:hint="eastAsia" w:ascii="宋体" w:hAnsi="宋体" w:eastAsia="宋体" w:cs="宋体"/>
          <w:b/>
          <w:color w:val="auto"/>
          <w:sz w:val="28"/>
          <w:szCs w:val="28"/>
          <w:highlight w:val="none"/>
          <w:lang w:eastAsia="zh-CN"/>
        </w:rPr>
        <w:t>人</w:t>
      </w:r>
      <w:r>
        <w:rPr>
          <w:rFonts w:hint="eastAsia" w:ascii="宋体" w:hAnsi="宋体" w:eastAsia="宋体" w:cs="宋体"/>
          <w:b/>
          <w:color w:val="auto"/>
          <w:sz w:val="28"/>
          <w:szCs w:val="28"/>
          <w:highlight w:val="none"/>
        </w:rPr>
        <w:t xml:space="preserve">： </w:t>
      </w:r>
      <w:r>
        <w:rPr>
          <w:rFonts w:hint="eastAsia" w:ascii="宋体" w:hAnsi="宋体" w:eastAsia="宋体" w:cs="宋体"/>
          <w:b/>
          <w:color w:val="auto"/>
          <w:sz w:val="28"/>
          <w:szCs w:val="28"/>
          <w:highlight w:val="none"/>
          <w:u w:val="single"/>
        </w:rPr>
        <w:t xml:space="preserve">  </w:t>
      </w:r>
      <w:r>
        <w:rPr>
          <w:rFonts w:hint="eastAsia" w:ascii="宋体" w:hAnsi="宋体" w:eastAsia="宋体" w:cs="宋体"/>
          <w:b/>
          <w:color w:val="auto"/>
          <w:sz w:val="28"/>
          <w:szCs w:val="28"/>
          <w:highlight w:val="none"/>
          <w:u w:val="single"/>
          <w:lang w:val="en-US" w:eastAsia="zh-CN"/>
        </w:rPr>
        <w:t xml:space="preserve"> </w:t>
      </w:r>
      <w:r>
        <w:rPr>
          <w:rFonts w:hint="eastAsia" w:ascii="宋体" w:hAnsi="宋体" w:eastAsia="宋体" w:cs="宋体"/>
          <w:b/>
          <w:color w:val="auto"/>
          <w:sz w:val="28"/>
          <w:szCs w:val="28"/>
          <w:highlight w:val="none"/>
          <w:u w:val="single"/>
        </w:rPr>
        <w:t xml:space="preserve">  泽普县人民医院</w:t>
      </w:r>
      <w:r>
        <w:rPr>
          <w:rFonts w:hint="eastAsia" w:ascii="宋体" w:hAnsi="宋体" w:eastAsia="宋体" w:cs="宋体"/>
          <w:b/>
          <w:color w:val="auto"/>
          <w:sz w:val="28"/>
          <w:szCs w:val="28"/>
          <w:highlight w:val="none"/>
          <w:u w:val="single"/>
          <w:lang w:val="en-US" w:eastAsia="zh-CN"/>
        </w:rPr>
        <w:t xml:space="preserve">      </w:t>
      </w:r>
      <w:r>
        <w:rPr>
          <w:rFonts w:hint="eastAsia" w:ascii="宋体" w:hAnsi="宋体" w:eastAsia="宋体" w:cs="宋体"/>
          <w:b/>
          <w:color w:val="auto"/>
          <w:sz w:val="28"/>
          <w:szCs w:val="28"/>
          <w:highlight w:val="none"/>
        </w:rPr>
        <w:t xml:space="preserve"> </w:t>
      </w:r>
    </w:p>
    <w:p>
      <w:pPr>
        <w:ind w:firstLine="1120" w:firstLineChars="400"/>
        <w:rPr>
          <w:rFonts w:hint="eastAsia" w:ascii="宋体" w:hAnsi="宋体" w:eastAsia="宋体" w:cs="宋体"/>
          <w:b/>
          <w:color w:val="auto"/>
          <w:sz w:val="28"/>
          <w:szCs w:val="28"/>
          <w:highlight w:val="none"/>
          <w:u w:val="single"/>
        </w:rPr>
      </w:pPr>
      <w:r>
        <w:rPr>
          <w:rFonts w:hint="eastAsia" w:ascii="宋体" w:hAnsi="宋体" w:eastAsia="宋体" w:cs="宋体"/>
          <w:b/>
          <w:color w:val="auto"/>
          <w:sz w:val="28"/>
          <w:szCs w:val="28"/>
          <w:highlight w:val="none"/>
        </w:rPr>
        <w:t xml:space="preserve">联 系 人： </w:t>
      </w:r>
      <w:r>
        <w:rPr>
          <w:rFonts w:hint="eastAsia" w:ascii="宋体" w:hAnsi="宋体" w:eastAsia="宋体" w:cs="宋体"/>
          <w:b/>
          <w:color w:val="auto"/>
          <w:sz w:val="28"/>
          <w:szCs w:val="28"/>
          <w:highlight w:val="none"/>
          <w:u w:val="single"/>
        </w:rPr>
        <w:t xml:space="preserve">     </w:t>
      </w:r>
      <w:r>
        <w:rPr>
          <w:rFonts w:hint="eastAsia" w:ascii="宋体" w:hAnsi="宋体" w:eastAsia="宋体" w:cs="宋体"/>
          <w:b/>
          <w:color w:val="auto"/>
          <w:sz w:val="28"/>
          <w:szCs w:val="28"/>
          <w:highlight w:val="none"/>
          <w:u w:val="single"/>
          <w:lang w:val="en-US" w:eastAsia="zh-CN"/>
        </w:rPr>
        <w:t xml:space="preserve"> 西仁阿依</w:t>
      </w:r>
      <w:r>
        <w:rPr>
          <w:rFonts w:hint="eastAsia" w:ascii="宋体" w:hAnsi="宋体" w:eastAsia="宋体" w:cs="宋体"/>
          <w:b/>
          <w:color w:val="auto"/>
          <w:sz w:val="28"/>
          <w:szCs w:val="28"/>
          <w:highlight w:val="none"/>
          <w:u w:val="single"/>
        </w:rPr>
        <w:t xml:space="preserve">      </w:t>
      </w:r>
      <w:r>
        <w:rPr>
          <w:rFonts w:hint="eastAsia" w:ascii="宋体" w:hAnsi="宋体" w:eastAsia="宋体" w:cs="宋体"/>
          <w:b/>
          <w:color w:val="auto"/>
          <w:sz w:val="28"/>
          <w:szCs w:val="28"/>
          <w:highlight w:val="none"/>
          <w:u w:val="single"/>
          <w:lang w:val="en-US" w:eastAsia="zh-CN"/>
        </w:rPr>
        <w:t xml:space="preserve">  </w:t>
      </w:r>
      <w:r>
        <w:rPr>
          <w:rFonts w:hint="eastAsia" w:ascii="宋体" w:hAnsi="宋体" w:eastAsia="宋体" w:cs="宋体"/>
          <w:b/>
          <w:color w:val="auto"/>
          <w:sz w:val="28"/>
          <w:szCs w:val="28"/>
          <w:highlight w:val="none"/>
          <w:u w:val="single"/>
        </w:rPr>
        <w:t xml:space="preserve">  </w:t>
      </w:r>
      <w:r>
        <w:rPr>
          <w:rFonts w:hint="eastAsia" w:ascii="宋体" w:hAnsi="宋体" w:eastAsia="宋体" w:cs="宋体"/>
          <w:b/>
          <w:color w:val="auto"/>
          <w:sz w:val="28"/>
          <w:szCs w:val="28"/>
          <w:highlight w:val="none"/>
        </w:rPr>
        <w:t xml:space="preserve">    </w:t>
      </w:r>
    </w:p>
    <w:p>
      <w:pPr>
        <w:spacing w:line="360" w:lineRule="auto"/>
        <w:ind w:firstLine="1120" w:firstLineChars="400"/>
        <w:rPr>
          <w:rFonts w:hint="eastAsia" w:ascii="宋体" w:hAnsi="宋体" w:eastAsia="宋体" w:cs="宋体"/>
          <w:color w:val="auto"/>
          <w:sz w:val="28"/>
          <w:szCs w:val="28"/>
          <w:highlight w:val="none"/>
        </w:rPr>
      </w:pPr>
      <w:r>
        <w:rPr>
          <w:rFonts w:hint="eastAsia" w:ascii="宋体" w:hAnsi="宋体" w:eastAsia="宋体" w:cs="宋体"/>
          <w:b/>
          <w:color w:val="auto"/>
          <w:sz w:val="28"/>
          <w:szCs w:val="28"/>
          <w:highlight w:val="none"/>
        </w:rPr>
        <w:t xml:space="preserve">联系电话： </w:t>
      </w:r>
      <w:r>
        <w:rPr>
          <w:rFonts w:hint="eastAsia" w:ascii="宋体" w:hAnsi="宋体" w:eastAsia="宋体" w:cs="宋体"/>
          <w:b/>
          <w:color w:val="auto"/>
          <w:sz w:val="28"/>
          <w:szCs w:val="28"/>
          <w:highlight w:val="none"/>
          <w:u w:val="single"/>
        </w:rPr>
        <w:t xml:space="preserve">     18699875091    </w:t>
      </w:r>
      <w:r>
        <w:rPr>
          <w:rFonts w:hint="eastAsia" w:ascii="宋体" w:hAnsi="宋体" w:eastAsia="宋体" w:cs="宋体"/>
          <w:b/>
          <w:color w:val="auto"/>
          <w:sz w:val="28"/>
          <w:szCs w:val="28"/>
          <w:highlight w:val="none"/>
          <w:u w:val="single"/>
          <w:lang w:val="en-US" w:eastAsia="zh-CN"/>
        </w:rPr>
        <w:t xml:space="preserve">    </w:t>
      </w:r>
      <w:r>
        <w:rPr>
          <w:rFonts w:hint="eastAsia" w:ascii="宋体" w:hAnsi="宋体" w:eastAsia="宋体" w:cs="宋体"/>
          <w:b/>
          <w:color w:val="auto"/>
          <w:sz w:val="28"/>
          <w:szCs w:val="28"/>
          <w:highlight w:val="none"/>
          <w:u w:val="single"/>
        </w:rPr>
        <w:t xml:space="preserve"> </w:t>
      </w: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6"/>
        <w:rPr>
          <w:rFonts w:hint="eastAsia" w:ascii="宋体" w:hAnsi="宋体" w:eastAsia="宋体" w:cs="宋体"/>
          <w:color w:val="auto"/>
          <w:sz w:val="28"/>
          <w:szCs w:val="28"/>
          <w:highlight w:val="none"/>
        </w:rPr>
      </w:pPr>
    </w:p>
    <w:p>
      <w:pPr>
        <w:spacing w:line="240" w:lineRule="atLeast"/>
        <w:ind w:firstLine="1120" w:firstLineChars="40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 xml:space="preserve">代理机构： </w:t>
      </w:r>
      <w:r>
        <w:rPr>
          <w:rFonts w:hint="eastAsia" w:ascii="宋体" w:hAnsi="宋体" w:eastAsia="宋体" w:cs="宋体"/>
          <w:b/>
          <w:color w:val="auto"/>
          <w:sz w:val="28"/>
          <w:szCs w:val="28"/>
          <w:highlight w:val="none"/>
          <w:u w:val="single"/>
        </w:rPr>
        <w:t xml:space="preserve">  中经国际招标集团有限公司  </w:t>
      </w:r>
      <w:r>
        <w:rPr>
          <w:rFonts w:hint="eastAsia" w:ascii="宋体" w:hAnsi="宋体" w:eastAsia="宋体" w:cs="宋体"/>
          <w:b/>
          <w:color w:val="auto"/>
          <w:sz w:val="28"/>
          <w:szCs w:val="28"/>
          <w:highlight w:val="none"/>
        </w:rPr>
        <w:t xml:space="preserve">  </w:t>
      </w:r>
    </w:p>
    <w:p>
      <w:pPr>
        <w:spacing w:line="240" w:lineRule="atLeast"/>
        <w:ind w:firstLine="1120" w:firstLineChars="40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联</w:t>
      </w:r>
      <w:r>
        <w:rPr>
          <w:rFonts w:hint="eastAsia" w:ascii="宋体" w:hAnsi="宋体" w:cs="宋体"/>
          <w:b/>
          <w:color w:val="auto"/>
          <w:sz w:val="28"/>
          <w:szCs w:val="28"/>
          <w:highlight w:val="none"/>
          <w:lang w:val="en-US" w:eastAsia="zh-CN"/>
        </w:rPr>
        <w:t xml:space="preserve"> </w:t>
      </w:r>
      <w:r>
        <w:rPr>
          <w:rFonts w:hint="eastAsia" w:ascii="宋体" w:hAnsi="宋体" w:eastAsia="宋体" w:cs="宋体"/>
          <w:b/>
          <w:color w:val="auto"/>
          <w:sz w:val="28"/>
          <w:szCs w:val="28"/>
          <w:highlight w:val="none"/>
        </w:rPr>
        <w:t>系</w:t>
      </w:r>
      <w:r>
        <w:rPr>
          <w:rFonts w:hint="eastAsia" w:ascii="宋体" w:hAnsi="宋体" w:cs="宋体"/>
          <w:b/>
          <w:color w:val="auto"/>
          <w:sz w:val="28"/>
          <w:szCs w:val="28"/>
          <w:highlight w:val="none"/>
          <w:lang w:val="en-US" w:eastAsia="zh-CN"/>
        </w:rPr>
        <w:t xml:space="preserve"> </w:t>
      </w:r>
      <w:r>
        <w:rPr>
          <w:rFonts w:hint="eastAsia" w:ascii="宋体" w:hAnsi="宋体" w:eastAsia="宋体" w:cs="宋体"/>
          <w:b/>
          <w:color w:val="auto"/>
          <w:sz w:val="28"/>
          <w:szCs w:val="28"/>
          <w:highlight w:val="none"/>
        </w:rPr>
        <w:t xml:space="preserve">人： </w:t>
      </w:r>
      <w:r>
        <w:rPr>
          <w:rFonts w:hint="eastAsia" w:ascii="宋体" w:hAnsi="宋体" w:eastAsia="宋体" w:cs="宋体"/>
          <w:b/>
          <w:color w:val="auto"/>
          <w:sz w:val="28"/>
          <w:szCs w:val="28"/>
          <w:highlight w:val="none"/>
          <w:u w:val="single"/>
        </w:rPr>
        <w:t xml:space="preserve">         </w:t>
      </w:r>
      <w:r>
        <w:rPr>
          <w:rFonts w:hint="eastAsia" w:ascii="宋体" w:hAnsi="宋体" w:eastAsia="宋体" w:cs="宋体"/>
          <w:b/>
          <w:color w:val="auto"/>
          <w:sz w:val="28"/>
          <w:szCs w:val="28"/>
          <w:highlight w:val="none"/>
          <w:u w:val="single"/>
          <w:lang w:val="en-US" w:eastAsia="zh-CN"/>
        </w:rPr>
        <w:t xml:space="preserve"> </w:t>
      </w:r>
      <w:r>
        <w:rPr>
          <w:rFonts w:hint="eastAsia" w:ascii="宋体" w:hAnsi="宋体" w:eastAsia="宋体" w:cs="宋体"/>
          <w:b/>
          <w:color w:val="auto"/>
          <w:sz w:val="28"/>
          <w:szCs w:val="28"/>
          <w:highlight w:val="none"/>
          <w:u w:val="single"/>
          <w:lang w:eastAsia="zh-CN"/>
        </w:rPr>
        <w:t>王丽娟</w:t>
      </w:r>
      <w:r>
        <w:rPr>
          <w:rFonts w:hint="eastAsia" w:ascii="宋体" w:hAnsi="宋体" w:eastAsia="宋体" w:cs="宋体"/>
          <w:b/>
          <w:color w:val="auto"/>
          <w:sz w:val="28"/>
          <w:szCs w:val="28"/>
          <w:highlight w:val="none"/>
          <w:u w:val="single"/>
        </w:rPr>
        <w:t xml:space="preserve">            </w:t>
      </w:r>
      <w:r>
        <w:rPr>
          <w:rFonts w:hint="eastAsia" w:ascii="宋体" w:hAnsi="宋体" w:eastAsia="宋体" w:cs="宋体"/>
          <w:b/>
          <w:color w:val="auto"/>
          <w:sz w:val="28"/>
          <w:szCs w:val="28"/>
          <w:highlight w:val="none"/>
        </w:rPr>
        <w:t xml:space="preserve">       </w:t>
      </w:r>
    </w:p>
    <w:p>
      <w:pPr>
        <w:spacing w:line="240" w:lineRule="atLeast"/>
        <w:ind w:firstLine="1120" w:firstLineChars="40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 xml:space="preserve">联系电话 ： </w:t>
      </w:r>
      <w:r>
        <w:rPr>
          <w:rFonts w:hint="eastAsia" w:ascii="宋体" w:hAnsi="宋体" w:eastAsia="宋体" w:cs="宋体"/>
          <w:b/>
          <w:color w:val="auto"/>
          <w:sz w:val="28"/>
          <w:szCs w:val="28"/>
          <w:highlight w:val="none"/>
          <w:u w:val="single"/>
        </w:rPr>
        <w:t xml:space="preserve">       15099650569          </w:t>
      </w:r>
      <w:r>
        <w:rPr>
          <w:rFonts w:hint="eastAsia" w:ascii="宋体" w:hAnsi="宋体" w:eastAsia="宋体" w:cs="宋体"/>
          <w:b/>
          <w:color w:val="auto"/>
          <w:sz w:val="28"/>
          <w:szCs w:val="28"/>
          <w:highlight w:val="none"/>
        </w:rPr>
        <w:t xml:space="preserve">   </w:t>
      </w:r>
    </w:p>
    <w:p>
      <w:pPr>
        <w:pStyle w:val="6"/>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8"/>
        <w:rPr>
          <w:rFonts w:hint="eastAsia" w:ascii="宋体" w:hAnsi="宋体" w:eastAsia="宋体" w:cs="宋体"/>
          <w:color w:val="auto"/>
          <w:highlight w:val="none"/>
        </w:rPr>
      </w:pPr>
    </w:p>
    <w:p>
      <w:pPr>
        <w:spacing w:line="240" w:lineRule="atLeast"/>
        <w:ind w:firstLine="3080" w:firstLineChars="1100"/>
        <w:rPr>
          <w:rFonts w:hint="eastAsia" w:ascii="宋体" w:hAnsi="宋体" w:eastAsia="宋体" w:cs="宋体"/>
          <w:b/>
          <w:color w:val="auto"/>
          <w:sz w:val="28"/>
          <w:szCs w:val="28"/>
          <w:highlight w:val="none"/>
        </w:rPr>
        <w:sectPr>
          <w:headerReference r:id="rId3" w:type="default"/>
          <w:footerReference r:id="rId4" w:type="default"/>
          <w:pgSz w:w="11906" w:h="16838"/>
          <w:pgMar w:top="1440" w:right="1797" w:bottom="1440" w:left="1797" w:header="851" w:footer="992" w:gutter="0"/>
          <w:pgNumType w:fmt="decimal" w:start="1"/>
          <w:cols w:space="720" w:num="1"/>
          <w:docGrid w:type="linesAndChars" w:linePitch="312" w:charSpace="0"/>
        </w:sectPr>
      </w:pPr>
      <w:r>
        <w:rPr>
          <w:rFonts w:hint="eastAsia" w:ascii="宋体" w:hAnsi="宋体" w:eastAsia="宋体" w:cs="宋体"/>
          <w:b/>
          <w:color w:val="auto"/>
          <w:sz w:val="28"/>
          <w:szCs w:val="28"/>
          <w:highlight w:val="none"/>
        </w:rPr>
        <w:t>日期：202</w:t>
      </w:r>
      <w:r>
        <w:rPr>
          <w:rFonts w:hint="eastAsia" w:ascii="宋体" w:hAnsi="宋体" w:eastAsia="宋体" w:cs="宋体"/>
          <w:b/>
          <w:color w:val="auto"/>
          <w:sz w:val="28"/>
          <w:szCs w:val="28"/>
          <w:highlight w:val="none"/>
          <w:lang w:val="en-US" w:eastAsia="zh-CN"/>
        </w:rPr>
        <w:t>2</w:t>
      </w:r>
      <w:r>
        <w:rPr>
          <w:rFonts w:hint="eastAsia" w:ascii="宋体" w:hAnsi="宋体" w:eastAsia="宋体" w:cs="宋体"/>
          <w:b/>
          <w:color w:val="auto"/>
          <w:sz w:val="28"/>
          <w:szCs w:val="28"/>
          <w:highlight w:val="none"/>
        </w:rPr>
        <w:t xml:space="preserve"> 年</w:t>
      </w:r>
      <w:r>
        <w:rPr>
          <w:rFonts w:hint="eastAsia" w:ascii="宋体" w:hAnsi="宋体" w:cs="宋体"/>
          <w:b/>
          <w:color w:val="auto"/>
          <w:sz w:val="28"/>
          <w:szCs w:val="28"/>
          <w:highlight w:val="none"/>
          <w:lang w:val="en-US" w:eastAsia="zh-CN"/>
        </w:rPr>
        <w:t>6</w:t>
      </w:r>
      <w:r>
        <w:rPr>
          <w:rFonts w:hint="eastAsia" w:ascii="宋体" w:hAnsi="宋体" w:eastAsia="宋体" w:cs="宋体"/>
          <w:b/>
          <w:color w:val="auto"/>
          <w:sz w:val="28"/>
          <w:szCs w:val="28"/>
          <w:highlight w:val="none"/>
        </w:rPr>
        <w:t>月</w:t>
      </w:r>
    </w:p>
    <w:p>
      <w:pPr>
        <w:jc w:val="center"/>
        <w:rPr>
          <w:rFonts w:hint="eastAsia" w:ascii="宋体" w:hAnsi="宋体" w:eastAsia="宋体" w:cs="宋体"/>
          <w:b/>
          <w:bCs/>
          <w:color w:val="auto"/>
          <w:sz w:val="40"/>
          <w:szCs w:val="48"/>
          <w:highlight w:val="none"/>
        </w:rPr>
      </w:pPr>
      <w:r>
        <w:rPr>
          <w:rFonts w:hint="eastAsia" w:ascii="宋体" w:hAnsi="宋体" w:eastAsia="宋体" w:cs="宋体"/>
          <w:b/>
          <w:bCs/>
          <w:color w:val="auto"/>
          <w:sz w:val="40"/>
          <w:szCs w:val="48"/>
          <w:highlight w:val="none"/>
        </w:rPr>
        <w:t>目录</w:t>
      </w:r>
    </w:p>
    <w:p>
      <w:pPr>
        <w:pStyle w:val="15"/>
        <w:tabs>
          <w:tab w:val="right" w:leader="dot" w:pos="8312"/>
        </w:tabs>
      </w:pPr>
      <w:r>
        <w:rPr>
          <w:rFonts w:hint="eastAsia" w:ascii="宋体" w:hAnsi="宋体" w:eastAsia="宋体" w:cs="宋体"/>
          <w:color w:val="auto"/>
          <w:kern w:val="0"/>
          <w:szCs w:val="21"/>
          <w:highlight w:val="none"/>
        </w:rPr>
        <w:fldChar w:fldCharType="begin"/>
      </w:r>
      <w:r>
        <w:rPr>
          <w:rFonts w:hint="eastAsia" w:ascii="宋体" w:hAnsi="宋体" w:eastAsia="宋体" w:cs="宋体"/>
          <w:color w:val="auto"/>
          <w:kern w:val="0"/>
          <w:szCs w:val="21"/>
          <w:highlight w:val="none"/>
        </w:rPr>
        <w:instrText xml:space="preserve">TOC \o "1-2" \h \u </w:instrText>
      </w:r>
      <w:r>
        <w:rPr>
          <w:rFonts w:hint="eastAsia" w:ascii="宋体" w:hAnsi="宋体" w:eastAsia="宋体" w:cs="宋体"/>
          <w:color w:val="auto"/>
          <w:kern w:val="0"/>
          <w:szCs w:val="21"/>
          <w:highlight w:val="none"/>
        </w:rPr>
        <w:fldChar w:fldCharType="separate"/>
      </w:r>
      <w:r>
        <w:rPr>
          <w:rFonts w:hint="eastAsia" w:ascii="宋体" w:hAnsi="宋体" w:eastAsia="宋体" w:cs="宋体"/>
          <w:color w:val="auto"/>
          <w:kern w:val="0"/>
          <w:szCs w:val="21"/>
          <w:highlight w:val="none"/>
        </w:rPr>
        <w:fldChar w:fldCharType="begin"/>
      </w:r>
      <w:r>
        <w:rPr>
          <w:rFonts w:hint="eastAsia" w:ascii="宋体" w:hAnsi="宋体" w:eastAsia="宋体" w:cs="宋体"/>
          <w:kern w:val="0"/>
          <w:szCs w:val="21"/>
          <w:highlight w:val="none"/>
        </w:rPr>
        <w:instrText xml:space="preserve"> HYPERLINK \l _Toc14861 </w:instrText>
      </w:r>
      <w:r>
        <w:rPr>
          <w:rFonts w:hint="eastAsia" w:ascii="宋体" w:hAnsi="宋体" w:eastAsia="宋体" w:cs="宋体"/>
          <w:kern w:val="0"/>
          <w:szCs w:val="21"/>
          <w:highlight w:val="none"/>
        </w:rPr>
        <w:fldChar w:fldCharType="separate"/>
      </w:r>
      <w:r>
        <w:rPr>
          <w:rFonts w:hint="eastAsia" w:ascii="宋体" w:hAnsi="宋体" w:eastAsia="宋体" w:cs="宋体"/>
          <w:highlight w:val="none"/>
        </w:rPr>
        <w:t>第</w:t>
      </w:r>
      <w:r>
        <w:rPr>
          <w:rFonts w:hint="eastAsia" w:ascii="宋体" w:hAnsi="宋体" w:eastAsia="宋体" w:cs="宋体"/>
          <w:highlight w:val="none"/>
          <w:lang w:val="en-US" w:eastAsia="zh-CN"/>
        </w:rPr>
        <w:t>1</w:t>
      </w:r>
      <w:r>
        <w:rPr>
          <w:rFonts w:hint="eastAsia" w:ascii="宋体" w:hAnsi="宋体" w:eastAsia="宋体" w:cs="宋体"/>
          <w:highlight w:val="none"/>
        </w:rPr>
        <w:t>章</w:t>
      </w:r>
      <w:r>
        <w:rPr>
          <w:rFonts w:hint="eastAsia" w:ascii="宋体" w:hAnsi="宋体" w:eastAsia="宋体" w:cs="宋体"/>
          <w:highlight w:val="none"/>
          <w:lang w:val="en-US" w:eastAsia="zh-CN"/>
        </w:rPr>
        <w:t xml:space="preserve">  </w:t>
      </w:r>
      <w:r>
        <w:rPr>
          <w:rFonts w:hint="eastAsia" w:ascii="宋体" w:hAnsi="宋体" w:eastAsia="宋体" w:cs="宋体"/>
          <w:highlight w:val="none"/>
          <w:lang w:eastAsia="zh-CN"/>
        </w:rPr>
        <w:t>供应商</w:t>
      </w:r>
      <w:r>
        <w:rPr>
          <w:rFonts w:hint="eastAsia" w:ascii="宋体" w:hAnsi="宋体" w:eastAsia="宋体" w:cs="宋体"/>
          <w:highlight w:val="none"/>
        </w:rPr>
        <w:t>须知</w:t>
      </w:r>
      <w:r>
        <w:tab/>
      </w:r>
      <w:r>
        <w:fldChar w:fldCharType="begin"/>
      </w:r>
      <w:r>
        <w:instrText xml:space="preserve"> PAGEREF _Toc14861 \h </w:instrText>
      </w:r>
      <w:r>
        <w:fldChar w:fldCharType="separate"/>
      </w:r>
      <w:r>
        <w:t>3</w:t>
      </w:r>
      <w:r>
        <w:fldChar w:fldCharType="end"/>
      </w:r>
      <w:r>
        <w:rPr>
          <w:rFonts w:hint="eastAsia" w:ascii="宋体" w:hAnsi="宋体" w:eastAsia="宋体" w:cs="宋体"/>
          <w:color w:val="auto"/>
          <w:kern w:val="0"/>
          <w:szCs w:val="21"/>
          <w:highlight w:val="none"/>
        </w:rPr>
        <w:fldChar w:fldCharType="end"/>
      </w:r>
    </w:p>
    <w:p>
      <w:pPr>
        <w:pStyle w:val="16"/>
        <w:tabs>
          <w:tab w:val="right" w:leader="dot" w:pos="8312"/>
        </w:tabs>
      </w:pPr>
      <w:r>
        <w:rPr>
          <w:rFonts w:hint="eastAsia" w:ascii="宋体" w:hAnsi="宋体" w:eastAsia="宋体" w:cs="宋体"/>
          <w:color w:val="auto"/>
          <w:kern w:val="0"/>
          <w:szCs w:val="21"/>
          <w:highlight w:val="none"/>
        </w:rPr>
        <w:fldChar w:fldCharType="begin"/>
      </w:r>
      <w:r>
        <w:rPr>
          <w:rFonts w:hint="eastAsia" w:ascii="宋体" w:hAnsi="宋体" w:eastAsia="宋体" w:cs="宋体"/>
          <w:kern w:val="0"/>
          <w:szCs w:val="21"/>
          <w:highlight w:val="none"/>
        </w:rPr>
        <w:instrText xml:space="preserve"> HYPERLINK \l _Toc6524 </w:instrText>
      </w:r>
      <w:r>
        <w:rPr>
          <w:rFonts w:hint="eastAsia" w:ascii="宋体" w:hAnsi="宋体" w:eastAsia="宋体" w:cs="宋体"/>
          <w:kern w:val="0"/>
          <w:szCs w:val="21"/>
          <w:highlight w:val="none"/>
        </w:rPr>
        <w:fldChar w:fldCharType="separate"/>
      </w:r>
      <w:r>
        <w:rPr>
          <w:rFonts w:hint="eastAsia" w:ascii="宋体" w:hAnsi="宋体" w:eastAsia="宋体" w:cs="宋体"/>
          <w:szCs w:val="24"/>
          <w:highlight w:val="none"/>
        </w:rPr>
        <w:t>一   总 则</w:t>
      </w:r>
      <w:r>
        <w:tab/>
      </w:r>
      <w:r>
        <w:fldChar w:fldCharType="begin"/>
      </w:r>
      <w:r>
        <w:instrText xml:space="preserve"> PAGEREF _Toc6524 \h </w:instrText>
      </w:r>
      <w:r>
        <w:fldChar w:fldCharType="separate"/>
      </w:r>
      <w:r>
        <w:t>3</w:t>
      </w:r>
      <w:r>
        <w:fldChar w:fldCharType="end"/>
      </w:r>
      <w:r>
        <w:rPr>
          <w:rFonts w:hint="eastAsia" w:ascii="宋体" w:hAnsi="宋体" w:eastAsia="宋体" w:cs="宋体"/>
          <w:color w:val="auto"/>
          <w:kern w:val="0"/>
          <w:szCs w:val="21"/>
          <w:highlight w:val="none"/>
        </w:rPr>
        <w:fldChar w:fldCharType="end"/>
      </w:r>
    </w:p>
    <w:p>
      <w:pPr>
        <w:pStyle w:val="16"/>
        <w:tabs>
          <w:tab w:val="right" w:leader="dot" w:pos="8312"/>
        </w:tabs>
      </w:pPr>
      <w:r>
        <w:rPr>
          <w:rFonts w:hint="eastAsia" w:ascii="宋体" w:hAnsi="宋体" w:eastAsia="宋体" w:cs="宋体"/>
          <w:color w:val="auto"/>
          <w:kern w:val="0"/>
          <w:szCs w:val="21"/>
          <w:highlight w:val="none"/>
        </w:rPr>
        <w:fldChar w:fldCharType="begin"/>
      </w:r>
      <w:r>
        <w:rPr>
          <w:rFonts w:hint="eastAsia" w:ascii="宋体" w:hAnsi="宋体" w:eastAsia="宋体" w:cs="宋体"/>
          <w:kern w:val="0"/>
          <w:szCs w:val="21"/>
          <w:highlight w:val="none"/>
        </w:rPr>
        <w:instrText xml:space="preserve"> HYPERLINK \l _Toc24252 </w:instrText>
      </w:r>
      <w:r>
        <w:rPr>
          <w:rFonts w:hint="eastAsia" w:ascii="宋体" w:hAnsi="宋体" w:eastAsia="宋体" w:cs="宋体"/>
          <w:kern w:val="0"/>
          <w:szCs w:val="21"/>
          <w:highlight w:val="none"/>
        </w:rPr>
        <w:fldChar w:fldCharType="separate"/>
      </w:r>
      <w:r>
        <w:rPr>
          <w:rFonts w:hint="eastAsia" w:ascii="宋体" w:hAnsi="宋体" w:eastAsia="宋体" w:cs="宋体"/>
          <w:szCs w:val="24"/>
          <w:highlight w:val="none"/>
        </w:rPr>
        <w:t>二   招标文件</w:t>
      </w:r>
      <w:r>
        <w:tab/>
      </w:r>
      <w:r>
        <w:fldChar w:fldCharType="begin"/>
      </w:r>
      <w:r>
        <w:instrText xml:space="preserve"> PAGEREF _Toc24252 \h </w:instrText>
      </w:r>
      <w:r>
        <w:fldChar w:fldCharType="separate"/>
      </w:r>
      <w:r>
        <w:t>4</w:t>
      </w:r>
      <w:r>
        <w:fldChar w:fldCharType="end"/>
      </w:r>
      <w:r>
        <w:rPr>
          <w:rFonts w:hint="eastAsia" w:ascii="宋体" w:hAnsi="宋体" w:eastAsia="宋体" w:cs="宋体"/>
          <w:color w:val="auto"/>
          <w:kern w:val="0"/>
          <w:szCs w:val="21"/>
          <w:highlight w:val="none"/>
        </w:rPr>
        <w:fldChar w:fldCharType="end"/>
      </w:r>
    </w:p>
    <w:p>
      <w:pPr>
        <w:pStyle w:val="16"/>
        <w:tabs>
          <w:tab w:val="right" w:leader="dot" w:pos="8312"/>
        </w:tabs>
      </w:pPr>
      <w:r>
        <w:rPr>
          <w:rFonts w:hint="eastAsia" w:ascii="宋体" w:hAnsi="宋体" w:eastAsia="宋体" w:cs="宋体"/>
          <w:color w:val="auto"/>
          <w:kern w:val="0"/>
          <w:szCs w:val="21"/>
          <w:highlight w:val="none"/>
        </w:rPr>
        <w:fldChar w:fldCharType="begin"/>
      </w:r>
      <w:r>
        <w:rPr>
          <w:rFonts w:hint="eastAsia" w:ascii="宋体" w:hAnsi="宋体" w:eastAsia="宋体" w:cs="宋体"/>
          <w:kern w:val="0"/>
          <w:szCs w:val="21"/>
          <w:highlight w:val="none"/>
        </w:rPr>
        <w:instrText xml:space="preserve"> HYPERLINK \l _Toc577 </w:instrText>
      </w:r>
      <w:r>
        <w:rPr>
          <w:rFonts w:hint="eastAsia" w:ascii="宋体" w:hAnsi="宋体" w:eastAsia="宋体" w:cs="宋体"/>
          <w:kern w:val="0"/>
          <w:szCs w:val="21"/>
          <w:highlight w:val="none"/>
        </w:rPr>
        <w:fldChar w:fldCharType="separate"/>
      </w:r>
      <w:r>
        <w:rPr>
          <w:rFonts w:hint="eastAsia" w:ascii="宋体" w:hAnsi="宋体" w:eastAsia="宋体" w:cs="宋体"/>
          <w:szCs w:val="24"/>
          <w:highlight w:val="none"/>
        </w:rPr>
        <w:t>三   投标文件的编制</w:t>
      </w:r>
      <w:r>
        <w:tab/>
      </w:r>
      <w:r>
        <w:fldChar w:fldCharType="begin"/>
      </w:r>
      <w:r>
        <w:instrText xml:space="preserve"> PAGEREF _Toc577 \h </w:instrText>
      </w:r>
      <w:r>
        <w:fldChar w:fldCharType="separate"/>
      </w:r>
      <w:r>
        <w:t>5</w:t>
      </w:r>
      <w:r>
        <w:fldChar w:fldCharType="end"/>
      </w:r>
      <w:r>
        <w:rPr>
          <w:rFonts w:hint="eastAsia" w:ascii="宋体" w:hAnsi="宋体" w:eastAsia="宋体" w:cs="宋体"/>
          <w:color w:val="auto"/>
          <w:kern w:val="0"/>
          <w:szCs w:val="21"/>
          <w:highlight w:val="none"/>
        </w:rPr>
        <w:fldChar w:fldCharType="end"/>
      </w:r>
    </w:p>
    <w:p>
      <w:pPr>
        <w:pStyle w:val="16"/>
        <w:tabs>
          <w:tab w:val="right" w:leader="dot" w:pos="8312"/>
        </w:tabs>
      </w:pPr>
      <w:r>
        <w:rPr>
          <w:rFonts w:hint="eastAsia" w:ascii="宋体" w:hAnsi="宋体" w:eastAsia="宋体" w:cs="宋体"/>
          <w:color w:val="auto"/>
          <w:kern w:val="0"/>
          <w:szCs w:val="21"/>
          <w:highlight w:val="none"/>
        </w:rPr>
        <w:fldChar w:fldCharType="begin"/>
      </w:r>
      <w:r>
        <w:rPr>
          <w:rFonts w:hint="eastAsia" w:ascii="宋体" w:hAnsi="宋体" w:eastAsia="宋体" w:cs="宋体"/>
          <w:kern w:val="0"/>
          <w:szCs w:val="21"/>
          <w:highlight w:val="none"/>
        </w:rPr>
        <w:instrText xml:space="preserve"> HYPERLINK \l _Toc9238 </w:instrText>
      </w:r>
      <w:r>
        <w:rPr>
          <w:rFonts w:hint="eastAsia" w:ascii="宋体" w:hAnsi="宋体" w:eastAsia="宋体" w:cs="宋体"/>
          <w:kern w:val="0"/>
          <w:szCs w:val="21"/>
          <w:highlight w:val="none"/>
        </w:rPr>
        <w:fldChar w:fldCharType="separate"/>
      </w:r>
      <w:r>
        <w:rPr>
          <w:rFonts w:hint="eastAsia" w:ascii="宋体" w:hAnsi="宋体" w:eastAsia="宋体" w:cs="宋体"/>
          <w:szCs w:val="24"/>
          <w:highlight w:val="none"/>
        </w:rPr>
        <w:t>四   投标文件的递交</w:t>
      </w:r>
      <w:r>
        <w:tab/>
      </w:r>
      <w:r>
        <w:fldChar w:fldCharType="begin"/>
      </w:r>
      <w:r>
        <w:instrText xml:space="preserve"> PAGEREF _Toc9238 \h </w:instrText>
      </w:r>
      <w:r>
        <w:fldChar w:fldCharType="separate"/>
      </w:r>
      <w:r>
        <w:t>8</w:t>
      </w:r>
      <w:r>
        <w:fldChar w:fldCharType="end"/>
      </w:r>
      <w:r>
        <w:rPr>
          <w:rFonts w:hint="eastAsia" w:ascii="宋体" w:hAnsi="宋体" w:eastAsia="宋体" w:cs="宋体"/>
          <w:color w:val="auto"/>
          <w:kern w:val="0"/>
          <w:szCs w:val="21"/>
          <w:highlight w:val="none"/>
        </w:rPr>
        <w:fldChar w:fldCharType="end"/>
      </w:r>
    </w:p>
    <w:p>
      <w:pPr>
        <w:pStyle w:val="16"/>
        <w:tabs>
          <w:tab w:val="right" w:leader="dot" w:pos="8312"/>
        </w:tabs>
      </w:pPr>
      <w:r>
        <w:rPr>
          <w:rFonts w:hint="eastAsia" w:ascii="宋体" w:hAnsi="宋体" w:eastAsia="宋体" w:cs="宋体"/>
          <w:color w:val="auto"/>
          <w:kern w:val="0"/>
          <w:szCs w:val="21"/>
          <w:highlight w:val="none"/>
        </w:rPr>
        <w:fldChar w:fldCharType="begin"/>
      </w:r>
      <w:r>
        <w:rPr>
          <w:rFonts w:hint="eastAsia" w:ascii="宋体" w:hAnsi="宋体" w:eastAsia="宋体" w:cs="宋体"/>
          <w:kern w:val="0"/>
          <w:szCs w:val="21"/>
          <w:highlight w:val="none"/>
        </w:rPr>
        <w:instrText xml:space="preserve"> HYPERLINK \l _Toc9945 </w:instrText>
      </w:r>
      <w:r>
        <w:rPr>
          <w:rFonts w:hint="eastAsia" w:ascii="宋体" w:hAnsi="宋体" w:eastAsia="宋体" w:cs="宋体"/>
          <w:kern w:val="0"/>
          <w:szCs w:val="21"/>
          <w:highlight w:val="none"/>
        </w:rPr>
        <w:fldChar w:fldCharType="separate"/>
      </w:r>
      <w:r>
        <w:rPr>
          <w:rFonts w:hint="eastAsia" w:ascii="宋体" w:hAnsi="宋体" w:eastAsia="宋体" w:cs="宋体"/>
          <w:szCs w:val="24"/>
          <w:highlight w:val="none"/>
        </w:rPr>
        <w:t>五   开标及评标</w:t>
      </w:r>
      <w:r>
        <w:tab/>
      </w:r>
      <w:r>
        <w:fldChar w:fldCharType="begin"/>
      </w:r>
      <w:r>
        <w:instrText xml:space="preserve"> PAGEREF _Toc9945 \h </w:instrText>
      </w:r>
      <w:r>
        <w:fldChar w:fldCharType="separate"/>
      </w:r>
      <w:r>
        <w:t>9</w:t>
      </w:r>
      <w:r>
        <w:fldChar w:fldCharType="end"/>
      </w:r>
      <w:r>
        <w:rPr>
          <w:rFonts w:hint="eastAsia" w:ascii="宋体" w:hAnsi="宋体" w:eastAsia="宋体" w:cs="宋体"/>
          <w:color w:val="auto"/>
          <w:kern w:val="0"/>
          <w:szCs w:val="21"/>
          <w:highlight w:val="none"/>
        </w:rPr>
        <w:fldChar w:fldCharType="end"/>
      </w:r>
    </w:p>
    <w:p>
      <w:pPr>
        <w:pStyle w:val="16"/>
        <w:tabs>
          <w:tab w:val="right" w:leader="dot" w:pos="8312"/>
        </w:tabs>
      </w:pPr>
      <w:r>
        <w:rPr>
          <w:rFonts w:hint="eastAsia" w:ascii="宋体" w:hAnsi="宋体" w:eastAsia="宋体" w:cs="宋体"/>
          <w:color w:val="auto"/>
          <w:kern w:val="0"/>
          <w:szCs w:val="21"/>
          <w:highlight w:val="none"/>
        </w:rPr>
        <w:fldChar w:fldCharType="begin"/>
      </w:r>
      <w:r>
        <w:rPr>
          <w:rFonts w:hint="eastAsia" w:ascii="宋体" w:hAnsi="宋体" w:eastAsia="宋体" w:cs="宋体"/>
          <w:kern w:val="0"/>
          <w:szCs w:val="21"/>
          <w:highlight w:val="none"/>
        </w:rPr>
        <w:instrText xml:space="preserve"> HYPERLINK \l _Toc32121 </w:instrText>
      </w:r>
      <w:r>
        <w:rPr>
          <w:rFonts w:hint="eastAsia" w:ascii="宋体" w:hAnsi="宋体" w:eastAsia="宋体" w:cs="宋体"/>
          <w:kern w:val="0"/>
          <w:szCs w:val="21"/>
          <w:highlight w:val="none"/>
        </w:rPr>
        <w:fldChar w:fldCharType="separate"/>
      </w:r>
      <w:r>
        <w:rPr>
          <w:rFonts w:hint="eastAsia" w:ascii="宋体" w:hAnsi="宋体" w:eastAsia="宋体" w:cs="宋体"/>
          <w:szCs w:val="24"/>
          <w:highlight w:val="none"/>
        </w:rPr>
        <w:t>六   确定中标</w:t>
      </w:r>
      <w:r>
        <w:tab/>
      </w:r>
      <w:r>
        <w:fldChar w:fldCharType="begin"/>
      </w:r>
      <w:r>
        <w:instrText xml:space="preserve"> PAGEREF _Toc32121 \h </w:instrText>
      </w:r>
      <w:r>
        <w:fldChar w:fldCharType="separate"/>
      </w:r>
      <w:r>
        <w:t>13</w:t>
      </w:r>
      <w:r>
        <w:fldChar w:fldCharType="end"/>
      </w:r>
      <w:r>
        <w:rPr>
          <w:rFonts w:hint="eastAsia" w:ascii="宋体" w:hAnsi="宋体" w:eastAsia="宋体" w:cs="宋体"/>
          <w:color w:val="auto"/>
          <w:kern w:val="0"/>
          <w:szCs w:val="21"/>
          <w:highlight w:val="none"/>
        </w:rPr>
        <w:fldChar w:fldCharType="end"/>
      </w:r>
    </w:p>
    <w:p>
      <w:pPr>
        <w:pStyle w:val="15"/>
        <w:tabs>
          <w:tab w:val="right" w:leader="dot" w:pos="8312"/>
        </w:tabs>
      </w:pPr>
      <w:r>
        <w:rPr>
          <w:rFonts w:hint="eastAsia" w:ascii="宋体" w:hAnsi="宋体" w:eastAsia="宋体" w:cs="宋体"/>
          <w:color w:val="auto"/>
          <w:kern w:val="0"/>
          <w:szCs w:val="21"/>
          <w:highlight w:val="none"/>
        </w:rPr>
        <w:fldChar w:fldCharType="begin"/>
      </w:r>
      <w:r>
        <w:rPr>
          <w:rFonts w:hint="eastAsia" w:ascii="宋体" w:hAnsi="宋体" w:eastAsia="宋体" w:cs="宋体"/>
          <w:kern w:val="0"/>
          <w:szCs w:val="21"/>
          <w:highlight w:val="none"/>
        </w:rPr>
        <w:instrText xml:space="preserve"> HYPERLINK \l _Toc21966 </w:instrText>
      </w:r>
      <w:r>
        <w:rPr>
          <w:rFonts w:hint="eastAsia" w:ascii="宋体" w:hAnsi="宋体" w:eastAsia="宋体" w:cs="宋体"/>
          <w:kern w:val="0"/>
          <w:szCs w:val="21"/>
          <w:highlight w:val="none"/>
        </w:rPr>
        <w:fldChar w:fldCharType="separate"/>
      </w:r>
      <w:r>
        <w:rPr>
          <w:rFonts w:hint="eastAsia" w:ascii="宋体" w:hAnsi="宋体" w:eastAsia="宋体" w:cs="宋体"/>
          <w:highlight w:val="none"/>
        </w:rPr>
        <w:t>第2章   投标文件格式</w:t>
      </w:r>
      <w:r>
        <w:tab/>
      </w:r>
      <w:r>
        <w:fldChar w:fldCharType="begin"/>
      </w:r>
      <w:r>
        <w:instrText xml:space="preserve"> PAGEREF _Toc21966 \h </w:instrText>
      </w:r>
      <w:r>
        <w:fldChar w:fldCharType="separate"/>
      </w:r>
      <w:r>
        <w:t>20</w:t>
      </w:r>
      <w:r>
        <w:fldChar w:fldCharType="end"/>
      </w:r>
      <w:r>
        <w:rPr>
          <w:rFonts w:hint="eastAsia" w:ascii="宋体" w:hAnsi="宋体" w:eastAsia="宋体" w:cs="宋体"/>
          <w:color w:val="auto"/>
          <w:kern w:val="0"/>
          <w:szCs w:val="21"/>
          <w:highlight w:val="none"/>
        </w:rPr>
        <w:fldChar w:fldCharType="end"/>
      </w:r>
    </w:p>
    <w:p>
      <w:pPr>
        <w:pStyle w:val="16"/>
        <w:tabs>
          <w:tab w:val="right" w:leader="dot" w:pos="8312"/>
        </w:tabs>
      </w:pPr>
      <w:r>
        <w:rPr>
          <w:rFonts w:hint="eastAsia" w:ascii="宋体" w:hAnsi="宋体" w:eastAsia="宋体" w:cs="宋体"/>
          <w:color w:val="auto"/>
          <w:kern w:val="0"/>
          <w:szCs w:val="21"/>
          <w:highlight w:val="none"/>
        </w:rPr>
        <w:fldChar w:fldCharType="begin"/>
      </w:r>
      <w:r>
        <w:rPr>
          <w:rFonts w:hint="eastAsia" w:ascii="宋体" w:hAnsi="宋体" w:eastAsia="宋体" w:cs="宋体"/>
          <w:kern w:val="0"/>
          <w:szCs w:val="21"/>
          <w:highlight w:val="none"/>
        </w:rPr>
        <w:instrText xml:space="preserve"> HYPERLINK \l _Toc3428 </w:instrText>
      </w:r>
      <w:r>
        <w:rPr>
          <w:rFonts w:hint="eastAsia" w:ascii="宋体" w:hAnsi="宋体" w:eastAsia="宋体" w:cs="宋体"/>
          <w:kern w:val="0"/>
          <w:szCs w:val="21"/>
          <w:highlight w:val="none"/>
        </w:rPr>
        <w:fldChar w:fldCharType="separate"/>
      </w:r>
      <w:r>
        <w:rPr>
          <w:rFonts w:hint="eastAsia" w:ascii="宋体" w:hAnsi="宋体" w:eastAsia="宋体" w:cs="宋体"/>
          <w:kern w:val="2"/>
          <w:szCs w:val="24"/>
          <w:highlight w:val="none"/>
        </w:rPr>
        <w:t>第一部分 开标一览表及资格证明文件</w:t>
      </w:r>
      <w:r>
        <w:tab/>
      </w:r>
      <w:r>
        <w:fldChar w:fldCharType="begin"/>
      </w:r>
      <w:r>
        <w:instrText xml:space="preserve"> PAGEREF _Toc3428 \h </w:instrText>
      </w:r>
      <w:r>
        <w:fldChar w:fldCharType="separate"/>
      </w:r>
      <w:r>
        <w:t>20</w:t>
      </w:r>
      <w:r>
        <w:fldChar w:fldCharType="end"/>
      </w:r>
      <w:r>
        <w:rPr>
          <w:rFonts w:hint="eastAsia" w:ascii="宋体" w:hAnsi="宋体" w:eastAsia="宋体" w:cs="宋体"/>
          <w:color w:val="auto"/>
          <w:kern w:val="0"/>
          <w:szCs w:val="21"/>
          <w:highlight w:val="none"/>
        </w:rPr>
        <w:fldChar w:fldCharType="end"/>
      </w:r>
    </w:p>
    <w:p>
      <w:pPr>
        <w:pStyle w:val="16"/>
        <w:tabs>
          <w:tab w:val="right" w:leader="dot" w:pos="8312"/>
        </w:tabs>
      </w:pPr>
      <w:r>
        <w:rPr>
          <w:rFonts w:hint="eastAsia" w:ascii="宋体" w:hAnsi="宋体" w:eastAsia="宋体" w:cs="宋体"/>
          <w:color w:val="auto"/>
          <w:kern w:val="0"/>
          <w:szCs w:val="21"/>
          <w:highlight w:val="none"/>
        </w:rPr>
        <w:fldChar w:fldCharType="begin"/>
      </w:r>
      <w:r>
        <w:rPr>
          <w:rFonts w:hint="eastAsia" w:ascii="宋体" w:hAnsi="宋体" w:eastAsia="宋体" w:cs="宋体"/>
          <w:kern w:val="0"/>
          <w:szCs w:val="21"/>
          <w:highlight w:val="none"/>
        </w:rPr>
        <w:instrText xml:space="preserve"> HYPERLINK \l _Toc25937 </w:instrText>
      </w:r>
      <w:r>
        <w:rPr>
          <w:rFonts w:hint="eastAsia" w:ascii="宋体" w:hAnsi="宋体" w:eastAsia="宋体" w:cs="宋体"/>
          <w:kern w:val="0"/>
          <w:szCs w:val="21"/>
          <w:highlight w:val="none"/>
        </w:rPr>
        <w:fldChar w:fldCharType="separate"/>
      </w:r>
      <w:r>
        <w:rPr>
          <w:rFonts w:hint="eastAsia" w:ascii="宋体" w:hAnsi="宋体" w:eastAsia="宋体" w:cs="宋体"/>
          <w:kern w:val="0"/>
          <w:szCs w:val="24"/>
          <w:highlight w:val="none"/>
          <w:lang w:val="en-US" w:eastAsia="zh-CN" w:bidi="ar-SA"/>
        </w:rPr>
        <w:t>2.具有有效的独立法人营业执照；</w:t>
      </w:r>
      <w:r>
        <w:tab/>
      </w:r>
      <w:r>
        <w:fldChar w:fldCharType="begin"/>
      </w:r>
      <w:r>
        <w:instrText xml:space="preserve"> PAGEREF _Toc25937 \h </w:instrText>
      </w:r>
      <w:r>
        <w:fldChar w:fldCharType="separate"/>
      </w:r>
      <w:r>
        <w:t>21</w:t>
      </w:r>
      <w:r>
        <w:fldChar w:fldCharType="end"/>
      </w:r>
      <w:r>
        <w:rPr>
          <w:rFonts w:hint="eastAsia" w:ascii="宋体" w:hAnsi="宋体" w:eastAsia="宋体" w:cs="宋体"/>
          <w:color w:val="auto"/>
          <w:kern w:val="0"/>
          <w:szCs w:val="21"/>
          <w:highlight w:val="none"/>
        </w:rPr>
        <w:fldChar w:fldCharType="end"/>
      </w:r>
    </w:p>
    <w:p>
      <w:pPr>
        <w:pStyle w:val="16"/>
        <w:tabs>
          <w:tab w:val="right" w:leader="dot" w:pos="8312"/>
        </w:tabs>
      </w:pPr>
      <w:r>
        <w:rPr>
          <w:rFonts w:hint="eastAsia" w:ascii="宋体" w:hAnsi="宋体" w:eastAsia="宋体" w:cs="宋体"/>
          <w:color w:val="auto"/>
          <w:kern w:val="0"/>
          <w:szCs w:val="21"/>
          <w:highlight w:val="none"/>
        </w:rPr>
        <w:fldChar w:fldCharType="begin"/>
      </w:r>
      <w:r>
        <w:rPr>
          <w:rFonts w:hint="eastAsia" w:ascii="宋体" w:hAnsi="宋体" w:eastAsia="宋体" w:cs="宋体"/>
          <w:kern w:val="0"/>
          <w:szCs w:val="21"/>
          <w:highlight w:val="none"/>
        </w:rPr>
        <w:instrText xml:space="preserve"> HYPERLINK \l _Toc24618 </w:instrText>
      </w:r>
      <w:r>
        <w:rPr>
          <w:rFonts w:hint="eastAsia" w:ascii="宋体" w:hAnsi="宋体" w:eastAsia="宋体" w:cs="宋体"/>
          <w:kern w:val="0"/>
          <w:szCs w:val="21"/>
          <w:highlight w:val="none"/>
        </w:rPr>
        <w:fldChar w:fldCharType="separate"/>
      </w:r>
      <w:r>
        <w:rPr>
          <w:rFonts w:hint="eastAsia" w:ascii="宋体" w:hAnsi="宋体" w:eastAsia="宋体" w:cs="宋体"/>
          <w:kern w:val="0"/>
          <w:szCs w:val="24"/>
          <w:highlight w:val="none"/>
          <w:lang w:val="en-US" w:eastAsia="zh-CN" w:bidi="ar-SA"/>
        </w:rPr>
        <w:t>3 .</w:t>
      </w:r>
      <w:r>
        <w:rPr>
          <w:rFonts w:hint="eastAsia" w:ascii="宋体" w:hAnsi="宋体" w:cs="宋体"/>
          <w:kern w:val="0"/>
          <w:szCs w:val="24"/>
          <w:highlight w:val="none"/>
          <w:lang w:val="en-US" w:eastAsia="zh-CN" w:bidi="ar-SA"/>
        </w:rPr>
        <w:t>提供有效的《医疗器械生产许可证》及《医疗器械经营许可证》（二类医疗器械须提供医疗器械备案凭证及医疗器械注册证）</w:t>
      </w:r>
      <w:r>
        <w:rPr>
          <w:rFonts w:hint="eastAsia" w:ascii="宋体" w:hAnsi="宋体" w:eastAsia="宋体" w:cs="宋体"/>
          <w:kern w:val="0"/>
          <w:szCs w:val="24"/>
          <w:highlight w:val="none"/>
          <w:lang w:val="en-US" w:eastAsia="zh-CN" w:bidi="ar-SA"/>
        </w:rPr>
        <w:t>；</w:t>
      </w:r>
      <w:r>
        <w:tab/>
      </w:r>
      <w:r>
        <w:fldChar w:fldCharType="begin"/>
      </w:r>
      <w:r>
        <w:instrText xml:space="preserve"> PAGEREF _Toc24618 \h </w:instrText>
      </w:r>
      <w:r>
        <w:fldChar w:fldCharType="separate"/>
      </w:r>
      <w:r>
        <w:t>21</w:t>
      </w:r>
      <w:r>
        <w:fldChar w:fldCharType="end"/>
      </w:r>
      <w:r>
        <w:rPr>
          <w:rFonts w:hint="eastAsia" w:ascii="宋体" w:hAnsi="宋体" w:eastAsia="宋体" w:cs="宋体"/>
          <w:color w:val="auto"/>
          <w:kern w:val="0"/>
          <w:szCs w:val="21"/>
          <w:highlight w:val="none"/>
        </w:rPr>
        <w:fldChar w:fldCharType="end"/>
      </w:r>
    </w:p>
    <w:p>
      <w:pPr>
        <w:pStyle w:val="16"/>
        <w:tabs>
          <w:tab w:val="right" w:leader="dot" w:pos="8312"/>
        </w:tabs>
      </w:pPr>
      <w:r>
        <w:rPr>
          <w:rFonts w:hint="eastAsia" w:ascii="宋体" w:hAnsi="宋体" w:eastAsia="宋体" w:cs="宋体"/>
          <w:color w:val="auto"/>
          <w:kern w:val="0"/>
          <w:szCs w:val="21"/>
          <w:highlight w:val="none"/>
        </w:rPr>
        <w:fldChar w:fldCharType="begin"/>
      </w:r>
      <w:r>
        <w:rPr>
          <w:rFonts w:hint="eastAsia" w:ascii="宋体" w:hAnsi="宋体" w:eastAsia="宋体" w:cs="宋体"/>
          <w:kern w:val="0"/>
          <w:szCs w:val="21"/>
          <w:highlight w:val="none"/>
        </w:rPr>
        <w:instrText xml:space="preserve"> HYPERLINK \l _Toc11184 </w:instrText>
      </w:r>
      <w:r>
        <w:rPr>
          <w:rFonts w:hint="eastAsia" w:ascii="宋体" w:hAnsi="宋体" w:eastAsia="宋体" w:cs="宋体"/>
          <w:kern w:val="0"/>
          <w:szCs w:val="21"/>
          <w:highlight w:val="none"/>
        </w:rPr>
        <w:fldChar w:fldCharType="separate"/>
      </w:r>
      <w:r>
        <w:rPr>
          <w:rFonts w:hint="eastAsia" w:ascii="宋体" w:hAnsi="宋体" w:eastAsia="宋体" w:cs="宋体"/>
          <w:kern w:val="0"/>
          <w:szCs w:val="24"/>
          <w:highlight w:val="none"/>
          <w:lang w:val="en-US" w:eastAsia="zh-CN" w:bidi="ar-SA"/>
        </w:rPr>
        <w:t>4.法人代表身份证明及授权书、被授权人身份证；(法人投标需提供法人身份证复印件)；</w:t>
      </w:r>
      <w:r>
        <w:tab/>
      </w:r>
      <w:r>
        <w:fldChar w:fldCharType="begin"/>
      </w:r>
      <w:r>
        <w:instrText xml:space="preserve"> PAGEREF _Toc11184 \h </w:instrText>
      </w:r>
      <w:r>
        <w:fldChar w:fldCharType="separate"/>
      </w:r>
      <w:r>
        <w:t>22</w:t>
      </w:r>
      <w:r>
        <w:fldChar w:fldCharType="end"/>
      </w:r>
      <w:r>
        <w:rPr>
          <w:rFonts w:hint="eastAsia" w:ascii="宋体" w:hAnsi="宋体" w:eastAsia="宋体" w:cs="宋体"/>
          <w:color w:val="auto"/>
          <w:kern w:val="0"/>
          <w:szCs w:val="21"/>
          <w:highlight w:val="none"/>
        </w:rPr>
        <w:fldChar w:fldCharType="end"/>
      </w:r>
    </w:p>
    <w:p>
      <w:pPr>
        <w:pStyle w:val="16"/>
        <w:tabs>
          <w:tab w:val="right" w:leader="dot" w:pos="8312"/>
        </w:tabs>
      </w:pPr>
      <w:r>
        <w:rPr>
          <w:rFonts w:hint="eastAsia" w:ascii="宋体" w:hAnsi="宋体" w:eastAsia="宋体" w:cs="宋体"/>
          <w:color w:val="auto"/>
          <w:kern w:val="0"/>
          <w:szCs w:val="21"/>
          <w:highlight w:val="none"/>
        </w:rPr>
        <w:fldChar w:fldCharType="begin"/>
      </w:r>
      <w:r>
        <w:rPr>
          <w:rFonts w:hint="eastAsia" w:ascii="宋体" w:hAnsi="宋体" w:eastAsia="宋体" w:cs="宋体"/>
          <w:kern w:val="0"/>
          <w:szCs w:val="21"/>
          <w:highlight w:val="none"/>
        </w:rPr>
        <w:instrText xml:space="preserve"> HYPERLINK \l _Toc2335 </w:instrText>
      </w:r>
      <w:r>
        <w:rPr>
          <w:rFonts w:hint="eastAsia" w:ascii="宋体" w:hAnsi="宋体" w:eastAsia="宋体" w:cs="宋体"/>
          <w:kern w:val="0"/>
          <w:szCs w:val="21"/>
          <w:highlight w:val="none"/>
        </w:rPr>
        <w:fldChar w:fldCharType="separate"/>
      </w:r>
      <w:r>
        <w:rPr>
          <w:rFonts w:hint="eastAsia" w:ascii="宋体" w:hAnsi="宋体" w:eastAsia="宋体" w:cs="宋体"/>
          <w:kern w:val="0"/>
          <w:szCs w:val="24"/>
          <w:highlight w:val="none"/>
          <w:lang w:val="en-US" w:eastAsia="zh-CN" w:bidi="ar-SA"/>
        </w:rPr>
        <w:t>5.依法缴纳最近6个月中任意1个月的社会保险的凭据；</w:t>
      </w:r>
      <w:r>
        <w:tab/>
      </w:r>
      <w:r>
        <w:fldChar w:fldCharType="begin"/>
      </w:r>
      <w:r>
        <w:instrText xml:space="preserve"> PAGEREF _Toc2335 \h </w:instrText>
      </w:r>
      <w:r>
        <w:fldChar w:fldCharType="separate"/>
      </w:r>
      <w:r>
        <w:t>24</w:t>
      </w:r>
      <w:r>
        <w:fldChar w:fldCharType="end"/>
      </w:r>
      <w:r>
        <w:rPr>
          <w:rFonts w:hint="eastAsia" w:ascii="宋体" w:hAnsi="宋体" w:eastAsia="宋体" w:cs="宋体"/>
          <w:color w:val="auto"/>
          <w:kern w:val="0"/>
          <w:szCs w:val="21"/>
          <w:highlight w:val="none"/>
        </w:rPr>
        <w:fldChar w:fldCharType="end"/>
      </w:r>
    </w:p>
    <w:p>
      <w:pPr>
        <w:pStyle w:val="16"/>
        <w:tabs>
          <w:tab w:val="right" w:leader="dot" w:pos="8312"/>
        </w:tabs>
      </w:pPr>
      <w:r>
        <w:rPr>
          <w:rFonts w:hint="eastAsia" w:ascii="宋体" w:hAnsi="宋体" w:eastAsia="宋体" w:cs="宋体"/>
          <w:color w:val="auto"/>
          <w:kern w:val="0"/>
          <w:szCs w:val="21"/>
          <w:highlight w:val="none"/>
        </w:rPr>
        <w:fldChar w:fldCharType="begin"/>
      </w:r>
      <w:r>
        <w:rPr>
          <w:rFonts w:hint="eastAsia" w:ascii="宋体" w:hAnsi="宋体" w:eastAsia="宋体" w:cs="宋体"/>
          <w:kern w:val="0"/>
          <w:szCs w:val="21"/>
          <w:highlight w:val="none"/>
        </w:rPr>
        <w:instrText xml:space="preserve"> HYPERLINK \l _Toc5181 </w:instrText>
      </w:r>
      <w:r>
        <w:rPr>
          <w:rFonts w:hint="eastAsia" w:ascii="宋体" w:hAnsi="宋体" w:eastAsia="宋体" w:cs="宋体"/>
          <w:kern w:val="0"/>
          <w:szCs w:val="21"/>
          <w:highlight w:val="none"/>
        </w:rPr>
        <w:fldChar w:fldCharType="separate"/>
      </w:r>
      <w:r>
        <w:rPr>
          <w:rFonts w:hint="eastAsia" w:ascii="宋体" w:hAnsi="宋体" w:eastAsia="宋体" w:cs="宋体"/>
          <w:kern w:val="0"/>
          <w:szCs w:val="24"/>
          <w:highlight w:val="none"/>
          <w:lang w:val="en-US" w:eastAsia="zh-CN" w:bidi="ar-SA"/>
        </w:rPr>
        <w:t>6.税务部门出具的最近6个月中任意1个月的完税证明；</w:t>
      </w:r>
      <w:r>
        <w:tab/>
      </w:r>
      <w:r>
        <w:fldChar w:fldCharType="begin"/>
      </w:r>
      <w:r>
        <w:instrText xml:space="preserve"> PAGEREF _Toc5181 \h </w:instrText>
      </w:r>
      <w:r>
        <w:fldChar w:fldCharType="separate"/>
      </w:r>
      <w:r>
        <w:t>24</w:t>
      </w:r>
      <w:r>
        <w:fldChar w:fldCharType="end"/>
      </w:r>
      <w:r>
        <w:rPr>
          <w:rFonts w:hint="eastAsia" w:ascii="宋体" w:hAnsi="宋体" w:eastAsia="宋体" w:cs="宋体"/>
          <w:color w:val="auto"/>
          <w:kern w:val="0"/>
          <w:szCs w:val="21"/>
          <w:highlight w:val="none"/>
        </w:rPr>
        <w:fldChar w:fldCharType="end"/>
      </w:r>
    </w:p>
    <w:p>
      <w:pPr>
        <w:pStyle w:val="16"/>
        <w:tabs>
          <w:tab w:val="right" w:leader="dot" w:pos="8312"/>
        </w:tabs>
      </w:pPr>
      <w:r>
        <w:rPr>
          <w:rFonts w:hint="eastAsia" w:ascii="宋体" w:hAnsi="宋体" w:eastAsia="宋体" w:cs="宋体"/>
          <w:color w:val="auto"/>
          <w:kern w:val="0"/>
          <w:szCs w:val="21"/>
          <w:highlight w:val="none"/>
        </w:rPr>
        <w:fldChar w:fldCharType="begin"/>
      </w:r>
      <w:r>
        <w:rPr>
          <w:rFonts w:hint="eastAsia" w:ascii="宋体" w:hAnsi="宋体" w:eastAsia="宋体" w:cs="宋体"/>
          <w:kern w:val="0"/>
          <w:szCs w:val="21"/>
          <w:highlight w:val="none"/>
        </w:rPr>
        <w:instrText xml:space="preserve"> HYPERLINK \l _Toc7766 </w:instrText>
      </w:r>
      <w:r>
        <w:rPr>
          <w:rFonts w:hint="eastAsia" w:ascii="宋体" w:hAnsi="宋体" w:eastAsia="宋体" w:cs="宋体"/>
          <w:kern w:val="0"/>
          <w:szCs w:val="21"/>
          <w:highlight w:val="none"/>
        </w:rPr>
        <w:fldChar w:fldCharType="separate"/>
      </w:r>
      <w:r>
        <w:rPr>
          <w:rFonts w:hint="eastAsia" w:ascii="宋体" w:hAnsi="宋体" w:eastAsia="宋体" w:cs="宋体"/>
          <w:kern w:val="0"/>
          <w:szCs w:val="24"/>
          <w:highlight w:val="none"/>
          <w:lang w:val="en-US" w:eastAsia="zh-CN" w:bidi="ar-SA"/>
        </w:rPr>
        <w:t>7.近两年任意一年的财务审计报告；</w:t>
      </w:r>
      <w:r>
        <w:tab/>
      </w:r>
      <w:r>
        <w:fldChar w:fldCharType="begin"/>
      </w:r>
      <w:r>
        <w:instrText xml:space="preserve"> PAGEREF _Toc7766 \h </w:instrText>
      </w:r>
      <w:r>
        <w:fldChar w:fldCharType="separate"/>
      </w:r>
      <w:r>
        <w:t>24</w:t>
      </w:r>
      <w:r>
        <w:fldChar w:fldCharType="end"/>
      </w:r>
      <w:r>
        <w:rPr>
          <w:rFonts w:hint="eastAsia" w:ascii="宋体" w:hAnsi="宋体" w:eastAsia="宋体" w:cs="宋体"/>
          <w:color w:val="auto"/>
          <w:kern w:val="0"/>
          <w:szCs w:val="21"/>
          <w:highlight w:val="none"/>
        </w:rPr>
        <w:fldChar w:fldCharType="end"/>
      </w:r>
    </w:p>
    <w:p>
      <w:pPr>
        <w:pStyle w:val="16"/>
        <w:tabs>
          <w:tab w:val="right" w:leader="dot" w:pos="8312"/>
        </w:tabs>
      </w:pPr>
      <w:r>
        <w:rPr>
          <w:rFonts w:hint="eastAsia" w:ascii="宋体" w:hAnsi="宋体" w:eastAsia="宋体" w:cs="宋体"/>
          <w:color w:val="auto"/>
          <w:kern w:val="0"/>
          <w:szCs w:val="21"/>
          <w:highlight w:val="none"/>
        </w:rPr>
        <w:fldChar w:fldCharType="begin"/>
      </w:r>
      <w:r>
        <w:rPr>
          <w:rFonts w:hint="eastAsia" w:ascii="宋体" w:hAnsi="宋体" w:eastAsia="宋体" w:cs="宋体"/>
          <w:kern w:val="0"/>
          <w:szCs w:val="21"/>
          <w:highlight w:val="none"/>
        </w:rPr>
        <w:instrText xml:space="preserve"> HYPERLINK \l _Toc31905 </w:instrText>
      </w:r>
      <w:r>
        <w:rPr>
          <w:rFonts w:hint="eastAsia" w:ascii="宋体" w:hAnsi="宋体" w:eastAsia="宋体" w:cs="宋体"/>
          <w:kern w:val="0"/>
          <w:szCs w:val="21"/>
          <w:highlight w:val="none"/>
        </w:rPr>
        <w:fldChar w:fldCharType="separate"/>
      </w:r>
      <w:r>
        <w:rPr>
          <w:rFonts w:hint="eastAsia" w:ascii="宋体" w:hAnsi="宋体" w:eastAsia="宋体" w:cs="宋体"/>
          <w:kern w:val="0"/>
          <w:szCs w:val="24"/>
          <w:highlight w:val="none"/>
          <w:lang w:val="en-US" w:eastAsia="zh-CN" w:bidi="ar-SA"/>
        </w:rPr>
        <w:t>8.根据《财政部关于在政府采购活动中查询及使用信用记录有关问题的通知》（财库﹝2016﹞125号）的要求，凡拟参加本次招标项目的供应商，如在“信用中国”网站（ www.creditchina.gov.cn） 被列入失信被执行人、重大税收违法案件当事人名单(信用服务-失信惩戒对象查询-搜索栏输入单位全称-截图)、中国政府采购网（http://www.ccgp.gov.cn/search/cr/）严重违法失信行为记录名单的（尚在处罚期内的），“国家企业信用信息公示系统（http://www.gsxt.gov.cn）”列入严重违法失信企业名单（黑名单）信息及企业信用信息公示报告；将拒绝其参加本次招标活动；</w:t>
      </w:r>
      <w:r>
        <w:tab/>
      </w:r>
      <w:r>
        <w:fldChar w:fldCharType="begin"/>
      </w:r>
      <w:r>
        <w:instrText xml:space="preserve"> PAGEREF _Toc31905 \h </w:instrText>
      </w:r>
      <w:r>
        <w:fldChar w:fldCharType="separate"/>
      </w:r>
      <w:r>
        <w:t>24</w:t>
      </w:r>
      <w:r>
        <w:fldChar w:fldCharType="end"/>
      </w:r>
      <w:r>
        <w:rPr>
          <w:rFonts w:hint="eastAsia" w:ascii="宋体" w:hAnsi="宋体" w:eastAsia="宋体" w:cs="宋体"/>
          <w:color w:val="auto"/>
          <w:kern w:val="0"/>
          <w:szCs w:val="21"/>
          <w:highlight w:val="none"/>
        </w:rPr>
        <w:fldChar w:fldCharType="end"/>
      </w:r>
    </w:p>
    <w:p>
      <w:pPr>
        <w:pStyle w:val="16"/>
        <w:tabs>
          <w:tab w:val="right" w:leader="dot" w:pos="8312"/>
        </w:tabs>
      </w:pPr>
      <w:r>
        <w:rPr>
          <w:rFonts w:hint="eastAsia" w:ascii="宋体" w:hAnsi="宋体" w:eastAsia="宋体" w:cs="宋体"/>
          <w:color w:val="auto"/>
          <w:kern w:val="0"/>
          <w:szCs w:val="21"/>
          <w:highlight w:val="none"/>
        </w:rPr>
        <w:fldChar w:fldCharType="begin"/>
      </w:r>
      <w:r>
        <w:rPr>
          <w:rFonts w:hint="eastAsia" w:ascii="宋体" w:hAnsi="宋体" w:eastAsia="宋体" w:cs="宋体"/>
          <w:kern w:val="0"/>
          <w:szCs w:val="21"/>
          <w:highlight w:val="none"/>
        </w:rPr>
        <w:instrText xml:space="preserve"> HYPERLINK \l _Toc12074 </w:instrText>
      </w:r>
      <w:r>
        <w:rPr>
          <w:rFonts w:hint="eastAsia" w:ascii="宋体" w:hAnsi="宋体" w:eastAsia="宋体" w:cs="宋体"/>
          <w:kern w:val="0"/>
          <w:szCs w:val="21"/>
          <w:highlight w:val="none"/>
        </w:rPr>
        <w:fldChar w:fldCharType="separate"/>
      </w:r>
      <w:r>
        <w:rPr>
          <w:rFonts w:hint="eastAsia" w:ascii="宋体" w:hAnsi="宋体" w:eastAsia="宋体" w:cs="宋体"/>
          <w:kern w:val="0"/>
          <w:szCs w:val="24"/>
          <w:highlight w:val="none"/>
          <w:lang w:val="en-US" w:eastAsia="zh-CN" w:bidi="ar-SA"/>
        </w:rPr>
        <w:t>9.参与政府采购活动前3年内未被列入失信、重大税收违法案件、财政部门禁止参加政府采购活动的承诺书；</w:t>
      </w:r>
      <w:r>
        <w:tab/>
      </w:r>
      <w:r>
        <w:fldChar w:fldCharType="begin"/>
      </w:r>
      <w:r>
        <w:instrText xml:space="preserve"> PAGEREF _Toc12074 \h </w:instrText>
      </w:r>
      <w:r>
        <w:fldChar w:fldCharType="separate"/>
      </w:r>
      <w:r>
        <w:t>24</w:t>
      </w:r>
      <w:r>
        <w:fldChar w:fldCharType="end"/>
      </w:r>
      <w:r>
        <w:rPr>
          <w:rFonts w:hint="eastAsia" w:ascii="宋体" w:hAnsi="宋体" w:eastAsia="宋体" w:cs="宋体"/>
          <w:color w:val="auto"/>
          <w:kern w:val="0"/>
          <w:szCs w:val="21"/>
          <w:highlight w:val="none"/>
        </w:rPr>
        <w:fldChar w:fldCharType="end"/>
      </w:r>
    </w:p>
    <w:p>
      <w:pPr>
        <w:pStyle w:val="16"/>
        <w:tabs>
          <w:tab w:val="right" w:leader="dot" w:pos="8312"/>
        </w:tabs>
      </w:pPr>
      <w:r>
        <w:rPr>
          <w:rFonts w:hint="eastAsia" w:ascii="宋体" w:hAnsi="宋体" w:eastAsia="宋体" w:cs="宋体"/>
          <w:color w:val="auto"/>
          <w:kern w:val="0"/>
          <w:szCs w:val="21"/>
          <w:highlight w:val="none"/>
        </w:rPr>
        <w:fldChar w:fldCharType="begin"/>
      </w:r>
      <w:r>
        <w:rPr>
          <w:rFonts w:hint="eastAsia" w:ascii="宋体" w:hAnsi="宋体" w:eastAsia="宋体" w:cs="宋体"/>
          <w:kern w:val="0"/>
          <w:szCs w:val="21"/>
          <w:highlight w:val="none"/>
        </w:rPr>
        <w:instrText xml:space="preserve"> HYPERLINK \l _Toc9663 </w:instrText>
      </w:r>
      <w:r>
        <w:rPr>
          <w:rFonts w:hint="eastAsia" w:ascii="宋体" w:hAnsi="宋体" w:eastAsia="宋体" w:cs="宋体"/>
          <w:kern w:val="0"/>
          <w:szCs w:val="21"/>
          <w:highlight w:val="none"/>
        </w:rPr>
        <w:fldChar w:fldCharType="separate"/>
      </w:r>
      <w:r>
        <w:rPr>
          <w:rFonts w:hint="eastAsia" w:ascii="宋体" w:hAnsi="宋体" w:eastAsia="宋体" w:cs="宋体"/>
          <w:kern w:val="0"/>
          <w:szCs w:val="24"/>
          <w:highlight w:val="none"/>
          <w:lang w:val="en-US" w:eastAsia="zh-CN" w:bidi="ar-SA"/>
        </w:rPr>
        <w:t>10.提供针对本次项目《反商业贿赂承诺书》；</w:t>
      </w:r>
      <w:r>
        <w:tab/>
      </w:r>
      <w:r>
        <w:fldChar w:fldCharType="begin"/>
      </w:r>
      <w:r>
        <w:instrText xml:space="preserve"> PAGEREF _Toc9663 \h </w:instrText>
      </w:r>
      <w:r>
        <w:fldChar w:fldCharType="separate"/>
      </w:r>
      <w:r>
        <w:t>24</w:t>
      </w:r>
      <w:r>
        <w:fldChar w:fldCharType="end"/>
      </w:r>
      <w:r>
        <w:rPr>
          <w:rFonts w:hint="eastAsia" w:ascii="宋体" w:hAnsi="宋体" w:eastAsia="宋体" w:cs="宋体"/>
          <w:color w:val="auto"/>
          <w:kern w:val="0"/>
          <w:szCs w:val="21"/>
          <w:highlight w:val="none"/>
        </w:rPr>
        <w:fldChar w:fldCharType="end"/>
      </w:r>
    </w:p>
    <w:p>
      <w:pPr>
        <w:pStyle w:val="16"/>
        <w:tabs>
          <w:tab w:val="right" w:leader="dot" w:pos="8312"/>
        </w:tabs>
      </w:pPr>
      <w:r>
        <w:rPr>
          <w:rFonts w:hint="eastAsia" w:ascii="宋体" w:hAnsi="宋体" w:eastAsia="宋体" w:cs="宋体"/>
          <w:color w:val="auto"/>
          <w:kern w:val="0"/>
          <w:szCs w:val="21"/>
          <w:highlight w:val="none"/>
        </w:rPr>
        <w:fldChar w:fldCharType="begin"/>
      </w:r>
      <w:r>
        <w:rPr>
          <w:rFonts w:hint="eastAsia" w:ascii="宋体" w:hAnsi="宋体" w:eastAsia="宋体" w:cs="宋体"/>
          <w:kern w:val="0"/>
          <w:szCs w:val="21"/>
          <w:highlight w:val="none"/>
        </w:rPr>
        <w:instrText xml:space="preserve"> HYPERLINK \l _Toc29731 </w:instrText>
      </w:r>
      <w:r>
        <w:rPr>
          <w:rFonts w:hint="eastAsia" w:ascii="宋体" w:hAnsi="宋体" w:eastAsia="宋体" w:cs="宋体"/>
          <w:kern w:val="0"/>
          <w:szCs w:val="21"/>
          <w:highlight w:val="none"/>
        </w:rPr>
        <w:fldChar w:fldCharType="separate"/>
      </w:r>
      <w:r>
        <w:rPr>
          <w:rFonts w:hint="eastAsia" w:ascii="宋体" w:hAnsi="宋体" w:eastAsia="宋体" w:cs="宋体"/>
          <w:kern w:val="0"/>
          <w:szCs w:val="24"/>
          <w:highlight w:val="none"/>
          <w:lang w:val="en-US" w:eastAsia="zh-CN" w:bidi="ar-SA"/>
        </w:rPr>
        <w:t>11.</w:t>
      </w:r>
      <w:r>
        <w:rPr>
          <w:rFonts w:hint="eastAsia" w:ascii="宋体" w:hAnsi="宋体" w:cs="宋体"/>
          <w:kern w:val="0"/>
          <w:szCs w:val="24"/>
          <w:highlight w:val="none"/>
          <w:lang w:val="en-US" w:eastAsia="zh-CN" w:bidi="ar-SA"/>
        </w:rPr>
        <w:t>提供缴纳投标保证金的银行转账回执单</w:t>
      </w:r>
      <w:r>
        <w:rPr>
          <w:rFonts w:hint="eastAsia" w:ascii="宋体" w:hAnsi="宋体" w:eastAsia="宋体" w:cs="宋体"/>
          <w:kern w:val="0"/>
          <w:szCs w:val="24"/>
          <w:highlight w:val="none"/>
          <w:lang w:val="en-US" w:eastAsia="zh-CN" w:bidi="ar-SA"/>
        </w:rPr>
        <w:t>；</w:t>
      </w:r>
      <w:r>
        <w:tab/>
      </w:r>
      <w:r>
        <w:fldChar w:fldCharType="begin"/>
      </w:r>
      <w:r>
        <w:instrText xml:space="preserve"> PAGEREF _Toc29731 \h </w:instrText>
      </w:r>
      <w:r>
        <w:fldChar w:fldCharType="separate"/>
      </w:r>
      <w:r>
        <w:t>25</w:t>
      </w:r>
      <w:r>
        <w:fldChar w:fldCharType="end"/>
      </w:r>
      <w:r>
        <w:rPr>
          <w:rFonts w:hint="eastAsia" w:ascii="宋体" w:hAnsi="宋体" w:eastAsia="宋体" w:cs="宋体"/>
          <w:color w:val="auto"/>
          <w:kern w:val="0"/>
          <w:szCs w:val="21"/>
          <w:highlight w:val="none"/>
        </w:rPr>
        <w:fldChar w:fldCharType="end"/>
      </w:r>
    </w:p>
    <w:p>
      <w:pPr>
        <w:pStyle w:val="16"/>
        <w:tabs>
          <w:tab w:val="right" w:leader="dot" w:pos="8312"/>
        </w:tabs>
      </w:pPr>
      <w:r>
        <w:rPr>
          <w:rFonts w:hint="eastAsia" w:ascii="宋体" w:hAnsi="宋体" w:eastAsia="宋体" w:cs="宋体"/>
          <w:color w:val="auto"/>
          <w:kern w:val="0"/>
          <w:szCs w:val="21"/>
          <w:highlight w:val="none"/>
        </w:rPr>
        <w:fldChar w:fldCharType="begin"/>
      </w:r>
      <w:r>
        <w:rPr>
          <w:rFonts w:hint="eastAsia" w:ascii="宋体" w:hAnsi="宋体" w:eastAsia="宋体" w:cs="宋体"/>
          <w:kern w:val="0"/>
          <w:szCs w:val="21"/>
          <w:highlight w:val="none"/>
        </w:rPr>
        <w:instrText xml:space="preserve"> HYPERLINK \l _Toc7296 </w:instrText>
      </w:r>
      <w:r>
        <w:rPr>
          <w:rFonts w:hint="eastAsia" w:ascii="宋体" w:hAnsi="宋体" w:eastAsia="宋体" w:cs="宋体"/>
          <w:kern w:val="0"/>
          <w:szCs w:val="21"/>
          <w:highlight w:val="none"/>
        </w:rPr>
        <w:fldChar w:fldCharType="separate"/>
      </w:r>
      <w:r>
        <w:rPr>
          <w:rFonts w:hint="eastAsia" w:ascii="宋体" w:hAnsi="宋体" w:eastAsia="宋体" w:cs="宋体"/>
          <w:kern w:val="0"/>
          <w:szCs w:val="24"/>
          <w:highlight w:val="none"/>
          <w:lang w:val="en-US" w:eastAsia="zh-CN" w:bidi="ar-SA"/>
        </w:rPr>
        <w:t>12.银行开户许可证复印件或银行基本账户信息(包含：银行账号及开户行名称）；</w:t>
      </w:r>
      <w:r>
        <w:tab/>
      </w:r>
      <w:r>
        <w:fldChar w:fldCharType="begin"/>
      </w:r>
      <w:r>
        <w:instrText xml:space="preserve"> PAGEREF _Toc7296 \h </w:instrText>
      </w:r>
      <w:r>
        <w:fldChar w:fldCharType="separate"/>
      </w:r>
      <w:r>
        <w:t>25</w:t>
      </w:r>
      <w:r>
        <w:fldChar w:fldCharType="end"/>
      </w:r>
      <w:r>
        <w:rPr>
          <w:rFonts w:hint="eastAsia" w:ascii="宋体" w:hAnsi="宋体" w:eastAsia="宋体" w:cs="宋体"/>
          <w:color w:val="auto"/>
          <w:kern w:val="0"/>
          <w:szCs w:val="21"/>
          <w:highlight w:val="none"/>
        </w:rPr>
        <w:fldChar w:fldCharType="end"/>
      </w:r>
    </w:p>
    <w:p>
      <w:pPr>
        <w:pStyle w:val="16"/>
        <w:tabs>
          <w:tab w:val="right" w:leader="dot" w:pos="8312"/>
        </w:tabs>
      </w:pPr>
      <w:r>
        <w:rPr>
          <w:rFonts w:hint="eastAsia" w:ascii="宋体" w:hAnsi="宋体" w:eastAsia="宋体" w:cs="宋体"/>
          <w:color w:val="auto"/>
          <w:kern w:val="0"/>
          <w:szCs w:val="21"/>
          <w:highlight w:val="none"/>
        </w:rPr>
        <w:fldChar w:fldCharType="begin"/>
      </w:r>
      <w:r>
        <w:rPr>
          <w:rFonts w:hint="eastAsia" w:ascii="宋体" w:hAnsi="宋体" w:eastAsia="宋体" w:cs="宋体"/>
          <w:kern w:val="0"/>
          <w:szCs w:val="21"/>
          <w:highlight w:val="none"/>
        </w:rPr>
        <w:instrText xml:space="preserve"> HYPERLINK \l _Toc11003 </w:instrText>
      </w:r>
      <w:r>
        <w:rPr>
          <w:rFonts w:hint="eastAsia" w:ascii="宋体" w:hAnsi="宋体" w:eastAsia="宋体" w:cs="宋体"/>
          <w:kern w:val="0"/>
          <w:szCs w:val="21"/>
          <w:highlight w:val="none"/>
        </w:rPr>
        <w:fldChar w:fldCharType="separate"/>
      </w:r>
      <w:r>
        <w:rPr>
          <w:rFonts w:hint="eastAsia" w:ascii="宋体" w:hAnsi="宋体" w:eastAsia="宋体" w:cs="宋体"/>
          <w:kern w:val="0"/>
          <w:szCs w:val="24"/>
          <w:highlight w:val="none"/>
          <w:lang w:val="en-US" w:eastAsia="zh-CN" w:bidi="ar-SA"/>
        </w:rPr>
        <w:t>13. 供应商可提供有利于投标的其他资格证明材料。</w:t>
      </w:r>
      <w:r>
        <w:tab/>
      </w:r>
      <w:r>
        <w:fldChar w:fldCharType="begin"/>
      </w:r>
      <w:r>
        <w:instrText xml:space="preserve"> PAGEREF _Toc11003 \h </w:instrText>
      </w:r>
      <w:r>
        <w:fldChar w:fldCharType="separate"/>
      </w:r>
      <w:r>
        <w:t>25</w:t>
      </w:r>
      <w:r>
        <w:fldChar w:fldCharType="end"/>
      </w:r>
      <w:r>
        <w:rPr>
          <w:rFonts w:hint="eastAsia" w:ascii="宋体" w:hAnsi="宋体" w:eastAsia="宋体" w:cs="宋体"/>
          <w:color w:val="auto"/>
          <w:kern w:val="0"/>
          <w:szCs w:val="21"/>
          <w:highlight w:val="none"/>
        </w:rPr>
        <w:fldChar w:fldCharType="end"/>
      </w:r>
    </w:p>
    <w:p>
      <w:pPr>
        <w:pStyle w:val="16"/>
        <w:tabs>
          <w:tab w:val="right" w:leader="dot" w:pos="8312"/>
        </w:tabs>
      </w:pPr>
      <w:r>
        <w:rPr>
          <w:rFonts w:hint="eastAsia" w:ascii="宋体" w:hAnsi="宋体" w:eastAsia="宋体" w:cs="宋体"/>
          <w:color w:val="auto"/>
          <w:kern w:val="0"/>
          <w:szCs w:val="21"/>
          <w:highlight w:val="none"/>
        </w:rPr>
        <w:fldChar w:fldCharType="begin"/>
      </w:r>
      <w:r>
        <w:rPr>
          <w:rFonts w:hint="eastAsia" w:ascii="宋体" w:hAnsi="宋体" w:eastAsia="宋体" w:cs="宋体"/>
          <w:kern w:val="0"/>
          <w:szCs w:val="21"/>
          <w:highlight w:val="none"/>
        </w:rPr>
        <w:instrText xml:space="preserve"> HYPERLINK \l _Toc25162 </w:instrText>
      </w:r>
      <w:r>
        <w:rPr>
          <w:rFonts w:hint="eastAsia" w:ascii="宋体" w:hAnsi="宋体" w:eastAsia="宋体" w:cs="宋体"/>
          <w:kern w:val="0"/>
          <w:szCs w:val="21"/>
          <w:highlight w:val="none"/>
        </w:rPr>
        <w:fldChar w:fldCharType="separate"/>
      </w:r>
      <w:r>
        <w:rPr>
          <w:rFonts w:hint="eastAsia" w:ascii="宋体" w:hAnsi="宋体" w:eastAsia="宋体" w:cs="宋体"/>
          <w:kern w:val="2"/>
          <w:szCs w:val="32"/>
        </w:rPr>
        <w:t xml:space="preserve">第二部分 </w:t>
      </w:r>
      <w:r>
        <w:rPr>
          <w:rFonts w:hint="eastAsia" w:ascii="宋体" w:hAnsi="宋体" w:eastAsia="宋体" w:cs="宋体"/>
          <w:kern w:val="2"/>
          <w:szCs w:val="32"/>
          <w:highlight w:val="none"/>
        </w:rPr>
        <w:t>商务及技术文件</w:t>
      </w:r>
      <w:r>
        <w:tab/>
      </w:r>
      <w:r>
        <w:fldChar w:fldCharType="begin"/>
      </w:r>
      <w:r>
        <w:instrText xml:space="preserve"> PAGEREF _Toc25162 \h </w:instrText>
      </w:r>
      <w:r>
        <w:fldChar w:fldCharType="separate"/>
      </w:r>
      <w:r>
        <w:t>26</w:t>
      </w:r>
      <w:r>
        <w:fldChar w:fldCharType="end"/>
      </w:r>
      <w:r>
        <w:rPr>
          <w:rFonts w:hint="eastAsia" w:ascii="宋体" w:hAnsi="宋体" w:eastAsia="宋体" w:cs="宋体"/>
          <w:color w:val="auto"/>
          <w:kern w:val="0"/>
          <w:szCs w:val="21"/>
          <w:highlight w:val="none"/>
        </w:rPr>
        <w:fldChar w:fldCharType="end"/>
      </w:r>
    </w:p>
    <w:p>
      <w:pPr>
        <w:pStyle w:val="16"/>
        <w:tabs>
          <w:tab w:val="right" w:leader="dot" w:pos="8312"/>
        </w:tabs>
      </w:pPr>
      <w:r>
        <w:rPr>
          <w:rFonts w:hint="eastAsia" w:ascii="宋体" w:hAnsi="宋体" w:eastAsia="宋体" w:cs="宋体"/>
          <w:color w:val="auto"/>
          <w:kern w:val="0"/>
          <w:szCs w:val="21"/>
          <w:highlight w:val="none"/>
        </w:rPr>
        <w:fldChar w:fldCharType="begin"/>
      </w:r>
      <w:r>
        <w:rPr>
          <w:rFonts w:hint="eastAsia" w:ascii="宋体" w:hAnsi="宋体" w:eastAsia="宋体" w:cs="宋体"/>
          <w:kern w:val="0"/>
          <w:szCs w:val="21"/>
          <w:highlight w:val="none"/>
        </w:rPr>
        <w:instrText xml:space="preserve"> HYPERLINK \l _Toc26570 </w:instrText>
      </w:r>
      <w:r>
        <w:rPr>
          <w:rFonts w:hint="eastAsia" w:ascii="宋体" w:hAnsi="宋体" w:eastAsia="宋体" w:cs="宋体"/>
          <w:kern w:val="0"/>
          <w:szCs w:val="21"/>
          <w:highlight w:val="none"/>
        </w:rPr>
        <w:fldChar w:fldCharType="separate"/>
      </w:r>
      <w:r>
        <w:rPr>
          <w:rFonts w:hint="eastAsia" w:ascii="宋体" w:hAnsi="宋体" w:eastAsia="宋体" w:cs="宋体"/>
          <w:bCs/>
          <w:szCs w:val="21"/>
          <w:highlight w:val="none"/>
        </w:rPr>
        <w:t>1</w:t>
      </w:r>
      <w:r>
        <w:rPr>
          <w:rFonts w:hint="eastAsia" w:ascii="宋体" w:hAnsi="宋体" w:eastAsia="宋体" w:cs="宋体"/>
          <w:bCs/>
          <w:szCs w:val="21"/>
          <w:highlight w:val="none"/>
          <w:lang w:eastAsia="zh-CN"/>
        </w:rPr>
        <w:t>.</w:t>
      </w:r>
      <w:r>
        <w:rPr>
          <w:rFonts w:hint="eastAsia" w:ascii="宋体" w:hAnsi="宋体" w:eastAsia="宋体" w:cs="宋体"/>
          <w:bCs/>
          <w:szCs w:val="21"/>
          <w:highlight w:val="none"/>
        </w:rPr>
        <w:t>投标书</w:t>
      </w:r>
      <w:r>
        <w:tab/>
      </w:r>
      <w:r>
        <w:fldChar w:fldCharType="begin"/>
      </w:r>
      <w:r>
        <w:instrText xml:space="preserve"> PAGEREF _Toc26570 \h </w:instrText>
      </w:r>
      <w:r>
        <w:fldChar w:fldCharType="separate"/>
      </w:r>
      <w:r>
        <w:t>27</w:t>
      </w:r>
      <w:r>
        <w:fldChar w:fldCharType="end"/>
      </w:r>
      <w:r>
        <w:rPr>
          <w:rFonts w:hint="eastAsia" w:ascii="宋体" w:hAnsi="宋体" w:eastAsia="宋体" w:cs="宋体"/>
          <w:color w:val="auto"/>
          <w:kern w:val="0"/>
          <w:szCs w:val="21"/>
          <w:highlight w:val="none"/>
        </w:rPr>
        <w:fldChar w:fldCharType="end"/>
      </w:r>
    </w:p>
    <w:p>
      <w:pPr>
        <w:pStyle w:val="16"/>
        <w:tabs>
          <w:tab w:val="right" w:leader="dot" w:pos="8312"/>
        </w:tabs>
      </w:pPr>
      <w:r>
        <w:rPr>
          <w:rFonts w:hint="eastAsia" w:ascii="宋体" w:hAnsi="宋体" w:eastAsia="宋体" w:cs="宋体"/>
          <w:color w:val="auto"/>
          <w:kern w:val="0"/>
          <w:szCs w:val="21"/>
          <w:highlight w:val="none"/>
        </w:rPr>
        <w:fldChar w:fldCharType="begin"/>
      </w:r>
      <w:r>
        <w:rPr>
          <w:rFonts w:hint="eastAsia" w:ascii="宋体" w:hAnsi="宋体" w:eastAsia="宋体" w:cs="宋体"/>
          <w:kern w:val="0"/>
          <w:szCs w:val="21"/>
          <w:highlight w:val="none"/>
        </w:rPr>
        <w:instrText xml:space="preserve"> HYPERLINK \l _Toc6643 </w:instrText>
      </w:r>
      <w:r>
        <w:rPr>
          <w:rFonts w:hint="eastAsia" w:ascii="宋体" w:hAnsi="宋体" w:eastAsia="宋体" w:cs="宋体"/>
          <w:kern w:val="0"/>
          <w:szCs w:val="21"/>
          <w:highlight w:val="none"/>
        </w:rPr>
        <w:fldChar w:fldCharType="separate"/>
      </w:r>
      <w:r>
        <w:rPr>
          <w:rFonts w:hint="eastAsia" w:ascii="宋体" w:hAnsi="宋体" w:eastAsia="宋体" w:cs="宋体"/>
          <w:bCs/>
          <w:szCs w:val="21"/>
          <w:highlight w:val="none"/>
        </w:rPr>
        <w:t>2</w:t>
      </w:r>
      <w:r>
        <w:rPr>
          <w:rFonts w:hint="eastAsia" w:ascii="宋体" w:hAnsi="宋体" w:eastAsia="宋体" w:cs="宋体"/>
          <w:bCs/>
          <w:szCs w:val="21"/>
          <w:highlight w:val="none"/>
          <w:lang w:val="en-US" w:eastAsia="zh-CN"/>
        </w:rPr>
        <w:t>.</w:t>
      </w:r>
      <w:r>
        <w:rPr>
          <w:rFonts w:hint="eastAsia" w:ascii="宋体" w:hAnsi="宋体" w:eastAsia="宋体" w:cs="宋体"/>
          <w:bCs/>
          <w:szCs w:val="21"/>
          <w:highlight w:val="none"/>
        </w:rPr>
        <w:t>投标分项报价表</w:t>
      </w:r>
      <w:r>
        <w:tab/>
      </w:r>
      <w:r>
        <w:fldChar w:fldCharType="begin"/>
      </w:r>
      <w:r>
        <w:instrText xml:space="preserve"> PAGEREF _Toc6643 \h </w:instrText>
      </w:r>
      <w:r>
        <w:fldChar w:fldCharType="separate"/>
      </w:r>
      <w:r>
        <w:t>28</w:t>
      </w:r>
      <w:r>
        <w:fldChar w:fldCharType="end"/>
      </w:r>
      <w:r>
        <w:rPr>
          <w:rFonts w:hint="eastAsia" w:ascii="宋体" w:hAnsi="宋体" w:eastAsia="宋体" w:cs="宋体"/>
          <w:color w:val="auto"/>
          <w:kern w:val="0"/>
          <w:szCs w:val="21"/>
          <w:highlight w:val="none"/>
        </w:rPr>
        <w:fldChar w:fldCharType="end"/>
      </w:r>
    </w:p>
    <w:p>
      <w:pPr>
        <w:pStyle w:val="16"/>
        <w:tabs>
          <w:tab w:val="right" w:leader="dot" w:pos="8312"/>
        </w:tabs>
      </w:pPr>
      <w:r>
        <w:rPr>
          <w:rFonts w:hint="eastAsia" w:ascii="宋体" w:hAnsi="宋体" w:eastAsia="宋体" w:cs="宋体"/>
          <w:color w:val="auto"/>
          <w:kern w:val="0"/>
          <w:szCs w:val="21"/>
          <w:highlight w:val="none"/>
        </w:rPr>
        <w:fldChar w:fldCharType="begin"/>
      </w:r>
      <w:r>
        <w:rPr>
          <w:rFonts w:hint="eastAsia" w:ascii="宋体" w:hAnsi="宋体" w:eastAsia="宋体" w:cs="宋体"/>
          <w:kern w:val="0"/>
          <w:szCs w:val="21"/>
          <w:highlight w:val="none"/>
        </w:rPr>
        <w:instrText xml:space="preserve"> HYPERLINK \l _Toc11434 </w:instrText>
      </w:r>
      <w:r>
        <w:rPr>
          <w:rFonts w:hint="eastAsia" w:ascii="宋体" w:hAnsi="宋体" w:eastAsia="宋体" w:cs="宋体"/>
          <w:kern w:val="0"/>
          <w:szCs w:val="21"/>
          <w:highlight w:val="none"/>
        </w:rPr>
        <w:fldChar w:fldCharType="separate"/>
      </w:r>
      <w:r>
        <w:rPr>
          <w:rFonts w:hint="eastAsia" w:ascii="宋体" w:hAnsi="宋体" w:eastAsia="宋体" w:cs="宋体"/>
          <w:bCs/>
          <w:highlight w:val="none"/>
        </w:rPr>
        <w:t>备品备件设备分项报价表（二）</w:t>
      </w:r>
      <w:r>
        <w:tab/>
      </w:r>
      <w:r>
        <w:fldChar w:fldCharType="begin"/>
      </w:r>
      <w:r>
        <w:instrText xml:space="preserve"> PAGEREF _Toc11434 \h </w:instrText>
      </w:r>
      <w:r>
        <w:fldChar w:fldCharType="separate"/>
      </w:r>
      <w:r>
        <w:t>29</w:t>
      </w:r>
      <w:r>
        <w:fldChar w:fldCharType="end"/>
      </w:r>
      <w:r>
        <w:rPr>
          <w:rFonts w:hint="eastAsia" w:ascii="宋体" w:hAnsi="宋体" w:eastAsia="宋体" w:cs="宋体"/>
          <w:color w:val="auto"/>
          <w:kern w:val="0"/>
          <w:szCs w:val="21"/>
          <w:highlight w:val="none"/>
        </w:rPr>
        <w:fldChar w:fldCharType="end"/>
      </w:r>
    </w:p>
    <w:p>
      <w:pPr>
        <w:pStyle w:val="16"/>
        <w:tabs>
          <w:tab w:val="right" w:leader="dot" w:pos="8312"/>
        </w:tabs>
      </w:pPr>
      <w:r>
        <w:rPr>
          <w:rFonts w:hint="eastAsia" w:ascii="宋体" w:hAnsi="宋体" w:eastAsia="宋体" w:cs="宋体"/>
          <w:color w:val="auto"/>
          <w:kern w:val="0"/>
          <w:szCs w:val="21"/>
          <w:highlight w:val="none"/>
        </w:rPr>
        <w:fldChar w:fldCharType="begin"/>
      </w:r>
      <w:r>
        <w:rPr>
          <w:rFonts w:hint="eastAsia" w:ascii="宋体" w:hAnsi="宋体" w:eastAsia="宋体" w:cs="宋体"/>
          <w:kern w:val="0"/>
          <w:szCs w:val="21"/>
          <w:highlight w:val="none"/>
        </w:rPr>
        <w:instrText xml:space="preserve"> HYPERLINK \l _Toc25956 </w:instrText>
      </w:r>
      <w:r>
        <w:rPr>
          <w:rFonts w:hint="eastAsia" w:ascii="宋体" w:hAnsi="宋体" w:eastAsia="宋体" w:cs="宋体"/>
          <w:kern w:val="0"/>
          <w:szCs w:val="21"/>
          <w:highlight w:val="none"/>
        </w:rPr>
        <w:fldChar w:fldCharType="separate"/>
      </w:r>
      <w:r>
        <w:rPr>
          <w:rFonts w:hint="eastAsia" w:ascii="宋体" w:hAnsi="宋体" w:eastAsia="宋体" w:cs="宋体"/>
          <w:bCs/>
          <w:szCs w:val="21"/>
          <w:highlight w:val="none"/>
        </w:rPr>
        <w:t>3</w:t>
      </w:r>
      <w:r>
        <w:rPr>
          <w:rFonts w:hint="eastAsia" w:ascii="宋体" w:hAnsi="宋体" w:eastAsia="宋体" w:cs="宋体"/>
          <w:bCs/>
          <w:szCs w:val="21"/>
          <w:highlight w:val="none"/>
          <w:lang w:val="en-US" w:eastAsia="zh-CN"/>
        </w:rPr>
        <w:t>.</w:t>
      </w:r>
      <w:r>
        <w:rPr>
          <w:rFonts w:hint="eastAsia" w:ascii="宋体" w:hAnsi="宋体" w:eastAsia="宋体" w:cs="宋体"/>
          <w:bCs/>
          <w:szCs w:val="21"/>
          <w:highlight w:val="none"/>
        </w:rPr>
        <w:t>货物说明一览表</w:t>
      </w:r>
      <w:r>
        <w:tab/>
      </w:r>
      <w:r>
        <w:fldChar w:fldCharType="begin"/>
      </w:r>
      <w:r>
        <w:instrText xml:space="preserve"> PAGEREF _Toc25956 \h </w:instrText>
      </w:r>
      <w:r>
        <w:fldChar w:fldCharType="separate"/>
      </w:r>
      <w:r>
        <w:t>30</w:t>
      </w:r>
      <w:r>
        <w:fldChar w:fldCharType="end"/>
      </w:r>
      <w:r>
        <w:rPr>
          <w:rFonts w:hint="eastAsia" w:ascii="宋体" w:hAnsi="宋体" w:eastAsia="宋体" w:cs="宋体"/>
          <w:color w:val="auto"/>
          <w:kern w:val="0"/>
          <w:szCs w:val="21"/>
          <w:highlight w:val="none"/>
        </w:rPr>
        <w:fldChar w:fldCharType="end"/>
      </w:r>
    </w:p>
    <w:p>
      <w:pPr>
        <w:pStyle w:val="16"/>
        <w:tabs>
          <w:tab w:val="right" w:leader="dot" w:pos="8312"/>
        </w:tabs>
      </w:pPr>
      <w:r>
        <w:rPr>
          <w:rFonts w:hint="eastAsia" w:ascii="宋体" w:hAnsi="宋体" w:eastAsia="宋体" w:cs="宋体"/>
          <w:color w:val="auto"/>
          <w:kern w:val="0"/>
          <w:szCs w:val="21"/>
          <w:highlight w:val="none"/>
        </w:rPr>
        <w:fldChar w:fldCharType="begin"/>
      </w:r>
      <w:r>
        <w:rPr>
          <w:rFonts w:hint="eastAsia" w:ascii="宋体" w:hAnsi="宋体" w:eastAsia="宋体" w:cs="宋体"/>
          <w:kern w:val="0"/>
          <w:szCs w:val="21"/>
          <w:highlight w:val="none"/>
        </w:rPr>
        <w:instrText xml:space="preserve"> HYPERLINK \l _Toc25417 </w:instrText>
      </w:r>
      <w:r>
        <w:rPr>
          <w:rFonts w:hint="eastAsia" w:ascii="宋体" w:hAnsi="宋体" w:eastAsia="宋体" w:cs="宋体"/>
          <w:kern w:val="0"/>
          <w:szCs w:val="21"/>
          <w:highlight w:val="none"/>
        </w:rPr>
        <w:fldChar w:fldCharType="separate"/>
      </w:r>
      <w:r>
        <w:rPr>
          <w:rFonts w:hint="eastAsia" w:ascii="宋体" w:hAnsi="宋体" w:eastAsia="宋体" w:cs="宋体"/>
          <w:bCs/>
          <w:szCs w:val="22"/>
          <w:highlight w:val="none"/>
        </w:rPr>
        <w:t>4</w:t>
      </w:r>
      <w:r>
        <w:rPr>
          <w:rFonts w:hint="eastAsia" w:ascii="宋体" w:hAnsi="宋体" w:eastAsia="宋体" w:cs="宋体"/>
          <w:bCs/>
          <w:szCs w:val="22"/>
          <w:highlight w:val="none"/>
          <w:lang w:val="en-US" w:eastAsia="zh-CN"/>
        </w:rPr>
        <w:t>.</w:t>
      </w:r>
      <w:r>
        <w:rPr>
          <w:rFonts w:hint="eastAsia" w:ascii="宋体" w:hAnsi="宋体" w:eastAsia="宋体" w:cs="宋体"/>
          <w:bCs/>
          <w:szCs w:val="22"/>
          <w:highlight w:val="none"/>
        </w:rPr>
        <w:t>技术规格偏离表</w:t>
      </w:r>
      <w:r>
        <w:tab/>
      </w:r>
      <w:r>
        <w:fldChar w:fldCharType="begin"/>
      </w:r>
      <w:r>
        <w:instrText xml:space="preserve"> PAGEREF _Toc25417 \h </w:instrText>
      </w:r>
      <w:r>
        <w:fldChar w:fldCharType="separate"/>
      </w:r>
      <w:r>
        <w:t>31</w:t>
      </w:r>
      <w:r>
        <w:fldChar w:fldCharType="end"/>
      </w:r>
      <w:r>
        <w:rPr>
          <w:rFonts w:hint="eastAsia" w:ascii="宋体" w:hAnsi="宋体" w:eastAsia="宋体" w:cs="宋体"/>
          <w:color w:val="auto"/>
          <w:kern w:val="0"/>
          <w:szCs w:val="21"/>
          <w:highlight w:val="none"/>
        </w:rPr>
        <w:fldChar w:fldCharType="end"/>
      </w:r>
    </w:p>
    <w:p>
      <w:pPr>
        <w:pStyle w:val="16"/>
        <w:tabs>
          <w:tab w:val="right" w:leader="dot" w:pos="8312"/>
        </w:tabs>
      </w:pPr>
      <w:r>
        <w:rPr>
          <w:rFonts w:hint="eastAsia" w:ascii="宋体" w:hAnsi="宋体" w:eastAsia="宋体" w:cs="宋体"/>
          <w:color w:val="auto"/>
          <w:kern w:val="0"/>
          <w:szCs w:val="21"/>
          <w:highlight w:val="none"/>
        </w:rPr>
        <w:fldChar w:fldCharType="begin"/>
      </w:r>
      <w:r>
        <w:rPr>
          <w:rFonts w:hint="eastAsia" w:ascii="宋体" w:hAnsi="宋体" w:eastAsia="宋体" w:cs="宋体"/>
          <w:kern w:val="0"/>
          <w:szCs w:val="21"/>
          <w:highlight w:val="none"/>
        </w:rPr>
        <w:instrText xml:space="preserve"> HYPERLINK \l _Toc16720 </w:instrText>
      </w:r>
      <w:r>
        <w:rPr>
          <w:rFonts w:hint="eastAsia" w:ascii="宋体" w:hAnsi="宋体" w:eastAsia="宋体" w:cs="宋体"/>
          <w:kern w:val="0"/>
          <w:szCs w:val="21"/>
          <w:highlight w:val="none"/>
        </w:rPr>
        <w:fldChar w:fldCharType="separate"/>
      </w:r>
      <w:r>
        <w:rPr>
          <w:rFonts w:hint="eastAsia" w:ascii="宋体" w:hAnsi="宋体" w:eastAsia="宋体" w:cs="宋体"/>
          <w:bCs/>
          <w:kern w:val="2"/>
          <w:szCs w:val="22"/>
          <w:highlight w:val="none"/>
        </w:rPr>
        <w:t>5</w:t>
      </w:r>
      <w:r>
        <w:rPr>
          <w:rFonts w:hint="eastAsia" w:ascii="宋体" w:hAnsi="宋体" w:eastAsia="宋体" w:cs="宋体"/>
          <w:bCs/>
          <w:kern w:val="2"/>
          <w:szCs w:val="22"/>
          <w:highlight w:val="none"/>
          <w:lang w:val="en-US" w:eastAsia="zh-CN"/>
        </w:rPr>
        <w:t>.</w:t>
      </w:r>
      <w:r>
        <w:rPr>
          <w:rFonts w:hint="eastAsia" w:ascii="宋体" w:hAnsi="宋体" w:eastAsia="宋体" w:cs="宋体"/>
          <w:bCs/>
          <w:kern w:val="2"/>
          <w:szCs w:val="22"/>
          <w:highlight w:val="none"/>
        </w:rPr>
        <w:t>商务条款偏离表</w:t>
      </w:r>
      <w:r>
        <w:tab/>
      </w:r>
      <w:r>
        <w:fldChar w:fldCharType="begin"/>
      </w:r>
      <w:r>
        <w:instrText xml:space="preserve"> PAGEREF _Toc16720 \h </w:instrText>
      </w:r>
      <w:r>
        <w:fldChar w:fldCharType="separate"/>
      </w:r>
      <w:r>
        <w:t>32</w:t>
      </w:r>
      <w:r>
        <w:fldChar w:fldCharType="end"/>
      </w:r>
      <w:r>
        <w:rPr>
          <w:rFonts w:hint="eastAsia" w:ascii="宋体" w:hAnsi="宋体" w:eastAsia="宋体" w:cs="宋体"/>
          <w:color w:val="auto"/>
          <w:kern w:val="0"/>
          <w:szCs w:val="21"/>
          <w:highlight w:val="none"/>
        </w:rPr>
        <w:fldChar w:fldCharType="end"/>
      </w:r>
    </w:p>
    <w:p>
      <w:pPr>
        <w:pStyle w:val="16"/>
        <w:tabs>
          <w:tab w:val="right" w:leader="dot" w:pos="8312"/>
        </w:tabs>
      </w:pPr>
      <w:r>
        <w:rPr>
          <w:rFonts w:hint="eastAsia" w:ascii="宋体" w:hAnsi="宋体" w:eastAsia="宋体" w:cs="宋体"/>
          <w:color w:val="auto"/>
          <w:kern w:val="0"/>
          <w:szCs w:val="21"/>
          <w:highlight w:val="none"/>
        </w:rPr>
        <w:fldChar w:fldCharType="begin"/>
      </w:r>
      <w:r>
        <w:rPr>
          <w:rFonts w:hint="eastAsia" w:ascii="宋体" w:hAnsi="宋体" w:eastAsia="宋体" w:cs="宋体"/>
          <w:kern w:val="0"/>
          <w:szCs w:val="21"/>
          <w:highlight w:val="none"/>
        </w:rPr>
        <w:instrText xml:space="preserve"> HYPERLINK \l _Toc28743 </w:instrText>
      </w:r>
      <w:r>
        <w:rPr>
          <w:rFonts w:hint="eastAsia" w:ascii="宋体" w:hAnsi="宋体" w:eastAsia="宋体" w:cs="宋体"/>
          <w:kern w:val="0"/>
          <w:szCs w:val="21"/>
          <w:highlight w:val="none"/>
        </w:rPr>
        <w:fldChar w:fldCharType="separate"/>
      </w:r>
      <w:r>
        <w:rPr>
          <w:rFonts w:hint="eastAsia" w:ascii="宋体" w:hAnsi="宋体" w:eastAsia="宋体" w:cs="宋体"/>
          <w:bCs/>
          <w:kern w:val="2"/>
          <w:szCs w:val="22"/>
          <w:highlight w:val="none"/>
        </w:rPr>
        <w:t>6-1  中小企业声明函</w:t>
      </w:r>
      <w:r>
        <w:tab/>
      </w:r>
      <w:r>
        <w:fldChar w:fldCharType="begin"/>
      </w:r>
      <w:r>
        <w:instrText xml:space="preserve"> PAGEREF _Toc28743 \h </w:instrText>
      </w:r>
      <w:r>
        <w:fldChar w:fldCharType="separate"/>
      </w:r>
      <w:r>
        <w:t>33</w:t>
      </w:r>
      <w:r>
        <w:fldChar w:fldCharType="end"/>
      </w:r>
      <w:r>
        <w:rPr>
          <w:rFonts w:hint="eastAsia" w:ascii="宋体" w:hAnsi="宋体" w:eastAsia="宋体" w:cs="宋体"/>
          <w:color w:val="auto"/>
          <w:kern w:val="0"/>
          <w:szCs w:val="21"/>
          <w:highlight w:val="none"/>
        </w:rPr>
        <w:fldChar w:fldCharType="end"/>
      </w:r>
    </w:p>
    <w:p>
      <w:pPr>
        <w:pStyle w:val="16"/>
        <w:tabs>
          <w:tab w:val="right" w:leader="dot" w:pos="8312"/>
        </w:tabs>
      </w:pPr>
      <w:r>
        <w:rPr>
          <w:rFonts w:hint="eastAsia" w:ascii="宋体" w:hAnsi="宋体" w:eastAsia="宋体" w:cs="宋体"/>
          <w:color w:val="auto"/>
          <w:kern w:val="0"/>
          <w:szCs w:val="21"/>
          <w:highlight w:val="none"/>
        </w:rPr>
        <w:fldChar w:fldCharType="begin"/>
      </w:r>
      <w:r>
        <w:rPr>
          <w:rFonts w:hint="eastAsia" w:ascii="宋体" w:hAnsi="宋体" w:eastAsia="宋体" w:cs="宋体"/>
          <w:kern w:val="0"/>
          <w:szCs w:val="21"/>
          <w:highlight w:val="none"/>
        </w:rPr>
        <w:instrText xml:space="preserve"> HYPERLINK \l _Toc22442 </w:instrText>
      </w:r>
      <w:r>
        <w:rPr>
          <w:rFonts w:hint="eastAsia" w:ascii="宋体" w:hAnsi="宋体" w:eastAsia="宋体" w:cs="宋体"/>
          <w:kern w:val="0"/>
          <w:szCs w:val="21"/>
          <w:highlight w:val="none"/>
        </w:rPr>
        <w:fldChar w:fldCharType="separate"/>
      </w:r>
      <w:r>
        <w:rPr>
          <w:rFonts w:hint="eastAsia" w:ascii="宋体" w:hAnsi="宋体" w:eastAsia="宋体" w:cs="宋体"/>
          <w:bCs/>
          <w:kern w:val="2"/>
          <w:szCs w:val="22"/>
          <w:highlight w:val="none"/>
        </w:rPr>
        <w:t>6-2   残疾人福利性单位声明函</w:t>
      </w:r>
      <w:r>
        <w:tab/>
      </w:r>
      <w:r>
        <w:fldChar w:fldCharType="begin"/>
      </w:r>
      <w:r>
        <w:instrText xml:space="preserve"> PAGEREF _Toc22442 \h </w:instrText>
      </w:r>
      <w:r>
        <w:fldChar w:fldCharType="separate"/>
      </w:r>
      <w:r>
        <w:t>34</w:t>
      </w:r>
      <w:r>
        <w:fldChar w:fldCharType="end"/>
      </w:r>
      <w:r>
        <w:rPr>
          <w:rFonts w:hint="eastAsia" w:ascii="宋体" w:hAnsi="宋体" w:eastAsia="宋体" w:cs="宋体"/>
          <w:color w:val="auto"/>
          <w:kern w:val="0"/>
          <w:szCs w:val="21"/>
          <w:highlight w:val="none"/>
        </w:rPr>
        <w:fldChar w:fldCharType="end"/>
      </w:r>
    </w:p>
    <w:p>
      <w:pPr>
        <w:pStyle w:val="16"/>
        <w:tabs>
          <w:tab w:val="right" w:leader="dot" w:pos="8312"/>
        </w:tabs>
      </w:pPr>
      <w:r>
        <w:rPr>
          <w:rFonts w:hint="eastAsia" w:ascii="宋体" w:hAnsi="宋体" w:eastAsia="宋体" w:cs="宋体"/>
          <w:color w:val="auto"/>
          <w:kern w:val="0"/>
          <w:szCs w:val="21"/>
          <w:highlight w:val="none"/>
        </w:rPr>
        <w:fldChar w:fldCharType="begin"/>
      </w:r>
      <w:r>
        <w:rPr>
          <w:rFonts w:hint="eastAsia" w:ascii="宋体" w:hAnsi="宋体" w:eastAsia="宋体" w:cs="宋体"/>
          <w:kern w:val="0"/>
          <w:szCs w:val="21"/>
          <w:highlight w:val="none"/>
        </w:rPr>
        <w:instrText xml:space="preserve"> HYPERLINK \l _Toc5720 </w:instrText>
      </w:r>
      <w:r>
        <w:rPr>
          <w:rFonts w:hint="eastAsia" w:ascii="宋体" w:hAnsi="宋体" w:eastAsia="宋体" w:cs="宋体"/>
          <w:kern w:val="0"/>
          <w:szCs w:val="21"/>
          <w:highlight w:val="none"/>
        </w:rPr>
        <w:fldChar w:fldCharType="separate"/>
      </w:r>
      <w:r>
        <w:rPr>
          <w:rFonts w:hint="eastAsia" w:ascii="宋体" w:hAnsi="宋体" w:eastAsia="宋体" w:cs="宋体"/>
          <w:bCs/>
          <w:kern w:val="2"/>
          <w:szCs w:val="24"/>
          <w:highlight w:val="none"/>
        </w:rPr>
        <w:t>7</w:t>
      </w:r>
      <w:r>
        <w:rPr>
          <w:rFonts w:hint="eastAsia" w:ascii="宋体" w:hAnsi="宋体" w:eastAsia="宋体" w:cs="宋体"/>
          <w:bCs/>
          <w:kern w:val="2"/>
          <w:szCs w:val="24"/>
          <w:highlight w:val="none"/>
          <w:lang w:val="en-US" w:eastAsia="zh-CN"/>
        </w:rPr>
        <w:t>.</w:t>
      </w:r>
      <w:r>
        <w:rPr>
          <w:rFonts w:hint="eastAsia" w:ascii="宋体" w:hAnsi="宋体" w:eastAsia="宋体" w:cs="宋体"/>
          <w:bCs/>
          <w:kern w:val="2"/>
          <w:szCs w:val="24"/>
          <w:highlight w:val="none"/>
        </w:rPr>
        <w:t>供应商关联单位的说明</w:t>
      </w:r>
      <w:r>
        <w:tab/>
      </w:r>
      <w:r>
        <w:fldChar w:fldCharType="begin"/>
      </w:r>
      <w:r>
        <w:instrText xml:space="preserve"> PAGEREF _Toc5720 \h </w:instrText>
      </w:r>
      <w:r>
        <w:fldChar w:fldCharType="separate"/>
      </w:r>
      <w:r>
        <w:t>34</w:t>
      </w:r>
      <w:r>
        <w:fldChar w:fldCharType="end"/>
      </w:r>
      <w:r>
        <w:rPr>
          <w:rFonts w:hint="eastAsia" w:ascii="宋体" w:hAnsi="宋体" w:eastAsia="宋体" w:cs="宋体"/>
          <w:color w:val="auto"/>
          <w:kern w:val="0"/>
          <w:szCs w:val="21"/>
          <w:highlight w:val="none"/>
        </w:rPr>
        <w:fldChar w:fldCharType="end"/>
      </w:r>
    </w:p>
    <w:p>
      <w:pPr>
        <w:pStyle w:val="16"/>
        <w:tabs>
          <w:tab w:val="right" w:leader="dot" w:pos="8312"/>
        </w:tabs>
      </w:pPr>
      <w:r>
        <w:rPr>
          <w:rFonts w:hint="eastAsia" w:ascii="宋体" w:hAnsi="宋体" w:eastAsia="宋体" w:cs="宋体"/>
          <w:color w:val="auto"/>
          <w:kern w:val="0"/>
          <w:szCs w:val="21"/>
          <w:highlight w:val="none"/>
        </w:rPr>
        <w:fldChar w:fldCharType="begin"/>
      </w:r>
      <w:r>
        <w:rPr>
          <w:rFonts w:hint="eastAsia" w:ascii="宋体" w:hAnsi="宋体" w:eastAsia="宋体" w:cs="宋体"/>
          <w:kern w:val="0"/>
          <w:szCs w:val="21"/>
          <w:highlight w:val="none"/>
        </w:rPr>
        <w:instrText xml:space="preserve"> HYPERLINK \l _Toc18110 </w:instrText>
      </w:r>
      <w:r>
        <w:rPr>
          <w:rFonts w:hint="eastAsia" w:ascii="宋体" w:hAnsi="宋体" w:eastAsia="宋体" w:cs="宋体"/>
          <w:kern w:val="0"/>
          <w:szCs w:val="21"/>
          <w:highlight w:val="none"/>
        </w:rPr>
        <w:fldChar w:fldCharType="separate"/>
      </w:r>
      <w:r>
        <w:rPr>
          <w:rFonts w:hint="eastAsia" w:ascii="宋体" w:hAnsi="宋体" w:eastAsia="宋体" w:cs="宋体"/>
          <w:bCs/>
          <w:kern w:val="2"/>
          <w:szCs w:val="24"/>
          <w:highlight w:val="none"/>
          <w:lang w:val="en-US" w:eastAsia="zh-CN"/>
        </w:rPr>
        <w:t>8.供应商可提供有利于投标的其他资格证明材料</w:t>
      </w:r>
      <w:r>
        <w:tab/>
      </w:r>
      <w:r>
        <w:fldChar w:fldCharType="begin"/>
      </w:r>
      <w:r>
        <w:instrText xml:space="preserve"> PAGEREF _Toc18110 \h </w:instrText>
      </w:r>
      <w:r>
        <w:fldChar w:fldCharType="separate"/>
      </w:r>
      <w:r>
        <w:t>34</w:t>
      </w:r>
      <w:r>
        <w:fldChar w:fldCharType="end"/>
      </w:r>
      <w:r>
        <w:rPr>
          <w:rFonts w:hint="eastAsia" w:ascii="宋体" w:hAnsi="宋体" w:eastAsia="宋体" w:cs="宋体"/>
          <w:color w:val="auto"/>
          <w:kern w:val="0"/>
          <w:szCs w:val="21"/>
          <w:highlight w:val="none"/>
        </w:rPr>
        <w:fldChar w:fldCharType="end"/>
      </w:r>
    </w:p>
    <w:p>
      <w:pPr>
        <w:pStyle w:val="16"/>
        <w:tabs>
          <w:tab w:val="right" w:leader="dot" w:pos="8312"/>
        </w:tabs>
      </w:pPr>
      <w:r>
        <w:rPr>
          <w:rFonts w:hint="eastAsia" w:ascii="宋体" w:hAnsi="宋体" w:eastAsia="宋体" w:cs="宋体"/>
          <w:color w:val="auto"/>
          <w:kern w:val="0"/>
          <w:szCs w:val="21"/>
          <w:highlight w:val="none"/>
        </w:rPr>
        <w:fldChar w:fldCharType="begin"/>
      </w:r>
      <w:r>
        <w:rPr>
          <w:rFonts w:hint="eastAsia" w:ascii="宋体" w:hAnsi="宋体" w:eastAsia="宋体" w:cs="宋体"/>
          <w:kern w:val="0"/>
          <w:szCs w:val="21"/>
          <w:highlight w:val="none"/>
        </w:rPr>
        <w:instrText xml:space="preserve"> HYPERLINK \l _Toc20337 </w:instrText>
      </w:r>
      <w:r>
        <w:rPr>
          <w:rFonts w:hint="eastAsia" w:ascii="宋体" w:hAnsi="宋体" w:eastAsia="宋体" w:cs="宋体"/>
          <w:kern w:val="0"/>
          <w:szCs w:val="21"/>
          <w:highlight w:val="none"/>
        </w:rPr>
        <w:fldChar w:fldCharType="separate"/>
      </w:r>
      <w:r>
        <w:rPr>
          <w:rFonts w:hint="eastAsia" w:ascii="宋体" w:hAnsi="宋体" w:eastAsia="宋体" w:cs="宋体"/>
          <w:kern w:val="0"/>
          <w:szCs w:val="20"/>
          <w:highlight w:val="none"/>
          <w:lang w:val="en-US" w:eastAsia="zh-CN"/>
        </w:rPr>
        <w:t>9.</w:t>
      </w:r>
      <w:r>
        <w:rPr>
          <w:rFonts w:hint="eastAsia" w:ascii="宋体" w:hAnsi="宋体" w:eastAsia="宋体" w:cs="宋体"/>
          <w:kern w:val="0"/>
          <w:szCs w:val="20"/>
          <w:highlight w:val="none"/>
        </w:rPr>
        <w:t>投标文件格式范本</w:t>
      </w:r>
      <w:r>
        <w:tab/>
      </w:r>
      <w:r>
        <w:fldChar w:fldCharType="begin"/>
      </w:r>
      <w:r>
        <w:instrText xml:space="preserve"> PAGEREF _Toc20337 \h </w:instrText>
      </w:r>
      <w:r>
        <w:fldChar w:fldCharType="separate"/>
      </w:r>
      <w:r>
        <w:t>35</w:t>
      </w:r>
      <w:r>
        <w:fldChar w:fldCharType="end"/>
      </w:r>
      <w:r>
        <w:rPr>
          <w:rFonts w:hint="eastAsia" w:ascii="宋体" w:hAnsi="宋体" w:eastAsia="宋体" w:cs="宋体"/>
          <w:color w:val="auto"/>
          <w:kern w:val="0"/>
          <w:szCs w:val="21"/>
          <w:highlight w:val="none"/>
        </w:rPr>
        <w:fldChar w:fldCharType="end"/>
      </w:r>
    </w:p>
    <w:p>
      <w:pPr>
        <w:pStyle w:val="15"/>
        <w:tabs>
          <w:tab w:val="right" w:leader="dot" w:pos="8312"/>
        </w:tabs>
      </w:pPr>
      <w:r>
        <w:rPr>
          <w:rFonts w:hint="eastAsia" w:ascii="宋体" w:hAnsi="宋体" w:eastAsia="宋体" w:cs="宋体"/>
          <w:color w:val="auto"/>
          <w:kern w:val="0"/>
          <w:szCs w:val="21"/>
          <w:highlight w:val="none"/>
        </w:rPr>
        <w:fldChar w:fldCharType="begin"/>
      </w:r>
      <w:r>
        <w:rPr>
          <w:rFonts w:hint="eastAsia" w:ascii="宋体" w:hAnsi="宋体" w:eastAsia="宋体" w:cs="宋体"/>
          <w:kern w:val="0"/>
          <w:szCs w:val="21"/>
          <w:highlight w:val="none"/>
        </w:rPr>
        <w:instrText xml:space="preserve"> HYPERLINK \l _Toc2581 </w:instrText>
      </w:r>
      <w:r>
        <w:rPr>
          <w:rFonts w:hint="eastAsia" w:ascii="宋体" w:hAnsi="宋体" w:eastAsia="宋体" w:cs="宋体"/>
          <w:kern w:val="0"/>
          <w:szCs w:val="21"/>
          <w:highlight w:val="none"/>
        </w:rPr>
        <w:fldChar w:fldCharType="separate"/>
      </w:r>
      <w:r>
        <w:rPr>
          <w:rFonts w:hint="eastAsia" w:hAnsi="宋体" w:cs="宋体"/>
          <w:highlight w:val="none"/>
          <w:lang w:val="en-US" w:eastAsia="zh-CN"/>
        </w:rPr>
        <w:t>第3章</w:t>
      </w:r>
      <w:r>
        <w:rPr>
          <w:rFonts w:hint="eastAsia" w:ascii="宋体" w:hAnsi="宋体" w:eastAsia="宋体" w:cs="宋体"/>
          <w:highlight w:val="none"/>
        </w:rPr>
        <w:t xml:space="preserve"> 投标邀请</w:t>
      </w:r>
      <w:r>
        <w:tab/>
      </w:r>
      <w:r>
        <w:fldChar w:fldCharType="begin"/>
      </w:r>
      <w:r>
        <w:instrText xml:space="preserve"> PAGEREF _Toc2581 \h </w:instrText>
      </w:r>
      <w:r>
        <w:fldChar w:fldCharType="separate"/>
      </w:r>
      <w:r>
        <w:t>37</w:t>
      </w:r>
      <w:r>
        <w:fldChar w:fldCharType="end"/>
      </w:r>
      <w:r>
        <w:rPr>
          <w:rFonts w:hint="eastAsia" w:ascii="宋体" w:hAnsi="宋体" w:eastAsia="宋体" w:cs="宋体"/>
          <w:color w:val="auto"/>
          <w:kern w:val="0"/>
          <w:szCs w:val="21"/>
          <w:highlight w:val="none"/>
        </w:rPr>
        <w:fldChar w:fldCharType="end"/>
      </w:r>
    </w:p>
    <w:p>
      <w:pPr>
        <w:pStyle w:val="15"/>
        <w:tabs>
          <w:tab w:val="right" w:leader="dot" w:pos="8312"/>
        </w:tabs>
      </w:pPr>
      <w:r>
        <w:rPr>
          <w:rFonts w:hint="eastAsia" w:ascii="宋体" w:hAnsi="宋体" w:eastAsia="宋体" w:cs="宋体"/>
          <w:color w:val="auto"/>
          <w:kern w:val="0"/>
          <w:szCs w:val="21"/>
          <w:highlight w:val="none"/>
        </w:rPr>
        <w:fldChar w:fldCharType="begin"/>
      </w:r>
      <w:r>
        <w:rPr>
          <w:rFonts w:hint="eastAsia" w:ascii="宋体" w:hAnsi="宋体" w:eastAsia="宋体" w:cs="宋体"/>
          <w:kern w:val="0"/>
          <w:szCs w:val="21"/>
          <w:highlight w:val="none"/>
        </w:rPr>
        <w:instrText xml:space="preserve"> HYPERLINK \l _Toc23447 </w:instrText>
      </w:r>
      <w:r>
        <w:rPr>
          <w:rFonts w:hint="eastAsia" w:ascii="宋体" w:hAnsi="宋体" w:eastAsia="宋体" w:cs="宋体"/>
          <w:kern w:val="0"/>
          <w:szCs w:val="21"/>
          <w:highlight w:val="none"/>
        </w:rPr>
        <w:fldChar w:fldCharType="separate"/>
      </w:r>
      <w:r>
        <w:rPr>
          <w:rFonts w:hint="eastAsia" w:hAnsi="宋体" w:cs="宋体"/>
          <w:highlight w:val="none"/>
          <w:lang w:val="en-US" w:eastAsia="zh-CN"/>
        </w:rPr>
        <w:t xml:space="preserve">第4章 </w:t>
      </w:r>
      <w:r>
        <w:rPr>
          <w:rFonts w:hint="eastAsia" w:ascii="宋体" w:hAnsi="宋体" w:eastAsia="宋体" w:cs="宋体"/>
          <w:highlight w:val="none"/>
          <w:lang w:eastAsia="zh-CN"/>
        </w:rPr>
        <w:t>供应商</w:t>
      </w:r>
      <w:r>
        <w:rPr>
          <w:rFonts w:hint="eastAsia" w:ascii="宋体" w:hAnsi="宋体" w:eastAsia="宋体" w:cs="宋体"/>
          <w:highlight w:val="none"/>
        </w:rPr>
        <w:t>须知资料表</w:t>
      </w:r>
      <w:r>
        <w:tab/>
      </w:r>
      <w:r>
        <w:fldChar w:fldCharType="begin"/>
      </w:r>
      <w:r>
        <w:instrText xml:space="preserve"> PAGEREF _Toc23447 \h </w:instrText>
      </w:r>
      <w:r>
        <w:fldChar w:fldCharType="separate"/>
      </w:r>
      <w:r>
        <w:t>40</w:t>
      </w:r>
      <w:r>
        <w:fldChar w:fldCharType="end"/>
      </w:r>
      <w:r>
        <w:rPr>
          <w:rFonts w:hint="eastAsia" w:ascii="宋体" w:hAnsi="宋体" w:eastAsia="宋体" w:cs="宋体"/>
          <w:color w:val="auto"/>
          <w:kern w:val="0"/>
          <w:szCs w:val="21"/>
          <w:highlight w:val="none"/>
        </w:rPr>
        <w:fldChar w:fldCharType="end"/>
      </w:r>
    </w:p>
    <w:p>
      <w:pPr>
        <w:pStyle w:val="15"/>
        <w:tabs>
          <w:tab w:val="right" w:leader="dot" w:pos="8312"/>
        </w:tabs>
      </w:pPr>
      <w:r>
        <w:rPr>
          <w:rFonts w:hint="eastAsia" w:ascii="宋体" w:hAnsi="宋体" w:eastAsia="宋体" w:cs="宋体"/>
          <w:color w:val="auto"/>
          <w:kern w:val="0"/>
          <w:szCs w:val="21"/>
          <w:highlight w:val="none"/>
        </w:rPr>
        <w:fldChar w:fldCharType="begin"/>
      </w:r>
      <w:r>
        <w:rPr>
          <w:rFonts w:hint="eastAsia" w:ascii="宋体" w:hAnsi="宋体" w:eastAsia="宋体" w:cs="宋体"/>
          <w:kern w:val="0"/>
          <w:szCs w:val="21"/>
          <w:highlight w:val="none"/>
        </w:rPr>
        <w:instrText xml:space="preserve"> HYPERLINK \l _Toc4388 </w:instrText>
      </w:r>
      <w:r>
        <w:rPr>
          <w:rFonts w:hint="eastAsia" w:ascii="宋体" w:hAnsi="宋体" w:eastAsia="宋体" w:cs="宋体"/>
          <w:kern w:val="0"/>
          <w:szCs w:val="21"/>
          <w:highlight w:val="none"/>
        </w:rPr>
        <w:fldChar w:fldCharType="separate"/>
      </w:r>
      <w:r>
        <w:rPr>
          <w:rFonts w:hint="eastAsia" w:ascii="宋体" w:hAnsi="宋体" w:cs="宋体"/>
          <w:szCs w:val="32"/>
          <w:highlight w:val="none"/>
          <w:lang w:val="en-US" w:eastAsia="zh-CN"/>
        </w:rPr>
        <w:t>第5章</w:t>
      </w:r>
      <w:r>
        <w:rPr>
          <w:rFonts w:hint="eastAsia" w:hAnsi="宋体" w:cs="宋体"/>
          <w:szCs w:val="32"/>
          <w:highlight w:val="none"/>
          <w:lang w:val="en-US" w:eastAsia="zh-CN"/>
        </w:rPr>
        <w:t xml:space="preserve"> </w:t>
      </w:r>
      <w:r>
        <w:rPr>
          <w:rFonts w:hint="eastAsia" w:ascii="宋体" w:hAnsi="宋体" w:eastAsia="宋体" w:cs="宋体"/>
          <w:highlight w:val="none"/>
          <w:lang w:val="en-US" w:eastAsia="zh-CN"/>
        </w:rPr>
        <w:t>货物需求一览表及</w:t>
      </w:r>
      <w:r>
        <w:rPr>
          <w:rFonts w:hint="eastAsia" w:hAnsi="宋体" w:cs="宋体"/>
          <w:highlight w:val="none"/>
          <w:lang w:val="en-US" w:eastAsia="zh-CN"/>
        </w:rPr>
        <w:t>项目要求</w:t>
      </w:r>
      <w:r>
        <w:tab/>
      </w:r>
      <w:r>
        <w:fldChar w:fldCharType="begin"/>
      </w:r>
      <w:r>
        <w:instrText xml:space="preserve"> PAGEREF _Toc4388 \h </w:instrText>
      </w:r>
      <w:r>
        <w:fldChar w:fldCharType="separate"/>
      </w:r>
      <w:r>
        <w:t>45</w:t>
      </w:r>
      <w:r>
        <w:fldChar w:fldCharType="end"/>
      </w:r>
      <w:r>
        <w:rPr>
          <w:rFonts w:hint="eastAsia" w:ascii="宋体" w:hAnsi="宋体" w:eastAsia="宋体" w:cs="宋体"/>
          <w:color w:val="auto"/>
          <w:kern w:val="0"/>
          <w:szCs w:val="21"/>
          <w:highlight w:val="none"/>
        </w:rPr>
        <w:fldChar w:fldCharType="end"/>
      </w:r>
    </w:p>
    <w:p>
      <w:pPr>
        <w:pStyle w:val="16"/>
        <w:tabs>
          <w:tab w:val="right" w:leader="dot" w:pos="8312"/>
        </w:tabs>
      </w:pPr>
      <w:r>
        <w:rPr>
          <w:rFonts w:hint="eastAsia" w:ascii="宋体" w:hAnsi="宋体" w:eastAsia="宋体" w:cs="宋体"/>
          <w:color w:val="auto"/>
          <w:kern w:val="0"/>
          <w:szCs w:val="21"/>
          <w:highlight w:val="none"/>
        </w:rPr>
        <w:fldChar w:fldCharType="begin"/>
      </w:r>
      <w:r>
        <w:rPr>
          <w:rFonts w:hint="eastAsia" w:ascii="宋体" w:hAnsi="宋体" w:eastAsia="宋体" w:cs="宋体"/>
          <w:kern w:val="0"/>
          <w:szCs w:val="21"/>
          <w:highlight w:val="none"/>
        </w:rPr>
        <w:instrText xml:space="preserve"> HYPERLINK \l _Toc22141 </w:instrText>
      </w:r>
      <w:r>
        <w:rPr>
          <w:rFonts w:hint="eastAsia" w:ascii="宋体" w:hAnsi="宋体" w:eastAsia="宋体" w:cs="宋体"/>
          <w:kern w:val="0"/>
          <w:szCs w:val="21"/>
          <w:highlight w:val="none"/>
        </w:rPr>
        <w:fldChar w:fldCharType="separate"/>
      </w:r>
      <w:r>
        <w:rPr>
          <w:rFonts w:hint="eastAsia" w:ascii="宋体" w:hAnsi="宋体" w:eastAsia="宋体" w:cs="宋体"/>
          <w:szCs w:val="32"/>
          <w:highlight w:val="none"/>
          <w:lang w:val="en-US" w:eastAsia="zh-CN"/>
        </w:rPr>
        <w:t>一、</w:t>
      </w:r>
      <w:r>
        <w:rPr>
          <w:rFonts w:hint="eastAsia" w:ascii="宋体" w:hAnsi="宋体" w:eastAsia="宋体" w:cs="宋体"/>
          <w:szCs w:val="32"/>
          <w:highlight w:val="none"/>
          <w:lang w:eastAsia="zh-CN"/>
        </w:rPr>
        <w:t>货物需求：</w:t>
      </w:r>
      <w:r>
        <w:tab/>
      </w:r>
      <w:r>
        <w:fldChar w:fldCharType="begin"/>
      </w:r>
      <w:r>
        <w:instrText xml:space="preserve"> PAGEREF _Toc22141 \h </w:instrText>
      </w:r>
      <w:r>
        <w:fldChar w:fldCharType="separate"/>
      </w:r>
      <w:r>
        <w:t>45</w:t>
      </w:r>
      <w:r>
        <w:fldChar w:fldCharType="end"/>
      </w:r>
      <w:r>
        <w:rPr>
          <w:rFonts w:hint="eastAsia" w:ascii="宋体" w:hAnsi="宋体" w:eastAsia="宋体" w:cs="宋体"/>
          <w:color w:val="auto"/>
          <w:kern w:val="0"/>
          <w:szCs w:val="21"/>
          <w:highlight w:val="none"/>
        </w:rPr>
        <w:fldChar w:fldCharType="end"/>
      </w:r>
    </w:p>
    <w:p>
      <w:pPr>
        <w:pStyle w:val="16"/>
        <w:tabs>
          <w:tab w:val="right" w:leader="dot" w:pos="8312"/>
        </w:tabs>
      </w:pPr>
      <w:r>
        <w:rPr>
          <w:rFonts w:hint="eastAsia" w:ascii="宋体" w:hAnsi="宋体" w:eastAsia="宋体" w:cs="宋体"/>
          <w:color w:val="auto"/>
          <w:kern w:val="0"/>
          <w:szCs w:val="21"/>
          <w:highlight w:val="none"/>
        </w:rPr>
        <w:fldChar w:fldCharType="begin"/>
      </w:r>
      <w:r>
        <w:rPr>
          <w:rFonts w:hint="eastAsia" w:ascii="宋体" w:hAnsi="宋体" w:eastAsia="宋体" w:cs="宋体"/>
          <w:kern w:val="0"/>
          <w:szCs w:val="21"/>
          <w:highlight w:val="none"/>
        </w:rPr>
        <w:instrText xml:space="preserve"> HYPERLINK \l _Toc13073 </w:instrText>
      </w:r>
      <w:r>
        <w:rPr>
          <w:rFonts w:hint="eastAsia" w:ascii="宋体" w:hAnsi="宋体" w:eastAsia="宋体" w:cs="宋体"/>
          <w:kern w:val="0"/>
          <w:szCs w:val="21"/>
          <w:highlight w:val="none"/>
        </w:rPr>
        <w:fldChar w:fldCharType="separate"/>
      </w:r>
      <w:r>
        <w:rPr>
          <w:rFonts w:hint="eastAsia" w:ascii="宋体" w:hAnsi="宋体" w:eastAsia="宋体" w:cs="宋体"/>
          <w:bCs/>
          <w:i w:val="0"/>
          <w:caps w:val="0"/>
          <w:spacing w:val="0"/>
          <w:w w:val="100"/>
          <w:kern w:val="0"/>
          <w:szCs w:val="24"/>
          <w:highlight w:val="none"/>
          <w:lang w:val="en-US" w:eastAsia="zh-CN" w:bidi="ar-SA"/>
        </w:rPr>
        <w:t>二、项目要求</w:t>
      </w:r>
      <w:r>
        <w:tab/>
      </w:r>
      <w:r>
        <w:fldChar w:fldCharType="begin"/>
      </w:r>
      <w:r>
        <w:instrText xml:space="preserve"> PAGEREF _Toc13073 \h </w:instrText>
      </w:r>
      <w:r>
        <w:fldChar w:fldCharType="separate"/>
      </w:r>
      <w:r>
        <w:t>51</w:t>
      </w:r>
      <w:r>
        <w:fldChar w:fldCharType="end"/>
      </w:r>
      <w:r>
        <w:rPr>
          <w:rFonts w:hint="eastAsia" w:ascii="宋体" w:hAnsi="宋体" w:eastAsia="宋体" w:cs="宋体"/>
          <w:color w:val="auto"/>
          <w:kern w:val="0"/>
          <w:szCs w:val="21"/>
          <w:highlight w:val="none"/>
        </w:rPr>
        <w:fldChar w:fldCharType="end"/>
      </w:r>
    </w:p>
    <w:p>
      <w:pPr>
        <w:pStyle w:val="15"/>
        <w:tabs>
          <w:tab w:val="right" w:leader="dot" w:pos="8312"/>
        </w:tabs>
      </w:pPr>
      <w:r>
        <w:rPr>
          <w:rFonts w:hint="eastAsia" w:ascii="宋体" w:hAnsi="宋体" w:eastAsia="宋体" w:cs="宋体"/>
          <w:color w:val="auto"/>
          <w:kern w:val="0"/>
          <w:szCs w:val="21"/>
          <w:highlight w:val="none"/>
        </w:rPr>
        <w:fldChar w:fldCharType="begin"/>
      </w:r>
      <w:r>
        <w:rPr>
          <w:rFonts w:hint="eastAsia" w:ascii="宋体" w:hAnsi="宋体" w:eastAsia="宋体" w:cs="宋体"/>
          <w:kern w:val="0"/>
          <w:szCs w:val="21"/>
          <w:highlight w:val="none"/>
        </w:rPr>
        <w:instrText xml:space="preserve"> HYPERLINK \l _Toc27603 </w:instrText>
      </w:r>
      <w:r>
        <w:rPr>
          <w:rFonts w:hint="eastAsia" w:ascii="宋体" w:hAnsi="宋体" w:eastAsia="宋体" w:cs="宋体"/>
          <w:kern w:val="0"/>
          <w:szCs w:val="21"/>
          <w:highlight w:val="none"/>
        </w:rPr>
        <w:fldChar w:fldCharType="separate"/>
      </w:r>
      <w:r>
        <w:rPr>
          <w:rFonts w:hint="eastAsia" w:ascii="宋体" w:hAnsi="宋体" w:eastAsia="宋体" w:cs="宋体"/>
          <w:highlight w:val="none"/>
        </w:rPr>
        <w:t>第6章  评标方法和标准</w:t>
      </w:r>
      <w:r>
        <w:tab/>
      </w:r>
      <w:r>
        <w:fldChar w:fldCharType="begin"/>
      </w:r>
      <w:r>
        <w:instrText xml:space="preserve"> PAGEREF _Toc27603 \h </w:instrText>
      </w:r>
      <w:r>
        <w:fldChar w:fldCharType="separate"/>
      </w:r>
      <w:r>
        <w:t>55</w:t>
      </w:r>
      <w:r>
        <w:fldChar w:fldCharType="end"/>
      </w:r>
      <w:r>
        <w:rPr>
          <w:rFonts w:hint="eastAsia" w:ascii="宋体" w:hAnsi="宋体" w:eastAsia="宋体" w:cs="宋体"/>
          <w:color w:val="auto"/>
          <w:kern w:val="0"/>
          <w:szCs w:val="21"/>
          <w:highlight w:val="none"/>
        </w:rPr>
        <w:fldChar w:fldCharType="end"/>
      </w:r>
    </w:p>
    <w:p>
      <w:pPr>
        <w:pStyle w:val="15"/>
        <w:tabs>
          <w:tab w:val="right" w:leader="dot" w:pos="8312"/>
        </w:tabs>
      </w:pPr>
      <w:r>
        <w:rPr>
          <w:rFonts w:hint="eastAsia" w:ascii="宋体" w:hAnsi="宋体" w:eastAsia="宋体" w:cs="宋体"/>
          <w:color w:val="auto"/>
          <w:kern w:val="0"/>
          <w:szCs w:val="21"/>
          <w:highlight w:val="none"/>
        </w:rPr>
        <w:fldChar w:fldCharType="begin"/>
      </w:r>
      <w:r>
        <w:rPr>
          <w:rFonts w:hint="eastAsia" w:ascii="宋体" w:hAnsi="宋体" w:eastAsia="宋体" w:cs="宋体"/>
          <w:kern w:val="0"/>
          <w:szCs w:val="21"/>
          <w:highlight w:val="none"/>
        </w:rPr>
        <w:instrText xml:space="preserve"> HYPERLINK \l _Toc26971 </w:instrText>
      </w:r>
      <w:r>
        <w:rPr>
          <w:rFonts w:hint="eastAsia" w:ascii="宋体" w:hAnsi="宋体" w:eastAsia="宋体" w:cs="宋体"/>
          <w:kern w:val="0"/>
          <w:szCs w:val="21"/>
          <w:highlight w:val="none"/>
        </w:rPr>
        <w:fldChar w:fldCharType="separate"/>
      </w:r>
      <w:r>
        <w:rPr>
          <w:rFonts w:hint="eastAsia" w:ascii="宋体" w:hAnsi="宋体" w:eastAsia="宋体" w:cs="宋体"/>
          <w:bCs/>
          <w:szCs w:val="21"/>
          <w:highlight w:val="none"/>
        </w:rPr>
        <w:t>初步评审—资格性审查表</w:t>
      </w:r>
      <w:r>
        <w:tab/>
      </w:r>
      <w:r>
        <w:fldChar w:fldCharType="begin"/>
      </w:r>
      <w:r>
        <w:instrText xml:space="preserve"> PAGEREF _Toc26971 \h </w:instrText>
      </w:r>
      <w:r>
        <w:fldChar w:fldCharType="separate"/>
      </w:r>
      <w:r>
        <w:t>59</w:t>
      </w:r>
      <w:r>
        <w:fldChar w:fldCharType="end"/>
      </w:r>
      <w:r>
        <w:rPr>
          <w:rFonts w:hint="eastAsia" w:ascii="宋体" w:hAnsi="宋体" w:eastAsia="宋体" w:cs="宋体"/>
          <w:color w:val="auto"/>
          <w:kern w:val="0"/>
          <w:szCs w:val="21"/>
          <w:highlight w:val="none"/>
        </w:rPr>
        <w:fldChar w:fldCharType="end"/>
      </w:r>
    </w:p>
    <w:p>
      <w:pPr>
        <w:pStyle w:val="15"/>
        <w:tabs>
          <w:tab w:val="right" w:leader="dot" w:pos="8312"/>
        </w:tabs>
      </w:pPr>
      <w:r>
        <w:rPr>
          <w:rFonts w:hint="eastAsia" w:ascii="宋体" w:hAnsi="宋体" w:eastAsia="宋体" w:cs="宋体"/>
          <w:color w:val="auto"/>
          <w:kern w:val="0"/>
          <w:szCs w:val="21"/>
          <w:highlight w:val="none"/>
        </w:rPr>
        <w:fldChar w:fldCharType="begin"/>
      </w:r>
      <w:r>
        <w:rPr>
          <w:rFonts w:hint="eastAsia" w:ascii="宋体" w:hAnsi="宋体" w:eastAsia="宋体" w:cs="宋体"/>
          <w:kern w:val="0"/>
          <w:szCs w:val="21"/>
          <w:highlight w:val="none"/>
        </w:rPr>
        <w:instrText xml:space="preserve"> HYPERLINK \l _Toc28681 </w:instrText>
      </w:r>
      <w:r>
        <w:rPr>
          <w:rFonts w:hint="eastAsia" w:ascii="宋体" w:hAnsi="宋体" w:eastAsia="宋体" w:cs="宋体"/>
          <w:kern w:val="0"/>
          <w:szCs w:val="21"/>
          <w:highlight w:val="none"/>
        </w:rPr>
        <w:fldChar w:fldCharType="separate"/>
      </w:r>
      <w:r>
        <w:rPr>
          <w:rFonts w:hint="eastAsia" w:ascii="宋体" w:hAnsi="宋体" w:eastAsia="宋体" w:cs="宋体"/>
          <w:bCs/>
          <w:szCs w:val="21"/>
          <w:highlight w:val="none"/>
        </w:rPr>
        <w:t>初步评审—符合性审查表</w:t>
      </w:r>
      <w:r>
        <w:tab/>
      </w:r>
      <w:r>
        <w:fldChar w:fldCharType="begin"/>
      </w:r>
      <w:r>
        <w:instrText xml:space="preserve"> PAGEREF _Toc28681 \h </w:instrText>
      </w:r>
      <w:r>
        <w:fldChar w:fldCharType="separate"/>
      </w:r>
      <w:r>
        <w:t>60</w:t>
      </w:r>
      <w:r>
        <w:fldChar w:fldCharType="end"/>
      </w:r>
      <w:r>
        <w:rPr>
          <w:rFonts w:hint="eastAsia" w:ascii="宋体" w:hAnsi="宋体" w:eastAsia="宋体" w:cs="宋体"/>
          <w:color w:val="auto"/>
          <w:kern w:val="0"/>
          <w:szCs w:val="21"/>
          <w:highlight w:val="none"/>
        </w:rPr>
        <w:fldChar w:fldCharType="end"/>
      </w:r>
    </w:p>
    <w:p>
      <w:pPr>
        <w:pStyle w:val="16"/>
        <w:tabs>
          <w:tab w:val="right" w:leader="dot" w:pos="8312"/>
        </w:tabs>
      </w:pPr>
      <w:r>
        <w:rPr>
          <w:rFonts w:hint="eastAsia" w:ascii="宋体" w:hAnsi="宋体" w:eastAsia="宋体" w:cs="宋体"/>
          <w:color w:val="auto"/>
          <w:kern w:val="0"/>
          <w:szCs w:val="21"/>
          <w:highlight w:val="none"/>
        </w:rPr>
        <w:fldChar w:fldCharType="begin"/>
      </w:r>
      <w:r>
        <w:rPr>
          <w:rFonts w:hint="eastAsia" w:ascii="宋体" w:hAnsi="宋体" w:eastAsia="宋体" w:cs="宋体"/>
          <w:kern w:val="0"/>
          <w:szCs w:val="21"/>
          <w:highlight w:val="none"/>
        </w:rPr>
        <w:instrText xml:space="preserve"> HYPERLINK \l _Toc28087 </w:instrText>
      </w:r>
      <w:r>
        <w:rPr>
          <w:rFonts w:hint="eastAsia" w:ascii="宋体" w:hAnsi="宋体" w:eastAsia="宋体" w:cs="宋体"/>
          <w:kern w:val="0"/>
          <w:szCs w:val="21"/>
          <w:highlight w:val="none"/>
        </w:rPr>
        <w:fldChar w:fldCharType="separate"/>
      </w:r>
      <w:r>
        <w:rPr>
          <w:rFonts w:hint="eastAsia" w:ascii="宋体" w:hAnsi="宋体" w:eastAsia="宋体" w:cs="宋体"/>
          <w:highlight w:val="none"/>
        </w:rPr>
        <w:t>综合评分表</w:t>
      </w:r>
      <w:r>
        <w:tab/>
      </w:r>
      <w:r>
        <w:fldChar w:fldCharType="begin"/>
      </w:r>
      <w:r>
        <w:instrText xml:space="preserve"> PAGEREF _Toc28087 \h </w:instrText>
      </w:r>
      <w:r>
        <w:fldChar w:fldCharType="separate"/>
      </w:r>
      <w:r>
        <w:t>64</w:t>
      </w:r>
      <w:r>
        <w:fldChar w:fldCharType="end"/>
      </w:r>
      <w:r>
        <w:rPr>
          <w:rFonts w:hint="eastAsia" w:ascii="宋体" w:hAnsi="宋体" w:eastAsia="宋体" w:cs="宋体"/>
          <w:color w:val="auto"/>
          <w:kern w:val="0"/>
          <w:szCs w:val="21"/>
          <w:highlight w:val="none"/>
        </w:rPr>
        <w:fldChar w:fldCharType="end"/>
      </w:r>
    </w:p>
    <w:p>
      <w:pPr>
        <w:pStyle w:val="15"/>
        <w:tabs>
          <w:tab w:val="right" w:leader="dot" w:pos="8312"/>
        </w:tabs>
      </w:pPr>
      <w:r>
        <w:rPr>
          <w:rFonts w:hint="eastAsia" w:ascii="宋体" w:hAnsi="宋体" w:eastAsia="宋体" w:cs="宋体"/>
          <w:color w:val="auto"/>
          <w:kern w:val="0"/>
          <w:szCs w:val="21"/>
          <w:highlight w:val="none"/>
        </w:rPr>
        <w:fldChar w:fldCharType="begin"/>
      </w:r>
      <w:r>
        <w:rPr>
          <w:rFonts w:hint="eastAsia" w:ascii="宋体" w:hAnsi="宋体" w:eastAsia="宋体" w:cs="宋体"/>
          <w:kern w:val="0"/>
          <w:szCs w:val="21"/>
          <w:highlight w:val="none"/>
        </w:rPr>
        <w:instrText xml:space="preserve"> HYPERLINK \l _Toc22739 </w:instrText>
      </w:r>
      <w:r>
        <w:rPr>
          <w:rFonts w:hint="eastAsia" w:ascii="宋体" w:hAnsi="宋体" w:eastAsia="宋体" w:cs="宋体"/>
          <w:kern w:val="0"/>
          <w:szCs w:val="21"/>
          <w:highlight w:val="none"/>
        </w:rPr>
        <w:fldChar w:fldCharType="separate"/>
      </w:r>
      <w:r>
        <w:rPr>
          <w:rFonts w:hint="eastAsia" w:ascii="宋体" w:hAnsi="宋体" w:eastAsia="宋体" w:cs="宋体"/>
          <w:szCs w:val="40"/>
          <w:highlight w:val="none"/>
        </w:rPr>
        <w:t>第 三 册</w:t>
      </w:r>
      <w:r>
        <w:tab/>
      </w:r>
      <w:r>
        <w:fldChar w:fldCharType="begin"/>
      </w:r>
      <w:r>
        <w:instrText xml:space="preserve"> PAGEREF _Toc22739 \h </w:instrText>
      </w:r>
      <w:r>
        <w:fldChar w:fldCharType="separate"/>
      </w:r>
      <w:r>
        <w:t>65</w:t>
      </w:r>
      <w:r>
        <w:fldChar w:fldCharType="end"/>
      </w:r>
      <w:r>
        <w:rPr>
          <w:rFonts w:hint="eastAsia" w:ascii="宋体" w:hAnsi="宋体" w:eastAsia="宋体" w:cs="宋体"/>
          <w:color w:val="auto"/>
          <w:kern w:val="0"/>
          <w:szCs w:val="21"/>
          <w:highlight w:val="none"/>
        </w:rPr>
        <w:fldChar w:fldCharType="end"/>
      </w:r>
    </w:p>
    <w:p>
      <w:pPr>
        <w:pStyle w:val="15"/>
        <w:tabs>
          <w:tab w:val="right" w:leader="dot" w:pos="8312"/>
        </w:tabs>
      </w:pPr>
      <w:r>
        <w:rPr>
          <w:rFonts w:hint="eastAsia" w:ascii="宋体" w:hAnsi="宋体" w:eastAsia="宋体" w:cs="宋体"/>
          <w:color w:val="auto"/>
          <w:kern w:val="0"/>
          <w:szCs w:val="21"/>
          <w:highlight w:val="none"/>
        </w:rPr>
        <w:fldChar w:fldCharType="begin"/>
      </w:r>
      <w:r>
        <w:rPr>
          <w:rFonts w:hint="eastAsia" w:ascii="宋体" w:hAnsi="宋体" w:eastAsia="宋体" w:cs="宋体"/>
          <w:kern w:val="0"/>
          <w:szCs w:val="21"/>
          <w:highlight w:val="none"/>
        </w:rPr>
        <w:instrText xml:space="preserve"> HYPERLINK \l _Toc1680 </w:instrText>
      </w:r>
      <w:r>
        <w:rPr>
          <w:rFonts w:hint="eastAsia" w:ascii="宋体" w:hAnsi="宋体" w:eastAsia="宋体" w:cs="宋体"/>
          <w:kern w:val="0"/>
          <w:szCs w:val="21"/>
          <w:highlight w:val="none"/>
        </w:rPr>
        <w:fldChar w:fldCharType="separate"/>
      </w:r>
      <w:r>
        <w:rPr>
          <w:rFonts w:hint="eastAsia" w:ascii="宋体" w:hAnsi="宋体" w:eastAsia="宋体" w:cs="宋体"/>
          <w:highlight w:val="none"/>
        </w:rPr>
        <w:t>第7章 政府采购合同</w:t>
      </w:r>
      <w:r>
        <w:tab/>
      </w:r>
      <w:r>
        <w:fldChar w:fldCharType="begin"/>
      </w:r>
      <w:r>
        <w:instrText xml:space="preserve"> PAGEREF _Toc1680 \h </w:instrText>
      </w:r>
      <w:r>
        <w:fldChar w:fldCharType="separate"/>
      </w:r>
      <w:r>
        <w:t>66</w:t>
      </w:r>
      <w:r>
        <w:fldChar w:fldCharType="end"/>
      </w:r>
      <w:r>
        <w:rPr>
          <w:rFonts w:hint="eastAsia" w:ascii="宋体" w:hAnsi="宋体" w:eastAsia="宋体" w:cs="宋体"/>
          <w:color w:val="auto"/>
          <w:kern w:val="0"/>
          <w:szCs w:val="21"/>
          <w:highlight w:val="none"/>
        </w:rPr>
        <w:fldChar w:fldCharType="end"/>
      </w:r>
    </w:p>
    <w:p>
      <w:pPr>
        <w:pStyle w:val="15"/>
        <w:keepNext w:val="0"/>
        <w:keepLines w:val="0"/>
        <w:pageBreakBefore w:val="0"/>
        <w:widowControl w:val="0"/>
        <w:tabs>
          <w:tab w:val="right" w:leader="dot" w:pos="8312"/>
        </w:tabs>
        <w:kinsoku/>
        <w:wordWrap/>
        <w:overflowPunct/>
        <w:topLinePunct w:val="0"/>
        <w:autoSpaceDE/>
        <w:autoSpaceDN/>
        <w:bidi w:val="0"/>
        <w:adjustRightInd/>
        <w:snapToGrid/>
        <w:spacing w:line="260" w:lineRule="exact"/>
        <w:textAlignment w:val="auto"/>
        <w:rPr>
          <w:rFonts w:hint="eastAsia" w:ascii="宋体" w:hAnsi="宋体" w:eastAsia="宋体" w:cs="宋体"/>
          <w:color w:val="auto"/>
          <w:highlight w:val="none"/>
        </w:rPr>
        <w:sectPr>
          <w:headerReference r:id="rId5" w:type="default"/>
          <w:footerReference r:id="rId7" w:type="default"/>
          <w:headerReference r:id="rId6" w:type="even"/>
          <w:footerReference r:id="rId8" w:type="even"/>
          <w:pgSz w:w="11906" w:h="16838"/>
          <w:pgMar w:top="1440" w:right="1797" w:bottom="1440" w:left="1797" w:header="851" w:footer="992" w:gutter="0"/>
          <w:pgNumType w:fmt="decimal" w:start="1"/>
          <w:cols w:space="720" w:num="1"/>
          <w:docGrid w:linePitch="312" w:charSpace="0"/>
        </w:sectPr>
      </w:pPr>
      <w:r>
        <w:rPr>
          <w:rFonts w:hint="eastAsia" w:ascii="宋体" w:hAnsi="宋体" w:eastAsia="宋体" w:cs="宋体"/>
          <w:color w:val="auto"/>
          <w:kern w:val="0"/>
          <w:szCs w:val="21"/>
          <w:highlight w:val="none"/>
        </w:rPr>
        <w:fldChar w:fldCharType="end"/>
      </w:r>
      <w:bookmarkStart w:id="1675" w:name="_GoBack"/>
      <w:bookmarkEnd w:id="1675"/>
    </w:p>
    <w:p>
      <w:pPr>
        <w:pStyle w:val="3"/>
        <w:tabs>
          <w:tab w:val="left" w:pos="0"/>
        </w:tabs>
        <w:spacing w:before="0" w:after="0" w:line="240" w:lineRule="atLeast"/>
        <w:jc w:val="center"/>
        <w:rPr>
          <w:rFonts w:hint="eastAsia" w:ascii="宋体" w:hAnsi="宋体" w:eastAsia="宋体" w:cs="宋体"/>
          <w:color w:val="auto"/>
          <w:highlight w:val="none"/>
        </w:rPr>
      </w:pPr>
      <w:bookmarkStart w:id="0" w:name="_Toc14861"/>
      <w:r>
        <w:rPr>
          <w:rFonts w:hint="eastAsia" w:ascii="宋体" w:hAnsi="宋体" w:eastAsia="宋体" w:cs="宋体"/>
          <w:color w:val="auto"/>
          <w:highlight w:val="none"/>
        </w:rPr>
        <w:t>第</w:t>
      </w:r>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rPr>
        <w:t>章</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须知</w:t>
      </w:r>
      <w:bookmarkEnd w:id="0"/>
    </w:p>
    <w:p>
      <w:pPr>
        <w:pStyle w:val="4"/>
        <w:spacing w:before="0" w:line="240" w:lineRule="atLeast"/>
        <w:ind w:left="1080" w:leftChars="257" w:hanging="540"/>
        <w:rPr>
          <w:rFonts w:hint="eastAsia" w:ascii="宋体" w:hAnsi="宋体" w:eastAsia="宋体" w:cs="宋体"/>
          <w:color w:val="auto"/>
          <w:sz w:val="24"/>
          <w:szCs w:val="24"/>
          <w:highlight w:val="none"/>
        </w:rPr>
      </w:pPr>
      <w:bookmarkStart w:id="1" w:name="_Toc515647757"/>
      <w:bookmarkStart w:id="2" w:name="_Toc520356143"/>
      <w:bookmarkStart w:id="3" w:name="_Toc216582805"/>
      <w:bookmarkStart w:id="4" w:name="_Toc21015"/>
      <w:bookmarkStart w:id="5" w:name="_Toc16706"/>
      <w:bookmarkStart w:id="6" w:name="_Toc21215"/>
      <w:bookmarkStart w:id="7" w:name="_Toc6524"/>
      <w:bookmarkStart w:id="8" w:name="_Toc5597"/>
      <w:r>
        <w:rPr>
          <w:rFonts w:hint="eastAsia" w:ascii="宋体" w:hAnsi="宋体" w:eastAsia="宋体" w:cs="宋体"/>
          <w:color w:val="auto"/>
          <w:sz w:val="24"/>
          <w:szCs w:val="24"/>
          <w:highlight w:val="none"/>
        </w:rPr>
        <w:t xml:space="preserve">一   </w:t>
      </w:r>
      <w:bookmarkEnd w:id="1"/>
      <w:bookmarkEnd w:id="2"/>
      <w:bookmarkEnd w:id="3"/>
      <w:r>
        <w:rPr>
          <w:rFonts w:hint="eastAsia" w:ascii="宋体" w:hAnsi="宋体" w:eastAsia="宋体" w:cs="宋体"/>
          <w:color w:val="auto"/>
          <w:sz w:val="24"/>
          <w:szCs w:val="24"/>
          <w:highlight w:val="none"/>
        </w:rPr>
        <w:t>总 则</w:t>
      </w:r>
      <w:bookmarkEnd w:id="4"/>
      <w:bookmarkEnd w:id="5"/>
      <w:bookmarkEnd w:id="6"/>
      <w:bookmarkEnd w:id="7"/>
      <w:bookmarkEnd w:id="8"/>
    </w:p>
    <w:p>
      <w:pPr>
        <w:pStyle w:val="5"/>
        <w:shd w:val="clear"/>
        <w:spacing w:before="0" w:after="0" w:line="380" w:lineRule="exact"/>
        <w:rPr>
          <w:rFonts w:hint="eastAsia" w:ascii="宋体" w:hAnsi="宋体" w:eastAsia="宋体" w:cs="宋体"/>
          <w:color w:val="auto"/>
          <w:sz w:val="24"/>
          <w:szCs w:val="24"/>
          <w:highlight w:val="none"/>
          <w:u w:val="none"/>
          <w:lang w:eastAsia="zh-CN"/>
        </w:rPr>
      </w:pPr>
      <w:bookmarkStart w:id="9" w:name="_Toc31685"/>
      <w:bookmarkStart w:id="10" w:name="_Toc25932"/>
      <w:bookmarkStart w:id="11" w:name="_Toc12861"/>
      <w:bookmarkStart w:id="12" w:name="_Toc333"/>
      <w:r>
        <w:rPr>
          <w:rFonts w:hint="eastAsia" w:ascii="宋体" w:hAnsi="宋体" w:eastAsia="宋体" w:cs="宋体"/>
          <w:color w:val="auto"/>
          <w:sz w:val="24"/>
          <w:szCs w:val="24"/>
          <w:highlight w:val="none"/>
          <w:u w:val="none"/>
        </w:rPr>
        <w:t>1.采购人、采购代理机构及</w:t>
      </w:r>
      <w:bookmarkEnd w:id="9"/>
      <w:bookmarkEnd w:id="10"/>
      <w:bookmarkEnd w:id="11"/>
      <w:bookmarkEnd w:id="12"/>
      <w:r>
        <w:rPr>
          <w:rFonts w:hint="eastAsia" w:hAnsi="宋体" w:cs="宋体"/>
          <w:color w:val="auto"/>
          <w:sz w:val="24"/>
          <w:szCs w:val="24"/>
          <w:highlight w:val="none"/>
          <w:u w:val="none"/>
          <w:lang w:eastAsia="zh-CN"/>
        </w:rPr>
        <w:t>供应商</w:t>
      </w:r>
    </w:p>
    <w:p>
      <w:pPr>
        <w:numPr>
          <w:ilvl w:val="1"/>
          <w:numId w:val="2"/>
        </w:numPr>
        <w:shd w:val="clear"/>
        <w:tabs>
          <w:tab w:val="left" w:pos="0"/>
          <w:tab w:val="clear" w:pos="900"/>
        </w:tabs>
        <w:spacing w:line="380" w:lineRule="exact"/>
        <w:ind w:hanging="898"/>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采购人：是指依法开展政府采购活动的国家机关、事业单位、团体组织。</w:t>
      </w:r>
    </w:p>
    <w:p>
      <w:pPr>
        <w:shd w:val="clear"/>
        <w:tabs>
          <w:tab w:val="left" w:pos="0"/>
        </w:tabs>
        <w:spacing w:line="380" w:lineRule="exact"/>
        <w:ind w:left="9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本项目的采购人见</w:t>
      </w:r>
      <w:r>
        <w:rPr>
          <w:rFonts w:hint="eastAsia" w:ascii="宋体" w:hAnsi="宋体" w:cs="宋体"/>
          <w:color w:val="auto"/>
          <w:sz w:val="24"/>
          <w:szCs w:val="24"/>
          <w:highlight w:val="none"/>
          <w:u w:val="single"/>
          <w:lang w:eastAsia="zh-CN"/>
        </w:rPr>
        <w:t>供应商</w:t>
      </w:r>
      <w:r>
        <w:rPr>
          <w:rFonts w:hint="eastAsia" w:ascii="宋体" w:hAnsi="宋体" w:eastAsia="宋体" w:cs="宋体"/>
          <w:color w:val="auto"/>
          <w:sz w:val="24"/>
          <w:szCs w:val="24"/>
          <w:highlight w:val="none"/>
          <w:u w:val="single"/>
        </w:rPr>
        <w:t>须知资料表</w:t>
      </w:r>
      <w:r>
        <w:rPr>
          <w:rFonts w:hint="eastAsia" w:ascii="宋体" w:hAnsi="宋体" w:eastAsia="宋体" w:cs="宋体"/>
          <w:color w:val="auto"/>
          <w:sz w:val="24"/>
          <w:szCs w:val="24"/>
          <w:highlight w:val="none"/>
        </w:rPr>
        <w:t>。</w:t>
      </w:r>
    </w:p>
    <w:p>
      <w:pPr>
        <w:numPr>
          <w:ilvl w:val="1"/>
          <w:numId w:val="2"/>
        </w:numPr>
        <w:shd w:val="clear"/>
        <w:tabs>
          <w:tab w:val="left" w:pos="0"/>
          <w:tab w:val="clear" w:pos="900"/>
        </w:tabs>
        <w:spacing w:line="380" w:lineRule="exact"/>
        <w:ind w:hanging="898"/>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采购代理机构：是指在集中采购机构或从事采购代理业务的社会中介机构。本项目的采购代理机构见</w:t>
      </w:r>
      <w:r>
        <w:rPr>
          <w:rFonts w:hint="eastAsia" w:ascii="宋体" w:hAnsi="宋体" w:cs="宋体"/>
          <w:color w:val="auto"/>
          <w:sz w:val="24"/>
          <w:szCs w:val="24"/>
          <w:highlight w:val="none"/>
          <w:u w:val="single"/>
          <w:lang w:eastAsia="zh-CN"/>
        </w:rPr>
        <w:t>供应商</w:t>
      </w:r>
      <w:r>
        <w:rPr>
          <w:rFonts w:hint="eastAsia" w:ascii="宋体" w:hAnsi="宋体" w:eastAsia="宋体" w:cs="宋体"/>
          <w:color w:val="auto"/>
          <w:sz w:val="24"/>
          <w:szCs w:val="24"/>
          <w:highlight w:val="none"/>
          <w:u w:val="single"/>
        </w:rPr>
        <w:t>须知资料表</w:t>
      </w:r>
      <w:r>
        <w:rPr>
          <w:rFonts w:hint="eastAsia" w:ascii="宋体" w:hAnsi="宋体" w:eastAsia="宋体" w:cs="宋体"/>
          <w:color w:val="auto"/>
          <w:sz w:val="24"/>
          <w:szCs w:val="24"/>
          <w:highlight w:val="none"/>
        </w:rPr>
        <w:t>。</w:t>
      </w:r>
    </w:p>
    <w:p>
      <w:pPr>
        <w:numPr>
          <w:ilvl w:val="1"/>
          <w:numId w:val="2"/>
        </w:numPr>
        <w:shd w:val="clear"/>
        <w:spacing w:line="380" w:lineRule="exact"/>
        <w:ind w:hangingChars="375"/>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：是指向采购人提供货物、工程或者服务的法人、非法人组织或者自然人。本项目的</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及其投标货物须满足以下条件：</w:t>
      </w:r>
    </w:p>
    <w:p>
      <w:pPr>
        <w:shd w:val="clear"/>
        <w:spacing w:line="380" w:lineRule="exact"/>
        <w:ind w:left="850" w:hanging="849" w:hangingChars="354"/>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1.3.1</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在中华人民共和国境内注册，能够独立承担民事责任，有生产或供应能力的本国供应商。</w:t>
      </w:r>
    </w:p>
    <w:p>
      <w:pPr>
        <w:shd w:val="clear"/>
        <w:spacing w:line="38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1.3.2  具备《中华人民共和国政府采购法》第二十二条关于供应商条件的规定，遵守本项目采购人本级和上级财政部门政府采购的有关规定。</w:t>
      </w:r>
    </w:p>
    <w:p>
      <w:pPr>
        <w:shd w:val="clear"/>
        <w:spacing w:line="38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1.3.3   以采购代理机构认可的方式获得了本项目的招标文件。</w:t>
      </w:r>
    </w:p>
    <w:p>
      <w:pPr>
        <w:shd w:val="clear"/>
        <w:spacing w:line="38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1.3.4   符合</w:t>
      </w:r>
      <w:r>
        <w:rPr>
          <w:rFonts w:hint="eastAsia" w:ascii="宋体" w:hAnsi="宋体" w:cs="宋体"/>
          <w:color w:val="auto"/>
          <w:sz w:val="24"/>
          <w:szCs w:val="24"/>
          <w:highlight w:val="none"/>
          <w:u w:val="single"/>
          <w:lang w:eastAsia="zh-CN"/>
        </w:rPr>
        <w:t>供应商</w:t>
      </w:r>
      <w:r>
        <w:rPr>
          <w:rFonts w:hint="eastAsia" w:ascii="宋体" w:hAnsi="宋体" w:eastAsia="宋体" w:cs="宋体"/>
          <w:color w:val="auto"/>
          <w:sz w:val="24"/>
          <w:szCs w:val="24"/>
          <w:highlight w:val="none"/>
          <w:u w:val="single"/>
        </w:rPr>
        <w:t>须知资料表</w:t>
      </w:r>
      <w:r>
        <w:rPr>
          <w:rFonts w:hint="eastAsia" w:ascii="宋体" w:hAnsi="宋体" w:eastAsia="宋体" w:cs="宋体"/>
          <w:color w:val="auto"/>
          <w:sz w:val="24"/>
          <w:szCs w:val="24"/>
          <w:highlight w:val="none"/>
        </w:rPr>
        <w:t>中规定的其他要求。</w:t>
      </w:r>
    </w:p>
    <w:p>
      <w:pPr>
        <w:shd w:val="clear"/>
        <w:spacing w:line="38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1.3.5   若</w:t>
      </w:r>
      <w:r>
        <w:rPr>
          <w:rFonts w:hint="eastAsia" w:ascii="宋体" w:hAnsi="宋体" w:cs="宋体"/>
          <w:color w:val="auto"/>
          <w:sz w:val="24"/>
          <w:szCs w:val="24"/>
          <w:highlight w:val="none"/>
          <w:u w:val="single"/>
          <w:lang w:eastAsia="zh-CN"/>
        </w:rPr>
        <w:t>供应商</w:t>
      </w:r>
      <w:r>
        <w:rPr>
          <w:rFonts w:hint="eastAsia" w:ascii="宋体" w:hAnsi="宋体" w:eastAsia="宋体" w:cs="宋体"/>
          <w:color w:val="auto"/>
          <w:sz w:val="24"/>
          <w:szCs w:val="24"/>
          <w:highlight w:val="none"/>
          <w:u w:val="single"/>
        </w:rPr>
        <w:t>须知资料表</w:t>
      </w:r>
      <w:r>
        <w:rPr>
          <w:rFonts w:hint="eastAsia" w:ascii="宋体" w:hAnsi="宋体" w:eastAsia="宋体" w:cs="宋体"/>
          <w:color w:val="auto"/>
          <w:sz w:val="24"/>
          <w:szCs w:val="24"/>
          <w:highlight w:val="none"/>
        </w:rPr>
        <w:t>中写明允许采购进口产品，</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应保证所投产品可履行合法报通关手续进入中国关境内。</w:t>
      </w:r>
    </w:p>
    <w:p>
      <w:pPr>
        <w:shd w:val="clear"/>
        <w:spacing w:line="380" w:lineRule="exact"/>
        <w:ind w:left="899" w:leftChars="428"/>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若</w:t>
      </w:r>
      <w:r>
        <w:rPr>
          <w:rFonts w:hint="eastAsia" w:ascii="宋体" w:hAnsi="宋体" w:cs="宋体"/>
          <w:color w:val="auto"/>
          <w:sz w:val="24"/>
          <w:szCs w:val="24"/>
          <w:highlight w:val="none"/>
          <w:u w:val="single"/>
          <w:lang w:eastAsia="zh-CN"/>
        </w:rPr>
        <w:t>供应商</w:t>
      </w:r>
      <w:r>
        <w:rPr>
          <w:rFonts w:hint="eastAsia" w:ascii="宋体" w:hAnsi="宋体" w:eastAsia="宋体" w:cs="宋体"/>
          <w:color w:val="auto"/>
          <w:sz w:val="24"/>
          <w:szCs w:val="24"/>
          <w:highlight w:val="none"/>
          <w:u w:val="single"/>
        </w:rPr>
        <w:t>须知资料表</w:t>
      </w:r>
      <w:r>
        <w:rPr>
          <w:rFonts w:hint="eastAsia" w:ascii="宋体" w:hAnsi="宋体" w:eastAsia="宋体" w:cs="宋体"/>
          <w:color w:val="auto"/>
          <w:sz w:val="24"/>
          <w:szCs w:val="24"/>
          <w:highlight w:val="none"/>
        </w:rPr>
        <w:t>中未写明允许采购进口产品，如</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所投产品为进口产品，其投标将被认定为</w:t>
      </w:r>
      <w:r>
        <w:rPr>
          <w:rFonts w:hint="eastAsia" w:ascii="宋体" w:hAnsi="宋体" w:eastAsia="宋体" w:cs="宋体"/>
          <w:b/>
          <w:bCs/>
          <w:color w:val="auto"/>
          <w:sz w:val="24"/>
          <w:szCs w:val="24"/>
          <w:highlight w:val="none"/>
        </w:rPr>
        <w:t>投标无效</w:t>
      </w:r>
      <w:r>
        <w:rPr>
          <w:rFonts w:hint="eastAsia" w:ascii="宋体" w:hAnsi="宋体" w:eastAsia="宋体" w:cs="宋体"/>
          <w:color w:val="auto"/>
          <w:sz w:val="24"/>
          <w:szCs w:val="24"/>
          <w:highlight w:val="none"/>
        </w:rPr>
        <w:t>。</w:t>
      </w:r>
    </w:p>
    <w:p>
      <w:pPr>
        <w:shd w:val="clear"/>
        <w:spacing w:line="380" w:lineRule="exact"/>
        <w:ind w:left="840" w:hanging="840" w:hangingChars="3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1.3.6  若</w:t>
      </w:r>
      <w:r>
        <w:rPr>
          <w:rFonts w:hint="eastAsia" w:ascii="宋体" w:hAnsi="宋体" w:cs="宋体"/>
          <w:color w:val="auto"/>
          <w:sz w:val="24"/>
          <w:szCs w:val="24"/>
          <w:highlight w:val="none"/>
          <w:u w:val="single"/>
          <w:lang w:eastAsia="zh-CN"/>
        </w:rPr>
        <w:t>供应商</w:t>
      </w:r>
      <w:r>
        <w:rPr>
          <w:rFonts w:hint="eastAsia" w:ascii="宋体" w:hAnsi="宋体" w:eastAsia="宋体" w:cs="宋体"/>
          <w:color w:val="auto"/>
          <w:sz w:val="24"/>
          <w:szCs w:val="24"/>
          <w:highlight w:val="none"/>
          <w:u w:val="single"/>
        </w:rPr>
        <w:t>须知资料表</w:t>
      </w:r>
      <w:r>
        <w:rPr>
          <w:rFonts w:hint="eastAsia" w:ascii="宋体" w:hAnsi="宋体" w:eastAsia="宋体" w:cs="宋体"/>
          <w:color w:val="auto"/>
          <w:sz w:val="24"/>
          <w:szCs w:val="24"/>
          <w:highlight w:val="none"/>
        </w:rPr>
        <w:t>中写明专门面向中小企业采购的，如</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为非中小企业且所投产品为非中小企业产品，其投标将被认定为</w:t>
      </w:r>
      <w:r>
        <w:rPr>
          <w:rFonts w:hint="eastAsia" w:ascii="宋体" w:hAnsi="宋体" w:eastAsia="宋体" w:cs="宋体"/>
          <w:b/>
          <w:bCs/>
          <w:color w:val="auto"/>
          <w:sz w:val="24"/>
          <w:szCs w:val="24"/>
          <w:highlight w:val="none"/>
        </w:rPr>
        <w:t>投标无效</w:t>
      </w:r>
      <w:r>
        <w:rPr>
          <w:rFonts w:hint="eastAsia" w:ascii="宋体" w:hAnsi="宋体" w:eastAsia="宋体" w:cs="宋体"/>
          <w:color w:val="auto"/>
          <w:sz w:val="24"/>
          <w:szCs w:val="24"/>
          <w:highlight w:val="none"/>
        </w:rPr>
        <w:t>。</w:t>
      </w:r>
    </w:p>
    <w:p>
      <w:pPr>
        <w:shd w:val="clear"/>
        <w:spacing w:line="38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    如</w:t>
      </w:r>
      <w:r>
        <w:rPr>
          <w:rFonts w:hint="eastAsia" w:ascii="宋体" w:hAnsi="宋体" w:cs="宋体"/>
          <w:color w:val="auto"/>
          <w:sz w:val="24"/>
          <w:szCs w:val="24"/>
          <w:highlight w:val="none"/>
          <w:u w:val="single"/>
          <w:lang w:eastAsia="zh-CN"/>
        </w:rPr>
        <w:t>供应商</w:t>
      </w:r>
      <w:r>
        <w:rPr>
          <w:rFonts w:hint="eastAsia" w:ascii="宋体" w:hAnsi="宋体" w:eastAsia="宋体" w:cs="宋体"/>
          <w:color w:val="auto"/>
          <w:sz w:val="24"/>
          <w:szCs w:val="24"/>
          <w:highlight w:val="none"/>
          <w:u w:val="single"/>
        </w:rPr>
        <w:t>须知资料表</w:t>
      </w:r>
      <w:r>
        <w:rPr>
          <w:rFonts w:hint="eastAsia" w:ascii="宋体" w:hAnsi="宋体" w:eastAsia="宋体" w:cs="宋体"/>
          <w:color w:val="auto"/>
          <w:sz w:val="24"/>
          <w:szCs w:val="24"/>
          <w:highlight w:val="none"/>
        </w:rPr>
        <w:t>中允许联合体投标，对联合体规定如下：</w:t>
      </w:r>
    </w:p>
    <w:p>
      <w:pPr>
        <w:shd w:val="clear"/>
        <w:spacing w:line="38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1.4.1   两个以上供应商可以组成一个投标联合体，以一个</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的身份投标。</w:t>
      </w:r>
    </w:p>
    <w:p>
      <w:pPr>
        <w:shd w:val="clear"/>
        <w:spacing w:line="38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1.4.2   联合体各方均应符合《中华人民共和国政府采购法》第二十二条规定的条件。</w:t>
      </w:r>
    </w:p>
    <w:p>
      <w:pPr>
        <w:shd w:val="clear"/>
        <w:spacing w:line="38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1.4.3   采购人根据采购项目对</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的特殊要求，联合体中至少应当有一方符合相关规定。</w:t>
      </w:r>
    </w:p>
    <w:p>
      <w:pPr>
        <w:shd w:val="clear"/>
        <w:spacing w:line="38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1.4.4   联合体各方应签订共同投标协议，明确约定联合体各方承担的工作和相应的责任，并将共同投标协议连同作为投标文件第一部分的内容提交。</w:t>
      </w:r>
    </w:p>
    <w:p>
      <w:pPr>
        <w:shd w:val="clear"/>
        <w:spacing w:line="38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1.4.5   大中型企业、其他自然人、法人或者非法人组织与小型、微型企业组成联合体共同参加投标，共同投标协议中应写明小型、微型企业的协议合同金额占到共同投标协议投标总金额的比例。</w:t>
      </w:r>
    </w:p>
    <w:p>
      <w:pPr>
        <w:shd w:val="clear"/>
        <w:spacing w:line="38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1.4.6  联合体中有同类资质的供应商按照联合体分工承担相同工作的，按照较低的资质等级确定联合体的资质等级。</w:t>
      </w:r>
    </w:p>
    <w:p>
      <w:pPr>
        <w:shd w:val="clear"/>
        <w:spacing w:line="38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1.4.7  以联合体形式参加政府采购活动的，联合体各方不得再单独参加或者与其他供应商另外组成联合体参加本项目投标，否则相关投标将被认定为</w:t>
      </w:r>
      <w:r>
        <w:rPr>
          <w:rFonts w:hint="eastAsia" w:ascii="宋体" w:hAnsi="宋体" w:eastAsia="宋体" w:cs="宋体"/>
          <w:b/>
          <w:bCs/>
          <w:color w:val="auto"/>
          <w:sz w:val="24"/>
          <w:szCs w:val="24"/>
          <w:highlight w:val="none"/>
        </w:rPr>
        <w:t>投标无效</w:t>
      </w:r>
      <w:r>
        <w:rPr>
          <w:rFonts w:hint="eastAsia" w:ascii="宋体" w:hAnsi="宋体" w:eastAsia="宋体" w:cs="宋体"/>
          <w:color w:val="auto"/>
          <w:sz w:val="24"/>
          <w:szCs w:val="24"/>
          <w:highlight w:val="none"/>
        </w:rPr>
        <w:t>。</w:t>
      </w:r>
    </w:p>
    <w:p>
      <w:pPr>
        <w:shd w:val="clear"/>
        <w:spacing w:line="38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1.4.8   对联合体投标的其他资格要求见</w:t>
      </w:r>
      <w:r>
        <w:rPr>
          <w:rFonts w:hint="eastAsia" w:ascii="宋体" w:hAnsi="宋体" w:cs="宋体"/>
          <w:color w:val="auto"/>
          <w:sz w:val="24"/>
          <w:szCs w:val="24"/>
          <w:highlight w:val="none"/>
          <w:u w:val="single"/>
          <w:lang w:eastAsia="zh-CN"/>
        </w:rPr>
        <w:t>供应商</w:t>
      </w:r>
      <w:r>
        <w:rPr>
          <w:rFonts w:hint="eastAsia" w:ascii="宋体" w:hAnsi="宋体" w:eastAsia="宋体" w:cs="宋体"/>
          <w:color w:val="auto"/>
          <w:sz w:val="24"/>
          <w:szCs w:val="24"/>
          <w:highlight w:val="none"/>
          <w:u w:val="single"/>
        </w:rPr>
        <w:t>须知资料表</w:t>
      </w:r>
      <w:r>
        <w:rPr>
          <w:rFonts w:hint="eastAsia" w:ascii="宋体" w:hAnsi="宋体" w:eastAsia="宋体" w:cs="宋体"/>
          <w:color w:val="auto"/>
          <w:sz w:val="24"/>
          <w:szCs w:val="24"/>
          <w:highlight w:val="none"/>
        </w:rPr>
        <w:t>。</w:t>
      </w:r>
    </w:p>
    <w:p>
      <w:pPr>
        <w:shd w:val="clear"/>
        <w:spacing w:line="38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    单位负责人为同一人或者存在直接控股、管理关系的不同供应商，其相关投标将被认定为</w:t>
      </w:r>
      <w:r>
        <w:rPr>
          <w:rFonts w:hint="eastAsia" w:ascii="宋体" w:hAnsi="宋体" w:eastAsia="宋体" w:cs="宋体"/>
          <w:b/>
          <w:bCs/>
          <w:color w:val="auto"/>
          <w:sz w:val="24"/>
          <w:szCs w:val="24"/>
          <w:highlight w:val="none"/>
        </w:rPr>
        <w:t>投标无效</w:t>
      </w:r>
      <w:r>
        <w:rPr>
          <w:rFonts w:hint="eastAsia" w:ascii="宋体" w:hAnsi="宋体" w:eastAsia="宋体" w:cs="宋体"/>
          <w:color w:val="auto"/>
          <w:sz w:val="24"/>
          <w:szCs w:val="24"/>
          <w:highlight w:val="none"/>
        </w:rPr>
        <w:t>。</w:t>
      </w:r>
    </w:p>
    <w:p>
      <w:pPr>
        <w:shd w:val="clear"/>
        <w:spacing w:line="38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    为本项目提供过整体设计、规范编制或者项目管理、监理、检测等货物的供应商，不得再参加本项目上述货物以外的其他采购活动。否则其投标将被认定为</w:t>
      </w:r>
      <w:r>
        <w:rPr>
          <w:rFonts w:hint="eastAsia" w:ascii="宋体" w:hAnsi="宋体" w:eastAsia="宋体" w:cs="宋体"/>
          <w:b/>
          <w:bCs/>
          <w:color w:val="auto"/>
          <w:sz w:val="24"/>
          <w:szCs w:val="24"/>
          <w:highlight w:val="none"/>
        </w:rPr>
        <w:t>投标无效</w:t>
      </w:r>
      <w:r>
        <w:rPr>
          <w:rFonts w:hint="eastAsia" w:ascii="宋体" w:hAnsi="宋体" w:eastAsia="宋体" w:cs="宋体"/>
          <w:color w:val="auto"/>
          <w:sz w:val="24"/>
          <w:szCs w:val="24"/>
          <w:highlight w:val="none"/>
        </w:rPr>
        <w:t>。</w:t>
      </w:r>
    </w:p>
    <w:p>
      <w:pPr>
        <w:shd w:val="clear"/>
        <w:spacing w:line="38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1.7</w:t>
      </w:r>
      <w:r>
        <w:rPr>
          <w:rFonts w:hint="eastAsia" w:ascii="宋体" w:hAnsi="宋体" w:eastAsia="宋体" w:cs="宋体"/>
          <w:color w:val="auto"/>
          <w:sz w:val="24"/>
          <w:szCs w:val="24"/>
          <w:highlight w:val="none"/>
        </w:rPr>
        <w:tab/>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在投标过程中不得向采购人提供、给予任何有价值的物品，影响其正常决策行为。一经发现，其将被认定为</w:t>
      </w:r>
      <w:r>
        <w:rPr>
          <w:rFonts w:hint="eastAsia" w:ascii="宋体" w:hAnsi="宋体" w:eastAsia="宋体" w:cs="宋体"/>
          <w:b/>
          <w:bCs/>
          <w:color w:val="auto"/>
          <w:sz w:val="24"/>
          <w:szCs w:val="24"/>
          <w:highlight w:val="none"/>
        </w:rPr>
        <w:t>投标无效</w:t>
      </w:r>
      <w:r>
        <w:rPr>
          <w:rFonts w:hint="eastAsia" w:ascii="宋体" w:hAnsi="宋体" w:eastAsia="宋体" w:cs="宋体"/>
          <w:color w:val="auto"/>
          <w:sz w:val="24"/>
          <w:szCs w:val="24"/>
          <w:highlight w:val="none"/>
        </w:rPr>
        <w:t>。</w:t>
      </w:r>
    </w:p>
    <w:p>
      <w:pPr>
        <w:pStyle w:val="5"/>
        <w:shd w:val="clear"/>
        <w:spacing w:before="0" w:after="0" w:line="380" w:lineRule="exact"/>
        <w:rPr>
          <w:rFonts w:hint="eastAsia" w:ascii="宋体" w:hAnsi="宋体" w:eastAsia="宋体" w:cs="宋体"/>
          <w:color w:val="auto"/>
          <w:sz w:val="24"/>
          <w:szCs w:val="24"/>
          <w:highlight w:val="none"/>
          <w:u w:val="none"/>
        </w:rPr>
      </w:pPr>
      <w:bookmarkStart w:id="13" w:name="_Toc1760"/>
      <w:bookmarkStart w:id="14" w:name="_Toc2071"/>
      <w:bookmarkStart w:id="15" w:name="_Toc27814"/>
      <w:bookmarkStart w:id="16" w:name="_Toc7800"/>
      <w:r>
        <w:rPr>
          <w:rFonts w:hint="eastAsia" w:ascii="宋体" w:hAnsi="宋体" w:eastAsia="宋体" w:cs="宋体"/>
          <w:color w:val="auto"/>
          <w:sz w:val="24"/>
          <w:szCs w:val="24"/>
          <w:highlight w:val="none"/>
          <w:u w:val="none"/>
        </w:rPr>
        <w:t>2.资金来源</w:t>
      </w:r>
      <w:bookmarkEnd w:id="13"/>
      <w:bookmarkEnd w:id="14"/>
      <w:bookmarkEnd w:id="15"/>
      <w:bookmarkEnd w:id="16"/>
    </w:p>
    <w:p>
      <w:pPr>
        <w:shd w:val="clear"/>
        <w:spacing w:line="38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本项目的采购人已获得足以支付本次招标后所签订的合同项下的资金（包括财政性资金和本项目采购中无法与财政性资金分割的非财政性资金）。</w:t>
      </w:r>
    </w:p>
    <w:p>
      <w:pPr>
        <w:shd w:val="clear"/>
        <w:spacing w:line="38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    项目预算金额和分项或分包最高限价</w:t>
      </w:r>
      <w:r>
        <w:rPr>
          <w:rFonts w:hint="eastAsia" w:ascii="宋体" w:hAnsi="宋体" w:eastAsia="宋体" w:cs="宋体"/>
          <w:color w:val="auto"/>
          <w:sz w:val="24"/>
          <w:szCs w:val="24"/>
          <w:highlight w:val="none"/>
          <w:u w:val="single"/>
        </w:rPr>
        <w:t>见</w:t>
      </w:r>
      <w:r>
        <w:rPr>
          <w:rFonts w:hint="eastAsia" w:ascii="宋体" w:hAnsi="宋体" w:cs="宋体"/>
          <w:color w:val="auto"/>
          <w:sz w:val="24"/>
          <w:szCs w:val="24"/>
          <w:highlight w:val="none"/>
          <w:u w:val="single"/>
          <w:lang w:eastAsia="zh-CN"/>
        </w:rPr>
        <w:t>供应商</w:t>
      </w:r>
      <w:r>
        <w:rPr>
          <w:rFonts w:hint="eastAsia" w:ascii="宋体" w:hAnsi="宋体" w:eastAsia="宋体" w:cs="宋体"/>
          <w:color w:val="auto"/>
          <w:sz w:val="24"/>
          <w:szCs w:val="24"/>
          <w:highlight w:val="none"/>
          <w:u w:val="single"/>
        </w:rPr>
        <w:t>须知资料表</w:t>
      </w:r>
      <w:r>
        <w:rPr>
          <w:rFonts w:hint="eastAsia" w:ascii="宋体" w:hAnsi="宋体" w:eastAsia="宋体" w:cs="宋体"/>
          <w:color w:val="auto"/>
          <w:sz w:val="24"/>
          <w:szCs w:val="24"/>
          <w:highlight w:val="none"/>
        </w:rPr>
        <w:t>。</w:t>
      </w:r>
    </w:p>
    <w:p>
      <w:pPr>
        <w:shd w:val="clear"/>
        <w:spacing w:line="38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2.3    </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报价超过招标文件规定的预算金额或者分项、分包最高限价的，其投标将被认定为</w:t>
      </w:r>
      <w:r>
        <w:rPr>
          <w:rFonts w:hint="eastAsia" w:ascii="宋体" w:hAnsi="宋体" w:eastAsia="宋体" w:cs="宋体"/>
          <w:b/>
          <w:bCs/>
          <w:color w:val="auto"/>
          <w:sz w:val="24"/>
          <w:szCs w:val="24"/>
          <w:highlight w:val="none"/>
        </w:rPr>
        <w:t>投标无效</w:t>
      </w:r>
      <w:r>
        <w:rPr>
          <w:rFonts w:hint="eastAsia" w:ascii="宋体" w:hAnsi="宋体" w:eastAsia="宋体" w:cs="宋体"/>
          <w:color w:val="auto"/>
          <w:sz w:val="24"/>
          <w:szCs w:val="24"/>
          <w:highlight w:val="none"/>
        </w:rPr>
        <w:t>。</w:t>
      </w:r>
    </w:p>
    <w:p>
      <w:pPr>
        <w:pStyle w:val="5"/>
        <w:shd w:val="clear"/>
        <w:spacing w:before="0" w:after="0" w:line="380" w:lineRule="exact"/>
        <w:rPr>
          <w:rFonts w:hint="eastAsia" w:ascii="宋体" w:hAnsi="宋体" w:eastAsia="宋体" w:cs="宋体"/>
          <w:color w:val="auto"/>
          <w:sz w:val="24"/>
          <w:szCs w:val="24"/>
          <w:highlight w:val="none"/>
          <w:u w:val="none"/>
        </w:rPr>
      </w:pPr>
      <w:bookmarkStart w:id="17" w:name="_Toc16693"/>
      <w:bookmarkStart w:id="18" w:name="_Toc20799"/>
      <w:bookmarkStart w:id="19" w:name="_Toc22731"/>
      <w:r>
        <w:rPr>
          <w:rFonts w:hint="eastAsia" w:ascii="宋体" w:hAnsi="宋体" w:eastAsia="宋体" w:cs="宋体"/>
          <w:color w:val="auto"/>
          <w:sz w:val="24"/>
          <w:szCs w:val="24"/>
          <w:highlight w:val="none"/>
          <w:u w:val="none"/>
        </w:rPr>
        <w:t>3.投标费用</w:t>
      </w:r>
      <w:bookmarkEnd w:id="17"/>
      <w:bookmarkEnd w:id="18"/>
      <w:bookmarkEnd w:id="19"/>
    </w:p>
    <w:p>
      <w:pPr>
        <w:shd w:val="clear"/>
        <w:spacing w:line="38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不论投标的结果如何，</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应承担所有与准备和参加投标有关的费用。</w:t>
      </w:r>
    </w:p>
    <w:p>
      <w:pPr>
        <w:pStyle w:val="5"/>
        <w:shd w:val="clear"/>
        <w:spacing w:before="0" w:after="0" w:line="380" w:lineRule="exact"/>
        <w:rPr>
          <w:rFonts w:hint="eastAsia" w:ascii="宋体" w:hAnsi="宋体" w:eastAsia="宋体" w:cs="宋体"/>
          <w:color w:val="auto"/>
          <w:sz w:val="24"/>
          <w:szCs w:val="24"/>
          <w:highlight w:val="none"/>
          <w:u w:val="none"/>
        </w:rPr>
      </w:pPr>
      <w:bookmarkStart w:id="20" w:name="_Toc12920"/>
      <w:bookmarkStart w:id="21" w:name="_Toc5853"/>
      <w:bookmarkStart w:id="22" w:name="_Toc16328"/>
      <w:bookmarkStart w:id="23" w:name="_Toc4619"/>
      <w:r>
        <w:rPr>
          <w:rFonts w:hint="eastAsia" w:ascii="宋体" w:hAnsi="宋体" w:eastAsia="宋体" w:cs="宋体"/>
          <w:color w:val="auto"/>
          <w:sz w:val="24"/>
          <w:szCs w:val="24"/>
          <w:highlight w:val="none"/>
          <w:u w:val="none"/>
        </w:rPr>
        <w:t>4.适用法律</w:t>
      </w:r>
      <w:bookmarkEnd w:id="20"/>
      <w:bookmarkEnd w:id="21"/>
      <w:bookmarkEnd w:id="22"/>
      <w:bookmarkEnd w:id="23"/>
    </w:p>
    <w:p>
      <w:pPr>
        <w:shd w:val="clear"/>
        <w:spacing w:line="38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本项目采购人、采购代理机构、</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、评标委员会的相关行为均受《中华人民共和国政府采购法》、《中华人民共和国政府采购法实施条例》及本项目本级和上级财政部门政府采购有关规定的约束，其权利受到上述法律法规的保护。</w:t>
      </w:r>
    </w:p>
    <w:p>
      <w:pPr>
        <w:shd w:val="clear"/>
        <w:spacing w:line="360" w:lineRule="exact"/>
        <w:rPr>
          <w:rFonts w:hint="eastAsia" w:ascii="宋体" w:hAnsi="宋体" w:eastAsia="宋体" w:cs="宋体"/>
          <w:color w:val="auto"/>
          <w:sz w:val="24"/>
          <w:szCs w:val="24"/>
          <w:highlight w:val="none"/>
        </w:rPr>
      </w:pPr>
    </w:p>
    <w:p>
      <w:pPr>
        <w:pStyle w:val="4"/>
        <w:shd w:val="clear"/>
        <w:spacing w:before="0" w:line="360" w:lineRule="auto"/>
        <w:rPr>
          <w:rFonts w:hint="eastAsia" w:ascii="宋体" w:hAnsi="宋体" w:eastAsia="宋体" w:cs="宋体"/>
          <w:color w:val="auto"/>
          <w:sz w:val="24"/>
          <w:szCs w:val="24"/>
          <w:highlight w:val="none"/>
        </w:rPr>
      </w:pPr>
      <w:bookmarkStart w:id="24" w:name="_Toc24252"/>
      <w:bookmarkStart w:id="25" w:name="_Toc6385"/>
      <w:bookmarkStart w:id="26" w:name="_Toc18667"/>
      <w:r>
        <w:rPr>
          <w:rFonts w:hint="eastAsia" w:ascii="宋体" w:hAnsi="宋体" w:eastAsia="宋体" w:cs="宋体"/>
          <w:color w:val="auto"/>
          <w:sz w:val="24"/>
          <w:szCs w:val="24"/>
          <w:highlight w:val="none"/>
        </w:rPr>
        <w:t>二   招标文件</w:t>
      </w:r>
      <w:bookmarkEnd w:id="24"/>
      <w:bookmarkEnd w:id="25"/>
      <w:bookmarkEnd w:id="26"/>
    </w:p>
    <w:p>
      <w:pPr>
        <w:pStyle w:val="5"/>
        <w:shd w:val="clear"/>
        <w:spacing w:before="0" w:after="0" w:line="360" w:lineRule="exact"/>
        <w:rPr>
          <w:rFonts w:hint="eastAsia" w:ascii="宋体" w:hAnsi="宋体" w:eastAsia="宋体" w:cs="宋体"/>
          <w:color w:val="auto"/>
          <w:sz w:val="24"/>
          <w:szCs w:val="24"/>
          <w:highlight w:val="none"/>
          <w:u w:val="none"/>
        </w:rPr>
      </w:pPr>
      <w:bookmarkStart w:id="27" w:name="_Toc29550"/>
      <w:bookmarkStart w:id="28" w:name="_Toc30280"/>
      <w:bookmarkStart w:id="29" w:name="_Toc24971"/>
      <w:bookmarkStart w:id="30" w:name="_Toc3663"/>
      <w:r>
        <w:rPr>
          <w:rFonts w:hint="eastAsia" w:ascii="宋体" w:hAnsi="宋体" w:eastAsia="宋体" w:cs="宋体"/>
          <w:color w:val="auto"/>
          <w:sz w:val="24"/>
          <w:szCs w:val="24"/>
          <w:highlight w:val="none"/>
          <w:u w:val="none"/>
        </w:rPr>
        <w:t>5.招标文件构成</w:t>
      </w:r>
      <w:bookmarkEnd w:id="27"/>
      <w:bookmarkEnd w:id="28"/>
      <w:bookmarkEnd w:id="29"/>
      <w:bookmarkEnd w:id="30"/>
    </w:p>
    <w:p>
      <w:pPr>
        <w:shd w:val="clear"/>
        <w:spacing w:line="36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招标文件分为三册共7章，内容如下：</w:t>
      </w:r>
    </w:p>
    <w:p>
      <w:pPr>
        <w:shd w:val="clear"/>
        <w:spacing w:line="360" w:lineRule="exact"/>
        <w:ind w:left="1079" w:leftChars="428" w:hanging="180" w:hangingChars="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第一册</w:t>
      </w:r>
    </w:p>
    <w:p>
      <w:pPr>
        <w:shd w:val="clear"/>
        <w:tabs>
          <w:tab w:val="left" w:pos="0"/>
        </w:tabs>
        <w:spacing w:line="360" w:lineRule="exact"/>
        <w:ind w:left="71"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1 </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须知</w:t>
      </w:r>
    </w:p>
    <w:p>
      <w:pPr>
        <w:shd w:val="clear"/>
        <w:spacing w:line="360" w:lineRule="exact"/>
        <w:ind w:left="901" w:leftChars="429"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2投标文件格式</w:t>
      </w:r>
    </w:p>
    <w:p>
      <w:pPr>
        <w:shd w:val="clear"/>
        <w:spacing w:line="360" w:lineRule="exact"/>
        <w:ind w:left="1081" w:leftChars="429" w:hanging="1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第二册</w:t>
      </w:r>
    </w:p>
    <w:p>
      <w:pPr>
        <w:shd w:val="clear"/>
        <w:spacing w:line="360" w:lineRule="exact"/>
        <w:ind w:left="901" w:leftChars="42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 投标邀请</w:t>
      </w:r>
    </w:p>
    <w:p>
      <w:pPr>
        <w:shd w:val="clear"/>
        <w:spacing w:line="360" w:lineRule="exact"/>
        <w:ind w:left="901" w:leftChars="42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4 </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须知资料表</w:t>
      </w:r>
    </w:p>
    <w:p>
      <w:pPr>
        <w:shd w:val="clear"/>
        <w:spacing w:line="360" w:lineRule="exact"/>
        <w:ind w:left="901" w:leftChars="42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5 货物需求一览表及项目要求 </w:t>
      </w:r>
    </w:p>
    <w:p>
      <w:pPr>
        <w:shd w:val="clear"/>
        <w:spacing w:line="360" w:lineRule="exact"/>
        <w:ind w:left="901" w:leftChars="42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 评标方法和标准</w:t>
      </w:r>
    </w:p>
    <w:p>
      <w:pPr>
        <w:shd w:val="clear"/>
        <w:spacing w:line="360" w:lineRule="exact"/>
        <w:ind w:left="90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第三册</w:t>
      </w:r>
    </w:p>
    <w:p>
      <w:pPr>
        <w:shd w:val="clear"/>
        <w:spacing w:line="360" w:lineRule="exact"/>
        <w:ind w:left="928" w:leftChars="44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7政府采购合同格式</w:t>
      </w:r>
    </w:p>
    <w:p>
      <w:pPr>
        <w:shd w:val="clear"/>
        <w:spacing w:line="36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5.2</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如本文件的前后内容不一致，以最后描述为准。</w:t>
      </w:r>
    </w:p>
    <w:p>
      <w:pPr>
        <w:shd w:val="clear"/>
        <w:spacing w:line="36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5.3    </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应认真阅读招标文件所有的事项、格式、条款和技术规范等。如</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没有按照招标文件要求提交全部资料，或者投标文件没有对招标文件在各方面都做出实质性响应，可能导致其投标将被认定为</w:t>
      </w:r>
      <w:r>
        <w:rPr>
          <w:rFonts w:hint="eastAsia" w:ascii="宋体" w:hAnsi="宋体" w:eastAsia="宋体" w:cs="宋体"/>
          <w:b/>
          <w:bCs/>
          <w:color w:val="auto"/>
          <w:sz w:val="24"/>
          <w:szCs w:val="24"/>
          <w:highlight w:val="none"/>
        </w:rPr>
        <w:t>投标无效</w:t>
      </w:r>
      <w:r>
        <w:rPr>
          <w:rFonts w:hint="eastAsia" w:ascii="宋体" w:hAnsi="宋体" w:eastAsia="宋体" w:cs="宋体"/>
          <w:color w:val="auto"/>
          <w:sz w:val="24"/>
          <w:szCs w:val="24"/>
          <w:highlight w:val="none"/>
        </w:rPr>
        <w:t>。</w:t>
      </w:r>
    </w:p>
    <w:p>
      <w:pPr>
        <w:pStyle w:val="5"/>
        <w:shd w:val="clear"/>
        <w:spacing w:before="0" w:after="0" w:line="360" w:lineRule="exact"/>
        <w:rPr>
          <w:rFonts w:hint="eastAsia" w:ascii="宋体" w:hAnsi="宋体" w:eastAsia="宋体" w:cs="宋体"/>
          <w:color w:val="auto"/>
          <w:sz w:val="24"/>
          <w:szCs w:val="24"/>
          <w:highlight w:val="none"/>
          <w:u w:val="none"/>
        </w:rPr>
      </w:pPr>
      <w:bookmarkStart w:id="31" w:name="_Toc3461"/>
      <w:bookmarkStart w:id="32" w:name="_Toc19275"/>
      <w:bookmarkStart w:id="33" w:name="_Toc28731"/>
      <w:bookmarkStart w:id="34" w:name="_Toc1117"/>
      <w:r>
        <w:rPr>
          <w:rFonts w:hint="eastAsia" w:ascii="宋体" w:hAnsi="宋体" w:eastAsia="宋体" w:cs="宋体"/>
          <w:color w:val="auto"/>
          <w:sz w:val="24"/>
          <w:szCs w:val="24"/>
          <w:highlight w:val="none"/>
          <w:u w:val="none"/>
        </w:rPr>
        <w:t>6.招标文件的澄清与修改</w:t>
      </w:r>
      <w:bookmarkEnd w:id="31"/>
      <w:bookmarkEnd w:id="32"/>
      <w:bookmarkEnd w:id="33"/>
      <w:bookmarkEnd w:id="34"/>
    </w:p>
    <w:p>
      <w:pPr>
        <w:pStyle w:val="6"/>
        <w:shd w:val="clear"/>
        <w:spacing w:line="360" w:lineRule="exact"/>
        <w:ind w:left="840" w:hanging="840" w:hangingChars="3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6.1    为了保证对招标文件的澄清和修改满足法律的时限要求，任何要求对招标文件进行澄清的</w:t>
      </w:r>
      <w:r>
        <w:rPr>
          <w:rFonts w:hint="eastAsia" w:hAnsi="宋体" w:cs="宋体"/>
          <w:color w:val="auto"/>
          <w:sz w:val="24"/>
          <w:szCs w:val="24"/>
          <w:highlight w:val="none"/>
          <w:lang w:eastAsia="zh-CN"/>
        </w:rPr>
        <w:t>供应商</w:t>
      </w:r>
      <w:r>
        <w:rPr>
          <w:rFonts w:hint="eastAsia" w:ascii="宋体" w:hAnsi="宋体" w:eastAsia="宋体" w:cs="宋体"/>
          <w:color w:val="auto"/>
          <w:sz w:val="24"/>
          <w:szCs w:val="24"/>
          <w:highlight w:val="none"/>
        </w:rPr>
        <w:t>，均应在投标截止期十五日前，以书面形式将澄清要求通知采购人或采购代理机构。</w:t>
      </w:r>
    </w:p>
    <w:p>
      <w:pPr>
        <w:pStyle w:val="6"/>
        <w:shd w:val="clear"/>
        <w:spacing w:line="360" w:lineRule="exact"/>
        <w:ind w:left="840" w:hanging="840" w:hangingChars="3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6.2</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采购人可主动地或在解答</w:t>
      </w:r>
      <w:r>
        <w:rPr>
          <w:rFonts w:hint="eastAsia" w:hAnsi="宋体" w:cs="宋体"/>
          <w:color w:val="auto"/>
          <w:sz w:val="24"/>
          <w:szCs w:val="24"/>
          <w:highlight w:val="none"/>
          <w:lang w:eastAsia="zh-CN"/>
        </w:rPr>
        <w:t>供应商</w:t>
      </w:r>
      <w:r>
        <w:rPr>
          <w:rFonts w:hint="eastAsia" w:ascii="宋体" w:hAnsi="宋体" w:eastAsia="宋体" w:cs="宋体"/>
          <w:color w:val="auto"/>
          <w:sz w:val="24"/>
          <w:szCs w:val="24"/>
          <w:highlight w:val="none"/>
        </w:rPr>
        <w:t>提出的澄清问题时对招标文件进行澄清或修改。采购代理机构将以发布澄清（更正）公告的方式，澄清或修改招标文件，澄清或修改内容作为招标文件的组成部分。</w:t>
      </w:r>
    </w:p>
    <w:p>
      <w:pPr>
        <w:pStyle w:val="6"/>
        <w:shd w:val="clear"/>
        <w:spacing w:line="360" w:lineRule="exact"/>
        <w:ind w:left="840" w:hanging="840" w:hangingChars="3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6.3</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澄清或者修改的内容可能影响投标文件编制的，采购代理机构将以书面形式通知所有购买招标文件的潜在</w:t>
      </w:r>
      <w:r>
        <w:rPr>
          <w:rFonts w:hint="eastAsia" w:hAnsi="宋体" w:cs="宋体"/>
          <w:color w:val="auto"/>
          <w:sz w:val="24"/>
          <w:szCs w:val="24"/>
          <w:highlight w:val="none"/>
          <w:lang w:eastAsia="zh-CN"/>
        </w:rPr>
        <w:t>供应商</w:t>
      </w:r>
      <w:r>
        <w:rPr>
          <w:rFonts w:hint="eastAsia" w:ascii="宋体" w:hAnsi="宋体" w:eastAsia="宋体" w:cs="宋体"/>
          <w:color w:val="auto"/>
          <w:sz w:val="24"/>
          <w:szCs w:val="24"/>
          <w:highlight w:val="none"/>
        </w:rPr>
        <w:t>，并对其具有约束力。</w:t>
      </w:r>
      <w:r>
        <w:rPr>
          <w:rFonts w:hint="eastAsia" w:hAnsi="宋体" w:cs="宋体"/>
          <w:color w:val="auto"/>
          <w:sz w:val="24"/>
          <w:szCs w:val="24"/>
          <w:highlight w:val="none"/>
          <w:lang w:eastAsia="zh-CN"/>
        </w:rPr>
        <w:t>供应商</w:t>
      </w:r>
      <w:r>
        <w:rPr>
          <w:rFonts w:hint="eastAsia" w:ascii="宋体" w:hAnsi="宋体" w:eastAsia="宋体" w:cs="宋体"/>
          <w:color w:val="auto"/>
          <w:sz w:val="24"/>
          <w:szCs w:val="24"/>
          <w:highlight w:val="none"/>
        </w:rPr>
        <w:t>在收到上述通知后，应及时向采购代理机构回函确认。</w:t>
      </w:r>
    </w:p>
    <w:p>
      <w:pPr>
        <w:pStyle w:val="5"/>
        <w:shd w:val="clear"/>
        <w:tabs>
          <w:tab w:val="left" w:pos="900"/>
        </w:tabs>
        <w:spacing w:before="0" w:after="0" w:line="360" w:lineRule="exact"/>
        <w:rPr>
          <w:rFonts w:hint="eastAsia" w:ascii="宋体" w:hAnsi="宋体" w:eastAsia="宋体" w:cs="宋体"/>
          <w:color w:val="auto"/>
          <w:sz w:val="24"/>
          <w:szCs w:val="24"/>
          <w:highlight w:val="none"/>
          <w:u w:val="none"/>
        </w:rPr>
      </w:pPr>
      <w:bookmarkStart w:id="35" w:name="_Toc22107"/>
      <w:bookmarkStart w:id="36" w:name="_Toc5103"/>
      <w:bookmarkStart w:id="37" w:name="_Toc14702"/>
      <w:bookmarkStart w:id="38" w:name="_Toc517"/>
      <w:r>
        <w:rPr>
          <w:rFonts w:hint="eastAsia" w:ascii="宋体" w:hAnsi="宋体" w:eastAsia="宋体" w:cs="宋体"/>
          <w:color w:val="auto"/>
          <w:sz w:val="24"/>
          <w:szCs w:val="24"/>
          <w:highlight w:val="none"/>
          <w:u w:val="none"/>
        </w:rPr>
        <w:t>7.投标截止时间的顺延</w:t>
      </w:r>
      <w:bookmarkEnd w:id="35"/>
      <w:bookmarkEnd w:id="36"/>
      <w:bookmarkEnd w:id="37"/>
      <w:bookmarkEnd w:id="38"/>
    </w:p>
    <w:p>
      <w:pPr>
        <w:shd w:val="clear"/>
        <w:spacing w:line="36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为使</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准备投标时有足够的时间对招标文件的澄清或者修改部分进行研究，采购人将依法决定是否顺延投标截止时间。</w:t>
      </w:r>
    </w:p>
    <w:p>
      <w:pPr>
        <w:shd w:val="clear"/>
        <w:tabs>
          <w:tab w:val="left" w:pos="900"/>
        </w:tabs>
        <w:spacing w:line="360" w:lineRule="exact"/>
        <w:ind w:left="1080" w:leftChars="257" w:hanging="540"/>
        <w:rPr>
          <w:rFonts w:hint="eastAsia" w:ascii="宋体" w:hAnsi="宋体" w:eastAsia="宋体" w:cs="宋体"/>
          <w:color w:val="auto"/>
          <w:sz w:val="24"/>
          <w:szCs w:val="24"/>
          <w:highlight w:val="none"/>
        </w:rPr>
      </w:pPr>
    </w:p>
    <w:p>
      <w:pPr>
        <w:pStyle w:val="4"/>
        <w:shd w:val="clear"/>
        <w:tabs>
          <w:tab w:val="left" w:pos="900"/>
        </w:tabs>
        <w:spacing w:before="0" w:line="360" w:lineRule="exact"/>
        <w:ind w:left="1080" w:leftChars="257" w:hanging="540"/>
        <w:rPr>
          <w:rFonts w:hint="eastAsia" w:ascii="宋体" w:hAnsi="宋体" w:eastAsia="宋体" w:cs="宋体"/>
          <w:color w:val="auto"/>
          <w:sz w:val="24"/>
          <w:szCs w:val="24"/>
          <w:highlight w:val="none"/>
        </w:rPr>
      </w:pPr>
      <w:bookmarkStart w:id="39" w:name="_Toc12806"/>
      <w:bookmarkStart w:id="40" w:name="_Toc29522"/>
      <w:bookmarkStart w:id="41" w:name="_Toc577"/>
      <w:r>
        <w:rPr>
          <w:rFonts w:hint="eastAsia" w:ascii="宋体" w:hAnsi="宋体" w:eastAsia="宋体" w:cs="宋体"/>
          <w:color w:val="auto"/>
          <w:sz w:val="24"/>
          <w:szCs w:val="24"/>
          <w:highlight w:val="none"/>
        </w:rPr>
        <w:t>三   投标文件的编制</w:t>
      </w:r>
      <w:bookmarkEnd w:id="39"/>
      <w:bookmarkEnd w:id="40"/>
      <w:bookmarkEnd w:id="41"/>
    </w:p>
    <w:p>
      <w:pPr>
        <w:pStyle w:val="6"/>
        <w:shd w:val="clear"/>
        <w:spacing w:line="360" w:lineRule="exact"/>
        <w:rPr>
          <w:rFonts w:hint="eastAsia" w:ascii="宋体" w:hAnsi="宋体" w:eastAsia="宋体" w:cs="宋体"/>
          <w:color w:val="auto"/>
          <w:sz w:val="24"/>
          <w:szCs w:val="24"/>
          <w:highlight w:val="none"/>
        </w:rPr>
      </w:pPr>
    </w:p>
    <w:p>
      <w:pPr>
        <w:pStyle w:val="5"/>
        <w:shd w:val="clear"/>
        <w:tabs>
          <w:tab w:val="left" w:pos="900"/>
        </w:tabs>
        <w:spacing w:before="0" w:after="0" w:line="360" w:lineRule="exact"/>
        <w:rPr>
          <w:rFonts w:hint="eastAsia" w:ascii="宋体" w:hAnsi="宋体" w:eastAsia="宋体" w:cs="宋体"/>
          <w:color w:val="auto"/>
          <w:sz w:val="24"/>
          <w:szCs w:val="24"/>
          <w:highlight w:val="none"/>
          <w:u w:val="none"/>
        </w:rPr>
      </w:pPr>
      <w:bookmarkStart w:id="42" w:name="_Toc10354"/>
      <w:bookmarkStart w:id="43" w:name="_Toc5025"/>
      <w:bookmarkStart w:id="44" w:name="_Toc2129"/>
      <w:bookmarkStart w:id="45" w:name="_Toc15642"/>
      <w:r>
        <w:rPr>
          <w:rFonts w:hint="eastAsia" w:ascii="宋体" w:hAnsi="宋体" w:eastAsia="宋体" w:cs="宋体"/>
          <w:color w:val="auto"/>
          <w:sz w:val="24"/>
          <w:szCs w:val="24"/>
          <w:highlight w:val="none"/>
          <w:u w:val="none"/>
        </w:rPr>
        <w:t>8.</w:t>
      </w:r>
      <w:r>
        <w:rPr>
          <w:rFonts w:hint="eastAsia" w:ascii="宋体" w:hAnsi="宋体" w:eastAsia="宋体" w:cs="宋体"/>
          <w:color w:val="auto"/>
          <w:sz w:val="24"/>
          <w:szCs w:val="24"/>
          <w:highlight w:val="none"/>
          <w:u w:val="none"/>
        </w:rPr>
        <w:tab/>
      </w:r>
      <w:r>
        <w:rPr>
          <w:rFonts w:hint="eastAsia" w:ascii="宋体" w:hAnsi="宋体" w:eastAsia="宋体" w:cs="宋体"/>
          <w:color w:val="auto"/>
          <w:sz w:val="24"/>
          <w:szCs w:val="24"/>
          <w:highlight w:val="none"/>
          <w:u w:val="none"/>
        </w:rPr>
        <w:t>投标范围及投标文件中标准和计量单位的使用</w:t>
      </w:r>
      <w:bookmarkEnd w:id="42"/>
      <w:bookmarkEnd w:id="43"/>
      <w:bookmarkEnd w:id="44"/>
      <w:bookmarkEnd w:id="45"/>
    </w:p>
    <w:p>
      <w:pPr>
        <w:shd w:val="clear"/>
        <w:spacing w:line="36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8.1</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项目有分包的，</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可对招标文件其中某一个或几个分包货物进行投标，除非在</w:t>
      </w:r>
      <w:r>
        <w:rPr>
          <w:rFonts w:hint="eastAsia" w:ascii="宋体" w:hAnsi="宋体" w:cs="宋体"/>
          <w:color w:val="auto"/>
          <w:sz w:val="24"/>
          <w:szCs w:val="24"/>
          <w:highlight w:val="none"/>
          <w:u w:val="single"/>
          <w:lang w:eastAsia="zh-CN"/>
        </w:rPr>
        <w:t>供应商</w:t>
      </w:r>
      <w:r>
        <w:rPr>
          <w:rFonts w:hint="eastAsia" w:ascii="宋体" w:hAnsi="宋体" w:eastAsia="宋体" w:cs="宋体"/>
          <w:color w:val="auto"/>
          <w:sz w:val="24"/>
          <w:szCs w:val="24"/>
          <w:highlight w:val="none"/>
          <w:u w:val="single"/>
        </w:rPr>
        <w:t>须知资料表</w:t>
      </w:r>
      <w:r>
        <w:rPr>
          <w:rFonts w:hint="eastAsia" w:ascii="宋体" w:hAnsi="宋体" w:eastAsia="宋体" w:cs="宋体"/>
          <w:color w:val="auto"/>
          <w:sz w:val="24"/>
          <w:szCs w:val="24"/>
          <w:highlight w:val="none"/>
        </w:rPr>
        <w:t>中另有规定。</w:t>
      </w:r>
    </w:p>
    <w:p>
      <w:pPr>
        <w:shd w:val="clear"/>
        <w:spacing w:line="36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8.2     </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应当对所投分包招标文件中“货物需求一览表及项目要求”所列的所有内容进行投标，如仅响应某一包中的部分内容，其该包投标将被认定为</w:t>
      </w:r>
      <w:r>
        <w:rPr>
          <w:rFonts w:hint="eastAsia" w:ascii="宋体" w:hAnsi="宋体" w:eastAsia="宋体" w:cs="宋体"/>
          <w:b/>
          <w:bCs/>
          <w:color w:val="auto"/>
          <w:sz w:val="24"/>
          <w:szCs w:val="24"/>
          <w:highlight w:val="none"/>
        </w:rPr>
        <w:t>投标无效</w:t>
      </w:r>
      <w:r>
        <w:rPr>
          <w:rFonts w:hint="eastAsia" w:ascii="宋体" w:hAnsi="宋体" w:eastAsia="宋体" w:cs="宋体"/>
          <w:color w:val="auto"/>
          <w:sz w:val="24"/>
          <w:szCs w:val="24"/>
          <w:highlight w:val="none"/>
        </w:rPr>
        <w:t>。</w:t>
      </w:r>
    </w:p>
    <w:p>
      <w:pPr>
        <w:shd w:val="clear"/>
        <w:spacing w:line="36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8.3     无论招标文件第5章货物内容及项目要求，</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所投货物均应符合国家强制性标准。</w:t>
      </w:r>
    </w:p>
    <w:p>
      <w:pPr>
        <w:shd w:val="clear"/>
        <w:spacing w:line="36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8.4     除招标文件中有特殊要求外，投标文件中所使用的计量单位，应采用中华人民共和国法定计量单位。</w:t>
      </w:r>
    </w:p>
    <w:p>
      <w:pPr>
        <w:pStyle w:val="5"/>
        <w:shd w:val="clear"/>
        <w:tabs>
          <w:tab w:val="left" w:pos="900"/>
        </w:tabs>
        <w:spacing w:before="0" w:after="0" w:line="360" w:lineRule="exact"/>
        <w:rPr>
          <w:rFonts w:hint="eastAsia" w:ascii="宋体" w:hAnsi="宋体" w:eastAsia="宋体" w:cs="宋体"/>
          <w:color w:val="auto"/>
          <w:sz w:val="24"/>
          <w:szCs w:val="24"/>
          <w:highlight w:val="none"/>
          <w:u w:val="none"/>
        </w:rPr>
      </w:pPr>
      <w:bookmarkStart w:id="46" w:name="_Toc16016"/>
      <w:bookmarkStart w:id="47" w:name="_Toc22417"/>
      <w:bookmarkStart w:id="48" w:name="_Toc25854"/>
      <w:bookmarkStart w:id="49" w:name="_Toc15740"/>
      <w:r>
        <w:rPr>
          <w:rFonts w:hint="eastAsia" w:ascii="宋体" w:hAnsi="宋体" w:eastAsia="宋体" w:cs="宋体"/>
          <w:color w:val="auto"/>
          <w:sz w:val="24"/>
          <w:szCs w:val="24"/>
          <w:highlight w:val="none"/>
          <w:u w:val="none"/>
        </w:rPr>
        <w:t>9.投标文件构成</w:t>
      </w:r>
      <w:bookmarkEnd w:id="46"/>
      <w:bookmarkEnd w:id="47"/>
      <w:bookmarkEnd w:id="48"/>
      <w:bookmarkEnd w:id="49"/>
    </w:p>
    <w:p>
      <w:pPr>
        <w:shd w:val="clear"/>
        <w:tabs>
          <w:tab w:val="left" w:pos="900"/>
          <w:tab w:val="left" w:pos="5580"/>
        </w:tabs>
        <w:spacing w:line="360" w:lineRule="exact"/>
        <w:ind w:left="960" w:hanging="960" w:hangingChars="4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 xml:space="preserve">9.1    </w:t>
      </w:r>
      <w:r>
        <w:rPr>
          <w:rFonts w:hint="eastAsia" w:ascii="宋体" w:hAnsi="宋体" w:eastAsia="宋体" w:cs="宋体"/>
          <w:color w:val="auto"/>
          <w:sz w:val="24"/>
          <w:szCs w:val="24"/>
          <w:highlight w:val="none"/>
          <w:u w:val="single"/>
        </w:rPr>
        <w:t xml:space="preserve"> </w:t>
      </w:r>
      <w:r>
        <w:rPr>
          <w:rFonts w:hint="eastAsia" w:ascii="宋体" w:hAnsi="宋体" w:cs="宋体"/>
          <w:color w:val="auto"/>
          <w:sz w:val="24"/>
          <w:szCs w:val="24"/>
          <w:highlight w:val="none"/>
          <w:u w:val="single"/>
          <w:lang w:eastAsia="zh-CN"/>
        </w:rPr>
        <w:t>供应商</w:t>
      </w:r>
      <w:r>
        <w:rPr>
          <w:rFonts w:hint="eastAsia" w:ascii="宋体" w:hAnsi="宋体" w:eastAsia="宋体" w:cs="宋体"/>
          <w:color w:val="auto"/>
          <w:sz w:val="24"/>
          <w:szCs w:val="24"/>
          <w:highlight w:val="none"/>
          <w:u w:val="single"/>
        </w:rPr>
        <w:t>应完整地按招标文件提供的投标文件格式及要求遍写投标文件，投标文件应包括“开标一览表及资格证明文件”和“商务及技术文件”两部分，两部分合订成一册，密封提交。</w:t>
      </w:r>
      <w:r>
        <w:rPr>
          <w:rFonts w:hint="eastAsia" w:ascii="宋体" w:hAnsi="宋体" w:cs="宋体"/>
          <w:color w:val="auto"/>
          <w:sz w:val="24"/>
          <w:szCs w:val="24"/>
          <w:highlight w:val="none"/>
          <w:u w:val="single"/>
          <w:lang w:eastAsia="zh-CN"/>
        </w:rPr>
        <w:t>供应商</w:t>
      </w:r>
      <w:r>
        <w:rPr>
          <w:rFonts w:hint="eastAsia" w:ascii="宋体" w:hAnsi="宋体" w:eastAsia="宋体" w:cs="宋体"/>
          <w:color w:val="auto"/>
          <w:sz w:val="24"/>
          <w:szCs w:val="24"/>
          <w:highlight w:val="none"/>
          <w:u w:val="single"/>
        </w:rPr>
        <w:t>应承担封装失误产生的任何后果。</w:t>
      </w:r>
    </w:p>
    <w:p>
      <w:pPr>
        <w:shd w:val="clear"/>
        <w:spacing w:line="36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9.2    上述文件应按照招标文件规定的格式填写、签署和盖章。</w:t>
      </w:r>
    </w:p>
    <w:p>
      <w:pPr>
        <w:pStyle w:val="5"/>
        <w:shd w:val="clear"/>
        <w:tabs>
          <w:tab w:val="left" w:pos="900"/>
        </w:tabs>
        <w:spacing w:before="0" w:after="0" w:line="360" w:lineRule="exact"/>
        <w:rPr>
          <w:rFonts w:hint="eastAsia" w:ascii="宋体" w:hAnsi="宋体" w:eastAsia="宋体" w:cs="宋体"/>
          <w:color w:val="auto"/>
          <w:sz w:val="24"/>
          <w:szCs w:val="24"/>
          <w:highlight w:val="none"/>
          <w:u w:val="none"/>
        </w:rPr>
      </w:pPr>
      <w:bookmarkStart w:id="50" w:name="_Toc10584"/>
      <w:bookmarkStart w:id="51" w:name="_Toc2056"/>
      <w:bookmarkStart w:id="52" w:name="_Toc6978"/>
      <w:r>
        <w:rPr>
          <w:rFonts w:hint="eastAsia" w:ascii="宋体" w:hAnsi="宋体" w:eastAsia="宋体" w:cs="宋体"/>
          <w:color w:val="auto"/>
          <w:sz w:val="24"/>
          <w:szCs w:val="24"/>
          <w:highlight w:val="none"/>
          <w:u w:val="none"/>
        </w:rPr>
        <w:t>10.证明投标的的合格性和符合招标文件规定的技术文件</w:t>
      </w:r>
      <w:bookmarkEnd w:id="50"/>
      <w:bookmarkEnd w:id="51"/>
      <w:bookmarkEnd w:id="52"/>
    </w:p>
    <w:p>
      <w:pPr>
        <w:shd w:val="clear"/>
        <w:spacing w:line="36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10.1</w:t>
      </w:r>
      <w:r>
        <w:rPr>
          <w:rFonts w:hint="eastAsia" w:ascii="宋体" w:hAnsi="宋体" w:eastAsia="宋体" w:cs="宋体"/>
          <w:color w:val="auto"/>
          <w:sz w:val="24"/>
          <w:szCs w:val="24"/>
          <w:highlight w:val="none"/>
        </w:rPr>
        <w:tab/>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应提交证明文件，证明其投标内容符合招标文件规定。该证明文件是投标文件的一部分。</w:t>
      </w:r>
    </w:p>
    <w:p>
      <w:pPr>
        <w:shd w:val="clear"/>
        <w:spacing w:line="36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10.2</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上款所述的证明文件，可以是文字资料、图纸和数据，它包括：</w:t>
      </w:r>
    </w:p>
    <w:p>
      <w:pPr>
        <w:shd w:val="clear"/>
        <w:spacing w:line="36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10.2.1</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建设内容及设备主要技术指标的详细说明；</w:t>
      </w:r>
    </w:p>
    <w:p>
      <w:pPr>
        <w:shd w:val="clear"/>
        <w:spacing w:line="36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10.2.2</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从采购单位开始使用至招标文件规定的保质期内正常、连续地使用所必须的备件和专用工具清单；</w:t>
      </w:r>
    </w:p>
    <w:p>
      <w:pPr>
        <w:shd w:val="clear"/>
        <w:spacing w:line="36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10.2.3</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对照招标文件技术规格，逐条说明所提供货物及伴随的工程和货物已对招标文件的技术规格做出了实质性的响应，或申明与技术规格条文的偏差和例外。</w:t>
      </w:r>
    </w:p>
    <w:p>
      <w:pPr>
        <w:shd w:val="clear"/>
        <w:spacing w:line="36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10.3</w:t>
      </w:r>
      <w:r>
        <w:rPr>
          <w:rFonts w:hint="eastAsia" w:ascii="宋体" w:hAnsi="宋体" w:eastAsia="宋体" w:cs="宋体"/>
          <w:color w:val="auto"/>
          <w:sz w:val="24"/>
          <w:szCs w:val="24"/>
          <w:highlight w:val="none"/>
        </w:rPr>
        <w:tab/>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应注意采购人在技术规格中指出的工艺、材料和设备的参照品牌型号或分类号仅起说明作用，并没有任何限制性。</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在投标中可以选用替代牌号或分类号，但这些替代要实质上相当于技术规格的要求。采购人、采购代理机构承诺不以上述参照品牌型号或分类号作为评标时判定其投标是否有效的标准。</w:t>
      </w:r>
    </w:p>
    <w:p>
      <w:pPr>
        <w:pStyle w:val="5"/>
        <w:shd w:val="clear"/>
        <w:spacing w:before="0" w:after="0" w:line="360" w:lineRule="exact"/>
        <w:rPr>
          <w:rFonts w:hint="eastAsia" w:ascii="宋体" w:hAnsi="宋体" w:eastAsia="宋体" w:cs="宋体"/>
          <w:color w:val="auto"/>
          <w:sz w:val="24"/>
          <w:szCs w:val="24"/>
          <w:highlight w:val="none"/>
          <w:u w:val="none"/>
        </w:rPr>
      </w:pPr>
      <w:bookmarkStart w:id="53" w:name="_Toc26145"/>
      <w:bookmarkStart w:id="54" w:name="_Toc25641"/>
      <w:bookmarkStart w:id="55" w:name="_Toc30709"/>
      <w:bookmarkStart w:id="56" w:name="_Toc301"/>
      <w:r>
        <w:rPr>
          <w:rFonts w:hint="eastAsia" w:ascii="宋体" w:hAnsi="宋体" w:eastAsia="宋体" w:cs="宋体"/>
          <w:color w:val="auto"/>
          <w:sz w:val="24"/>
          <w:szCs w:val="24"/>
          <w:highlight w:val="none"/>
          <w:u w:val="none"/>
        </w:rPr>
        <w:t>11.投标报价</w:t>
      </w:r>
      <w:bookmarkEnd w:id="53"/>
      <w:bookmarkEnd w:id="54"/>
      <w:bookmarkEnd w:id="55"/>
      <w:bookmarkEnd w:id="56"/>
    </w:p>
    <w:p>
      <w:pPr>
        <w:shd w:val="clear"/>
        <w:spacing w:line="36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11.1</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所有投标均以人民币报价。</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的投标报价应遵守《中华人民共和国价格法》。同时，根据《中华人民共和国政府采购法》第二条的规定，为保证公平竞争，如有主体部分的赠与行为，其投标将被认定为</w:t>
      </w:r>
      <w:r>
        <w:rPr>
          <w:rFonts w:hint="eastAsia" w:ascii="宋体" w:hAnsi="宋体" w:eastAsia="宋体" w:cs="宋体"/>
          <w:b/>
          <w:bCs/>
          <w:color w:val="auto"/>
          <w:sz w:val="24"/>
          <w:szCs w:val="24"/>
          <w:highlight w:val="none"/>
        </w:rPr>
        <w:t>投标无效</w:t>
      </w:r>
      <w:r>
        <w:rPr>
          <w:rFonts w:hint="eastAsia" w:ascii="宋体" w:hAnsi="宋体" w:eastAsia="宋体" w:cs="宋体"/>
          <w:color w:val="auto"/>
          <w:sz w:val="24"/>
          <w:szCs w:val="24"/>
          <w:highlight w:val="none"/>
        </w:rPr>
        <w:t>。</w:t>
      </w:r>
    </w:p>
    <w:p>
      <w:pPr>
        <w:shd w:val="clear"/>
        <w:spacing w:line="36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11.2</w:t>
      </w:r>
      <w:r>
        <w:rPr>
          <w:rFonts w:hint="eastAsia" w:ascii="宋体" w:hAnsi="宋体" w:eastAsia="宋体" w:cs="宋体"/>
          <w:color w:val="auto"/>
          <w:sz w:val="24"/>
          <w:szCs w:val="24"/>
          <w:highlight w:val="none"/>
        </w:rPr>
        <w:tab/>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应在投标分项报价表上标明投标相关货物的单价（如适用）和总价，并由法定代表人或其授权代表签署。</w:t>
      </w:r>
    </w:p>
    <w:p>
      <w:pPr>
        <w:shd w:val="clear"/>
        <w:spacing w:line="36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11.3</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投标分项报价表上的价格应按下列方式填写；</w:t>
      </w:r>
    </w:p>
    <w:p>
      <w:pPr>
        <w:shd w:val="clear"/>
        <w:spacing w:line="36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11.4</w:t>
      </w:r>
      <w:r>
        <w:rPr>
          <w:rFonts w:hint="eastAsia" w:ascii="宋体" w:hAnsi="宋体" w:eastAsia="宋体" w:cs="宋体"/>
          <w:color w:val="auto"/>
          <w:sz w:val="24"/>
          <w:szCs w:val="24"/>
          <w:highlight w:val="none"/>
        </w:rPr>
        <w:tab/>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所报的各分项投标单价在合同履行过程中是固定不变的，不得以任何理由予以变更。任何包含价格调整要求的投标，其投标将被认定为</w:t>
      </w:r>
      <w:r>
        <w:rPr>
          <w:rFonts w:hint="eastAsia" w:ascii="宋体" w:hAnsi="宋体" w:eastAsia="宋体" w:cs="宋体"/>
          <w:b/>
          <w:bCs/>
          <w:color w:val="auto"/>
          <w:sz w:val="24"/>
          <w:szCs w:val="24"/>
          <w:highlight w:val="none"/>
        </w:rPr>
        <w:t>投标无效</w:t>
      </w:r>
      <w:r>
        <w:rPr>
          <w:rFonts w:hint="eastAsia" w:ascii="宋体" w:hAnsi="宋体" w:eastAsia="宋体" w:cs="宋体"/>
          <w:color w:val="auto"/>
          <w:sz w:val="24"/>
          <w:szCs w:val="24"/>
          <w:highlight w:val="none"/>
        </w:rPr>
        <w:t>。</w:t>
      </w:r>
    </w:p>
    <w:p>
      <w:pPr>
        <w:shd w:val="clear"/>
        <w:spacing w:line="36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11.5</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每种货物只能有一个投标报价。采购人不接受具有附加条件的报价。</w:t>
      </w:r>
    </w:p>
    <w:p>
      <w:pPr>
        <w:pStyle w:val="5"/>
        <w:shd w:val="clear"/>
        <w:spacing w:before="0" w:after="0" w:line="360" w:lineRule="exact"/>
        <w:rPr>
          <w:rFonts w:hint="eastAsia" w:ascii="宋体" w:hAnsi="宋体" w:eastAsia="宋体" w:cs="宋体"/>
          <w:color w:val="auto"/>
          <w:sz w:val="24"/>
          <w:szCs w:val="24"/>
          <w:highlight w:val="none"/>
          <w:u w:val="none"/>
        </w:rPr>
      </w:pPr>
      <w:bookmarkStart w:id="57" w:name="_Toc18556"/>
      <w:bookmarkStart w:id="58" w:name="_Toc5648"/>
      <w:bookmarkStart w:id="59" w:name="_Toc15752"/>
      <w:bookmarkStart w:id="60" w:name="_Toc1683"/>
      <w:r>
        <w:rPr>
          <w:rFonts w:hint="eastAsia" w:ascii="宋体" w:hAnsi="宋体" w:eastAsia="宋体" w:cs="宋体"/>
          <w:color w:val="auto"/>
          <w:sz w:val="24"/>
          <w:szCs w:val="24"/>
          <w:highlight w:val="none"/>
          <w:u w:val="none"/>
        </w:rPr>
        <w:t>12.投标保证金</w:t>
      </w:r>
      <w:bookmarkEnd w:id="57"/>
      <w:bookmarkEnd w:id="58"/>
      <w:bookmarkEnd w:id="59"/>
      <w:bookmarkEnd w:id="60"/>
    </w:p>
    <w:p>
      <w:pPr>
        <w:shd w:val="clear"/>
        <w:spacing w:line="36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12.1</w:t>
      </w:r>
      <w:r>
        <w:rPr>
          <w:rFonts w:hint="eastAsia" w:ascii="宋体" w:hAnsi="宋体" w:eastAsia="宋体" w:cs="宋体"/>
          <w:color w:val="auto"/>
          <w:sz w:val="24"/>
          <w:szCs w:val="24"/>
          <w:highlight w:val="none"/>
        </w:rPr>
        <w:tab/>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应提交</w:t>
      </w:r>
      <w:r>
        <w:rPr>
          <w:rFonts w:hint="eastAsia" w:ascii="宋体" w:hAnsi="宋体" w:cs="宋体"/>
          <w:color w:val="auto"/>
          <w:sz w:val="24"/>
          <w:szCs w:val="24"/>
          <w:highlight w:val="none"/>
          <w:u w:val="single"/>
          <w:lang w:eastAsia="zh-CN"/>
        </w:rPr>
        <w:t>供应商</w:t>
      </w:r>
      <w:r>
        <w:rPr>
          <w:rFonts w:hint="eastAsia" w:ascii="宋体" w:hAnsi="宋体" w:eastAsia="宋体" w:cs="宋体"/>
          <w:color w:val="auto"/>
          <w:sz w:val="24"/>
          <w:szCs w:val="24"/>
          <w:highlight w:val="none"/>
          <w:u w:val="single"/>
        </w:rPr>
        <w:t>须知资料表</w:t>
      </w:r>
      <w:r>
        <w:rPr>
          <w:rFonts w:hint="eastAsia" w:ascii="宋体" w:hAnsi="宋体" w:eastAsia="宋体" w:cs="宋体"/>
          <w:color w:val="auto"/>
          <w:sz w:val="24"/>
          <w:szCs w:val="24"/>
          <w:highlight w:val="none"/>
        </w:rPr>
        <w:t>中规定的投标保证金，并作为其投标的一部分。</w:t>
      </w:r>
    </w:p>
    <w:p>
      <w:pPr>
        <w:shd w:val="clear"/>
        <w:spacing w:line="36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12.2</w:t>
      </w:r>
      <w:r>
        <w:rPr>
          <w:rFonts w:hint="eastAsia" w:ascii="宋体" w:hAnsi="宋体" w:eastAsia="宋体" w:cs="宋体"/>
          <w:color w:val="auto"/>
          <w:sz w:val="24"/>
          <w:szCs w:val="24"/>
          <w:highlight w:val="none"/>
        </w:rPr>
        <w:tab/>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存在下列情形的，投标保证金不予退还：</w:t>
      </w:r>
    </w:p>
    <w:p>
      <w:pPr>
        <w:pStyle w:val="11"/>
        <w:shd w:val="clear"/>
        <w:tabs>
          <w:tab w:val="left" w:pos="2240"/>
        </w:tabs>
        <w:spacing w:line="360" w:lineRule="exact"/>
        <w:ind w:left="1079" w:leftChars="371" w:hanging="300" w:hangingChars="12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（1）在投标有效期内，撤销投标的；</w:t>
      </w:r>
    </w:p>
    <w:p>
      <w:pPr>
        <w:pStyle w:val="11"/>
        <w:shd w:val="clear"/>
        <w:tabs>
          <w:tab w:val="left" w:pos="2240"/>
        </w:tabs>
        <w:spacing w:line="360" w:lineRule="exact"/>
        <w:ind w:left="1079" w:leftChars="371" w:hanging="300" w:hangingChars="12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（2）中标后不按本须知第30条的规定与采购人签订合同的；</w:t>
      </w:r>
    </w:p>
    <w:p>
      <w:pPr>
        <w:pStyle w:val="11"/>
        <w:shd w:val="clear"/>
        <w:tabs>
          <w:tab w:val="left" w:pos="2240"/>
        </w:tabs>
        <w:spacing w:line="360" w:lineRule="exact"/>
        <w:ind w:left="1079" w:leftChars="371" w:hanging="300" w:hangingChars="12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（3）中标后不按本须知第31条的规定提交履约保证金的；</w:t>
      </w:r>
    </w:p>
    <w:p>
      <w:pPr>
        <w:pStyle w:val="11"/>
        <w:shd w:val="clear"/>
        <w:tabs>
          <w:tab w:val="left" w:pos="2240"/>
        </w:tabs>
        <w:spacing w:line="360" w:lineRule="exact"/>
        <w:ind w:left="1079" w:leftChars="371" w:hanging="300" w:hangingChars="12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（4）中标后不按本须知第32条的规定缴纳中标服务费的；</w:t>
      </w:r>
    </w:p>
    <w:p>
      <w:pPr>
        <w:pStyle w:val="11"/>
        <w:shd w:val="clear"/>
        <w:tabs>
          <w:tab w:val="left" w:pos="2240"/>
        </w:tabs>
        <w:spacing w:line="360" w:lineRule="exact"/>
        <w:ind w:left="1079" w:leftChars="371" w:hanging="300" w:hangingChars="12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（5）存在其他违法违规行为的。</w:t>
      </w:r>
    </w:p>
    <w:p>
      <w:pPr>
        <w:shd w:val="clear"/>
        <w:spacing w:line="36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12.3</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政府采购信用担保试点范围内的项目，接受符合财政部门规定的政府采购投标担保函原件。</w:t>
      </w:r>
    </w:p>
    <w:p>
      <w:pPr>
        <w:shd w:val="clear"/>
        <w:spacing w:line="36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12.4</w:t>
      </w:r>
      <w:r>
        <w:rPr>
          <w:rFonts w:hint="eastAsia" w:ascii="宋体" w:hAnsi="宋体" w:eastAsia="宋体" w:cs="宋体"/>
          <w:color w:val="auto"/>
          <w:sz w:val="24"/>
          <w:szCs w:val="24"/>
          <w:highlight w:val="none"/>
        </w:rPr>
        <w:tab/>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未按本须知第12.1和12.3条规定提交投标保证金的，其投标将被认定为</w:t>
      </w:r>
      <w:r>
        <w:rPr>
          <w:rFonts w:hint="eastAsia" w:ascii="宋体" w:hAnsi="宋体" w:eastAsia="宋体" w:cs="宋体"/>
          <w:b/>
          <w:bCs/>
          <w:color w:val="auto"/>
          <w:sz w:val="24"/>
          <w:szCs w:val="24"/>
          <w:highlight w:val="none"/>
        </w:rPr>
        <w:t>投标无效</w:t>
      </w:r>
      <w:r>
        <w:rPr>
          <w:rFonts w:hint="eastAsia" w:ascii="宋体" w:hAnsi="宋体" w:eastAsia="宋体" w:cs="宋体"/>
          <w:color w:val="auto"/>
          <w:sz w:val="24"/>
          <w:szCs w:val="24"/>
          <w:highlight w:val="none"/>
        </w:rPr>
        <w:t>。</w:t>
      </w:r>
    </w:p>
    <w:p>
      <w:pPr>
        <w:shd w:val="clear"/>
        <w:spacing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12.4.1  采用电汇形式的，一般可以实时入账。</w:t>
      </w:r>
    </w:p>
    <w:p>
      <w:pPr>
        <w:shd w:val="clear"/>
        <w:spacing w:line="360" w:lineRule="exact"/>
        <w:ind w:left="960" w:hanging="960" w:hangingChars="4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12.4.2  采用支票形式的，</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则应充分考虑支票入账时间，以确保投标保证金能按时进入指定账户。根据银行信息交换和付款时间，支票从递交至实际入账一般需要4-5个工作日。如</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未及时提交支票或支票不符合银行委托收款要求（如污损、折叠、胶装等），导致投标保证金不能按时进入指定账户的，将按照招标文件的第22.2条相关规定处理。</w:t>
      </w:r>
    </w:p>
    <w:p>
      <w:pPr>
        <w:shd w:val="clear"/>
        <w:spacing w:line="36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12.5   联合体投标的，可以由联合体中的一方或者共同提交投标保证金。以一方名义提交投标保证金的，对联合体各方均具有约束力。</w:t>
      </w:r>
    </w:p>
    <w:p>
      <w:pPr>
        <w:shd w:val="clear"/>
        <w:spacing w:line="36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12.6</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投标保证金的退还</w:t>
      </w:r>
    </w:p>
    <w:p>
      <w:pPr>
        <w:shd w:val="clear"/>
        <w:spacing w:line="36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12.6.1  中标人应在与采购人签订合同之日起5个工作日内，及时联系保证金收受机构办理投标保证金无息退还手续。</w:t>
      </w:r>
    </w:p>
    <w:p>
      <w:pPr>
        <w:shd w:val="clear"/>
        <w:spacing w:line="360" w:lineRule="exact"/>
        <w:ind w:left="960" w:hanging="960" w:hangingChars="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12.6.2  未中标</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的投标保证金将在中标通知书发出之日暨中标结果公告公布之日起5个工作日内无息退还。</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应及时联系保证金收受机构办理退还投标保证金手续。</w:t>
      </w:r>
    </w:p>
    <w:p>
      <w:pPr>
        <w:shd w:val="clear"/>
        <w:spacing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12.6.3  政府采购投标担保函不予退回。</w:t>
      </w:r>
    </w:p>
    <w:p>
      <w:pPr>
        <w:shd w:val="clear"/>
        <w:spacing w:line="360" w:lineRule="exact"/>
        <w:ind w:left="960" w:hanging="960" w:hangingChars="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12.7    因</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自身原因导致无法及时退还的，采购人或采购代理机构将不承担相应责任。</w:t>
      </w:r>
    </w:p>
    <w:p>
      <w:pPr>
        <w:pStyle w:val="5"/>
        <w:shd w:val="clear"/>
        <w:spacing w:before="0" w:after="0" w:line="360" w:lineRule="exact"/>
        <w:rPr>
          <w:rFonts w:hint="eastAsia" w:ascii="宋体" w:hAnsi="宋体" w:eastAsia="宋体" w:cs="宋体"/>
          <w:color w:val="auto"/>
          <w:sz w:val="24"/>
          <w:szCs w:val="24"/>
          <w:highlight w:val="none"/>
          <w:u w:val="none"/>
        </w:rPr>
      </w:pPr>
      <w:bookmarkStart w:id="61" w:name="_Toc2905"/>
      <w:bookmarkStart w:id="62" w:name="_Toc27999"/>
      <w:bookmarkStart w:id="63" w:name="_Toc12947"/>
      <w:bookmarkStart w:id="64" w:name="_Toc31306"/>
      <w:r>
        <w:rPr>
          <w:rFonts w:hint="eastAsia" w:ascii="宋体" w:hAnsi="宋体" w:eastAsia="宋体" w:cs="宋体"/>
          <w:color w:val="auto"/>
          <w:sz w:val="24"/>
          <w:szCs w:val="24"/>
          <w:highlight w:val="none"/>
          <w:u w:val="none"/>
        </w:rPr>
        <w:t>13.投标有效期</w:t>
      </w:r>
      <w:bookmarkEnd w:id="61"/>
      <w:bookmarkEnd w:id="62"/>
      <w:bookmarkEnd w:id="63"/>
      <w:bookmarkEnd w:id="64"/>
    </w:p>
    <w:p>
      <w:pPr>
        <w:shd w:val="clear"/>
        <w:spacing w:line="36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13.1</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投标应在</w:t>
      </w:r>
      <w:r>
        <w:rPr>
          <w:rFonts w:hint="eastAsia" w:ascii="宋体" w:hAnsi="宋体" w:cs="宋体"/>
          <w:color w:val="auto"/>
          <w:sz w:val="24"/>
          <w:szCs w:val="24"/>
          <w:highlight w:val="none"/>
          <w:u w:val="single"/>
          <w:lang w:eastAsia="zh-CN"/>
        </w:rPr>
        <w:t>供应商</w:t>
      </w:r>
      <w:r>
        <w:rPr>
          <w:rFonts w:hint="eastAsia" w:ascii="宋体" w:hAnsi="宋体" w:eastAsia="宋体" w:cs="宋体"/>
          <w:color w:val="auto"/>
          <w:sz w:val="24"/>
          <w:szCs w:val="24"/>
          <w:highlight w:val="none"/>
          <w:u w:val="single"/>
        </w:rPr>
        <w:t>须知资料表</w:t>
      </w:r>
      <w:r>
        <w:rPr>
          <w:rFonts w:hint="eastAsia" w:ascii="宋体" w:hAnsi="宋体" w:eastAsia="宋体" w:cs="宋体"/>
          <w:color w:val="auto"/>
          <w:sz w:val="24"/>
          <w:szCs w:val="24"/>
          <w:highlight w:val="none"/>
        </w:rPr>
        <w:t>中规定时间内保持有效。投标有效期不满足要求的投标，其投标将被认定为</w:t>
      </w:r>
      <w:r>
        <w:rPr>
          <w:rFonts w:hint="eastAsia" w:ascii="宋体" w:hAnsi="宋体" w:eastAsia="宋体" w:cs="宋体"/>
          <w:b/>
          <w:bCs/>
          <w:color w:val="auto"/>
          <w:sz w:val="24"/>
          <w:szCs w:val="24"/>
          <w:highlight w:val="none"/>
        </w:rPr>
        <w:t>投标无效</w:t>
      </w:r>
      <w:r>
        <w:rPr>
          <w:rFonts w:hint="eastAsia" w:ascii="宋体" w:hAnsi="宋体" w:eastAsia="宋体" w:cs="宋体"/>
          <w:color w:val="auto"/>
          <w:sz w:val="24"/>
          <w:szCs w:val="24"/>
          <w:highlight w:val="none"/>
        </w:rPr>
        <w:t>。</w:t>
      </w:r>
    </w:p>
    <w:p>
      <w:pPr>
        <w:shd w:val="clear"/>
        <w:spacing w:line="36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13.2</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为保证有充分时间签订合同，采购人或采购代理机构可根据实际情况，在原投标有效期截止之前，要求</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延长投标文件的有效期。接受该要求的</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将不会被要求和允许修正其投标，且本须知中有关投标保证金的要求须在延长的有效期内继续有效。</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可以拒绝延长投标有效期的要求，其投标保证金将及时无息退还。上述要求和答复都应以书面形式提交。</w:t>
      </w:r>
    </w:p>
    <w:p>
      <w:pPr>
        <w:pStyle w:val="5"/>
        <w:shd w:val="clear"/>
        <w:spacing w:before="0" w:after="0" w:line="360" w:lineRule="exact"/>
        <w:rPr>
          <w:rFonts w:hint="eastAsia" w:ascii="宋体" w:hAnsi="宋体" w:eastAsia="宋体" w:cs="宋体"/>
          <w:color w:val="auto"/>
          <w:sz w:val="24"/>
          <w:szCs w:val="24"/>
          <w:highlight w:val="none"/>
          <w:u w:val="none"/>
        </w:rPr>
      </w:pPr>
      <w:bookmarkStart w:id="65" w:name="_Toc8589"/>
      <w:bookmarkStart w:id="66" w:name="_Toc10633"/>
      <w:bookmarkStart w:id="67" w:name="_Toc16503"/>
      <w:bookmarkStart w:id="68" w:name="_Toc6286"/>
      <w:bookmarkStart w:id="69" w:name="_Toc29619"/>
      <w:bookmarkStart w:id="70" w:name="_Toc3558"/>
      <w:bookmarkStart w:id="71" w:name="_Toc23545"/>
      <w:bookmarkStart w:id="72" w:name="_Toc30127"/>
      <w:bookmarkStart w:id="73" w:name="_Toc515647774"/>
      <w:bookmarkStart w:id="74" w:name="_Toc11179"/>
      <w:bookmarkStart w:id="75" w:name="_Toc25125"/>
      <w:bookmarkStart w:id="76" w:name="_Toc216582808"/>
      <w:bookmarkStart w:id="77" w:name="_Toc520356159"/>
      <w:bookmarkStart w:id="78" w:name="_Toc16865"/>
      <w:r>
        <w:rPr>
          <w:rFonts w:hint="eastAsia" w:ascii="宋体" w:hAnsi="宋体" w:eastAsia="宋体" w:cs="宋体"/>
          <w:color w:val="auto"/>
          <w:sz w:val="24"/>
          <w:szCs w:val="24"/>
          <w:highlight w:val="none"/>
          <w:u w:val="none"/>
        </w:rPr>
        <w:t>14.投标文件的签署及规定</w:t>
      </w:r>
      <w:bookmarkEnd w:id="65"/>
      <w:bookmarkEnd w:id="66"/>
      <w:bookmarkEnd w:id="67"/>
      <w:bookmarkEnd w:id="68"/>
      <w:bookmarkEnd w:id="69"/>
      <w:bookmarkEnd w:id="70"/>
      <w:bookmarkEnd w:id="71"/>
      <w:bookmarkEnd w:id="72"/>
    </w:p>
    <w:p>
      <w:pPr>
        <w:shd w:val="clear"/>
        <w:spacing w:line="36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14.1</w:t>
      </w:r>
      <w:r>
        <w:rPr>
          <w:rFonts w:hint="eastAsia" w:ascii="宋体" w:hAnsi="宋体" w:eastAsia="宋体" w:cs="宋体"/>
          <w:color w:val="auto"/>
          <w:sz w:val="24"/>
          <w:szCs w:val="24"/>
          <w:highlight w:val="none"/>
        </w:rPr>
        <w:tab/>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应按</w:t>
      </w:r>
      <w:r>
        <w:rPr>
          <w:rFonts w:hint="eastAsia" w:ascii="宋体" w:hAnsi="宋体" w:cs="宋体"/>
          <w:color w:val="auto"/>
          <w:sz w:val="24"/>
          <w:szCs w:val="24"/>
          <w:highlight w:val="none"/>
          <w:u w:val="single"/>
          <w:lang w:eastAsia="zh-CN"/>
        </w:rPr>
        <w:t>供应商</w:t>
      </w:r>
      <w:r>
        <w:rPr>
          <w:rFonts w:hint="eastAsia" w:ascii="宋体" w:hAnsi="宋体" w:eastAsia="宋体" w:cs="宋体"/>
          <w:color w:val="auto"/>
          <w:sz w:val="24"/>
          <w:szCs w:val="24"/>
          <w:highlight w:val="none"/>
          <w:u w:val="single"/>
        </w:rPr>
        <w:t>须知资料表</w:t>
      </w:r>
      <w:r>
        <w:rPr>
          <w:rFonts w:hint="eastAsia" w:ascii="宋体" w:hAnsi="宋体" w:eastAsia="宋体" w:cs="宋体"/>
          <w:color w:val="auto"/>
          <w:sz w:val="24"/>
          <w:szCs w:val="24"/>
          <w:highlight w:val="none"/>
        </w:rPr>
        <w:t>中的规定，准备和递交投标文件正本和副本、开标一览表和电子版U盘，每份投标文件封皮须清楚地标明“正本”或“副本”，密封袋上标明“开标一览表、电子版U盘”。若正本和副本不符，以正本为准。</w:t>
      </w:r>
    </w:p>
    <w:p>
      <w:pPr>
        <w:shd w:val="clear"/>
        <w:spacing w:line="36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14.2</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投标文件的正本需打印或用不褪色墨水书写，并由</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的法定代表人或经其正式委托代理人按招标文件规定在投标文件上签字或盖章，并加盖单位</w:t>
      </w:r>
      <w:r>
        <w:rPr>
          <w:rFonts w:hint="eastAsia" w:ascii="宋体" w:hAnsi="宋体" w:eastAsia="宋体" w:cs="宋体"/>
          <w:color w:val="auto"/>
          <w:sz w:val="24"/>
          <w:szCs w:val="24"/>
          <w:highlight w:val="none"/>
          <w:lang w:val="en-US" w:eastAsia="zh-CN"/>
        </w:rPr>
        <w:t>鲜</w:t>
      </w:r>
      <w:r>
        <w:rPr>
          <w:rFonts w:hint="eastAsia" w:ascii="宋体" w:hAnsi="宋体" w:eastAsia="宋体" w:cs="宋体"/>
          <w:color w:val="auto"/>
          <w:sz w:val="24"/>
          <w:szCs w:val="24"/>
          <w:highlight w:val="none"/>
        </w:rPr>
        <w:t>章。委托代理人须持有书面的“法定代表人授权委托书”，并将其附在投标文件中。如对投标文件进行了修改，则应由</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的法定代表人或其委托代理人在每一修改处签字。投标文件的副本可采用正本的复印件。</w:t>
      </w:r>
    </w:p>
    <w:p>
      <w:pPr>
        <w:shd w:val="clear"/>
        <w:spacing w:line="36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14.3    所有投标文件采用不可拆装的胶订方式装订，否则其投标将被认定为</w:t>
      </w:r>
      <w:r>
        <w:rPr>
          <w:rFonts w:hint="eastAsia" w:ascii="宋体" w:hAnsi="宋体" w:eastAsia="宋体" w:cs="宋体"/>
          <w:b/>
          <w:bCs/>
          <w:color w:val="auto"/>
          <w:sz w:val="24"/>
          <w:szCs w:val="24"/>
          <w:highlight w:val="none"/>
        </w:rPr>
        <w:t>投标无效</w:t>
      </w:r>
      <w:r>
        <w:rPr>
          <w:rFonts w:hint="eastAsia" w:ascii="宋体" w:hAnsi="宋体" w:eastAsia="宋体" w:cs="宋体"/>
          <w:color w:val="auto"/>
          <w:sz w:val="24"/>
          <w:szCs w:val="24"/>
          <w:highlight w:val="none"/>
        </w:rPr>
        <w:t>。</w:t>
      </w:r>
    </w:p>
    <w:p>
      <w:pPr>
        <w:shd w:val="clear"/>
        <w:spacing w:line="36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14.4</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投标文件因字迹潦草、表达不清或装订不当所引起的后果由</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负责。</w:t>
      </w:r>
    </w:p>
    <w:p>
      <w:pPr>
        <w:pStyle w:val="4"/>
        <w:shd w:val="clear"/>
        <w:spacing w:before="0" w:line="360" w:lineRule="exact"/>
        <w:ind w:left="1080" w:leftChars="257" w:hanging="540"/>
        <w:rPr>
          <w:rFonts w:hint="eastAsia" w:ascii="宋体" w:hAnsi="宋体" w:eastAsia="宋体" w:cs="宋体"/>
          <w:color w:val="auto"/>
          <w:sz w:val="24"/>
          <w:szCs w:val="24"/>
          <w:highlight w:val="none"/>
        </w:rPr>
      </w:pPr>
      <w:bookmarkStart w:id="79" w:name="_Toc9238"/>
      <w:bookmarkStart w:id="80" w:name="_Toc15057"/>
      <w:r>
        <w:rPr>
          <w:rFonts w:hint="eastAsia" w:ascii="宋体" w:hAnsi="宋体" w:eastAsia="宋体" w:cs="宋体"/>
          <w:color w:val="auto"/>
          <w:sz w:val="24"/>
          <w:szCs w:val="24"/>
          <w:highlight w:val="none"/>
        </w:rPr>
        <w:t>四   投标文件的递交</w:t>
      </w:r>
      <w:bookmarkEnd w:id="73"/>
      <w:bookmarkEnd w:id="74"/>
      <w:bookmarkEnd w:id="75"/>
      <w:bookmarkEnd w:id="76"/>
      <w:bookmarkEnd w:id="77"/>
      <w:bookmarkEnd w:id="78"/>
      <w:bookmarkEnd w:id="79"/>
      <w:bookmarkEnd w:id="80"/>
    </w:p>
    <w:p>
      <w:pPr>
        <w:pStyle w:val="5"/>
        <w:shd w:val="clear"/>
        <w:spacing w:before="0" w:after="0" w:line="360" w:lineRule="exact"/>
        <w:rPr>
          <w:rFonts w:hint="eastAsia" w:ascii="宋体" w:hAnsi="宋体" w:eastAsia="宋体" w:cs="宋体"/>
          <w:color w:val="auto"/>
          <w:sz w:val="24"/>
          <w:szCs w:val="24"/>
          <w:highlight w:val="none"/>
          <w:u w:val="none"/>
        </w:rPr>
      </w:pPr>
      <w:bookmarkStart w:id="81" w:name="_Toc13271"/>
      <w:bookmarkStart w:id="82" w:name="_Toc17290"/>
      <w:bookmarkStart w:id="83" w:name="_Toc7237"/>
      <w:bookmarkStart w:id="84" w:name="_Toc26166"/>
      <w:bookmarkStart w:id="85" w:name="_Toc20951"/>
      <w:bookmarkStart w:id="86" w:name="_Toc7566"/>
      <w:bookmarkStart w:id="87" w:name="_Toc18139"/>
      <w:bookmarkStart w:id="88" w:name="_Toc28500"/>
      <w:r>
        <w:rPr>
          <w:rFonts w:hint="eastAsia" w:ascii="宋体" w:hAnsi="宋体" w:eastAsia="宋体" w:cs="宋体"/>
          <w:color w:val="auto"/>
          <w:sz w:val="24"/>
          <w:szCs w:val="24"/>
          <w:highlight w:val="none"/>
          <w:u w:val="none"/>
        </w:rPr>
        <w:t>15.投标文件的密封和标记</w:t>
      </w:r>
      <w:bookmarkEnd w:id="81"/>
      <w:bookmarkEnd w:id="82"/>
      <w:bookmarkEnd w:id="83"/>
      <w:bookmarkEnd w:id="84"/>
      <w:bookmarkEnd w:id="85"/>
      <w:bookmarkEnd w:id="86"/>
      <w:bookmarkEnd w:id="87"/>
      <w:bookmarkEnd w:id="88"/>
    </w:p>
    <w:p>
      <w:pPr>
        <w:shd w:val="clear"/>
        <w:spacing w:line="36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15.1   为方便开标及进行资格审查，</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应将投标文件第一部分和第二部分的内容合订成一册密封提交，并在封皮正面标明“投标文件”字样。</w:t>
      </w:r>
    </w:p>
    <w:p>
      <w:pPr>
        <w:shd w:val="clear"/>
        <w:spacing w:line="36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15.2   所有包装封皮和信封上均应：</w:t>
      </w:r>
    </w:p>
    <w:p>
      <w:pPr>
        <w:shd w:val="clear"/>
        <w:spacing w:line="360" w:lineRule="exact"/>
        <w:ind w:left="60" w:hanging="60" w:hangingChars="2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（1）注明招标公告或投标邀请书中指明的项目名称、项目编号、</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名称和“在（开标时间）之前不得启封”的字样。</w:t>
      </w:r>
    </w:p>
    <w:p>
      <w:pPr>
        <w:shd w:val="clear"/>
        <w:spacing w:line="360" w:lineRule="exact"/>
        <w:ind w:left="60" w:hanging="60" w:hangingChars="25"/>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（2）在封口处加盖</w:t>
      </w:r>
      <w:r>
        <w:rPr>
          <w:rFonts w:hint="eastAsia" w:ascii="宋体" w:hAnsi="宋体" w:cs="宋体"/>
          <w:b/>
          <w:bCs/>
          <w:color w:val="auto"/>
          <w:sz w:val="24"/>
          <w:szCs w:val="24"/>
          <w:highlight w:val="none"/>
          <w:lang w:eastAsia="zh-CN"/>
        </w:rPr>
        <w:t>供应商</w:t>
      </w:r>
      <w:r>
        <w:rPr>
          <w:rFonts w:hint="eastAsia" w:ascii="宋体" w:hAnsi="宋体" w:eastAsia="宋体" w:cs="宋体"/>
          <w:b/>
          <w:bCs/>
          <w:color w:val="auto"/>
          <w:sz w:val="24"/>
          <w:szCs w:val="24"/>
          <w:highlight w:val="none"/>
        </w:rPr>
        <w:t>单位章。</w:t>
      </w:r>
    </w:p>
    <w:p>
      <w:pPr>
        <w:shd w:val="clear"/>
        <w:spacing w:line="36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15.3    如果</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未按上述要求密封和标记的，将承担相应的后果。</w:t>
      </w:r>
    </w:p>
    <w:p>
      <w:pPr>
        <w:pStyle w:val="5"/>
        <w:shd w:val="clear"/>
        <w:spacing w:before="0" w:after="0" w:line="360" w:lineRule="exact"/>
        <w:rPr>
          <w:rFonts w:hint="eastAsia" w:ascii="宋体" w:hAnsi="宋体" w:eastAsia="宋体" w:cs="宋体"/>
          <w:color w:val="auto"/>
          <w:sz w:val="24"/>
          <w:szCs w:val="24"/>
          <w:highlight w:val="none"/>
          <w:u w:val="none"/>
        </w:rPr>
      </w:pPr>
      <w:bookmarkStart w:id="89" w:name="_Toc1837"/>
      <w:bookmarkStart w:id="90" w:name="_Toc21784"/>
      <w:bookmarkStart w:id="91" w:name="_Toc21948"/>
      <w:bookmarkStart w:id="92" w:name="_Toc3163"/>
      <w:bookmarkStart w:id="93" w:name="_Toc5357"/>
      <w:bookmarkStart w:id="94" w:name="_Toc20866"/>
      <w:bookmarkStart w:id="95" w:name="_Toc21823"/>
      <w:bookmarkStart w:id="96" w:name="_Toc32072"/>
      <w:r>
        <w:rPr>
          <w:rFonts w:hint="eastAsia" w:ascii="宋体" w:hAnsi="宋体" w:eastAsia="宋体" w:cs="宋体"/>
          <w:color w:val="auto"/>
          <w:sz w:val="24"/>
          <w:szCs w:val="24"/>
          <w:highlight w:val="none"/>
          <w:u w:val="none"/>
        </w:rPr>
        <w:t>16.投标截止</w:t>
      </w:r>
      <w:bookmarkEnd w:id="89"/>
      <w:bookmarkEnd w:id="90"/>
      <w:bookmarkEnd w:id="91"/>
      <w:bookmarkEnd w:id="92"/>
      <w:bookmarkEnd w:id="93"/>
      <w:bookmarkEnd w:id="94"/>
      <w:bookmarkEnd w:id="95"/>
      <w:bookmarkEnd w:id="96"/>
    </w:p>
    <w:p>
      <w:pPr>
        <w:shd w:val="clear"/>
        <w:spacing w:line="36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16.1</w:t>
      </w:r>
      <w:r>
        <w:rPr>
          <w:rFonts w:hint="eastAsia" w:ascii="宋体" w:hAnsi="宋体" w:eastAsia="宋体" w:cs="宋体"/>
          <w:color w:val="auto"/>
          <w:sz w:val="24"/>
          <w:szCs w:val="24"/>
          <w:highlight w:val="none"/>
        </w:rPr>
        <w:tab/>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应在</w:t>
      </w:r>
      <w:r>
        <w:rPr>
          <w:rFonts w:hint="eastAsia" w:ascii="宋体" w:hAnsi="宋体" w:cs="宋体"/>
          <w:color w:val="auto"/>
          <w:sz w:val="24"/>
          <w:szCs w:val="24"/>
          <w:highlight w:val="none"/>
          <w:u w:val="single"/>
          <w:lang w:eastAsia="zh-CN"/>
        </w:rPr>
        <w:t>供应商</w:t>
      </w:r>
      <w:r>
        <w:rPr>
          <w:rFonts w:hint="eastAsia" w:ascii="宋体" w:hAnsi="宋体" w:eastAsia="宋体" w:cs="宋体"/>
          <w:color w:val="auto"/>
          <w:sz w:val="24"/>
          <w:szCs w:val="24"/>
          <w:highlight w:val="none"/>
          <w:u w:val="single"/>
        </w:rPr>
        <w:t>须知资料表中</w:t>
      </w:r>
      <w:r>
        <w:rPr>
          <w:rFonts w:hint="eastAsia" w:ascii="宋体" w:hAnsi="宋体" w:eastAsia="宋体" w:cs="宋体"/>
          <w:color w:val="auto"/>
          <w:sz w:val="24"/>
          <w:szCs w:val="24"/>
          <w:highlight w:val="none"/>
        </w:rPr>
        <w:t>规定的截止时间前，将投标文件递交到招标公告中规定的地点。</w:t>
      </w:r>
    </w:p>
    <w:p>
      <w:pPr>
        <w:shd w:val="clear"/>
        <w:spacing w:line="36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16.2</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采购人和采购代理机构有权按本须知的规定，延迟投标截止时间。在此情况下，采购人、采购代理机构和</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受投标截止时间制约的所有权利和义务均应延长至新的截止时间。</w:t>
      </w:r>
    </w:p>
    <w:p>
      <w:pPr>
        <w:shd w:val="clear"/>
        <w:spacing w:line="36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16.3</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采购人和采购代理机构将拒绝接收在投标截止时间后送达的投标文件。</w:t>
      </w:r>
    </w:p>
    <w:p>
      <w:pPr>
        <w:pStyle w:val="5"/>
        <w:shd w:val="clear"/>
        <w:spacing w:before="0" w:after="0" w:line="360" w:lineRule="exact"/>
        <w:rPr>
          <w:rFonts w:hint="eastAsia" w:ascii="宋体" w:hAnsi="宋体" w:eastAsia="宋体" w:cs="宋体"/>
          <w:color w:val="auto"/>
          <w:sz w:val="24"/>
          <w:szCs w:val="24"/>
          <w:highlight w:val="none"/>
          <w:u w:val="none"/>
        </w:rPr>
      </w:pPr>
      <w:bookmarkStart w:id="97" w:name="_Toc6533"/>
      <w:bookmarkStart w:id="98" w:name="_Toc30350"/>
      <w:bookmarkStart w:id="99" w:name="_Toc20671"/>
      <w:bookmarkStart w:id="100" w:name="_Toc12804"/>
      <w:bookmarkStart w:id="101" w:name="_Toc668"/>
      <w:r>
        <w:rPr>
          <w:rFonts w:hint="eastAsia" w:ascii="宋体" w:hAnsi="宋体" w:eastAsia="宋体" w:cs="宋体"/>
          <w:color w:val="auto"/>
          <w:sz w:val="24"/>
          <w:szCs w:val="24"/>
          <w:highlight w:val="none"/>
          <w:u w:val="none"/>
        </w:rPr>
        <w:t>17.投标文件的接收、修改与撤回</w:t>
      </w:r>
      <w:bookmarkEnd w:id="97"/>
      <w:bookmarkEnd w:id="98"/>
      <w:bookmarkEnd w:id="99"/>
      <w:bookmarkEnd w:id="100"/>
      <w:bookmarkEnd w:id="101"/>
    </w:p>
    <w:p>
      <w:pPr>
        <w:shd w:val="clear"/>
        <w:spacing w:line="36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17.1</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在投标截止时间后送达的投标文件的，采购人和采购代理机构将拒绝接收。</w:t>
      </w:r>
    </w:p>
    <w:p>
      <w:pPr>
        <w:shd w:val="clear"/>
        <w:spacing w:line="36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17.2</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递交投标文件以后，如果</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要进行修改或撤回投标，须提出书面申请并在投标截止时间前送达开标地点，</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对投标文件的修改或撤回通知应按本须知规定编制、密封、标记。</w:t>
      </w:r>
    </w:p>
    <w:p>
      <w:pPr>
        <w:shd w:val="clear"/>
        <w:spacing w:line="36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采购人和采购代理机构将予以接收，并视为投标文件的组成部分。</w:t>
      </w:r>
    </w:p>
    <w:p>
      <w:pPr>
        <w:shd w:val="clear"/>
        <w:spacing w:line="36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17.3</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在投标截止期之后，采购人和采购代理机构不接受</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主动对其投标文件做任何修改。</w:t>
      </w:r>
    </w:p>
    <w:p>
      <w:pPr>
        <w:shd w:val="clear"/>
        <w:spacing w:line="36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17.4</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采购人和采购代理机构对所接收投标文件概不退回。</w:t>
      </w:r>
    </w:p>
    <w:p>
      <w:pPr>
        <w:shd w:val="clear"/>
        <w:spacing w:line="280" w:lineRule="exact"/>
        <w:rPr>
          <w:rFonts w:hint="eastAsia" w:ascii="宋体" w:hAnsi="宋体" w:eastAsia="宋体" w:cs="宋体"/>
          <w:color w:val="auto"/>
          <w:sz w:val="24"/>
          <w:szCs w:val="24"/>
          <w:highlight w:val="none"/>
        </w:rPr>
      </w:pPr>
    </w:p>
    <w:p>
      <w:pPr>
        <w:pStyle w:val="4"/>
        <w:shd w:val="clear"/>
        <w:spacing w:before="0" w:line="280" w:lineRule="exact"/>
        <w:ind w:left="1080" w:leftChars="257" w:hanging="540"/>
        <w:rPr>
          <w:rFonts w:hint="eastAsia" w:ascii="宋体" w:hAnsi="宋体" w:eastAsia="宋体" w:cs="宋体"/>
          <w:color w:val="auto"/>
          <w:sz w:val="24"/>
          <w:szCs w:val="24"/>
          <w:highlight w:val="none"/>
        </w:rPr>
      </w:pPr>
      <w:bookmarkStart w:id="102" w:name="_Toc7470"/>
      <w:bookmarkStart w:id="103" w:name="_Toc17367"/>
      <w:bookmarkStart w:id="104" w:name="_Toc9945"/>
      <w:r>
        <w:rPr>
          <w:rFonts w:hint="eastAsia" w:ascii="宋体" w:hAnsi="宋体" w:eastAsia="宋体" w:cs="宋体"/>
          <w:color w:val="auto"/>
          <w:sz w:val="24"/>
          <w:szCs w:val="24"/>
          <w:highlight w:val="none"/>
        </w:rPr>
        <w:t>五   开标及评标</w:t>
      </w:r>
      <w:bookmarkEnd w:id="102"/>
      <w:bookmarkEnd w:id="103"/>
      <w:bookmarkEnd w:id="104"/>
    </w:p>
    <w:p>
      <w:pPr>
        <w:pStyle w:val="5"/>
        <w:numPr>
          <w:ilvl w:val="0"/>
          <w:numId w:val="3"/>
        </w:numPr>
        <w:shd w:val="clear"/>
        <w:spacing w:before="0" w:line="360" w:lineRule="exact"/>
        <w:rPr>
          <w:rFonts w:hint="eastAsia" w:ascii="宋体" w:hAnsi="宋体" w:eastAsia="宋体" w:cs="宋体"/>
          <w:color w:val="auto"/>
          <w:sz w:val="24"/>
          <w:szCs w:val="24"/>
          <w:highlight w:val="none"/>
        </w:rPr>
      </w:pPr>
      <w:bookmarkStart w:id="105" w:name="_Toc21418"/>
      <w:bookmarkStart w:id="106" w:name="_Toc4502"/>
      <w:bookmarkStart w:id="107" w:name="_Toc63"/>
      <w:bookmarkStart w:id="108" w:name="_Toc23987"/>
      <w:bookmarkStart w:id="109" w:name="_Toc24922"/>
      <w:bookmarkStart w:id="110" w:name="_Toc2348"/>
      <w:bookmarkStart w:id="111" w:name="_Toc32409"/>
      <w:bookmarkStart w:id="112" w:name="_Toc5052"/>
      <w:bookmarkStart w:id="113" w:name="_Toc28586"/>
      <w:bookmarkStart w:id="114" w:name="_Toc18233"/>
      <w:r>
        <w:rPr>
          <w:rFonts w:hint="eastAsia" w:ascii="宋体" w:hAnsi="宋体" w:eastAsia="宋体" w:cs="宋体"/>
          <w:color w:val="auto"/>
          <w:sz w:val="24"/>
          <w:szCs w:val="24"/>
          <w:highlight w:val="none"/>
          <w:u w:val="none"/>
        </w:rPr>
        <w:t>开标</w:t>
      </w:r>
      <w:bookmarkEnd w:id="105"/>
      <w:bookmarkEnd w:id="106"/>
      <w:bookmarkEnd w:id="107"/>
      <w:bookmarkEnd w:id="108"/>
      <w:bookmarkEnd w:id="109"/>
      <w:bookmarkEnd w:id="110"/>
      <w:bookmarkEnd w:id="111"/>
    </w:p>
    <w:p>
      <w:pPr>
        <w:numPr>
          <w:ilvl w:val="1"/>
          <w:numId w:val="3"/>
        </w:numPr>
        <w:shd w:val="clear"/>
        <w:spacing w:line="36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采购人和采购代理机构将按</w:t>
      </w:r>
      <w:r>
        <w:rPr>
          <w:rFonts w:hint="eastAsia" w:ascii="宋体" w:hAnsi="宋体" w:cs="宋体"/>
          <w:color w:val="auto"/>
          <w:sz w:val="24"/>
          <w:szCs w:val="24"/>
          <w:highlight w:val="none"/>
          <w:u w:val="single"/>
          <w:lang w:eastAsia="zh-CN"/>
        </w:rPr>
        <w:t>供应商</w:t>
      </w:r>
      <w:r>
        <w:rPr>
          <w:rFonts w:hint="eastAsia" w:ascii="宋体" w:hAnsi="宋体" w:eastAsia="宋体" w:cs="宋体"/>
          <w:color w:val="auto"/>
          <w:sz w:val="24"/>
          <w:szCs w:val="24"/>
          <w:highlight w:val="none"/>
          <w:u w:val="single"/>
        </w:rPr>
        <w:t>须知资料表</w:t>
      </w:r>
      <w:r>
        <w:rPr>
          <w:rFonts w:hint="eastAsia" w:ascii="宋体" w:hAnsi="宋体" w:eastAsia="宋体" w:cs="宋体"/>
          <w:color w:val="auto"/>
          <w:sz w:val="24"/>
          <w:szCs w:val="24"/>
          <w:highlight w:val="none"/>
        </w:rPr>
        <w:t>中规定的开标时间和地点组织公开开标并邀请所有</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代表参加。</w:t>
      </w:r>
    </w:p>
    <w:p>
      <w:pPr>
        <w:shd w:val="clear"/>
        <w:spacing w:line="360" w:lineRule="exact"/>
        <w:ind w:firstLine="120" w:firstLineChars="5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不足3家的，不得开标。</w:t>
      </w:r>
    </w:p>
    <w:p>
      <w:pPr>
        <w:shd w:val="clear"/>
        <w:spacing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18.2   开标时，由</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或其推选的代表检查自己或所代表的投标文件的密封情况，经记录后，由采购人或采购代理机构当众拆封投标文件第一部分，宣读</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名称、投标价格及招标文件规定的内容。对于</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在投标截止期前递交的投标声明，在开标时当众宣读，评标时有效。</w:t>
      </w:r>
    </w:p>
    <w:p>
      <w:pPr>
        <w:shd w:val="clear"/>
        <w:spacing w:line="360" w:lineRule="exact"/>
        <w:ind w:left="180" w:hanging="180" w:hangingChars="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未宣读投标价格、价格折扣等实质内容，评标时不予承认。</w:t>
      </w:r>
    </w:p>
    <w:p>
      <w:pPr>
        <w:shd w:val="clear"/>
        <w:spacing w:line="36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18.3    采购人或采购代理机构将对开标过程进行记录，由参加开标的各</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代表和相关工作人员签字确认，并存档备查。</w:t>
      </w:r>
    </w:p>
    <w:p>
      <w:pPr>
        <w:shd w:val="clear"/>
        <w:spacing w:line="36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18.4    </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代表对开标过程和开标记录有疑义，以及认为采购人、采购代理机构相关工作人员有需要回避的情形的，应当场提出询问或者回避申请。</w:t>
      </w:r>
    </w:p>
    <w:p>
      <w:pPr>
        <w:pStyle w:val="5"/>
        <w:shd w:val="clear"/>
        <w:spacing w:before="0" w:after="0" w:line="360" w:lineRule="exact"/>
        <w:rPr>
          <w:rFonts w:hint="eastAsia" w:ascii="宋体" w:hAnsi="宋体" w:eastAsia="宋体" w:cs="宋体"/>
          <w:color w:val="auto"/>
          <w:sz w:val="24"/>
          <w:szCs w:val="24"/>
          <w:highlight w:val="none"/>
          <w:u w:val="none"/>
        </w:rPr>
      </w:pPr>
      <w:bookmarkStart w:id="115" w:name="_Toc11023"/>
      <w:r>
        <w:rPr>
          <w:rFonts w:hint="eastAsia" w:ascii="宋体" w:hAnsi="宋体" w:eastAsia="宋体" w:cs="宋体"/>
          <w:color w:val="auto"/>
          <w:sz w:val="24"/>
          <w:szCs w:val="24"/>
          <w:highlight w:val="none"/>
          <w:u w:val="none"/>
        </w:rPr>
        <w:t>19.资格审查及组建评标委员会</w:t>
      </w:r>
      <w:bookmarkEnd w:id="112"/>
      <w:bookmarkEnd w:id="113"/>
      <w:bookmarkEnd w:id="114"/>
      <w:bookmarkEnd w:id="115"/>
    </w:p>
    <w:p>
      <w:pPr>
        <w:shd w:val="clear"/>
        <w:spacing w:line="350" w:lineRule="exact"/>
        <w:ind w:left="960" w:hanging="960" w:hangingChars="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19.1    采购人或采购代理机构依据法律法规和招标文件中规定的内容，对</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及其货物的资格进行审查</w:t>
      </w:r>
      <w:r>
        <w:rPr>
          <w:rFonts w:hint="eastAsia" w:ascii="宋体" w:hAnsi="宋体" w:eastAsia="宋体" w:cs="宋体"/>
          <w:b/>
          <w:bCs/>
          <w:color w:val="auto"/>
          <w:sz w:val="24"/>
          <w:szCs w:val="24"/>
          <w:highlight w:val="none"/>
        </w:rPr>
        <w:t>，本项目审查内容如下（</w:t>
      </w:r>
      <w:r>
        <w:rPr>
          <w:rFonts w:hint="eastAsia" w:ascii="宋体" w:hAnsi="宋体" w:eastAsia="宋体" w:cs="宋体"/>
          <w:b/>
          <w:bCs/>
          <w:color w:val="auto"/>
          <w:kern w:val="0"/>
          <w:sz w:val="24"/>
          <w:szCs w:val="24"/>
          <w:highlight w:val="none"/>
        </w:rPr>
        <w:t>开标现场须携带</w:t>
      </w:r>
      <w:r>
        <w:rPr>
          <w:rFonts w:hint="eastAsia" w:ascii="宋体" w:hAnsi="宋体" w:eastAsia="宋体" w:cs="宋体"/>
          <w:b/>
          <w:bCs/>
          <w:color w:val="auto"/>
          <w:kern w:val="0"/>
          <w:sz w:val="24"/>
          <w:szCs w:val="24"/>
          <w:highlight w:val="none"/>
          <w:lang w:val="en-US" w:eastAsia="zh-CN"/>
        </w:rPr>
        <w:t>以下资料证明原件或加盖公章的复印件，复印件必须清晰</w:t>
      </w:r>
      <w:r>
        <w:rPr>
          <w:rFonts w:hint="eastAsia" w:ascii="宋体" w:hAnsi="宋体" w:eastAsia="宋体" w:cs="宋体"/>
          <w:b/>
          <w:bCs/>
          <w:color w:val="auto"/>
          <w:sz w:val="24"/>
          <w:szCs w:val="24"/>
          <w:highlight w:val="none"/>
        </w:rPr>
        <w:t>）：</w:t>
      </w:r>
    </w:p>
    <w:p>
      <w:pPr>
        <w:widowControl/>
        <w:snapToGrid w:val="0"/>
        <w:spacing w:line="360" w:lineRule="exact"/>
        <w:ind w:firstLine="482" w:firstLineChars="200"/>
        <w:jc w:val="left"/>
        <w:textAlignment w:val="baseline"/>
        <w:rPr>
          <w:rFonts w:hint="eastAsia" w:ascii="宋体" w:hAnsi="宋体" w:eastAsia="宋体" w:cs="宋体"/>
          <w:b/>
          <w:bCs/>
          <w:color w:val="auto"/>
          <w:kern w:val="2"/>
          <w:sz w:val="24"/>
          <w:szCs w:val="24"/>
          <w:highlight w:val="none"/>
          <w:lang w:val="en-US" w:eastAsia="zh-CN" w:bidi="ar-SA"/>
        </w:rPr>
      </w:pPr>
      <w:r>
        <w:rPr>
          <w:rFonts w:hint="eastAsia" w:ascii="宋体" w:hAnsi="宋体" w:cs="宋体"/>
          <w:b/>
          <w:bCs/>
          <w:color w:val="auto"/>
          <w:kern w:val="2"/>
          <w:sz w:val="24"/>
          <w:szCs w:val="24"/>
          <w:highlight w:val="none"/>
          <w:lang w:val="en-US" w:eastAsia="zh-CN" w:bidi="ar-SA"/>
        </w:rPr>
        <w:t>1</w:t>
      </w:r>
      <w:r>
        <w:rPr>
          <w:rFonts w:hint="eastAsia" w:ascii="宋体" w:hAnsi="宋体" w:eastAsia="宋体" w:cs="宋体"/>
          <w:b/>
          <w:bCs/>
          <w:color w:val="auto"/>
          <w:kern w:val="2"/>
          <w:sz w:val="24"/>
          <w:szCs w:val="24"/>
          <w:highlight w:val="none"/>
          <w:lang w:val="en-US" w:eastAsia="zh-CN" w:bidi="ar-SA"/>
        </w:rPr>
        <w:t>.具有有效的独立法人营业执照；</w:t>
      </w:r>
    </w:p>
    <w:p>
      <w:pPr>
        <w:widowControl/>
        <w:snapToGrid w:val="0"/>
        <w:spacing w:line="360" w:lineRule="exact"/>
        <w:ind w:firstLine="482" w:firstLineChars="200"/>
        <w:jc w:val="left"/>
        <w:textAlignment w:val="baseline"/>
        <w:rPr>
          <w:rFonts w:hint="eastAsia" w:ascii="宋体" w:hAnsi="宋体" w:eastAsia="宋体" w:cs="宋体"/>
          <w:b/>
          <w:bCs/>
          <w:color w:val="auto"/>
          <w:kern w:val="2"/>
          <w:sz w:val="24"/>
          <w:szCs w:val="24"/>
          <w:highlight w:val="none"/>
          <w:lang w:val="en-US" w:eastAsia="zh-CN" w:bidi="ar-SA"/>
        </w:rPr>
      </w:pPr>
      <w:r>
        <w:rPr>
          <w:rFonts w:hint="eastAsia" w:ascii="宋体" w:hAnsi="宋体" w:cs="宋体"/>
          <w:b/>
          <w:bCs/>
          <w:color w:val="auto"/>
          <w:kern w:val="2"/>
          <w:sz w:val="24"/>
          <w:szCs w:val="24"/>
          <w:highlight w:val="none"/>
          <w:lang w:val="en-US" w:eastAsia="zh-CN" w:bidi="ar-SA"/>
        </w:rPr>
        <w:t>2</w:t>
      </w:r>
      <w:r>
        <w:rPr>
          <w:rFonts w:hint="eastAsia" w:ascii="宋体" w:hAnsi="宋体" w:eastAsia="宋体" w:cs="宋体"/>
          <w:b/>
          <w:bCs/>
          <w:color w:val="auto"/>
          <w:kern w:val="2"/>
          <w:sz w:val="24"/>
          <w:szCs w:val="24"/>
          <w:highlight w:val="none"/>
          <w:lang w:val="en-US" w:eastAsia="zh-CN" w:bidi="ar-SA"/>
        </w:rPr>
        <w:t>.</w:t>
      </w:r>
      <w:r>
        <w:rPr>
          <w:rFonts w:hint="eastAsia" w:ascii="宋体" w:hAnsi="宋体" w:cs="宋体"/>
          <w:b/>
          <w:bCs/>
          <w:color w:val="auto"/>
          <w:kern w:val="2"/>
          <w:sz w:val="24"/>
          <w:szCs w:val="24"/>
          <w:highlight w:val="none"/>
          <w:lang w:val="en-US" w:eastAsia="zh-CN" w:bidi="ar-SA"/>
        </w:rPr>
        <w:t>提供有效的《医疗器械生产许可证》及《医疗器械经营许可证》（二类医疗器械须提供医疗器械备案凭证及医疗器械注册证）</w:t>
      </w:r>
      <w:r>
        <w:rPr>
          <w:rFonts w:hint="eastAsia" w:ascii="宋体" w:hAnsi="宋体" w:eastAsia="宋体" w:cs="宋体"/>
          <w:b/>
          <w:bCs/>
          <w:color w:val="auto"/>
          <w:kern w:val="2"/>
          <w:sz w:val="24"/>
          <w:szCs w:val="24"/>
          <w:highlight w:val="none"/>
          <w:lang w:val="en-US" w:eastAsia="zh-CN" w:bidi="ar-SA"/>
        </w:rPr>
        <w:t>；</w:t>
      </w:r>
    </w:p>
    <w:p>
      <w:pPr>
        <w:widowControl/>
        <w:snapToGrid w:val="0"/>
        <w:spacing w:line="360" w:lineRule="exact"/>
        <w:ind w:firstLine="482" w:firstLineChars="200"/>
        <w:jc w:val="left"/>
        <w:textAlignment w:val="baseline"/>
        <w:rPr>
          <w:rFonts w:hint="eastAsia" w:ascii="宋体" w:hAnsi="宋体" w:eastAsia="宋体" w:cs="宋体"/>
          <w:b/>
          <w:bCs/>
          <w:color w:val="auto"/>
          <w:kern w:val="2"/>
          <w:sz w:val="24"/>
          <w:szCs w:val="24"/>
          <w:highlight w:val="none"/>
          <w:lang w:val="en-US" w:eastAsia="zh-CN" w:bidi="ar-SA"/>
        </w:rPr>
      </w:pPr>
      <w:r>
        <w:rPr>
          <w:rFonts w:hint="eastAsia" w:ascii="宋体" w:hAnsi="宋体" w:cs="宋体"/>
          <w:b/>
          <w:bCs/>
          <w:color w:val="auto"/>
          <w:kern w:val="2"/>
          <w:sz w:val="24"/>
          <w:szCs w:val="24"/>
          <w:highlight w:val="none"/>
          <w:lang w:val="en-US" w:eastAsia="zh-CN" w:bidi="ar-SA"/>
        </w:rPr>
        <w:t>3</w:t>
      </w:r>
      <w:r>
        <w:rPr>
          <w:rFonts w:hint="eastAsia" w:ascii="宋体" w:hAnsi="宋体" w:eastAsia="宋体" w:cs="宋体"/>
          <w:b/>
          <w:bCs/>
          <w:color w:val="auto"/>
          <w:kern w:val="2"/>
          <w:sz w:val="24"/>
          <w:szCs w:val="24"/>
          <w:highlight w:val="none"/>
          <w:lang w:val="en-US" w:eastAsia="zh-CN" w:bidi="ar-SA"/>
        </w:rPr>
        <w:t>.法人代表身份证明及授权书、被授权人身份证；(法人投标需提供法人身份证复印件)；</w:t>
      </w:r>
    </w:p>
    <w:p>
      <w:pPr>
        <w:widowControl/>
        <w:snapToGrid w:val="0"/>
        <w:spacing w:line="360" w:lineRule="exact"/>
        <w:ind w:firstLine="482" w:firstLineChars="200"/>
        <w:jc w:val="left"/>
        <w:textAlignment w:val="baseline"/>
        <w:rPr>
          <w:rFonts w:hint="eastAsia" w:ascii="宋体" w:hAnsi="宋体" w:eastAsia="宋体" w:cs="宋体"/>
          <w:b/>
          <w:bCs/>
          <w:color w:val="auto"/>
          <w:kern w:val="2"/>
          <w:sz w:val="24"/>
          <w:szCs w:val="24"/>
          <w:highlight w:val="none"/>
          <w:lang w:val="en-US" w:eastAsia="zh-CN" w:bidi="ar-SA"/>
        </w:rPr>
      </w:pPr>
      <w:r>
        <w:rPr>
          <w:rFonts w:hint="eastAsia" w:ascii="宋体" w:hAnsi="宋体" w:cs="宋体"/>
          <w:b/>
          <w:bCs/>
          <w:color w:val="auto"/>
          <w:kern w:val="2"/>
          <w:sz w:val="24"/>
          <w:szCs w:val="24"/>
          <w:highlight w:val="none"/>
          <w:lang w:val="en-US" w:eastAsia="zh-CN" w:bidi="ar-SA"/>
        </w:rPr>
        <w:t>4</w:t>
      </w:r>
      <w:r>
        <w:rPr>
          <w:rFonts w:hint="eastAsia" w:ascii="宋体" w:hAnsi="宋体" w:eastAsia="宋体" w:cs="宋体"/>
          <w:b/>
          <w:bCs/>
          <w:color w:val="auto"/>
          <w:kern w:val="2"/>
          <w:sz w:val="24"/>
          <w:szCs w:val="24"/>
          <w:highlight w:val="none"/>
          <w:lang w:val="en-US" w:eastAsia="zh-CN" w:bidi="ar-SA"/>
        </w:rPr>
        <w:t>.依法缴纳最近6个月中任意1个月的社会保险的凭据；</w:t>
      </w:r>
    </w:p>
    <w:p>
      <w:pPr>
        <w:widowControl/>
        <w:snapToGrid w:val="0"/>
        <w:spacing w:line="360" w:lineRule="exact"/>
        <w:ind w:firstLine="482" w:firstLineChars="200"/>
        <w:jc w:val="left"/>
        <w:textAlignment w:val="baseline"/>
        <w:rPr>
          <w:rFonts w:hint="eastAsia" w:ascii="宋体" w:hAnsi="宋体" w:eastAsia="宋体" w:cs="宋体"/>
          <w:b/>
          <w:bCs/>
          <w:color w:val="auto"/>
          <w:kern w:val="2"/>
          <w:sz w:val="24"/>
          <w:szCs w:val="24"/>
          <w:highlight w:val="none"/>
          <w:lang w:val="en-US" w:eastAsia="zh-CN" w:bidi="ar-SA"/>
        </w:rPr>
      </w:pPr>
      <w:r>
        <w:rPr>
          <w:rFonts w:hint="eastAsia" w:ascii="宋体" w:hAnsi="宋体" w:cs="宋体"/>
          <w:b/>
          <w:bCs/>
          <w:color w:val="auto"/>
          <w:kern w:val="2"/>
          <w:sz w:val="24"/>
          <w:szCs w:val="24"/>
          <w:highlight w:val="none"/>
          <w:lang w:val="en-US" w:eastAsia="zh-CN" w:bidi="ar-SA"/>
        </w:rPr>
        <w:t>5</w:t>
      </w:r>
      <w:r>
        <w:rPr>
          <w:rFonts w:hint="eastAsia" w:ascii="宋体" w:hAnsi="宋体" w:eastAsia="宋体" w:cs="宋体"/>
          <w:b/>
          <w:bCs/>
          <w:color w:val="auto"/>
          <w:kern w:val="2"/>
          <w:sz w:val="24"/>
          <w:szCs w:val="24"/>
          <w:highlight w:val="none"/>
          <w:lang w:val="en-US" w:eastAsia="zh-CN" w:bidi="ar-SA"/>
        </w:rPr>
        <w:t xml:space="preserve">.税务部门出具的最近6个月中任意1个月的完税证明； </w:t>
      </w:r>
    </w:p>
    <w:p>
      <w:pPr>
        <w:widowControl/>
        <w:snapToGrid w:val="0"/>
        <w:spacing w:line="360" w:lineRule="exact"/>
        <w:ind w:firstLine="482" w:firstLineChars="200"/>
        <w:jc w:val="left"/>
        <w:textAlignment w:val="baseline"/>
        <w:rPr>
          <w:rFonts w:hint="eastAsia" w:ascii="宋体" w:hAnsi="宋体" w:eastAsia="宋体" w:cs="宋体"/>
          <w:b/>
          <w:bCs/>
          <w:color w:val="auto"/>
          <w:kern w:val="2"/>
          <w:sz w:val="24"/>
          <w:szCs w:val="24"/>
          <w:highlight w:val="none"/>
          <w:lang w:val="en-US" w:eastAsia="zh-CN" w:bidi="ar-SA"/>
        </w:rPr>
      </w:pPr>
      <w:r>
        <w:rPr>
          <w:rFonts w:hint="eastAsia" w:ascii="宋体" w:hAnsi="宋体" w:cs="宋体"/>
          <w:b/>
          <w:bCs/>
          <w:color w:val="auto"/>
          <w:kern w:val="2"/>
          <w:sz w:val="24"/>
          <w:szCs w:val="24"/>
          <w:highlight w:val="none"/>
          <w:lang w:val="en-US" w:eastAsia="zh-CN" w:bidi="ar-SA"/>
        </w:rPr>
        <w:t>6</w:t>
      </w:r>
      <w:r>
        <w:rPr>
          <w:rFonts w:hint="eastAsia" w:ascii="宋体" w:hAnsi="宋体" w:eastAsia="宋体" w:cs="宋体"/>
          <w:b/>
          <w:bCs/>
          <w:color w:val="auto"/>
          <w:kern w:val="2"/>
          <w:sz w:val="24"/>
          <w:szCs w:val="24"/>
          <w:highlight w:val="none"/>
          <w:lang w:val="en-US" w:eastAsia="zh-CN" w:bidi="ar-SA"/>
        </w:rPr>
        <w:t>.近两年任意一年的财务审计报告；</w:t>
      </w:r>
    </w:p>
    <w:p>
      <w:pPr>
        <w:widowControl/>
        <w:snapToGrid w:val="0"/>
        <w:spacing w:line="360" w:lineRule="exact"/>
        <w:ind w:firstLine="482" w:firstLineChars="200"/>
        <w:jc w:val="left"/>
        <w:textAlignment w:val="baseline"/>
        <w:rPr>
          <w:rFonts w:hint="eastAsia" w:ascii="宋体" w:hAnsi="宋体" w:eastAsia="宋体" w:cs="宋体"/>
          <w:b/>
          <w:bCs/>
          <w:color w:val="auto"/>
          <w:kern w:val="2"/>
          <w:sz w:val="24"/>
          <w:szCs w:val="24"/>
          <w:highlight w:val="none"/>
          <w:lang w:val="en-US" w:eastAsia="zh-CN" w:bidi="ar-SA"/>
        </w:rPr>
      </w:pPr>
      <w:r>
        <w:rPr>
          <w:rFonts w:hint="eastAsia" w:ascii="宋体" w:hAnsi="宋体" w:cs="宋体"/>
          <w:b/>
          <w:bCs/>
          <w:color w:val="auto"/>
          <w:kern w:val="2"/>
          <w:sz w:val="24"/>
          <w:szCs w:val="24"/>
          <w:highlight w:val="none"/>
          <w:lang w:val="en-US" w:eastAsia="zh-CN" w:bidi="ar-SA"/>
        </w:rPr>
        <w:t>7</w:t>
      </w:r>
      <w:r>
        <w:rPr>
          <w:rFonts w:hint="eastAsia" w:ascii="宋体" w:hAnsi="宋体" w:eastAsia="宋体" w:cs="宋体"/>
          <w:b/>
          <w:bCs/>
          <w:color w:val="auto"/>
          <w:kern w:val="2"/>
          <w:sz w:val="24"/>
          <w:szCs w:val="24"/>
          <w:highlight w:val="none"/>
          <w:lang w:val="en-US" w:eastAsia="zh-CN" w:bidi="ar-SA"/>
        </w:rPr>
        <w:t>.根据《财政部关于在政府采购活动中查询及使用信用记录有关问题的通知》（财库﹝2016﹞125号）的要求，凡拟参加本次招标项目的供应商，如在“信用中国”网站（ www.creditchina.gov.cn） 被列入失信被执行人、重大税收违法案件当事人名单(信用服务-失信惩戒对象查询-搜索栏输入单位全称-截图)、中国政府采购网（http://www.ccgp.gov.cn/search/cr/）严重违法失信行为记录名单的（尚在处罚期内的），“国家企业信用信息公示系统（http://www.gsxt.gov.cn）”列入严重违法失信企业名单（黑名单）信息及企业信用信息公示报告；将拒绝其参加本次招标活动；（以招标代理或</w:t>
      </w:r>
      <w:r>
        <w:rPr>
          <w:rFonts w:hint="eastAsia" w:ascii="宋体" w:hAnsi="宋体" w:cs="宋体"/>
          <w:b/>
          <w:bCs/>
          <w:color w:val="auto"/>
          <w:kern w:val="2"/>
          <w:sz w:val="24"/>
          <w:szCs w:val="24"/>
          <w:highlight w:val="none"/>
          <w:lang w:val="en-US" w:eastAsia="zh-CN" w:bidi="ar-SA"/>
        </w:rPr>
        <w:t>采购人</w:t>
      </w:r>
      <w:r>
        <w:rPr>
          <w:rFonts w:hint="eastAsia" w:ascii="宋体" w:hAnsi="宋体" w:eastAsia="宋体" w:cs="宋体"/>
          <w:b/>
          <w:bCs/>
          <w:color w:val="auto"/>
          <w:kern w:val="2"/>
          <w:sz w:val="24"/>
          <w:szCs w:val="24"/>
          <w:highlight w:val="none"/>
          <w:lang w:val="en-US" w:eastAsia="zh-CN" w:bidi="ar-SA"/>
        </w:rPr>
        <w:t>查询为准）</w:t>
      </w:r>
    </w:p>
    <w:p>
      <w:pPr>
        <w:widowControl/>
        <w:snapToGrid w:val="0"/>
        <w:spacing w:line="360" w:lineRule="exact"/>
        <w:ind w:firstLine="482" w:firstLineChars="200"/>
        <w:jc w:val="left"/>
        <w:textAlignment w:val="baseline"/>
        <w:rPr>
          <w:rFonts w:hint="eastAsia" w:ascii="宋体" w:hAnsi="宋体" w:eastAsia="宋体" w:cs="宋体"/>
          <w:b/>
          <w:bCs/>
          <w:color w:val="auto"/>
          <w:kern w:val="2"/>
          <w:sz w:val="24"/>
          <w:szCs w:val="24"/>
          <w:highlight w:val="none"/>
          <w:lang w:val="en-US" w:eastAsia="zh-CN" w:bidi="ar-SA"/>
        </w:rPr>
      </w:pPr>
      <w:r>
        <w:rPr>
          <w:rFonts w:hint="eastAsia" w:ascii="宋体" w:hAnsi="宋体" w:cs="宋体"/>
          <w:b/>
          <w:bCs/>
          <w:color w:val="auto"/>
          <w:kern w:val="2"/>
          <w:sz w:val="24"/>
          <w:szCs w:val="24"/>
          <w:highlight w:val="none"/>
          <w:lang w:val="en-US" w:eastAsia="zh-CN" w:bidi="ar-SA"/>
        </w:rPr>
        <w:t>8</w:t>
      </w:r>
      <w:r>
        <w:rPr>
          <w:rFonts w:hint="eastAsia" w:ascii="宋体" w:hAnsi="宋体" w:eastAsia="宋体" w:cs="宋体"/>
          <w:b/>
          <w:bCs/>
          <w:color w:val="auto"/>
          <w:kern w:val="2"/>
          <w:sz w:val="24"/>
          <w:szCs w:val="24"/>
          <w:highlight w:val="none"/>
          <w:lang w:val="en-US" w:eastAsia="zh-CN" w:bidi="ar-SA"/>
        </w:rPr>
        <w:t>.参与政府采购活动前3年内未被列入失信、重大税收违法案件、财政部门禁止参加政府采购活动的承诺书；</w:t>
      </w:r>
    </w:p>
    <w:p>
      <w:pPr>
        <w:widowControl/>
        <w:snapToGrid w:val="0"/>
        <w:spacing w:line="360" w:lineRule="exact"/>
        <w:ind w:firstLine="482" w:firstLineChars="200"/>
        <w:jc w:val="left"/>
        <w:textAlignment w:val="baseline"/>
        <w:rPr>
          <w:rFonts w:hint="default" w:ascii="宋体" w:hAnsi="宋体" w:eastAsia="宋体" w:cs="宋体"/>
          <w:b/>
          <w:bCs/>
          <w:color w:val="auto"/>
          <w:kern w:val="2"/>
          <w:sz w:val="24"/>
          <w:szCs w:val="24"/>
          <w:highlight w:val="none"/>
          <w:lang w:val="en-US" w:eastAsia="zh-CN" w:bidi="ar-SA"/>
        </w:rPr>
      </w:pPr>
      <w:r>
        <w:rPr>
          <w:rFonts w:hint="eastAsia" w:ascii="宋体" w:hAnsi="宋体" w:cs="宋体"/>
          <w:b/>
          <w:bCs/>
          <w:color w:val="auto"/>
          <w:kern w:val="2"/>
          <w:sz w:val="24"/>
          <w:szCs w:val="24"/>
          <w:highlight w:val="none"/>
          <w:lang w:val="en-US" w:eastAsia="zh-CN" w:bidi="ar-SA"/>
        </w:rPr>
        <w:t>9</w:t>
      </w:r>
      <w:r>
        <w:rPr>
          <w:rFonts w:hint="eastAsia" w:ascii="宋体" w:hAnsi="宋体" w:eastAsia="宋体" w:cs="宋体"/>
          <w:b/>
          <w:bCs/>
          <w:color w:val="auto"/>
          <w:kern w:val="2"/>
          <w:sz w:val="24"/>
          <w:szCs w:val="24"/>
          <w:highlight w:val="none"/>
          <w:lang w:val="en-US" w:eastAsia="zh-CN" w:bidi="ar-SA"/>
        </w:rPr>
        <w:t>.提供针对本次项目《反商业贿赂承诺书》</w:t>
      </w:r>
      <w:r>
        <w:rPr>
          <w:rFonts w:hint="eastAsia" w:ascii="宋体" w:hAnsi="宋体" w:cs="宋体"/>
          <w:b/>
          <w:bCs/>
          <w:color w:val="auto"/>
          <w:kern w:val="2"/>
          <w:sz w:val="24"/>
          <w:szCs w:val="24"/>
          <w:highlight w:val="none"/>
          <w:lang w:val="en-US" w:eastAsia="zh-CN" w:bidi="ar-SA"/>
        </w:rPr>
        <w:t>;</w:t>
      </w:r>
    </w:p>
    <w:p>
      <w:pPr>
        <w:widowControl/>
        <w:snapToGrid w:val="0"/>
        <w:spacing w:line="360" w:lineRule="exact"/>
        <w:ind w:firstLine="482" w:firstLineChars="200"/>
        <w:jc w:val="left"/>
        <w:textAlignment w:val="baseline"/>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1</w:t>
      </w:r>
      <w:r>
        <w:rPr>
          <w:rFonts w:hint="eastAsia" w:ascii="宋体" w:hAnsi="宋体" w:cs="宋体"/>
          <w:b/>
          <w:bCs/>
          <w:color w:val="auto"/>
          <w:kern w:val="2"/>
          <w:sz w:val="24"/>
          <w:szCs w:val="24"/>
          <w:highlight w:val="none"/>
          <w:lang w:val="en-US" w:eastAsia="zh-CN" w:bidi="ar-SA"/>
        </w:rPr>
        <w:t>0</w:t>
      </w:r>
      <w:r>
        <w:rPr>
          <w:rFonts w:hint="eastAsia" w:ascii="宋体" w:hAnsi="宋体" w:eastAsia="宋体" w:cs="宋体"/>
          <w:b/>
          <w:bCs/>
          <w:color w:val="auto"/>
          <w:kern w:val="2"/>
          <w:sz w:val="24"/>
          <w:szCs w:val="24"/>
          <w:highlight w:val="none"/>
          <w:lang w:val="en-US" w:eastAsia="zh-CN" w:bidi="ar-SA"/>
        </w:rPr>
        <w:t>.</w:t>
      </w:r>
      <w:r>
        <w:rPr>
          <w:rFonts w:hint="eastAsia" w:ascii="宋体" w:hAnsi="宋体" w:cs="宋体"/>
          <w:b/>
          <w:bCs/>
          <w:color w:val="auto"/>
          <w:kern w:val="2"/>
          <w:sz w:val="24"/>
          <w:szCs w:val="24"/>
          <w:highlight w:val="none"/>
          <w:lang w:val="en-US" w:eastAsia="zh-CN" w:bidi="ar-SA"/>
        </w:rPr>
        <w:t>提供缴纳投标保证金的银行转账回执单</w:t>
      </w:r>
      <w:r>
        <w:rPr>
          <w:rFonts w:hint="eastAsia" w:ascii="宋体" w:hAnsi="宋体" w:eastAsia="宋体" w:cs="宋体"/>
          <w:b/>
          <w:bCs/>
          <w:color w:val="auto"/>
          <w:kern w:val="2"/>
          <w:sz w:val="24"/>
          <w:szCs w:val="24"/>
          <w:highlight w:val="none"/>
          <w:lang w:val="en-US" w:eastAsia="zh-CN" w:bidi="ar-SA"/>
        </w:rPr>
        <w:t>。</w:t>
      </w:r>
    </w:p>
    <w:p>
      <w:pPr>
        <w:widowControl/>
        <w:snapToGrid w:val="0"/>
        <w:spacing w:line="360" w:lineRule="exact"/>
        <w:jc w:val="left"/>
        <w:textAlignment w:val="baseline"/>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各供应商应注意以下事项：</w:t>
      </w:r>
    </w:p>
    <w:p>
      <w:pPr>
        <w:widowControl/>
        <w:snapToGrid w:val="0"/>
        <w:spacing w:line="360" w:lineRule="exact"/>
        <w:jc w:val="left"/>
        <w:textAlignment w:val="baseline"/>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A：本项目要求各投标供应商“税务部门出具的最近6个月中任意1个月的完税证明”，若供应商某月税收为零申报，须提供加盖税务局公章的无欠税证明或申报成功网页截图（供应商可自主登录“国家税务总局电子税务局”12366.chinatax.gov.cn/bsfw/onlinetaxation/main——税费申报及缴纳——申报结果查询）。</w:t>
      </w:r>
    </w:p>
    <w:p>
      <w:pPr>
        <w:widowControl/>
        <w:snapToGrid w:val="0"/>
        <w:spacing w:line="360" w:lineRule="exact"/>
        <w:jc w:val="left"/>
        <w:textAlignment w:val="baseline"/>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B：税务局代收的社保缴费证明不可作为本项目的完税证明（“税种”不可为养老保险、医疗保险、失业保险、工伤保险和生育保险）。</w:t>
      </w:r>
    </w:p>
    <w:p>
      <w:pPr>
        <w:shd w:val="clear"/>
        <w:spacing w:line="360" w:lineRule="exact"/>
        <w:ind w:left="958" w:leftChars="456"/>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未通过资格审查的</w:t>
      </w:r>
      <w:r>
        <w:rPr>
          <w:rFonts w:hint="eastAsia" w:ascii="宋体" w:hAnsi="宋体" w:cs="宋体"/>
          <w:b/>
          <w:bCs/>
          <w:color w:val="auto"/>
          <w:sz w:val="24"/>
          <w:szCs w:val="24"/>
          <w:highlight w:val="none"/>
          <w:lang w:eastAsia="zh-CN"/>
        </w:rPr>
        <w:t>供应商</w:t>
      </w:r>
      <w:r>
        <w:rPr>
          <w:rFonts w:hint="eastAsia" w:ascii="宋体" w:hAnsi="宋体" w:eastAsia="宋体" w:cs="宋体"/>
          <w:b/>
          <w:bCs/>
          <w:color w:val="auto"/>
          <w:sz w:val="24"/>
          <w:szCs w:val="24"/>
          <w:highlight w:val="none"/>
        </w:rPr>
        <w:t>不进入评标；通过资格审查的</w:t>
      </w:r>
      <w:r>
        <w:rPr>
          <w:rFonts w:hint="eastAsia" w:ascii="宋体" w:hAnsi="宋体" w:cs="宋体"/>
          <w:b/>
          <w:bCs/>
          <w:color w:val="auto"/>
          <w:sz w:val="24"/>
          <w:szCs w:val="24"/>
          <w:highlight w:val="none"/>
          <w:lang w:eastAsia="zh-CN"/>
        </w:rPr>
        <w:t>供应商</w:t>
      </w:r>
      <w:r>
        <w:rPr>
          <w:rFonts w:hint="eastAsia" w:ascii="宋体" w:hAnsi="宋体" w:eastAsia="宋体" w:cs="宋体"/>
          <w:b/>
          <w:bCs/>
          <w:color w:val="auto"/>
          <w:sz w:val="24"/>
          <w:szCs w:val="24"/>
          <w:highlight w:val="none"/>
        </w:rPr>
        <w:t>少于不足三家的，不得评标。</w:t>
      </w:r>
    </w:p>
    <w:p>
      <w:pPr>
        <w:shd w:val="clear"/>
        <w:spacing w:line="360" w:lineRule="exact"/>
        <w:ind w:left="857" w:leftChars="2" w:hanging="853"/>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19.2   采购人或采购代理机构将在开标前1个工作日至投标截止后1小时的期间内查询</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的信用记录。</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存在不良信用记录的，其投标将被认定为</w:t>
      </w:r>
      <w:r>
        <w:rPr>
          <w:rFonts w:hint="eastAsia" w:ascii="宋体" w:hAnsi="宋体" w:eastAsia="宋体" w:cs="宋体"/>
          <w:b/>
          <w:bCs/>
          <w:color w:val="auto"/>
          <w:sz w:val="24"/>
          <w:szCs w:val="24"/>
          <w:highlight w:val="none"/>
        </w:rPr>
        <w:t>投标无效</w:t>
      </w:r>
      <w:r>
        <w:rPr>
          <w:rFonts w:hint="eastAsia" w:ascii="宋体" w:hAnsi="宋体" w:eastAsia="宋体" w:cs="宋体"/>
          <w:color w:val="auto"/>
          <w:sz w:val="24"/>
          <w:szCs w:val="24"/>
          <w:highlight w:val="none"/>
        </w:rPr>
        <w:t>。</w:t>
      </w:r>
    </w:p>
    <w:p>
      <w:pPr>
        <w:shd w:val="clear"/>
        <w:spacing w:line="360" w:lineRule="exact"/>
        <w:ind w:left="857" w:leftChars="2" w:hanging="853"/>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19.2.1 不良信用记录指：</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在“信用中国”网站（ www.creditchina.gov.cn） 被列入失信被执行人、重大税收违法案件当事人名单(信用服务-失信惩戒对象查询-搜索栏输入单位全称-截图)、中国政府采购网（http://www.ccgp.gov.cn/search/cr/）严重违法失信行为记录名单的（尚在处罚期内的），“国家企业信用信息公示系统（http://www.gsxt.gov.cn）”列入严重违法失信企业名单（黑名单）信息及企业信用信息公示报告。</w:t>
      </w:r>
    </w:p>
    <w:p>
      <w:pPr>
        <w:shd w:val="clear"/>
        <w:spacing w:line="360" w:lineRule="exact"/>
        <w:ind w:left="849" w:leftChars="401" w:hanging="7" w:hangingChars="3"/>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以联合体形式参加投标的，联合体任何成员存在以上不良信用记录的，联合体投标将被认定为</w:t>
      </w:r>
      <w:r>
        <w:rPr>
          <w:rFonts w:hint="eastAsia" w:ascii="宋体" w:hAnsi="宋体" w:eastAsia="宋体" w:cs="宋体"/>
          <w:b/>
          <w:bCs/>
          <w:color w:val="auto"/>
          <w:sz w:val="24"/>
          <w:szCs w:val="24"/>
          <w:highlight w:val="none"/>
        </w:rPr>
        <w:t>投标无效</w:t>
      </w:r>
      <w:r>
        <w:rPr>
          <w:rFonts w:hint="eastAsia" w:ascii="宋体" w:hAnsi="宋体" w:eastAsia="宋体" w:cs="宋体"/>
          <w:color w:val="auto"/>
          <w:sz w:val="24"/>
          <w:szCs w:val="24"/>
          <w:highlight w:val="none"/>
        </w:rPr>
        <w:t>。</w:t>
      </w:r>
    </w:p>
    <w:p>
      <w:pPr>
        <w:pStyle w:val="6"/>
        <w:shd w:val="clear"/>
        <w:spacing w:line="360" w:lineRule="exact"/>
        <w:ind w:left="850" w:hanging="849" w:hangingChars="354"/>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19.2.2 查询及记录方式：采购人或采购代理机构经办人将查询网页打印、签字并存档备查。</w:t>
      </w:r>
      <w:r>
        <w:rPr>
          <w:rFonts w:hint="eastAsia" w:hAnsi="宋体" w:cs="宋体"/>
          <w:color w:val="auto"/>
          <w:sz w:val="24"/>
          <w:szCs w:val="24"/>
          <w:highlight w:val="none"/>
          <w:lang w:eastAsia="zh-CN"/>
        </w:rPr>
        <w:t>供应商</w:t>
      </w:r>
      <w:r>
        <w:rPr>
          <w:rFonts w:hint="eastAsia" w:ascii="宋体" w:hAnsi="宋体" w:eastAsia="宋体" w:cs="宋体"/>
          <w:color w:val="auto"/>
          <w:sz w:val="24"/>
          <w:szCs w:val="24"/>
          <w:highlight w:val="none"/>
        </w:rPr>
        <w:t>不良信用记录以采购人或采购代理机构查询结果为准。</w:t>
      </w:r>
    </w:p>
    <w:p>
      <w:pPr>
        <w:pStyle w:val="6"/>
        <w:shd w:val="clear"/>
        <w:spacing w:line="360" w:lineRule="exact"/>
        <w:ind w:left="850" w:leftChars="405" w:firstLine="0"/>
        <w:jc w:val="both"/>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在本招标文件规定的查询时间之后，网站信息发生的任何变更均不再作</w:t>
      </w:r>
    </w:p>
    <w:p>
      <w:pPr>
        <w:pStyle w:val="6"/>
        <w:shd w:val="clear"/>
        <w:spacing w:line="360" w:lineRule="exact"/>
        <w:ind w:left="850" w:leftChars="405" w:firstLine="0"/>
        <w:jc w:val="both"/>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为评标依据。</w:t>
      </w:r>
    </w:p>
    <w:p>
      <w:pPr>
        <w:pStyle w:val="6"/>
        <w:shd w:val="clear"/>
        <w:spacing w:line="360" w:lineRule="exact"/>
        <w:ind w:left="958" w:leftChars="456" w:firstLine="0"/>
        <w:jc w:val="both"/>
        <w:rPr>
          <w:rFonts w:hint="eastAsia" w:ascii="宋体" w:hAnsi="宋体" w:eastAsia="宋体" w:cs="宋体"/>
          <w:b/>
          <w:bCs/>
          <w:color w:val="auto"/>
          <w:sz w:val="24"/>
          <w:szCs w:val="24"/>
          <w:highlight w:val="none"/>
        </w:rPr>
      </w:pPr>
      <w:r>
        <w:rPr>
          <w:rFonts w:hint="eastAsia" w:hAnsi="宋体" w:cs="宋体"/>
          <w:b/>
          <w:bCs/>
          <w:color w:val="auto"/>
          <w:sz w:val="24"/>
          <w:szCs w:val="24"/>
          <w:highlight w:val="none"/>
          <w:lang w:eastAsia="zh-CN"/>
        </w:rPr>
        <w:t>供应商</w:t>
      </w:r>
      <w:r>
        <w:rPr>
          <w:rFonts w:hint="eastAsia" w:ascii="宋体" w:hAnsi="宋体" w:eastAsia="宋体" w:cs="宋体"/>
          <w:b/>
          <w:bCs/>
          <w:color w:val="auto"/>
          <w:sz w:val="24"/>
          <w:szCs w:val="24"/>
          <w:highlight w:val="none"/>
        </w:rPr>
        <w:t>自行提供的与网站信息不一致的其他证明材料亦不作为资格审查依据。</w:t>
      </w:r>
    </w:p>
    <w:p>
      <w:pPr>
        <w:shd w:val="clear"/>
        <w:spacing w:line="360" w:lineRule="exact"/>
        <w:ind w:left="850" w:hanging="849" w:hangingChars="354"/>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19.3   按照《中华人民共和国政府采购法》、《中华人民共和国政府采购法实施条例》、《政府采购货物和服务招标投标管理办法》财政部令第87号及本项目本级和上级财政部门的有关规定依法</w:t>
      </w:r>
      <w:r>
        <w:rPr>
          <w:rFonts w:hint="eastAsia" w:ascii="宋体" w:hAnsi="宋体" w:cs="宋体"/>
          <w:color w:val="auto"/>
          <w:sz w:val="24"/>
          <w:szCs w:val="24"/>
          <w:highlight w:val="none"/>
          <w:lang w:val="en-US" w:eastAsia="zh-CN"/>
        </w:rPr>
        <w:t>抽取</w:t>
      </w:r>
      <w:r>
        <w:rPr>
          <w:rFonts w:hint="eastAsia" w:ascii="宋体" w:hAnsi="宋体" w:eastAsia="宋体" w:cs="宋体"/>
          <w:b w:val="0"/>
          <w:bCs w:val="0"/>
          <w:color w:val="auto"/>
          <w:sz w:val="24"/>
          <w:szCs w:val="24"/>
          <w:highlight w:val="none"/>
        </w:rPr>
        <w:t>5名</w:t>
      </w:r>
      <w:r>
        <w:rPr>
          <w:rFonts w:hint="eastAsia" w:ascii="宋体" w:hAnsi="宋体" w:cs="宋体"/>
          <w:b w:val="0"/>
          <w:bCs w:val="0"/>
          <w:color w:val="auto"/>
          <w:sz w:val="24"/>
          <w:szCs w:val="24"/>
          <w:highlight w:val="none"/>
          <w:lang w:val="en-US" w:eastAsia="zh-CN"/>
        </w:rPr>
        <w:t>专家</w:t>
      </w:r>
      <w:r>
        <w:rPr>
          <w:rFonts w:hint="eastAsia" w:ascii="宋体" w:hAnsi="宋体" w:eastAsia="宋体" w:cs="宋体"/>
          <w:b w:val="0"/>
          <w:bCs w:val="0"/>
          <w:color w:val="auto"/>
          <w:sz w:val="24"/>
          <w:szCs w:val="24"/>
          <w:highlight w:val="none"/>
        </w:rPr>
        <w:t>组建评标委员会，负责</w:t>
      </w:r>
      <w:r>
        <w:rPr>
          <w:rFonts w:hint="eastAsia" w:ascii="宋体" w:hAnsi="宋体" w:eastAsia="宋体" w:cs="宋体"/>
          <w:color w:val="auto"/>
          <w:sz w:val="24"/>
          <w:szCs w:val="24"/>
          <w:highlight w:val="none"/>
        </w:rPr>
        <w:t>评标工作。</w:t>
      </w:r>
    </w:p>
    <w:p>
      <w:pPr>
        <w:pStyle w:val="5"/>
        <w:shd w:val="clear"/>
        <w:spacing w:before="0" w:after="0" w:line="360" w:lineRule="exact"/>
        <w:rPr>
          <w:rFonts w:hint="eastAsia" w:ascii="宋体" w:hAnsi="宋体" w:eastAsia="宋体" w:cs="宋体"/>
          <w:bCs/>
          <w:color w:val="auto"/>
          <w:sz w:val="24"/>
          <w:szCs w:val="24"/>
          <w:highlight w:val="none"/>
          <w:bdr w:val="single" w:color="auto" w:sz="4" w:space="0"/>
        </w:rPr>
      </w:pPr>
      <w:bookmarkStart w:id="116" w:name="_Toc8432"/>
      <w:bookmarkStart w:id="117" w:name="_Toc17267"/>
      <w:bookmarkStart w:id="118" w:name="_Toc14028"/>
      <w:bookmarkStart w:id="119" w:name="_Toc22736"/>
      <w:r>
        <w:rPr>
          <w:rFonts w:hint="eastAsia" w:ascii="宋体" w:hAnsi="宋体" w:eastAsia="宋体" w:cs="宋体"/>
          <w:color w:val="auto"/>
          <w:sz w:val="24"/>
          <w:szCs w:val="24"/>
          <w:highlight w:val="none"/>
          <w:u w:val="none"/>
        </w:rPr>
        <w:t>20.投标文件符合性审查与澄清</w:t>
      </w:r>
      <w:bookmarkEnd w:id="116"/>
      <w:bookmarkEnd w:id="117"/>
      <w:bookmarkEnd w:id="118"/>
      <w:bookmarkEnd w:id="119"/>
    </w:p>
    <w:p>
      <w:pPr>
        <w:shd w:val="clear"/>
        <w:spacing w:line="36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20.1   符合性审查是指依据招标文件的规定，从投标文件的有效性和完整性对招标文件的响应程度进行审查，以确定是否对招标文件的实质性要求做出响应。</w:t>
      </w:r>
    </w:p>
    <w:p>
      <w:pPr>
        <w:shd w:val="clear"/>
        <w:spacing w:line="36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20.2</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投标文件的澄清</w:t>
      </w:r>
    </w:p>
    <w:p>
      <w:pPr>
        <w:shd w:val="clear"/>
        <w:spacing w:line="36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20.2.1  在评标期间，评标委员会将以书面方式要求</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对其投标文件中含义不明确、对同类问题表述不一致或者有明显文字和计算错误的内容，以及评标委员会认为</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的报价明显低于其他通过符合性检查</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的报价，有可能影响履约的情况作必要的澄清、说明或补正。</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的澄清、说明或补正应在评标委员会规定的时间内以书面方式进行，并不得超出投标文件范围或者改变投标文件的实质性内容。</w:t>
      </w:r>
    </w:p>
    <w:p>
      <w:pPr>
        <w:shd w:val="clear"/>
        <w:spacing w:line="36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20.2.2  </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的的澄清、说明或补正将作为投标文件的一部分。</w:t>
      </w:r>
    </w:p>
    <w:p>
      <w:pPr>
        <w:shd w:val="clear"/>
        <w:spacing w:line="36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20.3  投标文件报价出现前后不一致的，按照下列规定修正：</w:t>
      </w:r>
    </w:p>
    <w:p>
      <w:pPr>
        <w:shd w:val="clear"/>
        <w:spacing w:line="360" w:lineRule="exact"/>
        <w:ind w:left="1020" w:hanging="1020" w:hangingChars="42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（一）投标文件中开标一览表（报价表）内容与投标文件中相应内容不一致的，以开标一览表（报价表）为准；</w:t>
      </w:r>
    </w:p>
    <w:p>
      <w:pPr>
        <w:shd w:val="clear"/>
        <w:spacing w:line="36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（二）大写金额和小写金额不一致的，以大写金额为准；</w:t>
      </w:r>
    </w:p>
    <w:p>
      <w:pPr>
        <w:shd w:val="clear"/>
        <w:spacing w:line="360" w:lineRule="exact"/>
        <w:ind w:left="1020" w:hanging="1020" w:hangingChars="42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（三）单价金额小数点或者百分比有明显错位的，以开标一览表的总价为准，并修改单价；</w:t>
      </w:r>
    </w:p>
    <w:p>
      <w:pPr>
        <w:shd w:val="clear"/>
        <w:spacing w:line="36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（四）总价金额与按单价汇总金额不一致的，以单价金额计算结果为准。</w:t>
      </w:r>
    </w:p>
    <w:p>
      <w:pPr>
        <w:shd w:val="clear"/>
        <w:spacing w:line="36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同时出现两种以上不一致的，按照前款规定的顺序修正。修正后的报价按照第20.2条的规定经</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确认后产生约束力，</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不确认的，其投标将被认定为</w:t>
      </w:r>
      <w:r>
        <w:rPr>
          <w:rFonts w:hint="eastAsia" w:ascii="宋体" w:hAnsi="宋体" w:eastAsia="宋体" w:cs="宋体"/>
          <w:b/>
          <w:bCs/>
          <w:color w:val="auto"/>
          <w:sz w:val="24"/>
          <w:szCs w:val="24"/>
          <w:highlight w:val="none"/>
        </w:rPr>
        <w:t>投标无效</w:t>
      </w:r>
      <w:r>
        <w:rPr>
          <w:rFonts w:hint="eastAsia" w:ascii="宋体" w:hAnsi="宋体" w:eastAsia="宋体" w:cs="宋体"/>
          <w:color w:val="auto"/>
          <w:sz w:val="24"/>
          <w:szCs w:val="24"/>
          <w:highlight w:val="none"/>
        </w:rPr>
        <w:t>。</w:t>
      </w:r>
    </w:p>
    <w:p>
      <w:pPr>
        <w:shd w:val="clear"/>
        <w:spacing w:line="360" w:lineRule="exact"/>
        <w:ind w:left="735" w:leftChars="350" w:firstLine="120" w:firstLineChars="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对不同文字文本投标文件的解释发生异议的，以中文文本为准。</w:t>
      </w:r>
    </w:p>
    <w:p>
      <w:pPr>
        <w:shd w:val="clear"/>
        <w:spacing w:line="36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20.4   如一个分包内只有一种产品，不同</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所投产品为同一品牌的，按如下方式处理：</w:t>
      </w:r>
    </w:p>
    <w:p>
      <w:pPr>
        <w:shd w:val="clear"/>
        <w:spacing w:line="36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20.4.1  如本项目使用最低评标价法，提供相同品牌产品的不同</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以其中通过资格审查、符合性审查且报价最低的参加评标；报价相同的，由采购人或者采购人委托评标委员会按照招标文件中评标办法规定的方式确定一个参加评标的</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；未规定的采取随机抽取方式确定，其他投标将被认定为</w:t>
      </w:r>
      <w:r>
        <w:rPr>
          <w:rFonts w:hint="eastAsia" w:ascii="宋体" w:hAnsi="宋体" w:eastAsia="宋体" w:cs="宋体"/>
          <w:b/>
          <w:bCs/>
          <w:color w:val="auto"/>
          <w:sz w:val="24"/>
          <w:szCs w:val="24"/>
          <w:highlight w:val="none"/>
        </w:rPr>
        <w:t>投标无效</w:t>
      </w:r>
      <w:r>
        <w:rPr>
          <w:rFonts w:hint="eastAsia" w:ascii="宋体" w:hAnsi="宋体" w:eastAsia="宋体" w:cs="宋体"/>
          <w:color w:val="auto"/>
          <w:sz w:val="24"/>
          <w:szCs w:val="24"/>
          <w:highlight w:val="none"/>
        </w:rPr>
        <w:t>。</w:t>
      </w:r>
    </w:p>
    <w:p>
      <w:pPr>
        <w:shd w:val="clear"/>
        <w:spacing w:line="36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20.4.2  如本项目使用综合评分法，提供相同品牌产品且通过资格审查、符合性审查的不同</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，按一家</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计算，评审后得分最高的同品牌</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获得中标人推荐资格；评审得分相同的，由采购人或者采购人委托评标委员会按照招标文件中评标办法规定的方式确定一个</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获得中标人推荐资格；未规定的采取随机抽取方式确定，其他同品牌</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不作为中标候选人。</w:t>
      </w:r>
    </w:p>
    <w:p>
      <w:pPr>
        <w:shd w:val="clear"/>
        <w:spacing w:line="36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20.5   </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所投产品如被列入财政部与国家主管部门颁发的节能产品目录或环境标志产品目录或无线局域网产品目录，应提供相关证明，在评标时予以优先采购，具体优先采购办法见第六章评标方法和标准。</w:t>
      </w:r>
    </w:p>
    <w:p>
      <w:pPr>
        <w:shd w:val="clear"/>
        <w:spacing w:line="36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如采购人所采购产品为政府强制采购的节能产品，</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所投产品的品牌及型号必须为清单中有效期内产品并提供证明文件，否则其投标将被认定为</w:t>
      </w:r>
      <w:r>
        <w:rPr>
          <w:rFonts w:hint="eastAsia" w:ascii="宋体" w:hAnsi="宋体" w:eastAsia="宋体" w:cs="宋体"/>
          <w:b/>
          <w:bCs/>
          <w:color w:val="auto"/>
          <w:sz w:val="24"/>
          <w:szCs w:val="24"/>
          <w:highlight w:val="none"/>
        </w:rPr>
        <w:t>投标无效</w:t>
      </w:r>
      <w:r>
        <w:rPr>
          <w:rFonts w:hint="eastAsia" w:ascii="宋体" w:hAnsi="宋体" w:eastAsia="宋体" w:cs="宋体"/>
          <w:color w:val="auto"/>
          <w:sz w:val="24"/>
          <w:szCs w:val="24"/>
          <w:highlight w:val="none"/>
        </w:rPr>
        <w:t>。</w:t>
      </w:r>
    </w:p>
    <w:p>
      <w:pPr>
        <w:pStyle w:val="5"/>
        <w:shd w:val="clear"/>
        <w:spacing w:before="0" w:after="0" w:line="360" w:lineRule="exact"/>
        <w:rPr>
          <w:rFonts w:hint="eastAsia" w:ascii="宋体" w:hAnsi="宋体" w:eastAsia="宋体" w:cs="宋体"/>
          <w:color w:val="auto"/>
          <w:sz w:val="24"/>
          <w:szCs w:val="24"/>
          <w:highlight w:val="none"/>
          <w:u w:val="none"/>
        </w:rPr>
      </w:pPr>
      <w:bookmarkStart w:id="120" w:name="_Toc7973"/>
      <w:bookmarkStart w:id="121" w:name="_Toc12161"/>
      <w:bookmarkStart w:id="122" w:name="_Toc17681"/>
      <w:r>
        <w:rPr>
          <w:rFonts w:hint="eastAsia" w:ascii="宋体" w:hAnsi="宋体" w:eastAsia="宋体" w:cs="宋体"/>
          <w:color w:val="auto"/>
          <w:sz w:val="24"/>
          <w:szCs w:val="24"/>
          <w:highlight w:val="none"/>
          <w:u w:val="none"/>
        </w:rPr>
        <w:t>21.投标偏离</w:t>
      </w:r>
      <w:bookmarkEnd w:id="120"/>
      <w:bookmarkEnd w:id="121"/>
      <w:bookmarkEnd w:id="122"/>
    </w:p>
    <w:p>
      <w:pPr>
        <w:shd w:val="clear"/>
        <w:spacing w:line="360" w:lineRule="exact"/>
        <w:ind w:left="848" w:leftChars="99" w:hanging="640" w:hangingChars="267"/>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评标委员会可以接受投标文件中不构成实质性偏离的不正规或不一致。</w:t>
      </w:r>
    </w:p>
    <w:p>
      <w:pPr>
        <w:pStyle w:val="5"/>
        <w:shd w:val="clear"/>
        <w:spacing w:before="0" w:after="0" w:line="360" w:lineRule="exact"/>
        <w:rPr>
          <w:rFonts w:hint="eastAsia" w:ascii="宋体" w:hAnsi="宋体" w:eastAsia="宋体" w:cs="宋体"/>
          <w:color w:val="auto"/>
          <w:sz w:val="24"/>
          <w:szCs w:val="24"/>
          <w:highlight w:val="none"/>
          <w:u w:val="none"/>
        </w:rPr>
      </w:pPr>
      <w:bookmarkStart w:id="123" w:name="_Toc28742"/>
      <w:bookmarkStart w:id="124" w:name="_Toc23335"/>
      <w:bookmarkStart w:id="125" w:name="_Toc8254"/>
      <w:bookmarkStart w:id="126" w:name="_Toc20744"/>
      <w:r>
        <w:rPr>
          <w:rFonts w:hint="eastAsia" w:ascii="宋体" w:hAnsi="宋体" w:eastAsia="宋体" w:cs="宋体"/>
          <w:color w:val="auto"/>
          <w:sz w:val="24"/>
          <w:szCs w:val="24"/>
          <w:highlight w:val="none"/>
          <w:u w:val="none"/>
        </w:rPr>
        <w:t>22.投标无效</w:t>
      </w:r>
      <w:bookmarkEnd w:id="123"/>
      <w:bookmarkEnd w:id="124"/>
      <w:bookmarkEnd w:id="125"/>
      <w:bookmarkEnd w:id="126"/>
    </w:p>
    <w:p>
      <w:pPr>
        <w:shd w:val="clear"/>
        <w:spacing w:line="360" w:lineRule="exact"/>
        <w:ind w:left="852" w:leftChars="-23"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22.1   在比较与评价之前，根据本须知的规定，评标委员会要审查每份投标文件是否实质上响应了招标文件的要求。实质上响应的投标应该是与招标文件要求的全部条款、条件和规格相符，没有重大偏离的投标。对关键条款的偏离，将被认定为</w:t>
      </w:r>
      <w:r>
        <w:rPr>
          <w:rFonts w:hint="eastAsia" w:ascii="宋体" w:hAnsi="宋体" w:eastAsia="宋体" w:cs="宋体"/>
          <w:b/>
          <w:bCs/>
          <w:color w:val="auto"/>
          <w:sz w:val="24"/>
          <w:szCs w:val="24"/>
          <w:highlight w:val="none"/>
        </w:rPr>
        <w:t>投标无效</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不得通过修正或撤销不符合要求的偏离，从而使其投标成为实质上响应的投标。</w:t>
      </w:r>
    </w:p>
    <w:p>
      <w:pPr>
        <w:shd w:val="clear"/>
        <w:spacing w:line="360" w:lineRule="exact"/>
        <w:ind w:left="792" w:leftChars="377"/>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评标委员会决定投标的响应性只根据招标文件要求、投标文件内容及财政主管部门指定相关信息发布媒体。</w:t>
      </w:r>
    </w:p>
    <w:p>
      <w:pPr>
        <w:shd w:val="clear"/>
        <w:spacing w:line="36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22.2</w:t>
      </w:r>
      <w:r>
        <w:rPr>
          <w:rFonts w:hint="eastAsia" w:ascii="宋体" w:hAnsi="宋体" w:eastAsia="宋体" w:cs="宋体"/>
          <w:color w:val="auto"/>
          <w:sz w:val="24"/>
          <w:szCs w:val="24"/>
          <w:highlight w:val="none"/>
        </w:rPr>
        <w:tab/>
      </w:r>
      <w:r>
        <w:rPr>
          <w:rFonts w:hint="eastAsia" w:ascii="宋体" w:hAnsi="宋体" w:eastAsia="宋体" w:cs="宋体"/>
          <w:b/>
          <w:bCs/>
          <w:color w:val="auto"/>
          <w:sz w:val="24"/>
          <w:szCs w:val="24"/>
          <w:highlight w:val="none"/>
        </w:rPr>
        <w:t>如发现下列情况之一的，其投标将被认定为投标无效</w:t>
      </w:r>
      <w:r>
        <w:rPr>
          <w:rFonts w:hint="eastAsia" w:ascii="宋体" w:hAnsi="宋体" w:eastAsia="宋体" w:cs="宋体"/>
          <w:color w:val="auto"/>
          <w:sz w:val="24"/>
          <w:szCs w:val="24"/>
          <w:highlight w:val="none"/>
        </w:rPr>
        <w:t>：</w:t>
      </w:r>
    </w:p>
    <w:p>
      <w:pPr>
        <w:numPr>
          <w:ilvl w:val="0"/>
          <w:numId w:val="4"/>
        </w:numPr>
        <w:shd w:val="clear"/>
        <w:spacing w:line="360" w:lineRule="exact"/>
        <w:ind w:left="1081" w:leftChars="429" w:hanging="18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未按招标文件规定的形式和金额提交投标保证金的；</w:t>
      </w:r>
    </w:p>
    <w:p>
      <w:pPr>
        <w:numPr>
          <w:ilvl w:val="0"/>
          <w:numId w:val="4"/>
        </w:numPr>
        <w:shd w:val="clear"/>
        <w:spacing w:line="360" w:lineRule="exact"/>
        <w:ind w:left="1081" w:leftChars="429" w:hanging="18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未按照招标文件规定要求签署、盖章的；</w:t>
      </w:r>
    </w:p>
    <w:p>
      <w:pPr>
        <w:numPr>
          <w:ilvl w:val="0"/>
          <w:numId w:val="4"/>
        </w:numPr>
        <w:shd w:val="clear"/>
        <w:spacing w:line="360" w:lineRule="exact"/>
        <w:ind w:left="1081" w:leftChars="429" w:hanging="18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未满足招标文件中技术条款的实质性要求；</w:t>
      </w:r>
    </w:p>
    <w:p>
      <w:pPr>
        <w:numPr>
          <w:ilvl w:val="0"/>
          <w:numId w:val="4"/>
        </w:numPr>
        <w:shd w:val="clear"/>
        <w:spacing w:line="360" w:lineRule="exact"/>
        <w:ind w:left="1081" w:leftChars="429" w:hanging="18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与其他</w:t>
      </w:r>
      <w:r>
        <w:rPr>
          <w:rFonts w:hint="eastAsia" w:ascii="宋体" w:hAnsi="宋体" w:cs="宋体"/>
          <w:b/>
          <w:bCs/>
          <w:color w:val="auto"/>
          <w:sz w:val="24"/>
          <w:szCs w:val="24"/>
          <w:highlight w:val="none"/>
          <w:lang w:eastAsia="zh-CN"/>
        </w:rPr>
        <w:t>供应商</w:t>
      </w:r>
      <w:r>
        <w:rPr>
          <w:rFonts w:hint="eastAsia" w:ascii="宋体" w:hAnsi="宋体" w:eastAsia="宋体" w:cs="宋体"/>
          <w:b/>
          <w:bCs/>
          <w:color w:val="auto"/>
          <w:sz w:val="24"/>
          <w:szCs w:val="24"/>
          <w:highlight w:val="none"/>
        </w:rPr>
        <w:t>串通投标，或者与</w:t>
      </w:r>
      <w:r>
        <w:rPr>
          <w:rFonts w:hint="eastAsia" w:ascii="宋体" w:hAnsi="宋体" w:cs="宋体"/>
          <w:b/>
          <w:bCs/>
          <w:color w:val="auto"/>
          <w:sz w:val="24"/>
          <w:szCs w:val="24"/>
          <w:highlight w:val="none"/>
          <w:lang w:eastAsia="zh-CN"/>
        </w:rPr>
        <w:t>采购人</w:t>
      </w:r>
      <w:r>
        <w:rPr>
          <w:rFonts w:hint="eastAsia" w:ascii="宋体" w:hAnsi="宋体" w:eastAsia="宋体" w:cs="宋体"/>
          <w:b/>
          <w:bCs/>
          <w:color w:val="auto"/>
          <w:sz w:val="24"/>
          <w:szCs w:val="24"/>
          <w:highlight w:val="none"/>
        </w:rPr>
        <w:t>串通投标；</w:t>
      </w:r>
    </w:p>
    <w:p>
      <w:pPr>
        <w:numPr>
          <w:ilvl w:val="0"/>
          <w:numId w:val="4"/>
        </w:numPr>
        <w:shd w:val="clear"/>
        <w:spacing w:line="360" w:lineRule="exact"/>
        <w:ind w:left="1081" w:leftChars="429" w:hanging="18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属于招标文件规定的其他投标无效情形；</w:t>
      </w:r>
    </w:p>
    <w:p>
      <w:pPr>
        <w:numPr>
          <w:ilvl w:val="0"/>
          <w:numId w:val="4"/>
        </w:numPr>
        <w:shd w:val="clear"/>
        <w:spacing w:line="360" w:lineRule="exact"/>
        <w:ind w:left="1081" w:leftChars="429" w:hanging="18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评标委员会认为</w:t>
      </w:r>
      <w:r>
        <w:rPr>
          <w:rFonts w:hint="eastAsia" w:ascii="宋体" w:hAnsi="宋体" w:cs="宋体"/>
          <w:b/>
          <w:bCs/>
          <w:color w:val="auto"/>
          <w:sz w:val="24"/>
          <w:szCs w:val="24"/>
          <w:highlight w:val="none"/>
          <w:lang w:eastAsia="zh-CN"/>
        </w:rPr>
        <w:t>供应商</w:t>
      </w:r>
      <w:r>
        <w:rPr>
          <w:rFonts w:hint="eastAsia" w:ascii="宋体" w:hAnsi="宋体" w:eastAsia="宋体" w:cs="宋体"/>
          <w:b/>
          <w:bCs/>
          <w:color w:val="auto"/>
          <w:sz w:val="24"/>
          <w:szCs w:val="24"/>
          <w:highlight w:val="none"/>
        </w:rPr>
        <w:t>的报价明显低于其他通过符合性检查</w:t>
      </w:r>
      <w:r>
        <w:rPr>
          <w:rFonts w:hint="eastAsia" w:ascii="宋体" w:hAnsi="宋体" w:cs="宋体"/>
          <w:b/>
          <w:bCs/>
          <w:color w:val="auto"/>
          <w:sz w:val="24"/>
          <w:szCs w:val="24"/>
          <w:highlight w:val="none"/>
          <w:lang w:eastAsia="zh-CN"/>
        </w:rPr>
        <w:t>供应商</w:t>
      </w:r>
      <w:r>
        <w:rPr>
          <w:rFonts w:hint="eastAsia" w:ascii="宋体" w:hAnsi="宋体" w:eastAsia="宋体" w:cs="宋体"/>
          <w:b/>
          <w:bCs/>
          <w:color w:val="auto"/>
          <w:sz w:val="24"/>
          <w:szCs w:val="24"/>
          <w:highlight w:val="none"/>
        </w:rPr>
        <w:t>的报价，有可能影响履约的，且</w:t>
      </w:r>
      <w:r>
        <w:rPr>
          <w:rFonts w:hint="eastAsia" w:ascii="宋体" w:hAnsi="宋体" w:cs="宋体"/>
          <w:b/>
          <w:bCs/>
          <w:color w:val="auto"/>
          <w:sz w:val="24"/>
          <w:szCs w:val="24"/>
          <w:highlight w:val="none"/>
          <w:lang w:eastAsia="zh-CN"/>
        </w:rPr>
        <w:t>供应商</w:t>
      </w:r>
      <w:r>
        <w:rPr>
          <w:rFonts w:hint="eastAsia" w:ascii="宋体" w:hAnsi="宋体" w:eastAsia="宋体" w:cs="宋体"/>
          <w:b/>
          <w:bCs/>
          <w:color w:val="auto"/>
          <w:sz w:val="24"/>
          <w:szCs w:val="24"/>
          <w:highlight w:val="none"/>
        </w:rPr>
        <w:t>未按照规定证明其报价合理性的；</w:t>
      </w:r>
    </w:p>
    <w:p>
      <w:pPr>
        <w:numPr>
          <w:ilvl w:val="0"/>
          <w:numId w:val="4"/>
        </w:numPr>
        <w:shd w:val="clear"/>
        <w:spacing w:line="360" w:lineRule="exact"/>
        <w:ind w:left="1081" w:leftChars="429" w:hanging="18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投标文件含有采购人不能接受的附加条件的；</w:t>
      </w:r>
    </w:p>
    <w:p>
      <w:pPr>
        <w:numPr>
          <w:ilvl w:val="0"/>
          <w:numId w:val="4"/>
        </w:numPr>
        <w:shd w:val="clear"/>
        <w:tabs>
          <w:tab w:val="left" w:pos="0"/>
        </w:tabs>
        <w:spacing w:line="360" w:lineRule="exact"/>
        <w:ind w:left="1081" w:leftChars="429" w:hanging="18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不符合法规和招标文件中规定的其他实质性要求的。</w:t>
      </w:r>
    </w:p>
    <w:p>
      <w:pPr>
        <w:pStyle w:val="5"/>
        <w:shd w:val="clear"/>
        <w:spacing w:before="0" w:after="0" w:line="340" w:lineRule="exact"/>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23.比较与评价</w:t>
      </w:r>
    </w:p>
    <w:p>
      <w:pPr>
        <w:shd w:val="clear"/>
        <w:spacing w:line="36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23.1</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经符合性审查合格的投标文件，评标委员会将根据招标文件确定的评标方法和标准，对其技术部分和商务部分作进一步的比较和评价。</w:t>
      </w:r>
    </w:p>
    <w:p>
      <w:pPr>
        <w:shd w:val="clear"/>
        <w:spacing w:line="36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23.2  </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评标严格按照招标文件的要求和条件进行。根据实际情况，在</w:t>
      </w:r>
      <w:r>
        <w:rPr>
          <w:rFonts w:hint="eastAsia" w:ascii="宋体" w:hAnsi="宋体" w:cs="宋体"/>
          <w:color w:val="auto"/>
          <w:sz w:val="24"/>
          <w:szCs w:val="24"/>
          <w:highlight w:val="none"/>
          <w:u w:val="single"/>
          <w:lang w:eastAsia="zh-CN"/>
        </w:rPr>
        <w:t>供应商</w:t>
      </w:r>
      <w:r>
        <w:rPr>
          <w:rFonts w:hint="eastAsia" w:ascii="宋体" w:hAnsi="宋体" w:eastAsia="宋体" w:cs="宋体"/>
          <w:color w:val="auto"/>
          <w:sz w:val="24"/>
          <w:szCs w:val="24"/>
          <w:highlight w:val="none"/>
          <w:u w:val="single"/>
        </w:rPr>
        <w:t>须知资料表</w:t>
      </w:r>
      <w:r>
        <w:rPr>
          <w:rFonts w:hint="eastAsia" w:ascii="宋体" w:hAnsi="宋体" w:eastAsia="宋体" w:cs="宋体"/>
          <w:color w:val="auto"/>
          <w:sz w:val="24"/>
          <w:szCs w:val="24"/>
          <w:highlight w:val="none"/>
        </w:rPr>
        <w:t>中规定采用下列一种评标方法，详细评标标准见招标文件第六章：</w:t>
      </w:r>
    </w:p>
    <w:p>
      <w:pPr>
        <w:pStyle w:val="11"/>
        <w:shd w:val="clear"/>
        <w:spacing w:line="360" w:lineRule="exact"/>
        <w:ind w:left="899" w:leftChars="342" w:hanging="18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 最低评标价法，是指投标文件满足招标文件全部实质性要求，且投标报价最低的</w:t>
      </w:r>
      <w:r>
        <w:rPr>
          <w:rFonts w:hint="eastAsia" w:hAnsi="宋体" w:cs="宋体"/>
          <w:color w:val="auto"/>
          <w:sz w:val="24"/>
          <w:szCs w:val="24"/>
          <w:highlight w:val="none"/>
          <w:lang w:eastAsia="zh-CN"/>
        </w:rPr>
        <w:t>供应商</w:t>
      </w:r>
      <w:r>
        <w:rPr>
          <w:rFonts w:hint="eastAsia" w:ascii="宋体" w:hAnsi="宋体" w:eastAsia="宋体" w:cs="宋体"/>
          <w:color w:val="auto"/>
          <w:sz w:val="24"/>
          <w:szCs w:val="24"/>
          <w:highlight w:val="none"/>
        </w:rPr>
        <w:t>为中标候选人的评标方法。</w:t>
      </w:r>
    </w:p>
    <w:p>
      <w:pPr>
        <w:pStyle w:val="11"/>
        <w:shd w:val="clear"/>
        <w:spacing w:line="360" w:lineRule="exact"/>
        <w:ind w:left="898" w:leftChars="342" w:hanging="180"/>
        <w:rPr>
          <w:rFonts w:hint="eastAsia" w:ascii="宋体" w:hAnsi="宋体" w:eastAsia="宋体" w:cs="宋体"/>
          <w:b/>
          <w:bCs/>
          <w:color w:val="auto"/>
          <w:sz w:val="24"/>
          <w:szCs w:val="24"/>
          <w:highlight w:val="none"/>
        </w:rPr>
      </w:pPr>
      <w:r>
        <w:rPr>
          <w:rFonts w:hint="eastAsia" w:ascii="宋体" w:hAnsi="宋体" w:eastAsia="宋体" w:cs="宋体"/>
          <w:color w:val="auto"/>
          <w:sz w:val="24"/>
          <w:szCs w:val="24"/>
          <w:highlight w:val="none"/>
        </w:rPr>
        <w:t>（2） 综合评分法，是指投标文件满足招标文件全部实质性要求，且按照评审因素的量化指标评审得分最高的</w:t>
      </w:r>
      <w:r>
        <w:rPr>
          <w:rFonts w:hint="eastAsia" w:hAnsi="宋体" w:cs="宋体"/>
          <w:color w:val="auto"/>
          <w:sz w:val="24"/>
          <w:szCs w:val="24"/>
          <w:highlight w:val="none"/>
          <w:lang w:eastAsia="zh-CN"/>
        </w:rPr>
        <w:t>供应商</w:t>
      </w:r>
      <w:r>
        <w:rPr>
          <w:rFonts w:hint="eastAsia" w:ascii="宋体" w:hAnsi="宋体" w:eastAsia="宋体" w:cs="宋体"/>
          <w:color w:val="auto"/>
          <w:sz w:val="24"/>
          <w:szCs w:val="24"/>
          <w:highlight w:val="none"/>
        </w:rPr>
        <w:t>为中标候选人的评标方法。</w:t>
      </w:r>
    </w:p>
    <w:p>
      <w:pPr>
        <w:pStyle w:val="11"/>
        <w:shd w:val="clear"/>
        <w:spacing w:line="34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23.3   根据《政府采购促进中小企业发展管理办法》（财库[2020]46号）、《财政部 司法部关于政府采购支持监狱企业发展有关问题的通知》（财库〔2014〕68号）和《三部门联合发布关于促进残疾人就业政府采购政策的通知》（</w:t>
      </w:r>
      <w:r>
        <w:rPr>
          <w:rFonts w:hint="eastAsia" w:ascii="宋体" w:hAnsi="宋体" w:eastAsia="宋体" w:cs="宋体"/>
          <w:bCs/>
          <w:color w:val="auto"/>
          <w:sz w:val="24"/>
          <w:szCs w:val="24"/>
          <w:highlight w:val="none"/>
        </w:rPr>
        <w:t>财库〔2017〕141号</w:t>
      </w:r>
      <w:r>
        <w:rPr>
          <w:rFonts w:hint="eastAsia" w:ascii="宋体" w:hAnsi="宋体" w:eastAsia="宋体" w:cs="宋体"/>
          <w:color w:val="auto"/>
          <w:sz w:val="24"/>
          <w:szCs w:val="24"/>
          <w:highlight w:val="none"/>
        </w:rPr>
        <w:t>）的规定，对满足价格扣除条件且在投标文件中提交了《</w:t>
      </w:r>
      <w:r>
        <w:rPr>
          <w:rFonts w:hint="eastAsia" w:hAnsi="宋体" w:cs="宋体"/>
          <w:color w:val="auto"/>
          <w:sz w:val="24"/>
          <w:szCs w:val="24"/>
          <w:highlight w:val="none"/>
          <w:lang w:eastAsia="zh-CN"/>
        </w:rPr>
        <w:t>供应商</w:t>
      </w:r>
      <w:r>
        <w:rPr>
          <w:rFonts w:hint="eastAsia" w:ascii="宋体" w:hAnsi="宋体" w:eastAsia="宋体" w:cs="宋体"/>
          <w:color w:val="auto"/>
          <w:sz w:val="24"/>
          <w:szCs w:val="24"/>
          <w:highlight w:val="none"/>
        </w:rPr>
        <w:t>企业类型声明函》或省级以上监狱管理局、戒毒管理局（含新疆生产建设兵团）出具的属于监狱企业的证明文件的</w:t>
      </w:r>
      <w:r>
        <w:rPr>
          <w:rFonts w:hint="eastAsia" w:hAnsi="宋体" w:cs="宋体"/>
          <w:color w:val="auto"/>
          <w:sz w:val="24"/>
          <w:szCs w:val="24"/>
          <w:highlight w:val="none"/>
          <w:lang w:eastAsia="zh-CN"/>
        </w:rPr>
        <w:t>供应商</w:t>
      </w:r>
      <w:r>
        <w:rPr>
          <w:rFonts w:hint="eastAsia" w:ascii="宋体" w:hAnsi="宋体" w:eastAsia="宋体" w:cs="宋体"/>
          <w:color w:val="auto"/>
          <w:sz w:val="24"/>
          <w:szCs w:val="24"/>
          <w:highlight w:val="none"/>
        </w:rPr>
        <w:t>，其投标报价扣除</w:t>
      </w:r>
      <w:r>
        <w:rPr>
          <w:rFonts w:hint="eastAsia" w:hAnsi="宋体" w:cs="宋体"/>
          <w:color w:val="auto"/>
          <w:sz w:val="24"/>
          <w:szCs w:val="24"/>
          <w:highlight w:val="none"/>
          <w:lang w:val="en-US" w:eastAsia="zh-CN"/>
        </w:rPr>
        <w:t>10%</w:t>
      </w:r>
      <w:r>
        <w:rPr>
          <w:rFonts w:hint="eastAsia" w:ascii="宋体" w:hAnsi="宋体" w:eastAsia="宋体" w:cs="宋体"/>
          <w:color w:val="auto"/>
          <w:sz w:val="24"/>
          <w:szCs w:val="24"/>
          <w:highlight w:val="none"/>
        </w:rPr>
        <w:t>后参与评审。</w:t>
      </w:r>
    </w:p>
    <w:p>
      <w:pPr>
        <w:pStyle w:val="5"/>
        <w:shd w:val="clear"/>
        <w:spacing w:before="0" w:after="0" w:line="340" w:lineRule="exact"/>
        <w:rPr>
          <w:rFonts w:hint="eastAsia" w:ascii="宋体" w:hAnsi="宋体" w:eastAsia="宋体" w:cs="宋体"/>
          <w:color w:val="auto"/>
          <w:sz w:val="24"/>
          <w:szCs w:val="24"/>
          <w:highlight w:val="none"/>
          <w:u w:val="none"/>
        </w:rPr>
      </w:pPr>
      <w:bookmarkStart w:id="127" w:name="_Toc520356168"/>
      <w:bookmarkStart w:id="128" w:name="_Toc26402"/>
      <w:bookmarkStart w:id="129" w:name="_Toc27067"/>
      <w:bookmarkStart w:id="130" w:name="_Toc19218"/>
      <w:bookmarkStart w:id="131" w:name="_Toc31084"/>
      <w:r>
        <w:rPr>
          <w:rFonts w:hint="eastAsia" w:ascii="宋体" w:hAnsi="宋体" w:eastAsia="宋体" w:cs="宋体"/>
          <w:color w:val="auto"/>
          <w:sz w:val="24"/>
          <w:szCs w:val="24"/>
          <w:highlight w:val="none"/>
          <w:u w:val="none"/>
        </w:rPr>
        <w:t>24</w:t>
      </w:r>
      <w:bookmarkEnd w:id="127"/>
      <w:r>
        <w:rPr>
          <w:rFonts w:hint="eastAsia" w:ascii="宋体" w:hAnsi="宋体" w:eastAsia="宋体" w:cs="宋体"/>
          <w:color w:val="auto"/>
          <w:sz w:val="24"/>
          <w:szCs w:val="24"/>
          <w:highlight w:val="none"/>
          <w:u w:val="none"/>
        </w:rPr>
        <w:t>.废标</w:t>
      </w:r>
      <w:bookmarkEnd w:id="128"/>
      <w:bookmarkEnd w:id="129"/>
      <w:bookmarkEnd w:id="130"/>
      <w:bookmarkEnd w:id="131"/>
    </w:p>
    <w:p>
      <w:pPr>
        <w:shd w:val="clear"/>
        <w:spacing w:line="340" w:lineRule="exact"/>
        <w:ind w:left="898" w:leftChars="399" w:hanging="60" w:hangingChars="25"/>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出现下列情形之一，将导致项目废标：</w:t>
      </w:r>
      <w:r>
        <w:rPr>
          <w:rFonts w:hint="eastAsia" w:ascii="宋体" w:hAnsi="宋体" w:eastAsia="宋体" w:cs="宋体"/>
          <w:color w:val="auto"/>
          <w:sz w:val="24"/>
          <w:szCs w:val="24"/>
          <w:highlight w:val="none"/>
        </w:rPr>
        <w:t xml:space="preserve"> </w:t>
      </w:r>
    </w:p>
    <w:p>
      <w:pPr>
        <w:shd w:val="clear"/>
        <w:spacing w:line="340" w:lineRule="exact"/>
        <w:ind w:left="900" w:hanging="900" w:hangingChars="375"/>
        <w:rPr>
          <w:rFonts w:hint="eastAsia" w:ascii="宋体" w:hAnsi="宋体" w:eastAsia="宋体" w:cs="宋体"/>
          <w:b/>
          <w:bCs/>
          <w:color w:val="auto"/>
          <w:sz w:val="24"/>
          <w:szCs w:val="24"/>
          <w:highlight w:val="none"/>
        </w:rPr>
      </w:pPr>
      <w:r>
        <w:rPr>
          <w:rFonts w:hint="eastAsia" w:ascii="宋体" w:hAnsi="宋体" w:eastAsia="宋体" w:cs="宋体"/>
          <w:color w:val="auto"/>
          <w:sz w:val="24"/>
          <w:szCs w:val="24"/>
          <w:highlight w:val="none"/>
        </w:rPr>
        <w:tab/>
      </w:r>
      <w:r>
        <w:rPr>
          <w:rFonts w:hint="eastAsia" w:ascii="宋体" w:hAnsi="宋体" w:eastAsia="宋体" w:cs="宋体"/>
          <w:b/>
          <w:bCs/>
          <w:color w:val="auto"/>
          <w:sz w:val="24"/>
          <w:szCs w:val="24"/>
          <w:highlight w:val="none"/>
        </w:rPr>
        <w:t>（1）符合专业条件的供应商或者对招标文件做实质性响应的供应商不足三家；</w:t>
      </w:r>
    </w:p>
    <w:p>
      <w:pPr>
        <w:shd w:val="clear"/>
        <w:spacing w:line="340" w:lineRule="exact"/>
        <w:ind w:left="900" w:hanging="904" w:hangingChars="375"/>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ab/>
      </w:r>
      <w:r>
        <w:rPr>
          <w:rFonts w:hint="eastAsia" w:ascii="宋体" w:hAnsi="宋体" w:eastAsia="宋体" w:cs="宋体"/>
          <w:b/>
          <w:bCs/>
          <w:color w:val="auto"/>
          <w:sz w:val="24"/>
          <w:szCs w:val="24"/>
          <w:highlight w:val="none"/>
        </w:rPr>
        <w:t>（2）出现影响采购公正的违法、违规行为的；</w:t>
      </w:r>
    </w:p>
    <w:p>
      <w:pPr>
        <w:shd w:val="clear"/>
        <w:spacing w:line="340" w:lineRule="exact"/>
        <w:ind w:firstLine="843" w:firstLineChars="35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（3）</w:t>
      </w:r>
      <w:r>
        <w:rPr>
          <w:rFonts w:hint="eastAsia" w:ascii="宋体" w:hAnsi="宋体" w:cs="宋体"/>
          <w:b/>
          <w:bCs/>
          <w:color w:val="auto"/>
          <w:sz w:val="24"/>
          <w:szCs w:val="24"/>
          <w:highlight w:val="none"/>
          <w:lang w:eastAsia="zh-CN"/>
        </w:rPr>
        <w:t>供应商</w:t>
      </w:r>
      <w:r>
        <w:rPr>
          <w:rFonts w:hint="eastAsia" w:ascii="宋体" w:hAnsi="宋体" w:eastAsia="宋体" w:cs="宋体"/>
          <w:b/>
          <w:bCs/>
          <w:color w:val="auto"/>
          <w:sz w:val="24"/>
          <w:szCs w:val="24"/>
          <w:highlight w:val="none"/>
        </w:rPr>
        <w:t>的报价均超过了采购预算，采购人不能支付的；</w:t>
      </w:r>
    </w:p>
    <w:p>
      <w:pPr>
        <w:shd w:val="clear"/>
        <w:spacing w:line="340" w:lineRule="exact"/>
        <w:ind w:firstLine="843" w:firstLineChars="350"/>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 xml:space="preserve">（4）因重大变故，采购任务取消的。  </w:t>
      </w:r>
      <w:r>
        <w:rPr>
          <w:rFonts w:hint="eastAsia" w:ascii="宋体" w:hAnsi="宋体" w:eastAsia="宋体" w:cs="宋体"/>
          <w:color w:val="auto"/>
          <w:sz w:val="24"/>
          <w:szCs w:val="24"/>
          <w:highlight w:val="none"/>
        </w:rPr>
        <w:t xml:space="preserve"> </w:t>
      </w:r>
    </w:p>
    <w:p>
      <w:pPr>
        <w:pStyle w:val="5"/>
        <w:shd w:val="clear"/>
        <w:spacing w:before="0" w:after="0" w:line="340" w:lineRule="exact"/>
        <w:rPr>
          <w:rFonts w:hint="eastAsia" w:ascii="宋体" w:hAnsi="宋体" w:eastAsia="宋体" w:cs="宋体"/>
          <w:color w:val="auto"/>
          <w:sz w:val="24"/>
          <w:szCs w:val="24"/>
          <w:highlight w:val="none"/>
          <w:u w:val="none"/>
        </w:rPr>
      </w:pPr>
      <w:bookmarkStart w:id="132" w:name="_Toc21697"/>
      <w:bookmarkStart w:id="133" w:name="_Toc23725"/>
      <w:bookmarkStart w:id="134" w:name="_Toc10657"/>
      <w:r>
        <w:rPr>
          <w:rFonts w:hint="eastAsia" w:ascii="宋体" w:hAnsi="宋体" w:eastAsia="宋体" w:cs="宋体"/>
          <w:color w:val="auto"/>
          <w:sz w:val="24"/>
          <w:szCs w:val="24"/>
          <w:highlight w:val="none"/>
          <w:u w:val="none"/>
        </w:rPr>
        <w:t>25.保密原则</w:t>
      </w:r>
      <w:bookmarkEnd w:id="132"/>
      <w:bookmarkEnd w:id="133"/>
      <w:bookmarkEnd w:id="134"/>
    </w:p>
    <w:p>
      <w:pPr>
        <w:shd w:val="clear"/>
        <w:spacing w:line="34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25.1</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评标将在严格保密的情况下进行。</w:t>
      </w:r>
    </w:p>
    <w:p>
      <w:pPr>
        <w:shd w:val="clear"/>
        <w:spacing w:line="34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25.2</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政府采购评审专家应当遵守评审工作纪律，不得泄露评审文件、评审情况和评审中获悉的商业秘密。</w:t>
      </w:r>
    </w:p>
    <w:p>
      <w:pPr>
        <w:shd w:val="clear"/>
        <w:spacing w:line="340" w:lineRule="exact"/>
        <w:ind w:left="1080" w:leftChars="257" w:hanging="540"/>
        <w:rPr>
          <w:rFonts w:hint="eastAsia" w:ascii="宋体" w:hAnsi="宋体" w:eastAsia="宋体" w:cs="宋体"/>
          <w:color w:val="auto"/>
          <w:sz w:val="24"/>
          <w:szCs w:val="24"/>
          <w:highlight w:val="none"/>
        </w:rPr>
      </w:pPr>
    </w:p>
    <w:p>
      <w:pPr>
        <w:pStyle w:val="4"/>
        <w:shd w:val="clear"/>
        <w:spacing w:before="0" w:line="340" w:lineRule="exact"/>
        <w:ind w:left="1080" w:leftChars="257" w:hanging="540"/>
        <w:rPr>
          <w:rFonts w:hint="eastAsia" w:ascii="宋体" w:hAnsi="宋体" w:eastAsia="宋体" w:cs="宋体"/>
          <w:color w:val="auto"/>
          <w:sz w:val="24"/>
          <w:szCs w:val="24"/>
          <w:highlight w:val="none"/>
        </w:rPr>
      </w:pPr>
      <w:bookmarkStart w:id="135" w:name="_Toc15411"/>
      <w:bookmarkStart w:id="136" w:name="_Toc31410"/>
      <w:bookmarkStart w:id="137" w:name="_Toc32121"/>
      <w:r>
        <w:rPr>
          <w:rFonts w:hint="eastAsia" w:ascii="宋体" w:hAnsi="宋体" w:eastAsia="宋体" w:cs="宋体"/>
          <w:color w:val="auto"/>
          <w:sz w:val="24"/>
          <w:szCs w:val="24"/>
          <w:highlight w:val="none"/>
        </w:rPr>
        <w:t>六   确定中标</w:t>
      </w:r>
      <w:bookmarkEnd w:id="135"/>
      <w:bookmarkEnd w:id="136"/>
      <w:bookmarkEnd w:id="137"/>
    </w:p>
    <w:p>
      <w:pPr>
        <w:pStyle w:val="6"/>
        <w:shd w:val="clear"/>
        <w:spacing w:line="340" w:lineRule="exact"/>
        <w:rPr>
          <w:rFonts w:hint="eastAsia" w:ascii="宋体" w:hAnsi="宋体" w:eastAsia="宋体" w:cs="宋体"/>
          <w:color w:val="auto"/>
          <w:sz w:val="24"/>
          <w:szCs w:val="24"/>
          <w:highlight w:val="none"/>
        </w:rPr>
      </w:pPr>
    </w:p>
    <w:p>
      <w:pPr>
        <w:pStyle w:val="5"/>
        <w:shd w:val="clear"/>
        <w:spacing w:before="0" w:after="0" w:line="340" w:lineRule="exact"/>
        <w:rPr>
          <w:rFonts w:hint="eastAsia" w:ascii="宋体" w:hAnsi="宋体" w:eastAsia="宋体" w:cs="宋体"/>
          <w:color w:val="auto"/>
          <w:sz w:val="24"/>
          <w:szCs w:val="24"/>
          <w:highlight w:val="none"/>
          <w:u w:val="none"/>
        </w:rPr>
      </w:pPr>
      <w:bookmarkStart w:id="138" w:name="_Toc28376"/>
      <w:bookmarkStart w:id="139" w:name="_Toc30510"/>
      <w:bookmarkStart w:id="140" w:name="_Toc13936"/>
      <w:r>
        <w:rPr>
          <w:rFonts w:hint="eastAsia" w:ascii="宋体" w:hAnsi="宋体" w:eastAsia="宋体" w:cs="宋体"/>
          <w:color w:val="auto"/>
          <w:sz w:val="24"/>
          <w:szCs w:val="24"/>
          <w:highlight w:val="none"/>
          <w:u w:val="none"/>
        </w:rPr>
        <w:t>26.中标候选人的确定原则及标准</w:t>
      </w:r>
      <w:bookmarkEnd w:id="138"/>
      <w:bookmarkEnd w:id="139"/>
      <w:bookmarkEnd w:id="140"/>
    </w:p>
    <w:p>
      <w:pPr>
        <w:shd w:val="clear"/>
        <w:spacing w:line="34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除第28条规定外，对实质上响应招标文件的</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按下列方法进行排序，确定投标候选人：</w:t>
      </w:r>
    </w:p>
    <w:p>
      <w:pPr>
        <w:shd w:val="clear"/>
        <w:spacing w:line="340" w:lineRule="exact"/>
        <w:ind w:left="90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（1）采用最低评标价法的，除了算术修正和落实政府采购政策需进行的价格扣除外，不对</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的投标价格进行任何调整。评标结果按修正和扣除后的投标报价由低到高顺序排列。报价相同的处理方式详见招标文件第6章。</w:t>
      </w:r>
    </w:p>
    <w:p>
      <w:pPr>
        <w:shd w:val="clear"/>
        <w:spacing w:line="340" w:lineRule="exact"/>
        <w:ind w:left="90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（2）采用综合评分法的，评标结果按评审后得分由高到低顺序排列。得分相同的，按修正和扣除后的投标报价由低到高顺序排列。得分与投标报价均相同的处理方式详见招标文件第6章。</w:t>
      </w:r>
    </w:p>
    <w:p>
      <w:pPr>
        <w:spacing w:line="240" w:lineRule="atLeast"/>
        <w:ind w:left="901"/>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lang w:val="en-US" w:eastAsia="zh-CN"/>
        </w:rPr>
        <w:t>本项目采用综合评分法，其中价格占30%，商务占</w:t>
      </w:r>
      <w:r>
        <w:rPr>
          <w:rFonts w:hint="eastAsia" w:ascii="宋体" w:hAnsi="宋体" w:cs="宋体"/>
          <w:b/>
          <w:bCs/>
          <w:color w:val="auto"/>
          <w:sz w:val="24"/>
          <w:szCs w:val="24"/>
          <w:highlight w:val="none"/>
          <w:lang w:val="en-US" w:eastAsia="zh-CN"/>
        </w:rPr>
        <w:t>6</w:t>
      </w:r>
      <w:r>
        <w:rPr>
          <w:rFonts w:hint="eastAsia" w:ascii="宋体" w:hAnsi="宋体" w:eastAsia="宋体" w:cs="宋体"/>
          <w:b/>
          <w:bCs/>
          <w:color w:val="auto"/>
          <w:sz w:val="24"/>
          <w:szCs w:val="24"/>
          <w:highlight w:val="none"/>
          <w:lang w:val="en-US" w:eastAsia="zh-CN"/>
        </w:rPr>
        <w:t>%，技术</w:t>
      </w:r>
      <w:r>
        <w:rPr>
          <w:rFonts w:hint="eastAsia" w:ascii="宋体" w:hAnsi="宋体" w:cs="宋体"/>
          <w:b/>
          <w:bCs/>
          <w:color w:val="auto"/>
          <w:sz w:val="24"/>
          <w:szCs w:val="24"/>
          <w:highlight w:val="none"/>
          <w:lang w:val="en-US" w:eastAsia="zh-CN"/>
        </w:rPr>
        <w:t>64</w:t>
      </w:r>
      <w:r>
        <w:rPr>
          <w:rFonts w:hint="eastAsia" w:ascii="宋体" w:hAnsi="宋体" w:eastAsia="宋体" w:cs="宋体"/>
          <w:b/>
          <w:bCs/>
          <w:color w:val="auto"/>
          <w:sz w:val="24"/>
          <w:szCs w:val="24"/>
          <w:highlight w:val="none"/>
          <w:lang w:val="en-US" w:eastAsia="zh-CN"/>
        </w:rPr>
        <w:t>%。</w:t>
      </w:r>
    </w:p>
    <w:p>
      <w:pPr>
        <w:pStyle w:val="5"/>
        <w:shd w:val="clear"/>
        <w:tabs>
          <w:tab w:val="left" w:pos="900"/>
        </w:tabs>
        <w:spacing w:before="0" w:after="0" w:line="360" w:lineRule="exact"/>
        <w:rPr>
          <w:rFonts w:hint="eastAsia" w:ascii="宋体" w:hAnsi="宋体" w:eastAsia="宋体" w:cs="宋体"/>
          <w:color w:val="auto"/>
          <w:sz w:val="24"/>
          <w:szCs w:val="24"/>
          <w:highlight w:val="none"/>
          <w:u w:val="none"/>
        </w:rPr>
      </w:pPr>
      <w:bookmarkStart w:id="141" w:name="_Toc460"/>
      <w:bookmarkStart w:id="142" w:name="_Toc20688"/>
      <w:bookmarkStart w:id="143" w:name="_Toc30072"/>
      <w:bookmarkStart w:id="144" w:name="_Toc28240"/>
      <w:r>
        <w:rPr>
          <w:rFonts w:hint="eastAsia" w:ascii="宋体" w:hAnsi="宋体" w:eastAsia="宋体" w:cs="宋体"/>
          <w:color w:val="auto"/>
          <w:sz w:val="24"/>
          <w:szCs w:val="24"/>
          <w:highlight w:val="none"/>
          <w:u w:val="none"/>
        </w:rPr>
        <w:t>27.确定中标候选人和中标人</w:t>
      </w:r>
      <w:bookmarkEnd w:id="141"/>
      <w:bookmarkEnd w:id="142"/>
      <w:bookmarkEnd w:id="143"/>
      <w:bookmarkEnd w:id="144"/>
    </w:p>
    <w:p>
      <w:pPr>
        <w:shd w:val="clear"/>
        <w:spacing w:line="36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评标委员会将根据评标标准，按</w:t>
      </w:r>
      <w:r>
        <w:rPr>
          <w:rFonts w:hint="eastAsia" w:ascii="宋体" w:hAnsi="宋体" w:cs="宋体"/>
          <w:color w:val="auto"/>
          <w:sz w:val="24"/>
          <w:szCs w:val="24"/>
          <w:highlight w:val="none"/>
          <w:u w:val="single"/>
          <w:lang w:eastAsia="zh-CN"/>
        </w:rPr>
        <w:t>供应商</w:t>
      </w:r>
      <w:r>
        <w:rPr>
          <w:rFonts w:hint="eastAsia" w:ascii="宋体" w:hAnsi="宋体" w:eastAsia="宋体" w:cs="宋体"/>
          <w:color w:val="auto"/>
          <w:sz w:val="24"/>
          <w:szCs w:val="24"/>
          <w:highlight w:val="none"/>
          <w:u w:val="single"/>
        </w:rPr>
        <w:t>须知资料表中</w:t>
      </w:r>
      <w:r>
        <w:rPr>
          <w:rFonts w:hint="eastAsia" w:ascii="宋体" w:hAnsi="宋体" w:eastAsia="宋体" w:cs="宋体"/>
          <w:color w:val="auto"/>
          <w:sz w:val="24"/>
          <w:szCs w:val="24"/>
          <w:highlight w:val="none"/>
        </w:rPr>
        <w:t>规定数量推荐中标候选人；或根据采购人的委托，直接确定中标人。</w:t>
      </w:r>
    </w:p>
    <w:p>
      <w:pPr>
        <w:pStyle w:val="5"/>
        <w:shd w:val="clear"/>
        <w:tabs>
          <w:tab w:val="left" w:pos="900"/>
        </w:tabs>
        <w:spacing w:before="0" w:after="0" w:line="360" w:lineRule="exact"/>
        <w:rPr>
          <w:rFonts w:hint="eastAsia" w:ascii="宋体" w:hAnsi="宋体" w:eastAsia="宋体" w:cs="宋体"/>
          <w:color w:val="auto"/>
          <w:sz w:val="24"/>
          <w:szCs w:val="24"/>
          <w:highlight w:val="none"/>
          <w:u w:val="none"/>
        </w:rPr>
      </w:pPr>
      <w:bookmarkStart w:id="145" w:name="_Toc31043"/>
      <w:bookmarkStart w:id="146" w:name="_Toc7156"/>
      <w:bookmarkStart w:id="147" w:name="_Toc20001"/>
      <w:bookmarkStart w:id="148" w:name="_Toc31582"/>
      <w:r>
        <w:rPr>
          <w:rFonts w:hint="eastAsia" w:ascii="宋体" w:hAnsi="宋体" w:eastAsia="宋体" w:cs="宋体"/>
          <w:color w:val="auto"/>
          <w:sz w:val="24"/>
          <w:szCs w:val="24"/>
          <w:highlight w:val="none"/>
          <w:u w:val="none"/>
        </w:rPr>
        <w:t>28.采购任务取消</w:t>
      </w:r>
      <w:bookmarkEnd w:id="145"/>
      <w:bookmarkEnd w:id="146"/>
      <w:bookmarkEnd w:id="147"/>
      <w:bookmarkEnd w:id="148"/>
    </w:p>
    <w:p>
      <w:pPr>
        <w:shd w:val="clear"/>
        <w:spacing w:line="36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因重大变故采购任务取消时，采购人有权拒绝任何</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中标，且对受影响的</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不承担任何责任。</w:t>
      </w:r>
    </w:p>
    <w:p>
      <w:pPr>
        <w:pStyle w:val="5"/>
        <w:shd w:val="clear"/>
        <w:spacing w:before="0" w:after="0" w:line="360" w:lineRule="exact"/>
        <w:rPr>
          <w:rFonts w:hint="eastAsia" w:ascii="宋体" w:hAnsi="宋体" w:eastAsia="宋体" w:cs="宋体"/>
          <w:color w:val="auto"/>
          <w:sz w:val="24"/>
          <w:szCs w:val="24"/>
          <w:highlight w:val="none"/>
          <w:u w:val="none"/>
        </w:rPr>
      </w:pPr>
      <w:bookmarkStart w:id="149" w:name="_Toc30931"/>
      <w:bookmarkStart w:id="150" w:name="_Toc27996"/>
      <w:bookmarkStart w:id="151" w:name="_Toc8834"/>
      <w:bookmarkStart w:id="152" w:name="_Toc31939"/>
      <w:r>
        <w:rPr>
          <w:rFonts w:hint="eastAsia" w:ascii="宋体" w:hAnsi="宋体" w:eastAsia="宋体" w:cs="宋体"/>
          <w:color w:val="auto"/>
          <w:sz w:val="24"/>
          <w:szCs w:val="24"/>
          <w:highlight w:val="none"/>
          <w:u w:val="none"/>
        </w:rPr>
        <w:t>29.中标通知书和招标结果通知书</w:t>
      </w:r>
      <w:bookmarkEnd w:id="149"/>
      <w:bookmarkEnd w:id="150"/>
      <w:bookmarkEnd w:id="151"/>
      <w:bookmarkEnd w:id="152"/>
    </w:p>
    <w:p>
      <w:pPr>
        <w:shd w:val="clear"/>
        <w:spacing w:line="36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29.1</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在投标有效期内，中标人确定后，采购人或者采购代理机构发布中标公告，同时以书面形式向中标人发出中标通知书。</w:t>
      </w:r>
    </w:p>
    <w:p>
      <w:pPr>
        <w:shd w:val="clear"/>
        <w:spacing w:line="36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29.2</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中标通知书是合同的组成部分。</w:t>
      </w:r>
    </w:p>
    <w:p>
      <w:pPr>
        <w:shd w:val="clear"/>
        <w:spacing w:line="36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29.3    招标结果通知书和中标通知书同时发出。招标结果通知书中将告知未通过资格审查的</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未通过的原因；采用综合评分法评审的，还将告知未中标人本人的评审得分和排序。</w:t>
      </w:r>
    </w:p>
    <w:p>
      <w:pPr>
        <w:pStyle w:val="5"/>
        <w:shd w:val="clear"/>
        <w:spacing w:before="0" w:after="0" w:line="360" w:lineRule="exact"/>
        <w:rPr>
          <w:rFonts w:hint="eastAsia" w:ascii="宋体" w:hAnsi="宋体" w:eastAsia="宋体" w:cs="宋体"/>
          <w:color w:val="auto"/>
          <w:sz w:val="24"/>
          <w:szCs w:val="24"/>
          <w:highlight w:val="none"/>
          <w:u w:val="none"/>
        </w:rPr>
      </w:pPr>
      <w:bookmarkStart w:id="153" w:name="_Toc24666"/>
      <w:bookmarkStart w:id="154" w:name="_Toc14551"/>
      <w:bookmarkStart w:id="155" w:name="_Toc24091"/>
      <w:bookmarkStart w:id="156" w:name="_Toc14106"/>
      <w:r>
        <w:rPr>
          <w:rFonts w:hint="eastAsia" w:ascii="宋体" w:hAnsi="宋体" w:eastAsia="宋体" w:cs="宋体"/>
          <w:color w:val="auto"/>
          <w:sz w:val="24"/>
          <w:szCs w:val="24"/>
          <w:highlight w:val="none"/>
          <w:u w:val="none"/>
        </w:rPr>
        <w:t>30.签订合同</w:t>
      </w:r>
      <w:bookmarkEnd w:id="153"/>
      <w:bookmarkEnd w:id="154"/>
      <w:bookmarkEnd w:id="155"/>
      <w:bookmarkEnd w:id="156"/>
    </w:p>
    <w:p>
      <w:pPr>
        <w:shd w:val="clear"/>
        <w:spacing w:line="36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30.1</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中标人应当自发出中标通知书之日起30日内，与采购人签订合同。</w:t>
      </w:r>
    </w:p>
    <w:p>
      <w:pPr>
        <w:shd w:val="clear"/>
        <w:spacing w:line="36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30.2</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招标文件、中标人的投标文件及其澄清文件等，均为签订合同的依据。</w:t>
      </w:r>
    </w:p>
    <w:p>
      <w:pPr>
        <w:shd w:val="clear"/>
        <w:spacing w:line="36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30.3   中标人拒绝与采购人签订合同的，采购人可以按照评审报告推荐的中标候选人名单排序，确定下一中标候选人为中标人，也可以重新开展政府采购活动。</w:t>
      </w:r>
    </w:p>
    <w:p>
      <w:pPr>
        <w:shd w:val="clear"/>
        <w:spacing w:line="36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30.4   当出现法规规定的</w:t>
      </w:r>
      <w:r>
        <w:rPr>
          <w:rFonts w:hint="eastAsia" w:ascii="宋体" w:hAnsi="宋体" w:eastAsia="宋体" w:cs="宋体"/>
          <w:b/>
          <w:color w:val="auto"/>
          <w:sz w:val="24"/>
          <w:szCs w:val="24"/>
          <w:highlight w:val="none"/>
        </w:rPr>
        <w:t>中标无效或中标结果无效</w:t>
      </w:r>
      <w:r>
        <w:rPr>
          <w:rFonts w:hint="eastAsia" w:ascii="宋体" w:hAnsi="宋体" w:eastAsia="宋体" w:cs="宋体"/>
          <w:color w:val="auto"/>
          <w:sz w:val="24"/>
          <w:szCs w:val="24"/>
          <w:highlight w:val="none"/>
        </w:rPr>
        <w:t>情形时，采购人可与排名下一位的中标候选人另行签订合同，或依法重新开展采购活动。</w:t>
      </w:r>
    </w:p>
    <w:p>
      <w:pPr>
        <w:pStyle w:val="5"/>
        <w:shd w:val="clear"/>
        <w:spacing w:before="0" w:after="0" w:line="360" w:lineRule="exact"/>
        <w:rPr>
          <w:rFonts w:hint="eastAsia" w:ascii="宋体" w:hAnsi="宋体" w:eastAsia="宋体" w:cs="宋体"/>
          <w:color w:val="auto"/>
          <w:sz w:val="24"/>
          <w:szCs w:val="24"/>
          <w:highlight w:val="none"/>
          <w:u w:val="none"/>
        </w:rPr>
      </w:pPr>
      <w:bookmarkStart w:id="157" w:name="_Toc11249"/>
      <w:bookmarkStart w:id="158" w:name="_Toc28788"/>
      <w:bookmarkStart w:id="159" w:name="_Toc10991"/>
      <w:bookmarkStart w:id="160" w:name="_Toc8189"/>
      <w:r>
        <w:rPr>
          <w:rFonts w:hint="eastAsia" w:ascii="宋体" w:hAnsi="宋体" w:eastAsia="宋体" w:cs="宋体"/>
          <w:color w:val="auto"/>
          <w:sz w:val="24"/>
          <w:szCs w:val="24"/>
          <w:highlight w:val="none"/>
          <w:u w:val="none"/>
        </w:rPr>
        <w:t>31.履约保证金</w:t>
      </w:r>
      <w:bookmarkEnd w:id="157"/>
      <w:bookmarkEnd w:id="158"/>
      <w:bookmarkEnd w:id="159"/>
      <w:bookmarkEnd w:id="160"/>
    </w:p>
    <w:p>
      <w:pPr>
        <w:shd w:val="clear"/>
        <w:spacing w:line="36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31.1</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中标人应按照</w:t>
      </w:r>
      <w:r>
        <w:rPr>
          <w:rFonts w:hint="eastAsia" w:ascii="宋体" w:hAnsi="宋体" w:cs="宋体"/>
          <w:color w:val="auto"/>
          <w:sz w:val="24"/>
          <w:szCs w:val="24"/>
          <w:highlight w:val="none"/>
          <w:u w:val="single"/>
          <w:lang w:eastAsia="zh-CN"/>
        </w:rPr>
        <w:t>供应商</w:t>
      </w:r>
      <w:r>
        <w:rPr>
          <w:rFonts w:hint="eastAsia" w:ascii="宋体" w:hAnsi="宋体" w:eastAsia="宋体" w:cs="宋体"/>
          <w:color w:val="auto"/>
          <w:sz w:val="24"/>
          <w:szCs w:val="24"/>
          <w:highlight w:val="none"/>
          <w:u w:val="single"/>
        </w:rPr>
        <w:t>须知资料表</w:t>
      </w:r>
      <w:r>
        <w:rPr>
          <w:rFonts w:hint="eastAsia" w:ascii="宋体" w:hAnsi="宋体" w:eastAsia="宋体" w:cs="宋体"/>
          <w:color w:val="auto"/>
          <w:sz w:val="24"/>
          <w:szCs w:val="24"/>
          <w:highlight w:val="none"/>
        </w:rPr>
        <w:t>规定向采购人缴纳履约保证金（如采用保函形式，格式见本章附件1）。</w:t>
      </w:r>
    </w:p>
    <w:p>
      <w:pPr>
        <w:shd w:val="clear"/>
        <w:spacing w:line="36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31.2</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政府采购利用担保试点范围内的项目，除31.1规定的情形外，中标人也可以按照财政部门的规定，向采购人提供合格的履约担保函（格式见本章附件2）。</w:t>
      </w:r>
    </w:p>
    <w:p>
      <w:pPr>
        <w:pStyle w:val="5"/>
        <w:shd w:val="clear"/>
        <w:spacing w:before="0" w:after="0" w:line="360" w:lineRule="exact"/>
        <w:rPr>
          <w:rFonts w:hint="eastAsia" w:ascii="宋体" w:hAnsi="宋体" w:eastAsia="宋体" w:cs="宋体"/>
          <w:color w:val="auto"/>
          <w:sz w:val="24"/>
          <w:szCs w:val="24"/>
          <w:highlight w:val="none"/>
          <w:u w:val="none"/>
        </w:rPr>
      </w:pPr>
      <w:bookmarkStart w:id="161" w:name="_Toc17796"/>
      <w:bookmarkStart w:id="162" w:name="_Toc9967"/>
      <w:bookmarkStart w:id="163" w:name="_Toc21246"/>
      <w:bookmarkStart w:id="164" w:name="_Toc16406"/>
      <w:r>
        <w:rPr>
          <w:rFonts w:hint="eastAsia" w:ascii="宋体" w:hAnsi="宋体" w:eastAsia="宋体" w:cs="宋体"/>
          <w:color w:val="auto"/>
          <w:sz w:val="24"/>
          <w:szCs w:val="24"/>
          <w:highlight w:val="none"/>
          <w:u w:val="none"/>
        </w:rPr>
        <w:t>32.中标服务费</w:t>
      </w:r>
      <w:bookmarkEnd w:id="161"/>
      <w:bookmarkEnd w:id="162"/>
      <w:bookmarkEnd w:id="163"/>
      <w:bookmarkEnd w:id="164"/>
    </w:p>
    <w:p>
      <w:pPr>
        <w:shd w:val="clear"/>
        <w:spacing w:line="360" w:lineRule="exact"/>
        <w:ind w:left="840" w:leftChars="200" w:hanging="420" w:hanging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中标人须按照</w:t>
      </w:r>
      <w:r>
        <w:rPr>
          <w:rFonts w:hint="eastAsia" w:ascii="宋体" w:hAnsi="宋体" w:eastAsia="宋体" w:cs="宋体"/>
          <w:color w:val="auto"/>
          <w:sz w:val="24"/>
          <w:szCs w:val="24"/>
          <w:highlight w:val="none"/>
          <w:u w:val="single"/>
        </w:rPr>
        <w:t>投标须知资料表</w:t>
      </w:r>
      <w:r>
        <w:rPr>
          <w:rFonts w:hint="eastAsia" w:ascii="宋体" w:hAnsi="宋体" w:eastAsia="宋体" w:cs="宋体"/>
          <w:color w:val="auto"/>
          <w:sz w:val="24"/>
          <w:szCs w:val="24"/>
          <w:highlight w:val="none"/>
        </w:rPr>
        <w:t>规定，向采购代理机构支付中标服务费。</w:t>
      </w:r>
    </w:p>
    <w:p>
      <w:pPr>
        <w:pStyle w:val="5"/>
        <w:shd w:val="clear"/>
        <w:spacing w:before="0" w:after="0" w:line="360" w:lineRule="exact"/>
        <w:rPr>
          <w:rFonts w:hint="eastAsia" w:ascii="宋体" w:hAnsi="宋体" w:eastAsia="宋体" w:cs="宋体"/>
          <w:color w:val="auto"/>
          <w:sz w:val="24"/>
          <w:szCs w:val="24"/>
          <w:highlight w:val="none"/>
          <w:u w:val="none"/>
        </w:rPr>
      </w:pPr>
      <w:bookmarkStart w:id="165" w:name="_Toc24525"/>
      <w:bookmarkStart w:id="166" w:name="_Toc3053"/>
      <w:bookmarkStart w:id="167" w:name="_Toc16900"/>
      <w:bookmarkStart w:id="168" w:name="_Toc9596"/>
      <w:r>
        <w:rPr>
          <w:rFonts w:hint="eastAsia" w:ascii="宋体" w:hAnsi="宋体" w:eastAsia="宋体" w:cs="宋体"/>
          <w:color w:val="auto"/>
          <w:sz w:val="24"/>
          <w:szCs w:val="24"/>
          <w:highlight w:val="none"/>
          <w:u w:val="none"/>
        </w:rPr>
        <w:t>33.政府采购信用担保</w:t>
      </w:r>
      <w:bookmarkEnd w:id="165"/>
      <w:bookmarkEnd w:id="166"/>
      <w:bookmarkEnd w:id="167"/>
      <w:bookmarkEnd w:id="168"/>
    </w:p>
    <w:p>
      <w:pPr>
        <w:shd w:val="clear"/>
        <w:spacing w:line="36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33.1   本项目是否属于信用担保试点范围见</w:t>
      </w:r>
      <w:r>
        <w:rPr>
          <w:rFonts w:hint="eastAsia" w:ascii="宋体" w:hAnsi="宋体" w:cs="宋体"/>
          <w:color w:val="auto"/>
          <w:sz w:val="24"/>
          <w:szCs w:val="24"/>
          <w:highlight w:val="none"/>
          <w:u w:val="single"/>
          <w:lang w:eastAsia="zh-CN"/>
        </w:rPr>
        <w:t>供应商</w:t>
      </w:r>
      <w:r>
        <w:rPr>
          <w:rFonts w:hint="eastAsia" w:ascii="宋体" w:hAnsi="宋体" w:eastAsia="宋体" w:cs="宋体"/>
          <w:color w:val="auto"/>
          <w:sz w:val="24"/>
          <w:szCs w:val="24"/>
          <w:highlight w:val="none"/>
          <w:u w:val="single"/>
        </w:rPr>
        <w:t>须知资料表</w:t>
      </w:r>
      <w:r>
        <w:rPr>
          <w:rFonts w:hint="eastAsia" w:ascii="宋体" w:hAnsi="宋体" w:eastAsia="宋体" w:cs="宋体"/>
          <w:color w:val="auto"/>
          <w:sz w:val="24"/>
          <w:szCs w:val="24"/>
          <w:highlight w:val="none"/>
        </w:rPr>
        <w:t>。</w:t>
      </w:r>
    </w:p>
    <w:p>
      <w:pPr>
        <w:shd w:val="clear"/>
        <w:spacing w:line="360" w:lineRule="exact"/>
        <w:ind w:left="850" w:hanging="849" w:hangingChars="354"/>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33.2   如属于政府采购信用担保试点范围内，中小型企业</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可以自由按照财政部门的规定，采用投标担保、履约担保和融资担保。</w:t>
      </w:r>
    </w:p>
    <w:p>
      <w:pPr>
        <w:shd w:val="clear"/>
        <w:spacing w:line="36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33.2.1 </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递交的投标担保函和履约担保函应符合本招标文件的规定。</w:t>
      </w:r>
    </w:p>
    <w:p>
      <w:pPr>
        <w:shd w:val="clear"/>
        <w:spacing w:line="36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33.2.2 中标人可以采取融资担保的形式为政府采购项目履约进行融资。</w:t>
      </w:r>
    </w:p>
    <w:p>
      <w:pPr>
        <w:shd w:val="clear"/>
        <w:spacing w:line="36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33.2.3 合格的政府采购专业信用担保机构名单见</w:t>
      </w:r>
      <w:r>
        <w:rPr>
          <w:rFonts w:hint="eastAsia" w:ascii="宋体" w:hAnsi="宋体" w:cs="宋体"/>
          <w:color w:val="auto"/>
          <w:sz w:val="24"/>
          <w:szCs w:val="24"/>
          <w:highlight w:val="none"/>
          <w:u w:val="single"/>
          <w:lang w:eastAsia="zh-CN"/>
        </w:rPr>
        <w:t>供应商</w:t>
      </w:r>
      <w:r>
        <w:rPr>
          <w:rFonts w:hint="eastAsia" w:ascii="宋体" w:hAnsi="宋体" w:eastAsia="宋体" w:cs="宋体"/>
          <w:color w:val="auto"/>
          <w:sz w:val="24"/>
          <w:szCs w:val="24"/>
          <w:highlight w:val="none"/>
          <w:u w:val="single"/>
        </w:rPr>
        <w:t>须知资料表</w:t>
      </w:r>
      <w:r>
        <w:rPr>
          <w:rFonts w:hint="eastAsia" w:ascii="宋体" w:hAnsi="宋体" w:eastAsia="宋体" w:cs="宋体"/>
          <w:color w:val="auto"/>
          <w:sz w:val="24"/>
          <w:szCs w:val="24"/>
          <w:highlight w:val="none"/>
        </w:rPr>
        <w:t>。</w:t>
      </w:r>
    </w:p>
    <w:p>
      <w:pPr>
        <w:pStyle w:val="5"/>
        <w:shd w:val="clear"/>
        <w:spacing w:before="0" w:after="0" w:line="360" w:lineRule="exact"/>
        <w:rPr>
          <w:rFonts w:hint="eastAsia" w:ascii="宋体" w:hAnsi="宋体" w:eastAsia="宋体" w:cs="宋体"/>
          <w:color w:val="auto"/>
          <w:sz w:val="24"/>
          <w:szCs w:val="24"/>
          <w:highlight w:val="none"/>
          <w:u w:val="none"/>
        </w:rPr>
      </w:pPr>
      <w:bookmarkStart w:id="169" w:name="_Toc7597"/>
      <w:bookmarkStart w:id="170" w:name="_Toc27009"/>
      <w:bookmarkStart w:id="171" w:name="_Toc23161"/>
      <w:bookmarkStart w:id="172" w:name="_Toc29108"/>
      <w:r>
        <w:rPr>
          <w:rFonts w:hint="eastAsia" w:ascii="宋体" w:hAnsi="宋体" w:eastAsia="宋体" w:cs="宋体"/>
          <w:color w:val="auto"/>
          <w:sz w:val="24"/>
          <w:szCs w:val="24"/>
          <w:highlight w:val="none"/>
          <w:u w:val="none"/>
        </w:rPr>
        <w:t>34.廉洁自律规定</w:t>
      </w:r>
      <w:bookmarkEnd w:id="169"/>
      <w:bookmarkEnd w:id="170"/>
      <w:bookmarkEnd w:id="171"/>
      <w:bookmarkEnd w:id="172"/>
    </w:p>
    <w:p>
      <w:pPr>
        <w:shd w:val="clear"/>
        <w:spacing w:line="36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34.1   采购代理机构工作人员不得以不正当手段获取政府采购代理业务，不得与采购人、供应商恶意串通操纵政府采购活动。</w:t>
      </w:r>
    </w:p>
    <w:p>
      <w:pPr>
        <w:shd w:val="clear"/>
        <w:spacing w:line="36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34.2   采购代理机构工作人员不得接受采购人或者供应商组织的宴请、旅游、娱乐，不得收受礼品、现金、有价证券等，不得向采购人或者供应商报销应当由个人承担的费用。</w:t>
      </w:r>
    </w:p>
    <w:p>
      <w:pPr>
        <w:shd w:val="clear"/>
        <w:spacing w:line="36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34.3   为强化采购代理机构内部监督机制，供应商可按</w:t>
      </w:r>
      <w:r>
        <w:rPr>
          <w:rFonts w:hint="eastAsia" w:ascii="宋体" w:hAnsi="宋体" w:cs="宋体"/>
          <w:color w:val="auto"/>
          <w:sz w:val="24"/>
          <w:szCs w:val="24"/>
          <w:highlight w:val="none"/>
          <w:u w:val="single"/>
          <w:lang w:eastAsia="zh-CN"/>
        </w:rPr>
        <w:t>供应商</w:t>
      </w:r>
      <w:r>
        <w:rPr>
          <w:rFonts w:hint="eastAsia" w:ascii="宋体" w:hAnsi="宋体" w:eastAsia="宋体" w:cs="宋体"/>
          <w:color w:val="auto"/>
          <w:sz w:val="24"/>
          <w:szCs w:val="24"/>
          <w:highlight w:val="none"/>
          <w:u w:val="single"/>
        </w:rPr>
        <w:t>须知资料表中的</w:t>
      </w:r>
      <w:r>
        <w:rPr>
          <w:rFonts w:hint="eastAsia" w:ascii="宋体" w:hAnsi="宋体" w:eastAsia="宋体" w:cs="宋体"/>
          <w:color w:val="auto"/>
          <w:sz w:val="24"/>
          <w:szCs w:val="24"/>
          <w:highlight w:val="none"/>
        </w:rPr>
        <w:t>监督电话和邮箱，反映采购代理机构的廉洁自律等问题。</w:t>
      </w:r>
    </w:p>
    <w:p>
      <w:pPr>
        <w:pStyle w:val="5"/>
        <w:shd w:val="clear"/>
        <w:spacing w:before="0" w:after="0" w:line="360" w:lineRule="exact"/>
        <w:rPr>
          <w:rFonts w:hint="eastAsia" w:ascii="宋体" w:hAnsi="宋体" w:eastAsia="宋体" w:cs="宋体"/>
          <w:color w:val="auto"/>
          <w:sz w:val="24"/>
          <w:szCs w:val="24"/>
          <w:highlight w:val="none"/>
          <w:u w:val="none"/>
        </w:rPr>
      </w:pPr>
      <w:bookmarkStart w:id="173" w:name="_Toc5069"/>
      <w:bookmarkStart w:id="174" w:name="_Toc30009"/>
      <w:bookmarkStart w:id="175" w:name="_Toc21051"/>
      <w:bookmarkStart w:id="176" w:name="_Toc5448"/>
      <w:r>
        <w:rPr>
          <w:rFonts w:hint="eastAsia" w:ascii="宋体" w:hAnsi="宋体" w:eastAsia="宋体" w:cs="宋体"/>
          <w:color w:val="auto"/>
          <w:sz w:val="24"/>
          <w:szCs w:val="24"/>
          <w:highlight w:val="none"/>
          <w:u w:val="none"/>
        </w:rPr>
        <w:t>35.人员回避</w:t>
      </w:r>
      <w:bookmarkEnd w:id="173"/>
      <w:bookmarkEnd w:id="174"/>
      <w:bookmarkEnd w:id="175"/>
      <w:bookmarkEnd w:id="176"/>
    </w:p>
    <w:p>
      <w:pPr>
        <w:shd w:val="clear"/>
        <w:spacing w:line="36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认为采购人员及其相关人员有法律法规所列与其他供应商有利害关系的，可以向采购人或采购代理机构书面提出回避申请，并说明理由。</w:t>
      </w:r>
    </w:p>
    <w:p>
      <w:pPr>
        <w:pStyle w:val="5"/>
        <w:shd w:val="clear"/>
        <w:spacing w:before="0" w:after="0" w:line="400" w:lineRule="exact"/>
        <w:rPr>
          <w:rFonts w:hint="eastAsia" w:ascii="宋体" w:hAnsi="宋体" w:eastAsia="宋体" w:cs="宋体"/>
          <w:color w:val="auto"/>
          <w:sz w:val="24"/>
          <w:szCs w:val="24"/>
          <w:highlight w:val="none"/>
          <w:u w:val="none"/>
        </w:rPr>
      </w:pPr>
      <w:bookmarkStart w:id="177" w:name="_Toc31362"/>
      <w:bookmarkStart w:id="178" w:name="_Toc30943"/>
      <w:bookmarkStart w:id="179" w:name="_Toc27871"/>
      <w:bookmarkStart w:id="180" w:name="_Toc12880"/>
      <w:r>
        <w:rPr>
          <w:rFonts w:hint="eastAsia" w:ascii="宋体" w:hAnsi="宋体" w:eastAsia="宋体" w:cs="宋体"/>
          <w:color w:val="auto"/>
          <w:sz w:val="24"/>
          <w:szCs w:val="24"/>
          <w:highlight w:val="none"/>
          <w:u w:val="none"/>
        </w:rPr>
        <w:t>36.</w:t>
      </w:r>
      <w:bookmarkEnd w:id="177"/>
      <w:r>
        <w:rPr>
          <w:rFonts w:hint="eastAsia" w:ascii="宋体" w:hAnsi="宋体" w:eastAsia="宋体" w:cs="宋体"/>
          <w:color w:val="auto"/>
          <w:sz w:val="24"/>
          <w:szCs w:val="24"/>
          <w:highlight w:val="none"/>
          <w:u w:val="none"/>
        </w:rPr>
        <w:t>质疑与接收</w:t>
      </w:r>
      <w:bookmarkEnd w:id="178"/>
      <w:bookmarkEnd w:id="179"/>
      <w:bookmarkEnd w:id="180"/>
    </w:p>
    <w:p>
      <w:pPr>
        <w:shd w:val="clear"/>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36.1  供应商认为招标文件、招标过程和中标结果使自己的权益受到损害的，可以根据《中华人民共和国政府采购法》、《中华人民共和国政府采购法实施条例》和《政府采购质疑和投诉办法》的有关规定，依法向采购人或其委托的采购代理机构提出质疑。</w:t>
      </w:r>
    </w:p>
    <w:p>
      <w:pPr>
        <w:pStyle w:val="26"/>
        <w:shd w:val="clear"/>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36.2  供应商对本项目提出质疑，必须按照相关法律法规的要求和程序，提供的质疑材料必须具备事实依据和法律依据。质疑函应当包含具体的质疑事项及事实依据，不得进行虚假及恶意质疑，如所提供的质疑材料出现恶意诋毁或与事实不符等现象，我公司将该企业的行为上报相应主管部门。</w:t>
      </w:r>
    </w:p>
    <w:p>
      <w:pPr>
        <w:pStyle w:val="26"/>
        <w:shd w:val="clear"/>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36.3  投诉的事项应当包含投诉的请求和法律依据，投诉的事项不得超出所质疑事项的范围。投诉人有捏造事实、提供虚假材料、以非法手段取得证明材料的行为之一的，属于虚假、恶意投诉，由财政部门列入不良行为记录名单，禁止其1至3年内参加政府采购活动。证据来源的合法性存在明显疑问，投诉人无法证明其取得方式合法的，视为以非法手段取得证明材料。</w:t>
      </w:r>
    </w:p>
    <w:p>
      <w:pPr>
        <w:shd w:val="clear"/>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36.4 质疑供应商应按照财政部制定的《政府采购质疑函范本》格式（可从财政部官方网站下载）和《政府采购质疑和投诉办法》的要求，在法定质疑期内以纸质形式提出质疑，针对同一采购程序环节的质疑应一次性提出。超出法定质疑期的、重复提出的、分次提出的或内容、形式不符合《政府采购质疑和投诉办法》的，质疑供应商将依法承担不利后果。</w:t>
      </w:r>
    </w:p>
    <w:p>
      <w:pPr>
        <w:shd w:val="clear"/>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36.5  采购代理机构质疑函接收部门、联系电话和通讯地址, 见</w:t>
      </w:r>
      <w:r>
        <w:rPr>
          <w:rFonts w:hint="eastAsia" w:ascii="宋体" w:hAnsi="宋体" w:eastAsia="宋体" w:cs="宋体"/>
          <w:color w:val="auto"/>
          <w:sz w:val="24"/>
          <w:szCs w:val="24"/>
          <w:highlight w:val="none"/>
          <w:u w:val="single"/>
        </w:rPr>
        <w:t>供应商须知资料表。</w:t>
      </w:r>
    </w:p>
    <w:p>
      <w:pPr>
        <w:shd w:val="clear"/>
        <w:spacing w:line="40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36.6   供应商认为采购文件、采购过程和中标结果使自己的权益受到损害的，可以在知道或者应知其权益受到损害之日起7个工作日内，以书面形式向采购方提出质疑。供应商应知其权益受到损害之日，是指：</w:t>
      </w:r>
    </w:p>
    <w:p>
      <w:pPr>
        <w:shd w:val="clear"/>
        <w:spacing w:line="40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（一）对可以质疑的采购文件提出质疑的，为收到采购文件之日或者采购文件公告期限届满之日；</w:t>
      </w:r>
    </w:p>
    <w:p>
      <w:pPr>
        <w:shd w:val="clear"/>
        <w:spacing w:line="40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（二）对采购过程提出质疑的，为各采购程序环节结束之日；</w:t>
      </w:r>
    </w:p>
    <w:p>
      <w:pPr>
        <w:shd w:val="clear"/>
        <w:spacing w:line="40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（三）对中标结果提出质疑的，为中标结果公告期限届满之日。</w:t>
      </w:r>
    </w:p>
    <w:p>
      <w:pPr>
        <w:shd w:val="clear"/>
        <w:spacing w:line="40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36.7   对可以质疑的采购文件提出质疑的，质疑人为参与本项目的报价方或潜在报价方。可质疑的文件为采购公告以及采购文件（包括属于其组成部分的澄清、修改、补充文件和评审标准、合同文本等）。</w:t>
      </w:r>
    </w:p>
    <w:p>
      <w:pPr>
        <w:shd w:val="clear"/>
        <w:spacing w:line="40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36.8   对采购过程和中标结果提出质疑的，质疑人为直接参与本项目的报价方。采购过程,即从采购项目信息公告发布起到中标结果公告止，包括采购文件的发出、提交响应文件、响应文件开启、评审等各个采购程序环节。</w:t>
      </w:r>
    </w:p>
    <w:p>
      <w:pPr>
        <w:shd w:val="clear"/>
        <w:spacing w:line="40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36.9   提出质疑应当符合下列条件：</w:t>
      </w:r>
    </w:p>
    <w:p>
      <w:pPr>
        <w:shd w:val="clear"/>
        <w:spacing w:line="40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（一）质疑主体应当符合有关规定；</w:t>
      </w:r>
    </w:p>
    <w:p>
      <w:pPr>
        <w:shd w:val="clear"/>
        <w:spacing w:line="40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（二）在质疑法定期限内提出；</w:t>
      </w:r>
    </w:p>
    <w:p>
      <w:pPr>
        <w:shd w:val="clear"/>
        <w:spacing w:line="40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（三）属于可以提出质疑的政府采购事项受理范围和本项目采购人的管辖权范围；</w:t>
      </w:r>
    </w:p>
    <w:p>
      <w:pPr>
        <w:shd w:val="clear"/>
        <w:spacing w:line="40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（四）政府采购法律、法规、规章规定的其他条件。</w:t>
      </w:r>
    </w:p>
    <w:p>
      <w:pPr>
        <w:shd w:val="clear"/>
        <w:spacing w:line="40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36.10  提出质疑应当具有明确的请求和提供必要的证明材料。明确的请求,即质疑人在质疑函中提出的，要求采购方对其予以支持的主张。必要的证明材料,即能够证明质疑人的质疑请求成立的必要材料，包括相关证据、依据和其他有关材料。</w:t>
      </w:r>
    </w:p>
    <w:p>
      <w:pPr>
        <w:shd w:val="clear"/>
        <w:spacing w:line="40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36.11  质疑人所提供的证明材料应当具有真实性、合法性以及与质疑事项的关联性和证明力，否则不能作为认定该质疑事项成立的依据。</w:t>
      </w:r>
    </w:p>
    <w:p>
      <w:pPr>
        <w:shd w:val="clear"/>
        <w:spacing w:line="40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36.12  质疑人提出质疑时应当提交质疑函。质疑函包括下列内容：</w:t>
      </w:r>
    </w:p>
    <w:p>
      <w:pPr>
        <w:shd w:val="clear"/>
        <w:spacing w:line="40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（一）提出质疑的质疑人的名称、地址、邮编、联系人及联系电话等；</w:t>
      </w:r>
    </w:p>
    <w:p>
      <w:pPr>
        <w:shd w:val="clear"/>
        <w:spacing w:line="40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（二）质疑项目的名称、编号；</w:t>
      </w:r>
    </w:p>
    <w:p>
      <w:pPr>
        <w:shd w:val="clear"/>
        <w:spacing w:line="40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（三）质疑事项；</w:t>
      </w:r>
    </w:p>
    <w:p>
      <w:pPr>
        <w:shd w:val="clear"/>
        <w:spacing w:line="40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（四）事实依据和证明材料；</w:t>
      </w:r>
    </w:p>
    <w:p>
      <w:pPr>
        <w:shd w:val="clear"/>
        <w:spacing w:line="40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（五）法律依据；</w:t>
      </w:r>
    </w:p>
    <w:p>
      <w:pPr>
        <w:shd w:val="clear"/>
        <w:spacing w:line="40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（六）提出质疑的日期。</w:t>
      </w:r>
    </w:p>
    <w:p>
      <w:pPr>
        <w:shd w:val="clear"/>
        <w:spacing w:line="40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质疑函采用实名制。质疑人为自然人的应当由本人签字，并附有效身份证明文件；质疑人为法人或者非法人组织的应当由法定代表人或者负责人签字并加盖公章，并附有效身份证明文件。</w:t>
      </w:r>
    </w:p>
    <w:p>
      <w:pPr>
        <w:shd w:val="clear"/>
        <w:spacing w:line="40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36.13  质疑人可以委托代理人进行质疑。代理人应当提交授权委托书。授权委托书应当载明委托代理的具体权限、期限和相关事项。</w:t>
      </w:r>
    </w:p>
    <w:p>
      <w:pPr>
        <w:shd w:val="clear"/>
        <w:spacing w:line="40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36.14  质疑的审查和受理</w:t>
      </w:r>
    </w:p>
    <w:p>
      <w:pPr>
        <w:shd w:val="clear"/>
        <w:spacing w:line="40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采购方在收到质疑函后应当及时审查是否符合质疑受理条件，对符合质疑受理条件的，及时予以受理。</w:t>
      </w:r>
    </w:p>
    <w:p>
      <w:pPr>
        <w:shd w:val="clear"/>
        <w:spacing w:line="40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36.15  对不符合质疑受理条件的，分别按照下列不同情形予以处理：</w:t>
      </w:r>
    </w:p>
    <w:p>
      <w:pPr>
        <w:shd w:val="clear"/>
        <w:spacing w:line="40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（一）质疑函内容不符合规定的，告知质疑人进行修改并重新提出质疑。修改后质疑事项仍不具体、不明确或者最终递交质疑函的时间超过质疑法定期限的，不予受理；</w:t>
      </w:r>
    </w:p>
    <w:p>
      <w:pPr>
        <w:shd w:val="clear"/>
        <w:spacing w:line="40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（二）质疑主体不符合有关规定的，告知质疑人不予受理；</w:t>
      </w:r>
    </w:p>
    <w:p>
      <w:pPr>
        <w:shd w:val="clear"/>
        <w:spacing w:line="40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（三）超过质疑法定期限提出质疑的，告知质疑人不予受理；</w:t>
      </w:r>
    </w:p>
    <w:p>
      <w:pPr>
        <w:shd w:val="clear"/>
        <w:spacing w:line="40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（四）对不属于可以提出质疑的政府采购事项提出质疑的，告知质疑人不予受理；</w:t>
      </w:r>
    </w:p>
    <w:p>
      <w:pPr>
        <w:shd w:val="clear"/>
        <w:spacing w:line="40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（五）质疑不属于本项目采购方管辖的，告知质疑人向有管辖权的采购人提出质疑；</w:t>
      </w:r>
    </w:p>
    <w:p>
      <w:pPr>
        <w:shd w:val="clear"/>
        <w:spacing w:line="40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（六）质疑不符合其他条件的，告知质疑人不予受理。</w:t>
      </w:r>
    </w:p>
    <w:p>
      <w:pPr>
        <w:shd w:val="clear"/>
        <w:spacing w:line="40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36.16  质疑的处理和答复</w:t>
      </w:r>
    </w:p>
    <w:p>
      <w:pPr>
        <w:shd w:val="clear"/>
        <w:spacing w:line="40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36.17  采购方受理质疑后，将及时把质疑函发送给被质疑人，并要求其在一定限期内提交书面答复，同时提供有关证据、依据和相关材料。</w:t>
      </w:r>
    </w:p>
    <w:p>
      <w:pPr>
        <w:shd w:val="clear"/>
        <w:spacing w:line="40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36.18  对于质疑事项中涉及的问题较多、情况比较复杂的，为了全面查清事实、取得充分的证据，采购方认为有必要时，可以进行调查取证或者组织质证。</w:t>
      </w:r>
    </w:p>
    <w:p>
      <w:pPr>
        <w:shd w:val="clear"/>
        <w:spacing w:line="40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36.19  对评审过程、中标结果提出质疑的，采购方可以组织原评审委员会协助答复质疑。</w:t>
      </w:r>
    </w:p>
    <w:p>
      <w:pPr>
        <w:shd w:val="clear"/>
        <w:spacing w:line="40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36.20  质疑处理过程中，质疑人书面申请撤回质疑的，将终止质疑处理程序。</w:t>
      </w:r>
    </w:p>
    <w:p>
      <w:pPr>
        <w:shd w:val="clear"/>
        <w:spacing w:line="40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36.21  质疑人拒绝配合采购方依法对质疑进行调查处理的，采购方将按质疑人自动撤回质疑处理；被质疑人拒绝配合采购方依法对质疑进行调查处理的，采购方将视同其认可质疑事项。</w:t>
      </w:r>
    </w:p>
    <w:p>
      <w:pPr>
        <w:shd w:val="clear"/>
        <w:spacing w:line="40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36.22  质疑人拒绝配合采购方依法对质疑进行调查处理的，采购方将按质疑人自动撤回质疑处理；被质疑人拒绝配合采购方依法对质疑进行调查处理的，采购方将视同其认可质疑事项。</w:t>
      </w:r>
    </w:p>
    <w:p>
      <w:pPr>
        <w:shd w:val="clear"/>
        <w:spacing w:line="40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36.23  采购方将在正式受理质疑后7个工作日内作出答复。</w:t>
      </w:r>
    </w:p>
    <w:p>
      <w:pPr>
        <w:pStyle w:val="26"/>
        <w:shd w:val="clear"/>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36.24  质疑答复应当包括下列内容：</w:t>
      </w:r>
    </w:p>
    <w:p>
      <w:pPr>
        <w:pStyle w:val="26"/>
        <w:shd w:val="clear"/>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（一）质疑人的姓名或者名称；</w:t>
      </w:r>
    </w:p>
    <w:p>
      <w:pPr>
        <w:pStyle w:val="26"/>
        <w:shd w:val="clear"/>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（二）收到质疑函的日期、质疑项目名称及编号；</w:t>
      </w:r>
    </w:p>
    <w:p>
      <w:pPr>
        <w:pStyle w:val="26"/>
        <w:shd w:val="clear"/>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（三）质疑事项、质疑答复的具体内容、事实依据和法律依据；</w:t>
      </w:r>
    </w:p>
    <w:p>
      <w:pPr>
        <w:pStyle w:val="26"/>
        <w:shd w:val="clear"/>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（四）告知质疑供应商依法投诉的权利；</w:t>
      </w:r>
    </w:p>
    <w:p>
      <w:pPr>
        <w:pStyle w:val="26"/>
        <w:shd w:val="clear"/>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（五）质疑答复人名称；</w:t>
      </w:r>
    </w:p>
    <w:p>
      <w:pPr>
        <w:pStyle w:val="26"/>
        <w:shd w:val="clear"/>
        <w:spacing w:line="400" w:lineRule="exact"/>
        <w:rPr>
          <w:rFonts w:hint="eastAsia" w:ascii="宋体" w:hAnsi="宋体" w:eastAsia="宋体" w:cs="宋体"/>
          <w:b/>
          <w:bCs/>
          <w:color w:val="auto"/>
          <w:sz w:val="24"/>
          <w:szCs w:val="24"/>
          <w:highlight w:val="none"/>
        </w:rPr>
      </w:pPr>
      <w:r>
        <w:rPr>
          <w:rFonts w:hint="eastAsia" w:ascii="宋体" w:hAnsi="宋体" w:eastAsia="宋体" w:cs="宋体"/>
          <w:color w:val="auto"/>
          <w:sz w:val="24"/>
          <w:szCs w:val="24"/>
          <w:highlight w:val="none"/>
        </w:rPr>
        <w:t>（六）答复质疑的日期。</w:t>
      </w:r>
    </w:p>
    <w:p>
      <w:pPr>
        <w:shd w:val="clear"/>
        <w:spacing w:line="400" w:lineRule="exact"/>
        <w:jc w:val="center"/>
        <w:outlineLvl w:val="9"/>
        <w:rPr>
          <w:rFonts w:hint="eastAsia" w:ascii="宋体" w:hAnsi="宋体" w:eastAsia="宋体" w:cs="宋体"/>
          <w:b/>
          <w:bCs/>
          <w:color w:val="auto"/>
          <w:sz w:val="24"/>
          <w:szCs w:val="24"/>
          <w:highlight w:val="none"/>
        </w:rPr>
      </w:pPr>
      <w:bookmarkStart w:id="181" w:name="_Toc27601"/>
      <w:bookmarkStart w:id="182" w:name="_Toc11297"/>
      <w:bookmarkStart w:id="183" w:name="_Toc1269"/>
      <w:bookmarkStart w:id="184" w:name="_Toc16553"/>
      <w:bookmarkStart w:id="185" w:name="_Toc30093"/>
      <w:bookmarkStart w:id="186" w:name="_Toc12088"/>
      <w:bookmarkStart w:id="187" w:name="_Toc8353"/>
      <w:bookmarkStart w:id="188" w:name="_Toc9437"/>
    </w:p>
    <w:p>
      <w:pP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br w:type="page"/>
      </w:r>
    </w:p>
    <w:p>
      <w:pPr>
        <w:shd w:val="clear"/>
        <w:spacing w:line="400" w:lineRule="exact"/>
        <w:jc w:val="center"/>
        <w:outlineLvl w:val="2"/>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质疑函范本</w:t>
      </w:r>
      <w:bookmarkEnd w:id="181"/>
      <w:bookmarkEnd w:id="182"/>
      <w:bookmarkEnd w:id="183"/>
      <w:bookmarkEnd w:id="184"/>
      <w:bookmarkEnd w:id="185"/>
      <w:bookmarkEnd w:id="186"/>
      <w:bookmarkEnd w:id="187"/>
      <w:bookmarkEnd w:id="188"/>
    </w:p>
    <w:p>
      <w:pPr>
        <w:shd w:val="clear"/>
        <w:adjustRightInd w:val="0"/>
        <w:snapToGrid w:val="0"/>
        <w:spacing w:before="240" w:beforeLines="100" w:line="400" w:lineRule="exac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一、质疑供应商基本信息</w:t>
      </w:r>
    </w:p>
    <w:p>
      <w:pPr>
        <w:shd w:val="clear"/>
        <w:adjustRightInd w:val="0"/>
        <w:snapToGrid w:val="0"/>
        <w:spacing w:line="400" w:lineRule="exact"/>
        <w:rPr>
          <w:rFonts w:hint="eastAsia" w:ascii="宋体" w:hAnsi="宋体" w:eastAsia="宋体" w:cs="宋体"/>
          <w:color w:val="auto"/>
          <w:sz w:val="24"/>
          <w:szCs w:val="24"/>
          <w:highlight w:val="none"/>
          <w:u w:val="dotted"/>
        </w:rPr>
      </w:pPr>
      <w:r>
        <w:rPr>
          <w:rFonts w:hint="eastAsia" w:ascii="宋体" w:hAnsi="宋体" w:eastAsia="宋体" w:cs="宋体"/>
          <w:color w:val="auto"/>
          <w:sz w:val="24"/>
          <w:szCs w:val="24"/>
          <w:highlight w:val="none"/>
        </w:rPr>
        <w:t>质疑供应商：</w:t>
      </w:r>
      <w:r>
        <w:rPr>
          <w:rFonts w:hint="eastAsia" w:ascii="宋体" w:hAnsi="宋体" w:eastAsia="宋体" w:cs="宋体"/>
          <w:color w:val="auto"/>
          <w:sz w:val="24"/>
          <w:szCs w:val="24"/>
          <w:highlight w:val="none"/>
          <w:u w:val="dotted"/>
        </w:rPr>
        <w:t xml:space="preserve">                                        </w:t>
      </w:r>
    </w:p>
    <w:p>
      <w:pPr>
        <w:shd w:val="clear"/>
        <w:adjustRightInd w:val="0"/>
        <w:snapToGrid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地址：</w:t>
      </w:r>
      <w:r>
        <w:rPr>
          <w:rFonts w:hint="eastAsia" w:ascii="宋体" w:hAnsi="宋体" w:eastAsia="宋体" w:cs="宋体"/>
          <w:color w:val="auto"/>
          <w:sz w:val="24"/>
          <w:szCs w:val="24"/>
          <w:highlight w:val="none"/>
          <w:u w:val="dotted"/>
        </w:rPr>
        <w:t xml:space="preserve">                          </w:t>
      </w:r>
      <w:r>
        <w:rPr>
          <w:rFonts w:hint="eastAsia" w:ascii="宋体" w:hAnsi="宋体" w:eastAsia="宋体" w:cs="宋体"/>
          <w:color w:val="auto"/>
          <w:sz w:val="24"/>
          <w:szCs w:val="24"/>
          <w:highlight w:val="none"/>
        </w:rPr>
        <w:t>邮编：</w:t>
      </w:r>
      <w:r>
        <w:rPr>
          <w:rFonts w:hint="eastAsia" w:ascii="宋体" w:hAnsi="宋体" w:eastAsia="宋体" w:cs="宋体"/>
          <w:color w:val="auto"/>
          <w:sz w:val="24"/>
          <w:szCs w:val="24"/>
          <w:highlight w:val="none"/>
          <w:u w:val="dotted"/>
        </w:rPr>
        <w:t xml:space="preserve">                                                   </w:t>
      </w:r>
    </w:p>
    <w:p>
      <w:pPr>
        <w:shd w:val="clear"/>
        <w:adjustRightInd w:val="0"/>
        <w:snapToGrid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联系人：</w:t>
      </w:r>
      <w:r>
        <w:rPr>
          <w:rFonts w:hint="eastAsia" w:ascii="宋体" w:hAnsi="宋体" w:eastAsia="宋体" w:cs="宋体"/>
          <w:color w:val="auto"/>
          <w:sz w:val="24"/>
          <w:szCs w:val="24"/>
          <w:highlight w:val="none"/>
          <w:u w:val="dotted"/>
        </w:rPr>
        <w:t xml:space="preserve">                      </w:t>
      </w:r>
      <w:r>
        <w:rPr>
          <w:rFonts w:hint="eastAsia" w:ascii="宋体" w:hAnsi="宋体" w:eastAsia="宋体" w:cs="宋体"/>
          <w:color w:val="auto"/>
          <w:sz w:val="24"/>
          <w:szCs w:val="24"/>
          <w:highlight w:val="none"/>
        </w:rPr>
        <w:t>联系电话：</w:t>
      </w:r>
      <w:r>
        <w:rPr>
          <w:rFonts w:hint="eastAsia" w:ascii="宋体" w:hAnsi="宋体" w:eastAsia="宋体" w:cs="宋体"/>
          <w:color w:val="auto"/>
          <w:sz w:val="24"/>
          <w:szCs w:val="24"/>
          <w:highlight w:val="none"/>
          <w:u w:val="dotted"/>
        </w:rPr>
        <w:t xml:space="preserve">                              </w:t>
      </w:r>
    </w:p>
    <w:p>
      <w:pPr>
        <w:shd w:val="clear"/>
        <w:adjustRightInd w:val="0"/>
        <w:snapToGrid w:val="0"/>
        <w:spacing w:line="400" w:lineRule="exact"/>
        <w:rPr>
          <w:rFonts w:hint="eastAsia" w:ascii="宋体" w:hAnsi="宋体" w:eastAsia="宋体" w:cs="宋体"/>
          <w:color w:val="auto"/>
          <w:sz w:val="24"/>
          <w:szCs w:val="24"/>
          <w:highlight w:val="none"/>
          <w:u w:val="dotted"/>
        </w:rPr>
      </w:pPr>
      <w:r>
        <w:rPr>
          <w:rFonts w:hint="eastAsia" w:ascii="宋体" w:hAnsi="宋体" w:eastAsia="宋体" w:cs="宋体"/>
          <w:color w:val="auto"/>
          <w:sz w:val="24"/>
          <w:szCs w:val="24"/>
          <w:highlight w:val="none"/>
        </w:rPr>
        <w:t>授权代表：</w:t>
      </w:r>
      <w:r>
        <w:rPr>
          <w:rFonts w:hint="eastAsia" w:ascii="宋体" w:hAnsi="宋体" w:eastAsia="宋体" w:cs="宋体"/>
          <w:color w:val="auto"/>
          <w:sz w:val="24"/>
          <w:szCs w:val="24"/>
          <w:highlight w:val="none"/>
          <w:u w:val="dotted"/>
        </w:rPr>
        <w:t xml:space="preserve">                                          </w:t>
      </w:r>
    </w:p>
    <w:p>
      <w:pPr>
        <w:shd w:val="clear"/>
        <w:adjustRightInd w:val="0"/>
        <w:snapToGrid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联系电话：</w:t>
      </w:r>
      <w:r>
        <w:rPr>
          <w:rFonts w:hint="eastAsia" w:ascii="宋体" w:hAnsi="宋体" w:eastAsia="宋体" w:cs="宋体"/>
          <w:color w:val="auto"/>
          <w:sz w:val="24"/>
          <w:szCs w:val="24"/>
          <w:highlight w:val="none"/>
          <w:u w:val="dotted"/>
        </w:rPr>
        <w:t xml:space="preserve">                                           </w:t>
      </w:r>
      <w:r>
        <w:rPr>
          <w:rFonts w:hint="eastAsia" w:ascii="宋体" w:hAnsi="宋体" w:eastAsia="宋体" w:cs="宋体"/>
          <w:color w:val="auto"/>
          <w:sz w:val="24"/>
          <w:szCs w:val="24"/>
          <w:highlight w:val="none"/>
        </w:rPr>
        <w:t xml:space="preserve"> </w:t>
      </w:r>
    </w:p>
    <w:p>
      <w:pPr>
        <w:shd w:val="clear"/>
        <w:adjustRightInd w:val="0"/>
        <w:snapToGrid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地址： </w:t>
      </w:r>
      <w:r>
        <w:rPr>
          <w:rFonts w:hint="eastAsia" w:ascii="宋体" w:hAnsi="宋体" w:eastAsia="宋体" w:cs="宋体"/>
          <w:color w:val="auto"/>
          <w:sz w:val="24"/>
          <w:szCs w:val="24"/>
          <w:highlight w:val="none"/>
          <w:u w:val="dotted"/>
        </w:rPr>
        <w:t xml:space="preserve">                        </w:t>
      </w:r>
      <w:r>
        <w:rPr>
          <w:rFonts w:hint="eastAsia" w:ascii="宋体" w:hAnsi="宋体" w:eastAsia="宋体" w:cs="宋体"/>
          <w:color w:val="auto"/>
          <w:sz w:val="24"/>
          <w:szCs w:val="24"/>
          <w:highlight w:val="none"/>
        </w:rPr>
        <w:t>邮编：</w:t>
      </w:r>
      <w:r>
        <w:rPr>
          <w:rFonts w:hint="eastAsia" w:ascii="宋体" w:hAnsi="宋体" w:eastAsia="宋体" w:cs="宋体"/>
          <w:color w:val="auto"/>
          <w:sz w:val="24"/>
          <w:szCs w:val="24"/>
          <w:highlight w:val="none"/>
          <w:u w:val="dotted"/>
        </w:rPr>
        <w:t xml:space="preserve">                                                </w:t>
      </w:r>
    </w:p>
    <w:p>
      <w:pPr>
        <w:shd w:val="clear"/>
        <w:adjustRightInd w:val="0"/>
        <w:snapToGrid w:val="0"/>
        <w:spacing w:before="240" w:beforeLines="100" w:line="400" w:lineRule="exac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二、质疑项目基本情况</w:t>
      </w:r>
    </w:p>
    <w:p>
      <w:pPr>
        <w:shd w:val="clear"/>
        <w:adjustRightInd w:val="0"/>
        <w:snapToGrid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质疑项目的名称：</w:t>
      </w:r>
      <w:r>
        <w:rPr>
          <w:rFonts w:hint="eastAsia" w:ascii="宋体" w:hAnsi="宋体" w:eastAsia="宋体" w:cs="宋体"/>
          <w:color w:val="auto"/>
          <w:sz w:val="24"/>
          <w:szCs w:val="24"/>
          <w:highlight w:val="none"/>
          <w:u w:val="dotted"/>
        </w:rPr>
        <w:t xml:space="preserve">                                      </w:t>
      </w:r>
    </w:p>
    <w:p>
      <w:pPr>
        <w:shd w:val="clear"/>
        <w:adjustRightInd w:val="0"/>
        <w:snapToGrid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质疑项目的编号：</w:t>
      </w:r>
      <w:r>
        <w:rPr>
          <w:rFonts w:hint="eastAsia" w:ascii="宋体" w:hAnsi="宋体" w:eastAsia="宋体" w:cs="宋体"/>
          <w:color w:val="auto"/>
          <w:sz w:val="24"/>
          <w:szCs w:val="24"/>
          <w:highlight w:val="none"/>
          <w:u w:val="dotted"/>
        </w:rPr>
        <w:t xml:space="preserve">               </w:t>
      </w:r>
      <w:r>
        <w:rPr>
          <w:rFonts w:hint="eastAsia" w:ascii="宋体" w:hAnsi="宋体" w:eastAsia="宋体" w:cs="宋体"/>
          <w:color w:val="auto"/>
          <w:sz w:val="24"/>
          <w:szCs w:val="24"/>
          <w:highlight w:val="none"/>
        </w:rPr>
        <w:t>包号：</w:t>
      </w:r>
      <w:r>
        <w:rPr>
          <w:rFonts w:hint="eastAsia" w:ascii="宋体" w:hAnsi="宋体" w:eastAsia="宋体" w:cs="宋体"/>
          <w:color w:val="auto"/>
          <w:sz w:val="24"/>
          <w:szCs w:val="24"/>
          <w:highlight w:val="none"/>
          <w:u w:val="dotted"/>
        </w:rPr>
        <w:t xml:space="preserve">                 </w:t>
      </w:r>
    </w:p>
    <w:p>
      <w:pPr>
        <w:shd w:val="clear"/>
        <w:adjustRightInd w:val="0"/>
        <w:snapToGrid w:val="0"/>
        <w:spacing w:line="400" w:lineRule="exact"/>
        <w:rPr>
          <w:rFonts w:hint="eastAsia" w:ascii="宋体" w:hAnsi="宋体" w:eastAsia="宋体" w:cs="宋体"/>
          <w:color w:val="auto"/>
          <w:sz w:val="24"/>
          <w:szCs w:val="24"/>
          <w:highlight w:val="none"/>
          <w:u w:val="dotted"/>
        </w:rPr>
      </w:pPr>
      <w:r>
        <w:rPr>
          <w:rFonts w:hint="eastAsia" w:ascii="宋体" w:hAnsi="宋体" w:eastAsia="宋体" w:cs="宋体"/>
          <w:color w:val="auto"/>
          <w:sz w:val="24"/>
          <w:szCs w:val="24"/>
          <w:highlight w:val="none"/>
        </w:rPr>
        <w:t>采购人名称：</w:t>
      </w:r>
      <w:r>
        <w:rPr>
          <w:rFonts w:hint="eastAsia" w:ascii="宋体" w:hAnsi="宋体" w:eastAsia="宋体" w:cs="宋体"/>
          <w:color w:val="auto"/>
          <w:sz w:val="24"/>
          <w:szCs w:val="24"/>
          <w:highlight w:val="none"/>
          <w:u w:val="dotted"/>
        </w:rPr>
        <w:t xml:space="preserve">                                         </w:t>
      </w:r>
    </w:p>
    <w:p>
      <w:pPr>
        <w:shd w:val="clear"/>
        <w:adjustRightInd w:val="0"/>
        <w:snapToGrid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采购文件获取日期：</w:t>
      </w:r>
      <w:r>
        <w:rPr>
          <w:rFonts w:hint="eastAsia" w:ascii="宋体" w:hAnsi="宋体" w:eastAsia="宋体" w:cs="宋体"/>
          <w:color w:val="auto"/>
          <w:sz w:val="24"/>
          <w:szCs w:val="24"/>
          <w:highlight w:val="none"/>
          <w:u w:val="dotted"/>
        </w:rPr>
        <w:t xml:space="preserve">                                           </w:t>
      </w:r>
    </w:p>
    <w:p>
      <w:pPr>
        <w:shd w:val="clear"/>
        <w:adjustRightInd w:val="0"/>
        <w:snapToGrid w:val="0"/>
        <w:spacing w:before="240" w:beforeLines="100" w:line="400" w:lineRule="exac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三、质疑事项具体内容</w:t>
      </w:r>
    </w:p>
    <w:p>
      <w:pPr>
        <w:shd w:val="clear"/>
        <w:adjustRightInd w:val="0"/>
        <w:snapToGrid w:val="0"/>
        <w:spacing w:line="400" w:lineRule="exact"/>
        <w:rPr>
          <w:rFonts w:hint="eastAsia" w:ascii="宋体" w:hAnsi="宋体" w:eastAsia="宋体" w:cs="宋体"/>
          <w:color w:val="auto"/>
          <w:sz w:val="24"/>
          <w:szCs w:val="24"/>
          <w:highlight w:val="none"/>
          <w:u w:val="dotted"/>
        </w:rPr>
      </w:pPr>
      <w:r>
        <w:rPr>
          <w:rFonts w:hint="eastAsia" w:ascii="宋体" w:hAnsi="宋体" w:eastAsia="宋体" w:cs="宋体"/>
          <w:color w:val="auto"/>
          <w:sz w:val="24"/>
          <w:szCs w:val="24"/>
          <w:highlight w:val="none"/>
        </w:rPr>
        <w:t>质疑事项1：</w:t>
      </w:r>
      <w:r>
        <w:rPr>
          <w:rFonts w:hint="eastAsia" w:ascii="宋体" w:hAnsi="宋体" w:eastAsia="宋体" w:cs="宋体"/>
          <w:color w:val="auto"/>
          <w:sz w:val="24"/>
          <w:szCs w:val="24"/>
          <w:highlight w:val="none"/>
          <w:u w:val="dotted"/>
        </w:rPr>
        <w:t xml:space="preserve">                                         </w:t>
      </w:r>
    </w:p>
    <w:p>
      <w:pPr>
        <w:shd w:val="clear"/>
        <w:adjustRightInd w:val="0"/>
        <w:snapToGrid w:val="0"/>
        <w:spacing w:line="400" w:lineRule="exact"/>
        <w:rPr>
          <w:rFonts w:hint="eastAsia" w:ascii="宋体" w:hAnsi="宋体" w:eastAsia="宋体" w:cs="宋体"/>
          <w:color w:val="auto"/>
          <w:sz w:val="24"/>
          <w:szCs w:val="24"/>
          <w:highlight w:val="none"/>
          <w:u w:val="dotted"/>
        </w:rPr>
      </w:pPr>
      <w:r>
        <w:rPr>
          <w:rFonts w:hint="eastAsia" w:ascii="宋体" w:hAnsi="宋体" w:eastAsia="宋体" w:cs="宋体"/>
          <w:color w:val="auto"/>
          <w:sz w:val="24"/>
          <w:szCs w:val="24"/>
          <w:highlight w:val="none"/>
        </w:rPr>
        <w:t>事实依据：</w:t>
      </w:r>
      <w:r>
        <w:rPr>
          <w:rFonts w:hint="eastAsia" w:ascii="宋体" w:hAnsi="宋体" w:eastAsia="宋体" w:cs="宋体"/>
          <w:color w:val="auto"/>
          <w:sz w:val="24"/>
          <w:szCs w:val="24"/>
          <w:highlight w:val="none"/>
          <w:u w:val="dotted"/>
        </w:rPr>
        <w:t xml:space="preserve">                                          </w:t>
      </w:r>
    </w:p>
    <w:p>
      <w:pPr>
        <w:shd w:val="clear"/>
        <w:adjustRightInd w:val="0"/>
        <w:snapToGrid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dotted"/>
        </w:rPr>
        <w:t xml:space="preserve">                                                       </w:t>
      </w:r>
    </w:p>
    <w:p>
      <w:pPr>
        <w:shd w:val="clear"/>
        <w:adjustRightInd w:val="0"/>
        <w:snapToGrid w:val="0"/>
        <w:spacing w:line="400" w:lineRule="exact"/>
        <w:rPr>
          <w:rFonts w:hint="eastAsia" w:ascii="宋体" w:hAnsi="宋体" w:eastAsia="宋体" w:cs="宋体"/>
          <w:color w:val="auto"/>
          <w:sz w:val="24"/>
          <w:szCs w:val="24"/>
          <w:highlight w:val="none"/>
          <w:u w:val="dotted"/>
        </w:rPr>
      </w:pPr>
      <w:r>
        <w:rPr>
          <w:rFonts w:hint="eastAsia" w:ascii="宋体" w:hAnsi="宋体" w:eastAsia="宋体" w:cs="宋体"/>
          <w:color w:val="auto"/>
          <w:sz w:val="24"/>
          <w:szCs w:val="24"/>
          <w:highlight w:val="none"/>
        </w:rPr>
        <w:t>法律依据：</w:t>
      </w:r>
      <w:r>
        <w:rPr>
          <w:rFonts w:hint="eastAsia" w:ascii="宋体" w:hAnsi="宋体" w:eastAsia="宋体" w:cs="宋体"/>
          <w:color w:val="auto"/>
          <w:sz w:val="24"/>
          <w:szCs w:val="24"/>
          <w:highlight w:val="none"/>
          <w:u w:val="dotted"/>
        </w:rPr>
        <w:t xml:space="preserve">                                          </w:t>
      </w:r>
    </w:p>
    <w:p>
      <w:pPr>
        <w:shd w:val="clear"/>
        <w:adjustRightInd w:val="0"/>
        <w:snapToGrid w:val="0"/>
        <w:spacing w:line="400" w:lineRule="exact"/>
        <w:rPr>
          <w:rFonts w:hint="eastAsia" w:ascii="宋体" w:hAnsi="宋体" w:eastAsia="宋体" w:cs="宋体"/>
          <w:color w:val="auto"/>
          <w:sz w:val="24"/>
          <w:szCs w:val="24"/>
          <w:highlight w:val="none"/>
          <w:u w:val="dotted"/>
        </w:rPr>
      </w:pPr>
      <w:r>
        <w:rPr>
          <w:rFonts w:hint="eastAsia" w:ascii="宋体" w:hAnsi="宋体" w:eastAsia="宋体" w:cs="宋体"/>
          <w:color w:val="auto"/>
          <w:sz w:val="24"/>
          <w:szCs w:val="24"/>
          <w:highlight w:val="none"/>
          <w:u w:val="dotted"/>
        </w:rPr>
        <w:t xml:space="preserve">                                                     </w:t>
      </w:r>
    </w:p>
    <w:p>
      <w:pPr>
        <w:shd w:val="clear"/>
        <w:adjustRightInd w:val="0"/>
        <w:snapToGrid w:val="0"/>
        <w:spacing w:line="400" w:lineRule="exact"/>
        <w:rPr>
          <w:rFonts w:hint="eastAsia" w:ascii="宋体" w:hAnsi="宋体" w:eastAsia="宋体" w:cs="宋体"/>
          <w:color w:val="auto"/>
          <w:sz w:val="24"/>
          <w:szCs w:val="24"/>
          <w:highlight w:val="none"/>
          <w:u w:val="dotted"/>
        </w:rPr>
      </w:pPr>
      <w:r>
        <w:rPr>
          <w:rFonts w:hint="eastAsia" w:ascii="宋体" w:hAnsi="宋体" w:eastAsia="宋体" w:cs="宋体"/>
          <w:color w:val="auto"/>
          <w:sz w:val="24"/>
          <w:szCs w:val="24"/>
          <w:highlight w:val="none"/>
        </w:rPr>
        <w:t>质疑事项2</w:t>
      </w:r>
    </w:p>
    <w:p>
      <w:pPr>
        <w:shd w:val="clear"/>
        <w:adjustRightInd w:val="0"/>
        <w:snapToGrid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p>
      <w:pPr>
        <w:shd w:val="clear"/>
        <w:adjustRightInd w:val="0"/>
        <w:snapToGrid w:val="0"/>
        <w:spacing w:before="240" w:beforeLines="100" w:line="400" w:lineRule="exac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四、与质疑事项相关的质疑请求</w:t>
      </w:r>
    </w:p>
    <w:p>
      <w:pPr>
        <w:shd w:val="clear"/>
        <w:adjustRightInd w:val="0"/>
        <w:snapToGrid w:val="0"/>
        <w:spacing w:line="400" w:lineRule="exact"/>
        <w:rPr>
          <w:rFonts w:hint="eastAsia" w:ascii="宋体" w:hAnsi="宋体" w:eastAsia="宋体" w:cs="宋体"/>
          <w:color w:val="auto"/>
          <w:sz w:val="24"/>
          <w:szCs w:val="24"/>
          <w:highlight w:val="none"/>
          <w:u w:val="dotted"/>
        </w:rPr>
      </w:pPr>
      <w:r>
        <w:rPr>
          <w:rFonts w:hint="eastAsia" w:ascii="宋体" w:hAnsi="宋体" w:eastAsia="宋体" w:cs="宋体"/>
          <w:color w:val="auto"/>
          <w:sz w:val="24"/>
          <w:szCs w:val="24"/>
          <w:highlight w:val="none"/>
        </w:rPr>
        <w:t>请求：</w:t>
      </w:r>
      <w:r>
        <w:rPr>
          <w:rFonts w:hint="eastAsia" w:ascii="宋体" w:hAnsi="宋体" w:eastAsia="宋体" w:cs="宋体"/>
          <w:color w:val="auto"/>
          <w:sz w:val="24"/>
          <w:szCs w:val="24"/>
          <w:highlight w:val="none"/>
          <w:u w:val="dotted"/>
        </w:rPr>
        <w:t xml:space="preserve">                                               </w:t>
      </w:r>
    </w:p>
    <w:p>
      <w:pPr>
        <w:shd w:val="clear"/>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签字(签章)：                   公章：                      </w:t>
      </w:r>
    </w:p>
    <w:p>
      <w:pPr>
        <w:shd w:val="clear"/>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日期：    </w:t>
      </w:r>
    </w:p>
    <w:p>
      <w:pPr>
        <w:shd w:val="clear"/>
        <w:spacing w:line="400" w:lineRule="exact"/>
        <w:rPr>
          <w:rFonts w:hint="eastAsia" w:ascii="宋体" w:hAnsi="宋体" w:eastAsia="宋体" w:cs="宋体"/>
          <w:b/>
          <w:color w:val="auto"/>
          <w:sz w:val="24"/>
          <w:szCs w:val="24"/>
          <w:highlight w:val="none"/>
        </w:rPr>
      </w:pPr>
    </w:p>
    <w:p>
      <w:pPr>
        <w:shd w:val="clear"/>
        <w:spacing w:line="40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质疑函制作说明：</w:t>
      </w:r>
    </w:p>
    <w:p>
      <w:pPr>
        <w:widowControl/>
        <w:shd w:val="clear"/>
        <w:spacing w:line="4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1.供应商提出质疑时，应提交质疑函和必要的证明材料。</w:t>
      </w:r>
    </w:p>
    <w:p>
      <w:pPr>
        <w:widowControl/>
        <w:shd w:val="clear"/>
        <w:spacing w:line="4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2.质疑供应商若委托代理人进行质疑的，质疑函应按要求列明“授权代表”的有关内容，并在附件中提交由质疑</w:t>
      </w:r>
      <w:r>
        <w:rPr>
          <w:rFonts w:hint="eastAsia" w:ascii="宋体" w:hAnsi="宋体" w:eastAsia="宋体" w:cs="宋体"/>
          <w:color w:val="auto"/>
          <w:kern w:val="0"/>
          <w:sz w:val="24"/>
          <w:szCs w:val="24"/>
          <w:highlight w:val="none"/>
        </w:rPr>
        <w:t>供应商签署的授权委托书。授权委托书应载明代理人的姓名或者名称、代理事项、具体权限、期限和相关事项。</w:t>
      </w:r>
    </w:p>
    <w:p>
      <w:pPr>
        <w:widowControl/>
        <w:shd w:val="clear"/>
        <w:spacing w:line="4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3.质疑供应商若对项目的某一分包进行质疑，质疑函中应列明具体分包号。</w:t>
      </w:r>
    </w:p>
    <w:p>
      <w:pPr>
        <w:widowControl/>
        <w:shd w:val="clear"/>
        <w:spacing w:line="4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4.质疑函的质疑事项应具体、明确，并有必要的事实依据和法律依据。</w:t>
      </w:r>
    </w:p>
    <w:p>
      <w:pPr>
        <w:widowControl/>
        <w:shd w:val="clear"/>
        <w:spacing w:line="4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5.质疑函的质疑请求应与质疑事项相关。</w:t>
      </w:r>
    </w:p>
    <w:p>
      <w:pPr>
        <w:widowControl/>
        <w:shd w:val="clear"/>
        <w:spacing w:line="4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6.质疑供应商为自然人的，质疑函应由本人签字；质疑供应商为法人或者其他组织的，质疑函应由法定代表人、主要负责人，或者其授权代表签字或者盖章，并加盖公章。</w:t>
      </w:r>
    </w:p>
    <w:p>
      <w:pPr>
        <w:rPr>
          <w:rFonts w:hint="eastAsia" w:ascii="宋体" w:hAnsi="宋体" w:eastAsia="宋体" w:cs="宋体"/>
          <w:color w:val="auto"/>
          <w:sz w:val="24"/>
          <w:szCs w:val="24"/>
          <w:highlight w:val="none"/>
        </w:rPr>
      </w:pPr>
    </w:p>
    <w:p>
      <w:pPr>
        <w:spacing w:before="0" w:line="240" w:lineRule="atLeast"/>
        <w:jc w:val="both"/>
        <w:outlineLvl w:val="9"/>
        <w:rPr>
          <w:rFonts w:hint="eastAsia" w:ascii="宋体" w:hAnsi="宋体" w:eastAsia="宋体" w:cs="宋体"/>
          <w:color w:val="auto"/>
          <w:sz w:val="24"/>
          <w:szCs w:val="24"/>
          <w:highlight w:val="none"/>
        </w:rPr>
      </w:pPr>
      <w:bookmarkStart w:id="189" w:name="_Toc515647799"/>
      <w:bookmarkStart w:id="190" w:name="_Toc9538"/>
      <w:bookmarkStart w:id="191" w:name="_Toc26168"/>
      <w:bookmarkStart w:id="192" w:name="_Toc16186"/>
      <w:bookmarkStart w:id="193" w:name="_Toc18045"/>
      <w:bookmarkStart w:id="194" w:name="_Toc21748"/>
      <w:bookmarkStart w:id="195" w:name="_Toc22796"/>
      <w:bookmarkStart w:id="196" w:name="_Toc350"/>
    </w:p>
    <w:p>
      <w:pPr>
        <w:rPr>
          <w:rFonts w:hint="eastAsia" w:ascii="宋体" w:hAnsi="宋体" w:eastAsia="宋体" w:cs="宋体"/>
          <w:color w:val="auto"/>
          <w:sz w:val="24"/>
          <w:szCs w:val="24"/>
          <w:highlight w:val="none"/>
        </w:rPr>
      </w:pPr>
    </w:p>
    <w:bookmarkEnd w:id="189"/>
    <w:bookmarkEnd w:id="190"/>
    <w:bookmarkEnd w:id="191"/>
    <w:bookmarkEnd w:id="192"/>
    <w:bookmarkEnd w:id="193"/>
    <w:bookmarkEnd w:id="194"/>
    <w:bookmarkEnd w:id="195"/>
    <w:bookmarkEnd w:id="196"/>
    <w:p>
      <w:pPr>
        <w:tabs>
          <w:tab w:val="left" w:pos="0"/>
        </w:tabs>
        <w:spacing w:before="0" w:after="0" w:line="240" w:lineRule="atLeast"/>
        <w:jc w:val="center"/>
        <w:outlineLvl w:val="9"/>
        <w:rPr>
          <w:rFonts w:hint="eastAsia" w:ascii="宋体" w:hAnsi="宋体" w:eastAsia="宋体" w:cs="宋体"/>
          <w:color w:val="auto"/>
          <w:highlight w:val="none"/>
        </w:rPr>
      </w:pPr>
      <w:bookmarkStart w:id="197" w:name="_Toc515647802"/>
      <w:bookmarkStart w:id="198" w:name="_Toc702"/>
      <w:bookmarkStart w:id="199" w:name="_Toc728"/>
      <w:bookmarkStart w:id="200" w:name="_Toc216582812"/>
      <w:bookmarkStart w:id="201" w:name="_Toc29770"/>
    </w:p>
    <w:p>
      <w:pPr>
        <w:rPr>
          <w:rFonts w:hint="eastAsia" w:ascii="宋体" w:hAnsi="宋体" w:eastAsia="宋体" w:cs="宋体"/>
          <w:color w:val="auto"/>
          <w:highlight w:val="none"/>
        </w:rPr>
      </w:pPr>
      <w:r>
        <w:rPr>
          <w:rFonts w:hint="eastAsia" w:ascii="宋体" w:hAnsi="宋体" w:eastAsia="宋体" w:cs="宋体"/>
          <w:color w:val="auto"/>
          <w:highlight w:val="none"/>
        </w:rPr>
        <w:br w:type="page"/>
      </w:r>
    </w:p>
    <w:p>
      <w:pPr>
        <w:pStyle w:val="3"/>
        <w:tabs>
          <w:tab w:val="left" w:pos="0"/>
        </w:tabs>
        <w:spacing w:before="0" w:after="0" w:line="240" w:lineRule="atLeast"/>
        <w:jc w:val="center"/>
        <w:rPr>
          <w:rFonts w:hint="eastAsia" w:ascii="宋体" w:hAnsi="宋体" w:eastAsia="宋体" w:cs="宋体"/>
          <w:color w:val="auto"/>
          <w:highlight w:val="none"/>
        </w:rPr>
      </w:pPr>
      <w:bookmarkStart w:id="202" w:name="_Toc21966"/>
      <w:r>
        <w:rPr>
          <w:rFonts w:hint="eastAsia" w:ascii="宋体" w:hAnsi="宋体" w:eastAsia="宋体" w:cs="宋体"/>
          <w:color w:val="auto"/>
          <w:highlight w:val="none"/>
        </w:rPr>
        <w:t>第2章   投标文件格式</w:t>
      </w:r>
      <w:bookmarkEnd w:id="197"/>
      <w:bookmarkEnd w:id="198"/>
      <w:bookmarkEnd w:id="199"/>
      <w:bookmarkEnd w:id="200"/>
      <w:bookmarkEnd w:id="201"/>
      <w:bookmarkEnd w:id="202"/>
    </w:p>
    <w:p>
      <w:pPr>
        <w:spacing w:line="240" w:lineRule="atLeast"/>
        <w:ind w:left="735" w:leftChars="350" w:firstLine="105" w:firstLineChars="50"/>
        <w:rPr>
          <w:rFonts w:hint="eastAsia" w:ascii="宋体" w:hAnsi="宋体" w:eastAsia="宋体" w:cs="宋体"/>
          <w:color w:val="auto"/>
          <w:szCs w:val="21"/>
          <w:highlight w:val="none"/>
        </w:rPr>
      </w:pPr>
    </w:p>
    <w:p>
      <w:pPr>
        <w:pStyle w:val="4"/>
        <w:spacing w:before="0" w:line="240" w:lineRule="atLeast"/>
        <w:ind w:left="1080" w:leftChars="257" w:hanging="540"/>
        <w:rPr>
          <w:rFonts w:hint="eastAsia" w:ascii="宋体" w:hAnsi="宋体" w:eastAsia="宋体" w:cs="宋体"/>
          <w:color w:val="auto"/>
          <w:kern w:val="2"/>
          <w:sz w:val="24"/>
          <w:szCs w:val="24"/>
          <w:highlight w:val="none"/>
        </w:rPr>
      </w:pPr>
      <w:bookmarkStart w:id="203" w:name="_Toc18694"/>
      <w:bookmarkStart w:id="204" w:name="_Toc22572"/>
      <w:bookmarkStart w:id="205" w:name="_Toc25792"/>
      <w:bookmarkStart w:id="206" w:name="_Toc515647803"/>
      <w:bookmarkStart w:id="207" w:name="_Toc29179"/>
      <w:bookmarkStart w:id="208" w:name="_Toc18974"/>
      <w:bookmarkStart w:id="209" w:name="_Toc3428"/>
      <w:r>
        <w:rPr>
          <w:rFonts w:hint="eastAsia" w:ascii="宋体" w:hAnsi="宋体" w:eastAsia="宋体" w:cs="宋体"/>
          <w:color w:val="auto"/>
          <w:kern w:val="2"/>
          <w:sz w:val="24"/>
          <w:szCs w:val="24"/>
          <w:highlight w:val="none"/>
        </w:rPr>
        <w:t>第一部分 开标一览表及资格证明文件</w:t>
      </w:r>
      <w:bookmarkEnd w:id="203"/>
      <w:bookmarkEnd w:id="204"/>
      <w:bookmarkEnd w:id="205"/>
      <w:bookmarkEnd w:id="206"/>
      <w:bookmarkEnd w:id="207"/>
      <w:bookmarkEnd w:id="208"/>
      <w:bookmarkEnd w:id="209"/>
    </w:p>
    <w:p>
      <w:pPr>
        <w:spacing w:line="240" w:lineRule="atLeast"/>
        <w:ind w:left="619" w:hanging="708" w:hangingChars="295"/>
        <w:jc w:val="center"/>
        <w:rPr>
          <w:rFonts w:hint="eastAsia" w:ascii="宋体" w:hAnsi="宋体" w:eastAsia="宋体" w:cs="宋体"/>
          <w:color w:val="auto"/>
          <w:sz w:val="24"/>
          <w:szCs w:val="24"/>
          <w:highlight w:val="none"/>
        </w:rPr>
      </w:pPr>
    </w:p>
    <w:p>
      <w:pPr>
        <w:pStyle w:val="11"/>
        <w:keepNext w:val="0"/>
        <w:keepLines w:val="0"/>
        <w:pageBreakBefore w:val="0"/>
        <w:widowControl w:val="0"/>
        <w:kinsoku/>
        <w:wordWrap/>
        <w:overflowPunct/>
        <w:topLinePunct w:val="0"/>
        <w:autoSpaceDE/>
        <w:autoSpaceDN/>
        <w:bidi w:val="0"/>
        <w:adjustRightInd/>
        <w:snapToGrid/>
        <w:spacing w:line="360" w:lineRule="exact"/>
        <w:ind w:left="613" w:leftChars="114" w:hanging="374" w:hangingChars="156"/>
        <w:jc w:val="lef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开标一览表</w:t>
      </w:r>
      <w:r>
        <w:rPr>
          <w:rFonts w:hint="eastAsia" w:ascii="宋体" w:hAnsi="宋体" w:eastAsia="宋体" w:cs="宋体"/>
          <w:color w:val="auto"/>
          <w:sz w:val="24"/>
          <w:szCs w:val="24"/>
          <w:highlight w:val="none"/>
          <w:lang w:eastAsia="zh-CN"/>
        </w:rPr>
        <w:t>；</w:t>
      </w:r>
    </w:p>
    <w:p>
      <w:pPr>
        <w:pStyle w:val="11"/>
        <w:keepNext w:val="0"/>
        <w:keepLines w:val="0"/>
        <w:pageBreakBefore w:val="0"/>
        <w:widowControl w:val="0"/>
        <w:kinsoku/>
        <w:wordWrap/>
        <w:overflowPunct/>
        <w:topLinePunct w:val="0"/>
        <w:autoSpaceDE/>
        <w:autoSpaceDN/>
        <w:bidi w:val="0"/>
        <w:adjustRightInd/>
        <w:snapToGrid/>
        <w:spacing w:line="360" w:lineRule="exact"/>
        <w:ind w:left="613" w:leftChars="114" w:hanging="374" w:hangingChars="156"/>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2.具有有效的独立法人营业执照；</w:t>
      </w:r>
    </w:p>
    <w:p>
      <w:pPr>
        <w:pStyle w:val="11"/>
        <w:keepNext w:val="0"/>
        <w:keepLines w:val="0"/>
        <w:pageBreakBefore w:val="0"/>
        <w:widowControl w:val="0"/>
        <w:kinsoku/>
        <w:wordWrap/>
        <w:overflowPunct/>
        <w:topLinePunct w:val="0"/>
        <w:autoSpaceDE/>
        <w:autoSpaceDN/>
        <w:bidi w:val="0"/>
        <w:adjustRightInd/>
        <w:snapToGrid/>
        <w:spacing w:line="360" w:lineRule="exact"/>
        <w:ind w:left="613" w:leftChars="114" w:hanging="374" w:hangingChars="156"/>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w:t>
      </w:r>
      <w:r>
        <w:rPr>
          <w:rFonts w:hint="eastAsia" w:hAnsi="宋体" w:cs="宋体"/>
          <w:color w:val="auto"/>
          <w:sz w:val="24"/>
          <w:szCs w:val="24"/>
          <w:highlight w:val="none"/>
          <w:lang w:val="en-US" w:eastAsia="zh-CN"/>
        </w:rPr>
        <w:t>提供有效的《医疗器械生产许可证》及《医疗器械经营许可证》（二类医疗器械须提供医疗器械备案凭证及医疗器械注册证）</w:t>
      </w:r>
      <w:r>
        <w:rPr>
          <w:rFonts w:hint="eastAsia" w:ascii="宋体" w:hAnsi="宋体" w:eastAsia="宋体" w:cs="宋体"/>
          <w:color w:val="auto"/>
          <w:sz w:val="24"/>
          <w:szCs w:val="24"/>
          <w:highlight w:val="none"/>
          <w:lang w:val="en-US" w:eastAsia="zh-CN"/>
        </w:rPr>
        <w:t>；</w:t>
      </w:r>
    </w:p>
    <w:p>
      <w:pPr>
        <w:pStyle w:val="11"/>
        <w:keepNext w:val="0"/>
        <w:keepLines w:val="0"/>
        <w:pageBreakBefore w:val="0"/>
        <w:widowControl w:val="0"/>
        <w:kinsoku/>
        <w:wordWrap/>
        <w:overflowPunct/>
        <w:topLinePunct w:val="0"/>
        <w:autoSpaceDE/>
        <w:autoSpaceDN/>
        <w:bidi w:val="0"/>
        <w:adjustRightInd/>
        <w:snapToGrid/>
        <w:spacing w:line="360" w:lineRule="exact"/>
        <w:ind w:left="613" w:leftChars="114" w:hanging="374" w:hangingChars="156"/>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4.法人代表身份证明及授权书、被授权人身份证；(法人投标需提供法人身份证复印件)；</w:t>
      </w:r>
    </w:p>
    <w:p>
      <w:pPr>
        <w:pStyle w:val="11"/>
        <w:keepNext w:val="0"/>
        <w:keepLines w:val="0"/>
        <w:pageBreakBefore w:val="0"/>
        <w:widowControl w:val="0"/>
        <w:kinsoku/>
        <w:wordWrap/>
        <w:overflowPunct/>
        <w:topLinePunct w:val="0"/>
        <w:autoSpaceDE/>
        <w:autoSpaceDN/>
        <w:bidi w:val="0"/>
        <w:adjustRightInd/>
        <w:snapToGrid/>
        <w:spacing w:line="360" w:lineRule="exact"/>
        <w:ind w:left="613" w:leftChars="114" w:hanging="374" w:hangingChars="156"/>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5.依法缴纳最近6个月中任意1个月的社会保险的凭据；</w:t>
      </w:r>
    </w:p>
    <w:p>
      <w:pPr>
        <w:pStyle w:val="11"/>
        <w:keepNext w:val="0"/>
        <w:keepLines w:val="0"/>
        <w:pageBreakBefore w:val="0"/>
        <w:widowControl w:val="0"/>
        <w:kinsoku/>
        <w:wordWrap/>
        <w:overflowPunct/>
        <w:topLinePunct w:val="0"/>
        <w:autoSpaceDE/>
        <w:autoSpaceDN/>
        <w:bidi w:val="0"/>
        <w:adjustRightInd/>
        <w:snapToGrid/>
        <w:spacing w:line="360" w:lineRule="exact"/>
        <w:ind w:left="613" w:leftChars="114" w:hanging="374" w:hangingChars="156"/>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6.税务部门出具的最近6个月中任意1个月的完税证明； </w:t>
      </w:r>
    </w:p>
    <w:p>
      <w:pPr>
        <w:pStyle w:val="11"/>
        <w:keepNext w:val="0"/>
        <w:keepLines w:val="0"/>
        <w:pageBreakBefore w:val="0"/>
        <w:widowControl w:val="0"/>
        <w:kinsoku/>
        <w:wordWrap/>
        <w:overflowPunct/>
        <w:topLinePunct w:val="0"/>
        <w:autoSpaceDE/>
        <w:autoSpaceDN/>
        <w:bidi w:val="0"/>
        <w:adjustRightInd/>
        <w:snapToGrid/>
        <w:spacing w:line="360" w:lineRule="exact"/>
        <w:ind w:left="613" w:leftChars="114" w:hanging="374" w:hangingChars="156"/>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7.近两年任意一年的财务审计报告；</w:t>
      </w:r>
    </w:p>
    <w:p>
      <w:pPr>
        <w:pStyle w:val="11"/>
        <w:keepNext w:val="0"/>
        <w:keepLines w:val="0"/>
        <w:pageBreakBefore w:val="0"/>
        <w:widowControl w:val="0"/>
        <w:kinsoku/>
        <w:wordWrap/>
        <w:overflowPunct/>
        <w:topLinePunct w:val="0"/>
        <w:autoSpaceDE/>
        <w:autoSpaceDN/>
        <w:bidi w:val="0"/>
        <w:adjustRightInd/>
        <w:snapToGrid/>
        <w:spacing w:line="360" w:lineRule="exact"/>
        <w:ind w:left="613" w:leftChars="114" w:hanging="374" w:hangingChars="156"/>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8.根据《财政部关于在政府采购活动中查询及使用信用记录有关问题的通知》（财库﹝2016﹞125号）的要求，凡拟参加本次招标项目的供应商，如在“信用中国”网站（ www.creditchina.gov.cn） 被列入失信被执行人、重大税收违法案件当事人名单(信用服务-失信惩戒对象查询-搜索栏输入单位全称-截图)、中国政府采购网（http://www.ccgp.gov.cn/search/cr/）严重违法失信行为记录名单的（尚在处罚期内的），“国家企业信用信息公示系统（http://www.gsxt.gov.cn）”列入严重违法失信企业名单（黑名单）信息及企业信用信息公示报告；将拒绝其参加本次招标活动；（以招标代理或</w:t>
      </w:r>
      <w:r>
        <w:rPr>
          <w:rFonts w:hint="eastAsia" w:hAnsi="宋体" w:cs="宋体"/>
          <w:color w:val="auto"/>
          <w:sz w:val="24"/>
          <w:szCs w:val="24"/>
          <w:highlight w:val="none"/>
          <w:lang w:val="en-US" w:eastAsia="zh-CN"/>
        </w:rPr>
        <w:t>采购人</w:t>
      </w:r>
      <w:r>
        <w:rPr>
          <w:rFonts w:hint="eastAsia" w:ascii="宋体" w:hAnsi="宋体" w:eastAsia="宋体" w:cs="宋体"/>
          <w:color w:val="auto"/>
          <w:sz w:val="24"/>
          <w:szCs w:val="24"/>
          <w:highlight w:val="none"/>
          <w:lang w:val="en-US" w:eastAsia="zh-CN"/>
        </w:rPr>
        <w:t>查询为准）</w:t>
      </w:r>
    </w:p>
    <w:p>
      <w:pPr>
        <w:pStyle w:val="11"/>
        <w:keepNext w:val="0"/>
        <w:keepLines w:val="0"/>
        <w:pageBreakBefore w:val="0"/>
        <w:widowControl w:val="0"/>
        <w:kinsoku/>
        <w:wordWrap/>
        <w:overflowPunct/>
        <w:topLinePunct w:val="0"/>
        <w:autoSpaceDE/>
        <w:autoSpaceDN/>
        <w:bidi w:val="0"/>
        <w:adjustRightInd/>
        <w:snapToGrid/>
        <w:spacing w:line="360" w:lineRule="exact"/>
        <w:ind w:left="613" w:leftChars="114" w:hanging="374" w:hangingChars="156"/>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9.参与政府采购活动前3年内未被列入失信、重大税收违法案件、财政部门禁止参加政府采购活动的承诺书；</w:t>
      </w:r>
    </w:p>
    <w:p>
      <w:pPr>
        <w:pStyle w:val="11"/>
        <w:keepNext w:val="0"/>
        <w:keepLines w:val="0"/>
        <w:pageBreakBefore w:val="0"/>
        <w:widowControl w:val="0"/>
        <w:kinsoku/>
        <w:wordWrap/>
        <w:overflowPunct/>
        <w:topLinePunct w:val="0"/>
        <w:autoSpaceDE/>
        <w:autoSpaceDN/>
        <w:bidi w:val="0"/>
        <w:adjustRightInd/>
        <w:snapToGrid/>
        <w:spacing w:line="360" w:lineRule="exact"/>
        <w:ind w:left="613" w:leftChars="114" w:hanging="374" w:hangingChars="156"/>
        <w:jc w:val="left"/>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10.提供针对本次项目《反商业贿赂承诺书》</w:t>
      </w:r>
      <w:r>
        <w:rPr>
          <w:rFonts w:hint="eastAsia" w:hAnsi="宋体" w:cs="宋体"/>
          <w:color w:val="auto"/>
          <w:sz w:val="24"/>
          <w:szCs w:val="24"/>
          <w:highlight w:val="none"/>
          <w:lang w:val="en-US" w:eastAsia="zh-CN"/>
        </w:rPr>
        <w:t>;</w:t>
      </w:r>
    </w:p>
    <w:p>
      <w:pPr>
        <w:pStyle w:val="11"/>
        <w:keepNext w:val="0"/>
        <w:keepLines w:val="0"/>
        <w:pageBreakBefore w:val="0"/>
        <w:widowControl w:val="0"/>
        <w:kinsoku/>
        <w:wordWrap/>
        <w:overflowPunct/>
        <w:topLinePunct w:val="0"/>
        <w:autoSpaceDE/>
        <w:autoSpaceDN/>
        <w:bidi w:val="0"/>
        <w:adjustRightInd/>
        <w:snapToGrid/>
        <w:spacing w:line="360" w:lineRule="exact"/>
        <w:ind w:left="613" w:leftChars="114" w:hanging="374" w:hangingChars="156"/>
        <w:jc w:val="left"/>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11.</w:t>
      </w:r>
      <w:r>
        <w:rPr>
          <w:rFonts w:hint="eastAsia" w:hAnsi="宋体" w:cs="宋体"/>
          <w:color w:val="auto"/>
          <w:sz w:val="24"/>
          <w:szCs w:val="24"/>
          <w:highlight w:val="none"/>
          <w:lang w:val="en-US" w:eastAsia="zh-CN"/>
        </w:rPr>
        <w:t>提供缴纳投标保证金的银行转账回执单;</w:t>
      </w:r>
    </w:p>
    <w:p>
      <w:pPr>
        <w:pStyle w:val="11"/>
        <w:keepNext w:val="0"/>
        <w:keepLines w:val="0"/>
        <w:pageBreakBefore w:val="0"/>
        <w:widowControl w:val="0"/>
        <w:kinsoku/>
        <w:wordWrap/>
        <w:overflowPunct/>
        <w:topLinePunct w:val="0"/>
        <w:autoSpaceDE/>
        <w:autoSpaceDN/>
        <w:bidi w:val="0"/>
        <w:adjustRightInd/>
        <w:snapToGrid/>
        <w:spacing w:line="360" w:lineRule="exact"/>
        <w:ind w:left="613" w:leftChars="114" w:hanging="374" w:hangingChars="156"/>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12.银行开户许可证复印件或银行基本账户信息(包含：银行账号及开户行名称）；</w:t>
      </w:r>
    </w:p>
    <w:p>
      <w:pPr>
        <w:pStyle w:val="11"/>
        <w:keepNext w:val="0"/>
        <w:keepLines w:val="0"/>
        <w:pageBreakBefore w:val="0"/>
        <w:widowControl w:val="0"/>
        <w:kinsoku/>
        <w:wordWrap/>
        <w:overflowPunct/>
        <w:topLinePunct w:val="0"/>
        <w:autoSpaceDE/>
        <w:autoSpaceDN/>
        <w:bidi w:val="0"/>
        <w:adjustRightInd/>
        <w:snapToGrid/>
        <w:spacing w:line="360" w:lineRule="exact"/>
        <w:ind w:left="613" w:leftChars="114" w:hanging="374" w:hangingChars="156"/>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13.</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可提供有利于投标的其他资格证明材料。</w:t>
      </w:r>
    </w:p>
    <w:p>
      <w:pPr>
        <w:keepNext w:val="0"/>
        <w:keepLines w:val="0"/>
        <w:pageBreakBefore w:val="0"/>
        <w:widowControl/>
        <w:kinsoku/>
        <w:wordWrap/>
        <w:overflowPunct/>
        <w:topLinePunct w:val="0"/>
        <w:autoSpaceDE/>
        <w:autoSpaceDN/>
        <w:bidi w:val="0"/>
        <w:adjustRightInd/>
        <w:snapToGrid w:val="0"/>
        <w:spacing w:line="360" w:lineRule="exact"/>
        <w:jc w:val="left"/>
        <w:textAlignment w:val="baseline"/>
        <w:rPr>
          <w:rFonts w:hint="eastAsia" w:ascii="宋体" w:hAnsi="宋体" w:eastAsia="宋体" w:cs="宋体"/>
          <w:b/>
          <w:bCs/>
          <w:color w:val="auto"/>
          <w:sz w:val="24"/>
          <w:szCs w:val="24"/>
          <w:highlight w:val="none"/>
        </w:rPr>
      </w:pPr>
      <w:bookmarkStart w:id="210" w:name="_Toc10957"/>
      <w:bookmarkStart w:id="211" w:name="_Toc16568"/>
      <w:bookmarkStart w:id="212" w:name="_Toc515647804"/>
      <w:bookmarkStart w:id="213" w:name="_Toc30524"/>
      <w:bookmarkStart w:id="214" w:name="_Toc15286"/>
      <w:r>
        <w:rPr>
          <w:rFonts w:hint="eastAsia" w:ascii="宋体" w:hAnsi="宋体" w:eastAsia="宋体" w:cs="宋体"/>
          <w:b/>
          <w:bCs/>
          <w:color w:val="auto"/>
          <w:sz w:val="24"/>
          <w:szCs w:val="24"/>
          <w:highlight w:val="none"/>
        </w:rPr>
        <w:t>各供应商应注意以下事项：</w:t>
      </w:r>
    </w:p>
    <w:p>
      <w:pPr>
        <w:keepNext w:val="0"/>
        <w:keepLines w:val="0"/>
        <w:pageBreakBefore w:val="0"/>
        <w:widowControl/>
        <w:kinsoku/>
        <w:wordWrap/>
        <w:overflowPunct/>
        <w:topLinePunct w:val="0"/>
        <w:autoSpaceDE/>
        <w:autoSpaceDN/>
        <w:bidi w:val="0"/>
        <w:adjustRightInd/>
        <w:snapToGrid w:val="0"/>
        <w:spacing w:line="360" w:lineRule="exact"/>
        <w:ind w:firstLine="723" w:firstLineChars="300"/>
        <w:jc w:val="left"/>
        <w:textAlignment w:val="baseline"/>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A：本项目要求各投标供应商“税务部门出具的最近6个月中任意1个月的完税证明”，若供应商某月税收为零申报，须提供加盖税务局公章的无欠税证明或申报成功网页截图（供应商可自主登录“国家税务总局电子税务局”12366.chinatax.gov.cn/bsfw/onlinetaxation/main——税费申报及缴纳——申报结果查询）。</w:t>
      </w:r>
    </w:p>
    <w:p>
      <w:pPr>
        <w:keepNext w:val="0"/>
        <w:keepLines w:val="0"/>
        <w:pageBreakBefore w:val="0"/>
        <w:widowControl/>
        <w:kinsoku/>
        <w:wordWrap/>
        <w:overflowPunct/>
        <w:topLinePunct w:val="0"/>
        <w:autoSpaceDE/>
        <w:autoSpaceDN/>
        <w:bidi w:val="0"/>
        <w:adjustRightInd/>
        <w:snapToGrid w:val="0"/>
        <w:spacing w:line="360" w:lineRule="exact"/>
        <w:ind w:firstLine="723" w:firstLineChars="300"/>
        <w:jc w:val="left"/>
        <w:textAlignment w:val="baseline"/>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B：税务局代收的社保缴费证明不可作为本项目的完税证明（“税种”不可为养老保险、医疗保险、失业保险、工伤保险和生育保险）。</w:t>
      </w:r>
      <w:bookmarkStart w:id="215" w:name="_Toc5230"/>
      <w:bookmarkStart w:id="216" w:name="_Toc2679"/>
      <w:bookmarkStart w:id="217" w:name="_Toc8165"/>
    </w:p>
    <w:p>
      <w:pPr>
        <w:spacing w:before="0" w:line="240" w:lineRule="atLeast"/>
        <w:ind w:firstLine="3373" w:firstLineChars="1400"/>
        <w:jc w:val="both"/>
        <w:outlineLvl w:val="9"/>
        <w:rPr>
          <w:rFonts w:hint="eastAsia" w:ascii="宋体" w:hAnsi="宋体" w:eastAsia="宋体" w:cs="宋体"/>
          <w:b/>
          <w:color w:val="auto"/>
          <w:sz w:val="24"/>
          <w:szCs w:val="24"/>
          <w:highlight w:val="none"/>
        </w:rPr>
      </w:pPr>
      <w:bookmarkStart w:id="218" w:name="_Toc17125"/>
      <w:bookmarkStart w:id="219" w:name="_Toc9285"/>
      <w:r>
        <w:rPr>
          <w:rFonts w:hint="eastAsia" w:ascii="宋体" w:hAnsi="宋体" w:eastAsia="宋体" w:cs="宋体"/>
          <w:b/>
          <w:color w:val="auto"/>
          <w:sz w:val="24"/>
          <w:szCs w:val="24"/>
          <w:highlight w:val="none"/>
        </w:rPr>
        <w:t>1</w:t>
      </w:r>
      <w:r>
        <w:rPr>
          <w:rFonts w:hint="eastAsia" w:ascii="宋体" w:hAnsi="宋体" w:eastAsia="宋体" w:cs="宋体"/>
          <w:b/>
          <w:color w:val="auto"/>
          <w:sz w:val="24"/>
          <w:szCs w:val="24"/>
          <w:highlight w:val="none"/>
          <w:lang w:val="en-US" w:eastAsia="zh-CN"/>
        </w:rPr>
        <w:t>.</w:t>
      </w:r>
      <w:r>
        <w:rPr>
          <w:rFonts w:hint="eastAsia" w:ascii="宋体" w:hAnsi="宋体" w:eastAsia="宋体" w:cs="宋体"/>
          <w:b/>
          <w:color w:val="auto"/>
          <w:sz w:val="24"/>
          <w:szCs w:val="24"/>
          <w:highlight w:val="none"/>
        </w:rPr>
        <w:t>开标一览表</w:t>
      </w:r>
      <w:bookmarkEnd w:id="210"/>
      <w:bookmarkEnd w:id="211"/>
      <w:bookmarkEnd w:id="212"/>
      <w:bookmarkEnd w:id="213"/>
      <w:bookmarkEnd w:id="214"/>
      <w:bookmarkEnd w:id="215"/>
      <w:bookmarkEnd w:id="216"/>
      <w:bookmarkEnd w:id="217"/>
      <w:bookmarkEnd w:id="218"/>
      <w:bookmarkEnd w:id="219"/>
      <w:bookmarkStart w:id="220" w:name="_Hlt520356241"/>
      <w:bookmarkEnd w:id="220"/>
      <w:bookmarkStart w:id="221" w:name="_Toc494296984"/>
      <w:bookmarkStart w:id="222" w:name="_Ref467988698"/>
      <w:bookmarkStart w:id="223" w:name="_Toc480942349"/>
      <w:bookmarkStart w:id="224" w:name="_Toc216582813"/>
      <w:bookmarkStart w:id="225" w:name="_Toc520356217"/>
      <w:r>
        <w:rPr>
          <w:rFonts w:hint="eastAsia" w:ascii="宋体" w:hAnsi="宋体" w:eastAsia="宋体" w:cs="宋体"/>
          <w:b/>
          <w:color w:val="auto"/>
          <w:sz w:val="24"/>
          <w:szCs w:val="24"/>
          <w:highlight w:val="none"/>
        </w:rPr>
        <w:cr/>
      </w:r>
    </w:p>
    <w:p>
      <w:pPr>
        <w:pStyle w:val="6"/>
        <w:tabs>
          <w:tab w:val="left" w:pos="5580"/>
        </w:tabs>
        <w:spacing w:line="240" w:lineRule="atLeast"/>
        <w:ind w:left="1080" w:leftChars="257" w:hanging="540"/>
        <w:rPr>
          <w:rFonts w:hint="eastAsia" w:ascii="宋体" w:hAnsi="宋体" w:eastAsia="宋体" w:cs="宋体"/>
          <w:color w:val="auto"/>
          <w:sz w:val="24"/>
          <w:szCs w:val="24"/>
          <w:highlight w:val="none"/>
        </w:rPr>
      </w:pPr>
    </w:p>
    <w:p>
      <w:pPr>
        <w:tabs>
          <w:tab w:val="left" w:pos="1800"/>
          <w:tab w:val="left" w:pos="5580"/>
        </w:tabs>
        <w:spacing w:line="240" w:lineRule="atLeast"/>
        <w:ind w:right="-867" w:rightChars="-413"/>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项目名称：　                          </w:t>
      </w:r>
      <w:r>
        <w:rPr>
          <w:rFonts w:hint="eastAsia" w:ascii="宋体" w:hAnsi="宋体" w:cs="宋体"/>
          <w:color w:val="auto"/>
          <w:sz w:val="24"/>
          <w:szCs w:val="24"/>
          <w:highlight w:val="none"/>
          <w:lang w:eastAsia="zh-CN"/>
        </w:rPr>
        <w:t>项目编号</w:t>
      </w:r>
      <w:r>
        <w:rPr>
          <w:rFonts w:hint="eastAsia" w:ascii="宋体" w:hAnsi="宋体" w:eastAsia="宋体" w:cs="宋体"/>
          <w:color w:val="auto"/>
          <w:sz w:val="24"/>
          <w:szCs w:val="24"/>
          <w:highlight w:val="none"/>
        </w:rPr>
        <w:t xml:space="preserve">：                 </w:t>
      </w:r>
    </w:p>
    <w:p>
      <w:pPr>
        <w:tabs>
          <w:tab w:val="left" w:pos="1800"/>
          <w:tab w:val="left" w:pos="5580"/>
        </w:tabs>
        <w:spacing w:line="240" w:lineRule="atLeast"/>
        <w:ind w:right="-867" w:rightChars="-413"/>
        <w:rPr>
          <w:rFonts w:hint="eastAsia" w:ascii="宋体" w:hAnsi="宋体" w:eastAsia="宋体" w:cs="宋体"/>
          <w:color w:val="auto"/>
          <w:sz w:val="24"/>
          <w:szCs w:val="24"/>
          <w:highlight w:val="none"/>
        </w:rPr>
      </w:pPr>
    </w:p>
    <w:p>
      <w:pPr>
        <w:tabs>
          <w:tab w:val="left" w:pos="1800"/>
          <w:tab w:val="left" w:pos="5580"/>
        </w:tabs>
        <w:spacing w:line="240" w:lineRule="atLeast"/>
        <w:ind w:right="-867" w:rightChars="-413"/>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报价</w:t>
      </w:r>
      <w:r>
        <w:rPr>
          <w:rFonts w:hint="eastAsia" w:ascii="宋体" w:hAnsi="宋体" w:eastAsia="宋体" w:cs="宋体"/>
          <w:color w:val="auto"/>
          <w:sz w:val="24"/>
          <w:szCs w:val="24"/>
          <w:highlight w:val="none"/>
        </w:rPr>
        <w:t xml:space="preserve">单位：人民币  </w:t>
      </w:r>
      <w:r>
        <w:rPr>
          <w:rFonts w:hint="eastAsia" w:ascii="宋体" w:hAnsi="宋体" w:eastAsia="宋体" w:cs="宋体"/>
          <w:b/>
          <w:color w:val="auto"/>
          <w:sz w:val="24"/>
          <w:szCs w:val="24"/>
          <w:highlight w:val="none"/>
        </w:rPr>
        <w:t xml:space="preserve">元                 </w:t>
      </w:r>
      <w:r>
        <w:rPr>
          <w:rFonts w:hint="eastAsia" w:ascii="宋体" w:hAnsi="宋体" w:eastAsia="宋体" w:cs="宋体"/>
          <w:color w:val="auto"/>
          <w:sz w:val="24"/>
          <w:szCs w:val="24"/>
          <w:highlight w:val="none"/>
        </w:rPr>
        <w:t xml:space="preserve">      </w:t>
      </w:r>
    </w:p>
    <w:tbl>
      <w:tblPr>
        <w:tblStyle w:val="20"/>
        <w:tblW w:w="8349" w:type="dxa"/>
        <w:tblInd w:w="0" w:type="dxa"/>
        <w:tblLayout w:type="fixed"/>
        <w:tblCellMar>
          <w:top w:w="0" w:type="dxa"/>
          <w:left w:w="0" w:type="dxa"/>
          <w:bottom w:w="0" w:type="dxa"/>
          <w:right w:w="0" w:type="dxa"/>
        </w:tblCellMar>
      </w:tblPr>
      <w:tblGrid>
        <w:gridCol w:w="1551"/>
        <w:gridCol w:w="1133"/>
        <w:gridCol w:w="1273"/>
        <w:gridCol w:w="1300"/>
        <w:gridCol w:w="1545"/>
        <w:gridCol w:w="1547"/>
      </w:tblGrid>
      <w:tr>
        <w:tblPrEx>
          <w:tblCellMar>
            <w:top w:w="0" w:type="dxa"/>
            <w:left w:w="0" w:type="dxa"/>
            <w:bottom w:w="0" w:type="dxa"/>
            <w:right w:w="0" w:type="dxa"/>
          </w:tblCellMar>
        </w:tblPrEx>
        <w:trPr>
          <w:trHeight w:val="631" w:hRule="atLeast"/>
        </w:trPr>
        <w:tc>
          <w:tcPr>
            <w:tcW w:w="1551" w:type="dxa"/>
            <w:tcBorders>
              <w:top w:val="single" w:color="auto" w:sz="4" w:space="0"/>
              <w:left w:val="single" w:color="auto" w:sz="4" w:space="0"/>
              <w:bottom w:val="single" w:color="auto" w:sz="8" w:space="0"/>
              <w:right w:val="single" w:color="auto" w:sz="4" w:space="0"/>
            </w:tcBorders>
            <w:vAlign w:val="center"/>
          </w:tcPr>
          <w:p>
            <w:pPr>
              <w:tabs>
                <w:tab w:val="left" w:pos="5580"/>
              </w:tabs>
              <w:spacing w:line="240" w:lineRule="atLeast"/>
              <w:ind w:right="-199"/>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货物内容</w:t>
            </w:r>
          </w:p>
        </w:tc>
        <w:tc>
          <w:tcPr>
            <w:tcW w:w="1133" w:type="dxa"/>
            <w:tcBorders>
              <w:top w:val="single" w:color="auto" w:sz="4" w:space="0"/>
              <w:left w:val="single" w:color="auto" w:sz="8" w:space="0"/>
              <w:bottom w:val="single" w:color="auto" w:sz="8" w:space="0"/>
              <w:right w:val="single" w:color="auto" w:sz="4" w:space="0"/>
            </w:tcBorders>
            <w:vAlign w:val="center"/>
          </w:tcPr>
          <w:p>
            <w:pPr>
              <w:tabs>
                <w:tab w:val="left" w:pos="5580"/>
              </w:tabs>
              <w:spacing w:line="240" w:lineRule="atLeas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投标总价</w:t>
            </w:r>
          </w:p>
        </w:tc>
        <w:tc>
          <w:tcPr>
            <w:tcW w:w="1273" w:type="dxa"/>
            <w:tcBorders>
              <w:top w:val="single" w:color="auto" w:sz="8" w:space="0"/>
              <w:left w:val="nil"/>
              <w:bottom w:val="single" w:color="auto" w:sz="8" w:space="0"/>
              <w:right w:val="single" w:color="auto" w:sz="4" w:space="0"/>
            </w:tcBorders>
            <w:vAlign w:val="center"/>
          </w:tcPr>
          <w:p>
            <w:pPr>
              <w:tabs>
                <w:tab w:val="left" w:pos="5580"/>
              </w:tabs>
              <w:spacing w:line="240" w:lineRule="atLeas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投标保证金</w:t>
            </w:r>
          </w:p>
        </w:tc>
        <w:tc>
          <w:tcPr>
            <w:tcW w:w="1300" w:type="dxa"/>
            <w:tcBorders>
              <w:top w:val="single" w:color="auto" w:sz="8" w:space="0"/>
              <w:left w:val="nil"/>
              <w:bottom w:val="single" w:color="auto" w:sz="8" w:space="0"/>
              <w:right w:val="single" w:color="auto" w:sz="4" w:space="0"/>
            </w:tcBorders>
            <w:vAlign w:val="center"/>
          </w:tcPr>
          <w:p>
            <w:pPr>
              <w:tabs>
                <w:tab w:val="left" w:pos="5580"/>
              </w:tabs>
              <w:spacing w:line="240" w:lineRule="atLeas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交货期</w:t>
            </w:r>
          </w:p>
        </w:tc>
        <w:tc>
          <w:tcPr>
            <w:tcW w:w="1545" w:type="dxa"/>
            <w:tcBorders>
              <w:top w:val="single" w:color="auto" w:sz="8" w:space="0"/>
              <w:left w:val="nil"/>
              <w:bottom w:val="single" w:color="auto" w:sz="8" w:space="0"/>
              <w:right w:val="single" w:color="auto" w:sz="4" w:space="0"/>
            </w:tcBorders>
            <w:vAlign w:val="center"/>
          </w:tcPr>
          <w:p>
            <w:pPr>
              <w:tabs>
                <w:tab w:val="left" w:pos="5580"/>
              </w:tabs>
              <w:spacing w:line="240" w:lineRule="atLeas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交货地点</w:t>
            </w:r>
          </w:p>
        </w:tc>
        <w:tc>
          <w:tcPr>
            <w:tcW w:w="1547" w:type="dxa"/>
            <w:tcBorders>
              <w:top w:val="single" w:color="auto" w:sz="8" w:space="0"/>
              <w:left w:val="nil"/>
              <w:bottom w:val="single" w:color="auto" w:sz="8" w:space="0"/>
              <w:right w:val="single" w:color="auto" w:sz="4" w:space="0"/>
            </w:tcBorders>
            <w:vAlign w:val="center"/>
          </w:tcPr>
          <w:p>
            <w:pPr>
              <w:tabs>
                <w:tab w:val="left" w:pos="5580"/>
              </w:tabs>
              <w:spacing w:line="240" w:lineRule="atLeas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质保期</w:t>
            </w:r>
          </w:p>
        </w:tc>
      </w:tr>
      <w:tr>
        <w:tblPrEx>
          <w:tblCellMar>
            <w:top w:w="0" w:type="dxa"/>
            <w:left w:w="0" w:type="dxa"/>
            <w:bottom w:w="0" w:type="dxa"/>
            <w:right w:w="0" w:type="dxa"/>
          </w:tblCellMar>
        </w:tblPrEx>
        <w:trPr>
          <w:cantSplit/>
          <w:trHeight w:val="1545" w:hRule="atLeast"/>
        </w:trPr>
        <w:tc>
          <w:tcPr>
            <w:tcW w:w="1551" w:type="dxa"/>
            <w:tcBorders>
              <w:top w:val="single" w:color="auto" w:sz="8" w:space="0"/>
              <w:left w:val="single" w:color="auto" w:sz="4" w:space="0"/>
              <w:bottom w:val="single" w:color="auto" w:sz="4" w:space="0"/>
              <w:right w:val="single" w:color="auto" w:sz="4" w:space="0"/>
            </w:tcBorders>
            <w:vAlign w:val="center"/>
          </w:tcPr>
          <w:p>
            <w:pPr>
              <w:tabs>
                <w:tab w:val="left" w:pos="5580"/>
              </w:tabs>
              <w:spacing w:line="240" w:lineRule="atLeast"/>
              <w:ind w:left="1080" w:leftChars="257" w:hanging="540"/>
              <w:jc w:val="center"/>
              <w:rPr>
                <w:rFonts w:hint="eastAsia" w:ascii="宋体" w:hAnsi="宋体" w:eastAsia="宋体" w:cs="宋体"/>
                <w:color w:val="auto"/>
                <w:sz w:val="24"/>
                <w:szCs w:val="24"/>
                <w:highlight w:val="none"/>
              </w:rPr>
            </w:pPr>
          </w:p>
        </w:tc>
        <w:tc>
          <w:tcPr>
            <w:tcW w:w="1133" w:type="dxa"/>
            <w:tcBorders>
              <w:top w:val="single" w:color="auto" w:sz="8" w:space="0"/>
              <w:left w:val="single" w:color="auto" w:sz="8" w:space="0"/>
              <w:bottom w:val="single" w:color="auto" w:sz="4" w:space="0"/>
              <w:right w:val="single" w:color="auto" w:sz="4" w:space="0"/>
            </w:tcBorders>
            <w:vAlign w:val="center"/>
          </w:tcPr>
          <w:p>
            <w:pPr>
              <w:tabs>
                <w:tab w:val="left" w:pos="5580"/>
              </w:tabs>
              <w:spacing w:line="240" w:lineRule="atLeas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大写：</w:t>
            </w:r>
          </w:p>
          <w:p>
            <w:pPr>
              <w:tabs>
                <w:tab w:val="left" w:pos="5580"/>
              </w:tabs>
              <w:spacing w:line="240" w:lineRule="atLeas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小写：</w:t>
            </w:r>
          </w:p>
        </w:tc>
        <w:tc>
          <w:tcPr>
            <w:tcW w:w="1273" w:type="dxa"/>
            <w:tcBorders>
              <w:top w:val="single" w:color="auto" w:sz="8" w:space="0"/>
              <w:left w:val="nil"/>
              <w:bottom w:val="single" w:color="auto" w:sz="4" w:space="0"/>
              <w:right w:val="single" w:color="auto" w:sz="4" w:space="0"/>
            </w:tcBorders>
            <w:vAlign w:val="center"/>
          </w:tcPr>
          <w:p>
            <w:pPr>
              <w:tabs>
                <w:tab w:val="left" w:pos="5580"/>
              </w:tabs>
              <w:spacing w:line="240" w:lineRule="atLeast"/>
              <w:ind w:left="1080" w:leftChars="257" w:hanging="540"/>
              <w:jc w:val="center"/>
              <w:rPr>
                <w:rFonts w:hint="eastAsia" w:ascii="宋体" w:hAnsi="宋体" w:eastAsia="宋体" w:cs="宋体"/>
                <w:color w:val="auto"/>
                <w:sz w:val="24"/>
                <w:szCs w:val="24"/>
                <w:highlight w:val="none"/>
              </w:rPr>
            </w:pPr>
          </w:p>
        </w:tc>
        <w:tc>
          <w:tcPr>
            <w:tcW w:w="1300" w:type="dxa"/>
            <w:tcBorders>
              <w:top w:val="single" w:color="auto" w:sz="8" w:space="0"/>
              <w:left w:val="nil"/>
              <w:bottom w:val="single" w:color="auto" w:sz="4" w:space="0"/>
              <w:right w:val="single" w:color="auto" w:sz="4" w:space="0"/>
            </w:tcBorders>
            <w:vAlign w:val="center"/>
          </w:tcPr>
          <w:p>
            <w:pPr>
              <w:tabs>
                <w:tab w:val="left" w:pos="5580"/>
              </w:tabs>
              <w:spacing w:line="240" w:lineRule="atLeast"/>
              <w:jc w:val="center"/>
              <w:rPr>
                <w:rFonts w:hint="eastAsia" w:ascii="宋体" w:hAnsi="宋体" w:eastAsia="宋体" w:cs="宋体"/>
                <w:color w:val="auto"/>
                <w:sz w:val="24"/>
                <w:szCs w:val="24"/>
                <w:highlight w:val="none"/>
              </w:rPr>
            </w:pPr>
          </w:p>
        </w:tc>
        <w:tc>
          <w:tcPr>
            <w:tcW w:w="1545" w:type="dxa"/>
            <w:tcBorders>
              <w:top w:val="single" w:color="auto" w:sz="8" w:space="0"/>
              <w:left w:val="nil"/>
              <w:bottom w:val="single" w:color="auto" w:sz="4" w:space="0"/>
              <w:right w:val="single" w:color="auto" w:sz="4" w:space="0"/>
            </w:tcBorders>
            <w:vAlign w:val="center"/>
          </w:tcPr>
          <w:p>
            <w:pPr>
              <w:tabs>
                <w:tab w:val="left" w:pos="5580"/>
              </w:tabs>
              <w:spacing w:line="240" w:lineRule="atLeast"/>
              <w:jc w:val="center"/>
              <w:rPr>
                <w:rFonts w:hint="eastAsia" w:ascii="宋体" w:hAnsi="宋体" w:eastAsia="宋体" w:cs="宋体"/>
                <w:color w:val="auto"/>
                <w:sz w:val="24"/>
                <w:szCs w:val="24"/>
                <w:highlight w:val="none"/>
              </w:rPr>
            </w:pPr>
          </w:p>
        </w:tc>
        <w:tc>
          <w:tcPr>
            <w:tcW w:w="1547" w:type="dxa"/>
            <w:tcBorders>
              <w:top w:val="single" w:color="auto" w:sz="8" w:space="0"/>
              <w:left w:val="nil"/>
              <w:bottom w:val="single" w:color="auto" w:sz="4" w:space="0"/>
              <w:right w:val="single" w:color="auto" w:sz="4" w:space="0"/>
            </w:tcBorders>
            <w:vAlign w:val="center"/>
          </w:tcPr>
          <w:p>
            <w:pPr>
              <w:tabs>
                <w:tab w:val="left" w:pos="5580"/>
              </w:tabs>
              <w:spacing w:line="240" w:lineRule="atLeast"/>
              <w:jc w:val="center"/>
              <w:rPr>
                <w:rFonts w:hint="eastAsia" w:ascii="宋体" w:hAnsi="宋体" w:eastAsia="宋体" w:cs="宋体"/>
                <w:color w:val="auto"/>
                <w:sz w:val="24"/>
                <w:szCs w:val="24"/>
                <w:highlight w:val="none"/>
              </w:rPr>
            </w:pPr>
          </w:p>
        </w:tc>
      </w:tr>
    </w:tbl>
    <w:p>
      <w:pPr>
        <w:pStyle w:val="11"/>
        <w:tabs>
          <w:tab w:val="left" w:pos="5580"/>
        </w:tabs>
        <w:spacing w:line="240" w:lineRule="atLeast"/>
        <w:ind w:left="1080" w:leftChars="257" w:hanging="540"/>
        <w:rPr>
          <w:rFonts w:hint="eastAsia" w:ascii="宋体" w:hAnsi="宋体" w:eastAsia="宋体" w:cs="宋体"/>
          <w:color w:val="auto"/>
          <w:sz w:val="24"/>
          <w:szCs w:val="24"/>
          <w:highlight w:val="none"/>
        </w:rPr>
      </w:pPr>
    </w:p>
    <w:p>
      <w:pPr>
        <w:pStyle w:val="11"/>
        <w:tabs>
          <w:tab w:val="left" w:pos="5580"/>
        </w:tabs>
        <w:spacing w:line="240" w:lineRule="atLeast"/>
        <w:ind w:left="1080" w:leftChars="257" w:hanging="540"/>
        <w:rPr>
          <w:rFonts w:hint="eastAsia" w:ascii="宋体" w:hAnsi="宋体" w:eastAsia="宋体" w:cs="宋体"/>
          <w:color w:val="auto"/>
          <w:sz w:val="24"/>
          <w:szCs w:val="24"/>
          <w:highlight w:val="none"/>
          <w:u w:val="single"/>
        </w:rPr>
      </w:pPr>
    </w:p>
    <w:p>
      <w:pPr>
        <w:pStyle w:val="11"/>
        <w:tabs>
          <w:tab w:val="left" w:pos="5580"/>
        </w:tabs>
        <w:spacing w:line="240" w:lineRule="atLeast"/>
        <w:ind w:left="1080" w:leftChars="257" w:hanging="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名称（</w:t>
      </w:r>
      <w:r>
        <w:rPr>
          <w:rFonts w:hint="eastAsia" w:ascii="宋体" w:hAnsi="宋体" w:eastAsia="宋体" w:cs="宋体"/>
          <w:color w:val="auto"/>
          <w:sz w:val="24"/>
          <w:szCs w:val="24"/>
          <w:highlight w:val="none"/>
          <w:lang w:eastAsia="zh-CN"/>
        </w:rPr>
        <w:t>公章</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u w:val="single"/>
        </w:rPr>
        <w:t xml:space="preserve">                       </w:t>
      </w:r>
    </w:p>
    <w:p>
      <w:pPr>
        <w:pStyle w:val="11"/>
        <w:tabs>
          <w:tab w:val="left" w:pos="5580"/>
        </w:tabs>
        <w:spacing w:line="240" w:lineRule="atLeast"/>
        <w:ind w:left="1080" w:leftChars="257" w:hanging="54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法定代表人或委托代理(签字):</w:t>
      </w:r>
      <w:r>
        <w:rPr>
          <w:rFonts w:hint="eastAsia" w:ascii="宋体" w:hAnsi="宋体" w:eastAsia="宋体" w:cs="宋体"/>
          <w:color w:val="auto"/>
          <w:sz w:val="24"/>
          <w:szCs w:val="24"/>
          <w:highlight w:val="none"/>
          <w:u w:val="single"/>
        </w:rPr>
        <w:tab/>
      </w:r>
    </w:p>
    <w:p>
      <w:pPr>
        <w:pStyle w:val="11"/>
        <w:tabs>
          <w:tab w:val="left" w:pos="5580"/>
        </w:tabs>
        <w:spacing w:line="240" w:lineRule="atLeast"/>
        <w:ind w:left="1080" w:leftChars="257" w:hanging="540"/>
        <w:rPr>
          <w:rFonts w:hint="eastAsia" w:ascii="宋体" w:hAnsi="宋体" w:eastAsia="宋体" w:cs="宋体"/>
          <w:color w:val="auto"/>
          <w:sz w:val="24"/>
          <w:szCs w:val="24"/>
          <w:highlight w:val="none"/>
        </w:rPr>
      </w:pPr>
    </w:p>
    <w:p>
      <w:pPr>
        <w:pStyle w:val="11"/>
        <w:tabs>
          <w:tab w:val="left" w:pos="5580"/>
        </w:tabs>
        <w:spacing w:line="240" w:lineRule="atLeast"/>
        <w:ind w:left="1080" w:leftChars="257" w:hanging="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注:1、此表应按</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须知的规定装订密封。</w:t>
      </w:r>
    </w:p>
    <w:p>
      <w:pPr>
        <w:pStyle w:val="11"/>
        <w:numPr>
          <w:ilvl w:val="0"/>
          <w:numId w:val="5"/>
        </w:numPr>
        <w:tabs>
          <w:tab w:val="left" w:pos="5580"/>
        </w:tabs>
        <w:spacing w:line="240" w:lineRule="atLeast"/>
        <w:ind w:left="1079" w:leftChars="428" w:hanging="180" w:hangingChars="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此表中，每包的投标总价应和投标分项报价表的总价相一致。</w:t>
      </w:r>
    </w:p>
    <w:p>
      <w:pPr>
        <w:pStyle w:val="11"/>
        <w:numPr>
          <w:ilvl w:val="0"/>
          <w:numId w:val="5"/>
        </w:numPr>
        <w:tabs>
          <w:tab w:val="left" w:pos="5580"/>
        </w:tabs>
        <w:spacing w:line="240" w:lineRule="atLeast"/>
        <w:ind w:left="1079" w:leftChars="428" w:hanging="180" w:hangingChars="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此报价中包含运费、安装调试等杂费。</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bookmarkEnd w:id="221"/>
      <w:bookmarkStart w:id="226" w:name="_Toc31862"/>
    </w:p>
    <w:p>
      <w:pPr>
        <w:rPr>
          <w:rFonts w:hint="eastAsia" w:ascii="宋体" w:hAnsi="宋体" w:eastAsia="宋体" w:cs="宋体"/>
          <w:color w:val="auto"/>
          <w:sz w:val="24"/>
          <w:szCs w:val="24"/>
          <w:highlight w:val="none"/>
        </w:rPr>
      </w:pPr>
    </w:p>
    <w:bookmarkEnd w:id="226"/>
    <w:p>
      <w:pPr>
        <w:bidi w:val="0"/>
        <w:rPr>
          <w:rFonts w:hint="eastAsia" w:ascii="宋体" w:hAnsi="宋体" w:eastAsia="宋体" w:cs="宋体"/>
          <w:color w:val="auto"/>
          <w:sz w:val="24"/>
          <w:szCs w:val="24"/>
          <w:highlight w:val="none"/>
          <w:lang w:val="en-US" w:eastAsia="zh-CN"/>
        </w:rPr>
      </w:pPr>
    </w:p>
    <w:p>
      <w:pPr>
        <w:pStyle w:val="19"/>
        <w:spacing w:line="400" w:lineRule="exact"/>
        <w:ind w:left="0" w:leftChars="0" w:firstLine="482" w:firstLineChars="200"/>
        <w:outlineLvl w:val="1"/>
        <w:rPr>
          <w:rFonts w:hint="eastAsia" w:ascii="宋体" w:hAnsi="宋体" w:eastAsia="宋体" w:cs="宋体"/>
          <w:b/>
          <w:color w:val="auto"/>
          <w:kern w:val="0"/>
          <w:sz w:val="24"/>
          <w:szCs w:val="24"/>
          <w:highlight w:val="none"/>
          <w:lang w:val="en-US" w:eastAsia="zh-CN" w:bidi="ar-SA"/>
        </w:rPr>
      </w:pPr>
      <w:bookmarkStart w:id="227" w:name="_Toc8331"/>
      <w:bookmarkStart w:id="228" w:name="_Toc26792"/>
      <w:bookmarkStart w:id="229" w:name="_Toc25937"/>
      <w:r>
        <w:rPr>
          <w:rFonts w:hint="eastAsia" w:ascii="宋体" w:hAnsi="宋体" w:eastAsia="宋体" w:cs="宋体"/>
          <w:b/>
          <w:color w:val="auto"/>
          <w:kern w:val="0"/>
          <w:sz w:val="24"/>
          <w:szCs w:val="24"/>
          <w:highlight w:val="none"/>
          <w:lang w:val="en-US" w:eastAsia="zh-CN" w:bidi="ar-SA"/>
        </w:rPr>
        <w:t>2.</w:t>
      </w:r>
      <w:bookmarkEnd w:id="227"/>
      <w:bookmarkEnd w:id="228"/>
      <w:r>
        <w:rPr>
          <w:rFonts w:hint="eastAsia" w:ascii="宋体" w:hAnsi="宋体" w:eastAsia="宋体" w:cs="宋体"/>
          <w:b/>
          <w:color w:val="auto"/>
          <w:kern w:val="0"/>
          <w:sz w:val="24"/>
          <w:szCs w:val="24"/>
          <w:highlight w:val="none"/>
          <w:lang w:val="en-US" w:eastAsia="zh-CN" w:bidi="ar-SA"/>
        </w:rPr>
        <w:t>具有有效的独立法人营业执照；</w:t>
      </w:r>
      <w:bookmarkEnd w:id="229"/>
    </w:p>
    <w:p>
      <w:pPr>
        <w:pStyle w:val="19"/>
        <w:spacing w:line="400" w:lineRule="exact"/>
        <w:rPr>
          <w:rFonts w:hint="eastAsia" w:ascii="宋体" w:hAnsi="宋体" w:eastAsia="宋体" w:cs="宋体"/>
          <w:b/>
          <w:color w:val="auto"/>
          <w:kern w:val="0"/>
          <w:sz w:val="24"/>
          <w:szCs w:val="24"/>
          <w:highlight w:val="none"/>
          <w:lang w:val="en-US" w:eastAsia="zh-CN" w:bidi="ar-SA"/>
        </w:rPr>
      </w:pPr>
    </w:p>
    <w:p>
      <w:pPr>
        <w:pStyle w:val="19"/>
        <w:spacing w:line="400" w:lineRule="exact"/>
        <w:rPr>
          <w:rFonts w:hint="eastAsia" w:ascii="宋体" w:hAnsi="宋体" w:eastAsia="宋体" w:cs="宋体"/>
          <w:b/>
          <w:color w:val="auto"/>
          <w:kern w:val="0"/>
          <w:sz w:val="24"/>
          <w:szCs w:val="24"/>
          <w:highlight w:val="none"/>
          <w:lang w:val="en-US" w:eastAsia="zh-CN" w:bidi="ar-SA"/>
        </w:rPr>
      </w:pPr>
    </w:p>
    <w:p>
      <w:pPr>
        <w:pStyle w:val="19"/>
        <w:spacing w:line="400" w:lineRule="exact"/>
        <w:rPr>
          <w:rFonts w:hint="eastAsia" w:ascii="宋体" w:hAnsi="宋体" w:eastAsia="宋体" w:cs="宋体"/>
          <w:b/>
          <w:color w:val="auto"/>
          <w:kern w:val="0"/>
          <w:sz w:val="24"/>
          <w:szCs w:val="24"/>
          <w:highlight w:val="none"/>
          <w:lang w:val="en-US" w:eastAsia="zh-CN" w:bidi="ar-SA"/>
        </w:rPr>
      </w:pPr>
    </w:p>
    <w:p>
      <w:pPr>
        <w:bidi w:val="0"/>
        <w:rPr>
          <w:rFonts w:hint="eastAsia" w:ascii="宋体" w:hAnsi="宋体" w:eastAsia="宋体" w:cs="宋体"/>
          <w:color w:val="auto"/>
          <w:sz w:val="24"/>
          <w:szCs w:val="24"/>
          <w:highlight w:val="none"/>
          <w:lang w:val="en-US" w:eastAsia="zh-CN"/>
        </w:rPr>
      </w:pPr>
    </w:p>
    <w:p>
      <w:pPr>
        <w:pStyle w:val="19"/>
        <w:spacing w:line="400" w:lineRule="exact"/>
        <w:outlineLvl w:val="1"/>
        <w:rPr>
          <w:rFonts w:hint="eastAsia" w:ascii="宋体" w:hAnsi="宋体" w:eastAsia="宋体" w:cs="宋体"/>
          <w:b/>
          <w:color w:val="auto"/>
          <w:kern w:val="0"/>
          <w:sz w:val="24"/>
          <w:szCs w:val="24"/>
          <w:highlight w:val="none"/>
          <w:lang w:val="en-US" w:eastAsia="zh-CN" w:bidi="ar-SA"/>
        </w:rPr>
      </w:pPr>
      <w:bookmarkStart w:id="230" w:name="_Toc19946"/>
      <w:bookmarkStart w:id="231" w:name="_Toc25803"/>
      <w:bookmarkStart w:id="232" w:name="_Toc24618"/>
      <w:r>
        <w:rPr>
          <w:rFonts w:hint="eastAsia" w:ascii="宋体" w:hAnsi="宋体" w:eastAsia="宋体" w:cs="宋体"/>
          <w:b/>
          <w:color w:val="auto"/>
          <w:kern w:val="0"/>
          <w:sz w:val="24"/>
          <w:szCs w:val="24"/>
          <w:highlight w:val="none"/>
          <w:lang w:val="en-US" w:eastAsia="zh-CN" w:bidi="ar-SA"/>
        </w:rPr>
        <w:t>3 .</w:t>
      </w:r>
      <w:bookmarkEnd w:id="230"/>
      <w:bookmarkEnd w:id="231"/>
      <w:r>
        <w:rPr>
          <w:rFonts w:hint="eastAsia" w:ascii="宋体" w:hAnsi="宋体" w:cs="宋体"/>
          <w:b/>
          <w:color w:val="auto"/>
          <w:kern w:val="0"/>
          <w:sz w:val="24"/>
          <w:szCs w:val="24"/>
          <w:highlight w:val="none"/>
          <w:lang w:val="en-US" w:eastAsia="zh-CN" w:bidi="ar-SA"/>
        </w:rPr>
        <w:t>提供有效的《医疗器械生产许可证》及《医疗器械经营许可证》（二类医疗器械须提供医疗器械备案凭证及医疗器械注册证）</w:t>
      </w:r>
      <w:r>
        <w:rPr>
          <w:rFonts w:hint="eastAsia" w:ascii="宋体" w:hAnsi="宋体" w:eastAsia="宋体" w:cs="宋体"/>
          <w:b/>
          <w:color w:val="auto"/>
          <w:kern w:val="0"/>
          <w:sz w:val="24"/>
          <w:szCs w:val="24"/>
          <w:highlight w:val="none"/>
          <w:lang w:val="en-US" w:eastAsia="zh-CN" w:bidi="ar-SA"/>
        </w:rPr>
        <w:t>；</w:t>
      </w:r>
      <w:bookmarkEnd w:id="232"/>
    </w:p>
    <w:p>
      <w:pPr>
        <w:bidi w:val="0"/>
        <w:rPr>
          <w:rFonts w:hint="eastAsia" w:ascii="宋体" w:hAnsi="宋体" w:eastAsia="宋体" w:cs="宋体"/>
          <w:color w:val="auto"/>
          <w:sz w:val="24"/>
          <w:szCs w:val="24"/>
          <w:highlight w:val="none"/>
          <w:lang w:val="en-US" w:eastAsia="zh-CN"/>
        </w:rPr>
      </w:pPr>
    </w:p>
    <w:p>
      <w:pPr>
        <w:pStyle w:val="19"/>
        <w:rPr>
          <w:rFonts w:hint="eastAsia" w:ascii="宋体" w:hAnsi="宋体" w:eastAsia="宋体" w:cs="宋体"/>
          <w:color w:val="auto"/>
          <w:sz w:val="24"/>
          <w:szCs w:val="24"/>
          <w:highlight w:val="none"/>
          <w:lang w:val="en-US" w:eastAsia="zh-CN"/>
        </w:rPr>
      </w:pPr>
    </w:p>
    <w:p>
      <w:pPr>
        <w:pStyle w:val="19"/>
        <w:rPr>
          <w:rFonts w:hint="eastAsia" w:ascii="宋体" w:hAnsi="宋体" w:eastAsia="宋体" w:cs="宋体"/>
          <w:color w:val="auto"/>
          <w:sz w:val="24"/>
          <w:szCs w:val="24"/>
          <w:highlight w:val="none"/>
          <w:lang w:val="en-US" w:eastAsia="zh-CN"/>
        </w:rPr>
      </w:pPr>
    </w:p>
    <w:p>
      <w:pPr>
        <w:pStyle w:val="19"/>
        <w:rPr>
          <w:rFonts w:hint="eastAsia" w:ascii="宋体" w:hAnsi="宋体" w:eastAsia="宋体" w:cs="宋体"/>
          <w:color w:val="auto"/>
          <w:sz w:val="24"/>
          <w:szCs w:val="24"/>
          <w:highlight w:val="none"/>
          <w:lang w:val="en-US" w:eastAsia="zh-CN"/>
        </w:rPr>
      </w:pPr>
    </w:p>
    <w:p>
      <w:pPr>
        <w:pStyle w:val="19"/>
        <w:rPr>
          <w:rFonts w:hint="eastAsia" w:ascii="宋体" w:hAnsi="宋体" w:eastAsia="宋体" w:cs="宋体"/>
          <w:color w:val="auto"/>
          <w:sz w:val="24"/>
          <w:szCs w:val="24"/>
          <w:highlight w:val="none"/>
          <w:lang w:val="en-US" w:eastAsia="zh-CN"/>
        </w:rPr>
      </w:pPr>
    </w:p>
    <w:p>
      <w:pPr>
        <w:pStyle w:val="19"/>
        <w:rPr>
          <w:rFonts w:hint="eastAsia" w:ascii="宋体" w:hAnsi="宋体" w:eastAsia="宋体" w:cs="宋体"/>
          <w:color w:val="auto"/>
          <w:sz w:val="24"/>
          <w:szCs w:val="24"/>
          <w:highlight w:val="none"/>
          <w:lang w:val="en-US" w:eastAsia="zh-CN"/>
        </w:rPr>
      </w:pPr>
    </w:p>
    <w:p>
      <w:pPr>
        <w:pStyle w:val="19"/>
        <w:rPr>
          <w:rFonts w:hint="eastAsia" w:ascii="宋体" w:hAnsi="宋体" w:eastAsia="宋体" w:cs="宋体"/>
          <w:color w:val="auto"/>
          <w:sz w:val="24"/>
          <w:szCs w:val="24"/>
          <w:highlight w:val="none"/>
          <w:lang w:val="en-US" w:eastAsia="zh-CN"/>
        </w:rPr>
      </w:pPr>
    </w:p>
    <w:p>
      <w:pPr>
        <w:pageBreakBefore w:val="0"/>
        <w:widowControl w:val="0"/>
        <w:kinsoku/>
        <w:wordWrap/>
        <w:overflowPunct/>
        <w:topLinePunct w:val="0"/>
        <w:bidi w:val="0"/>
        <w:snapToGrid/>
        <w:spacing w:line="400" w:lineRule="exact"/>
        <w:ind w:left="0" w:leftChars="0" w:firstLine="482" w:firstLineChars="200"/>
        <w:textAlignment w:val="auto"/>
        <w:outlineLvl w:val="1"/>
        <w:rPr>
          <w:rFonts w:hint="eastAsia" w:ascii="宋体" w:hAnsi="宋体" w:eastAsia="宋体" w:cs="宋体"/>
          <w:b/>
          <w:color w:val="auto"/>
          <w:kern w:val="0"/>
          <w:sz w:val="24"/>
          <w:szCs w:val="24"/>
          <w:highlight w:val="none"/>
          <w:lang w:val="en-US" w:eastAsia="zh-CN" w:bidi="ar-SA"/>
        </w:rPr>
      </w:pPr>
      <w:bookmarkStart w:id="233" w:name="_Toc10025"/>
      <w:bookmarkStart w:id="234" w:name="_Toc17228"/>
      <w:bookmarkStart w:id="235" w:name="_Toc11184"/>
      <w:r>
        <w:rPr>
          <w:rFonts w:hint="eastAsia" w:ascii="宋体" w:hAnsi="宋体" w:eastAsia="宋体" w:cs="宋体"/>
          <w:b/>
          <w:color w:val="auto"/>
          <w:kern w:val="0"/>
          <w:sz w:val="24"/>
          <w:szCs w:val="24"/>
          <w:highlight w:val="none"/>
          <w:lang w:val="en-US" w:eastAsia="zh-CN" w:bidi="ar-SA"/>
        </w:rPr>
        <w:t>4.</w:t>
      </w:r>
      <w:bookmarkEnd w:id="233"/>
      <w:bookmarkEnd w:id="234"/>
      <w:r>
        <w:rPr>
          <w:rFonts w:hint="eastAsia" w:ascii="宋体" w:hAnsi="宋体" w:eastAsia="宋体" w:cs="宋体"/>
          <w:b/>
          <w:color w:val="auto"/>
          <w:kern w:val="0"/>
          <w:sz w:val="24"/>
          <w:szCs w:val="24"/>
          <w:highlight w:val="none"/>
          <w:lang w:val="en-US" w:eastAsia="zh-CN" w:bidi="ar-SA"/>
        </w:rPr>
        <w:t>法人代表身份证明及授权书、被授权人身份证；(法人投标需提供法人身份证复印件)；</w:t>
      </w:r>
      <w:bookmarkEnd w:id="235"/>
    </w:p>
    <w:p>
      <w:pPr>
        <w:adjustRightInd w:val="0"/>
        <w:snapToGrid w:val="0"/>
        <w:spacing w:before="240" w:beforeLines="100" w:after="240" w:afterLines="100" w:line="360" w:lineRule="auto"/>
        <w:jc w:val="center"/>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（一）法定代表人身份证明</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同志，现任我单位</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职务，为法定代表人，特此证明。</w:t>
      </w:r>
    </w:p>
    <w:p>
      <w:pPr>
        <w:spacing w:line="360" w:lineRule="auto"/>
        <w:ind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签发日期：                  单位：        </w:t>
      </w:r>
    </w:p>
    <w:p>
      <w:pPr>
        <w:spacing w:line="360" w:lineRule="auto"/>
        <w:ind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附：代表人性别：            年龄：           身份证号码：</w:t>
      </w:r>
    </w:p>
    <w:p>
      <w:pPr>
        <w:spacing w:line="360" w:lineRule="auto"/>
        <w:ind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联系电话：</w:t>
      </w:r>
    </w:p>
    <w:p>
      <w:pPr>
        <w:spacing w:line="360" w:lineRule="auto"/>
        <w:ind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营业执照号码：              经济性质：</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说明：</w:t>
      </w:r>
    </w:p>
    <w:p>
      <w:pPr>
        <w:spacing w:line="360" w:lineRule="auto"/>
        <w:ind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1、法定代表人为企业事业单位、国家机关、社会团体的主要行政负责人。</w:t>
      </w:r>
    </w:p>
    <w:p>
      <w:pPr>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 xml:space="preserve">  </w:t>
      </w:r>
      <w:r>
        <w:rPr>
          <w:rFonts w:hint="eastAsia" w:ascii="宋体" w:hAnsi="宋体" w:eastAsia="宋体" w:cs="宋体"/>
          <w:b/>
          <w:bCs/>
          <w:color w:val="auto"/>
          <w:sz w:val="24"/>
          <w:szCs w:val="24"/>
          <w:highlight w:val="none"/>
        </w:rPr>
        <w:t>2、</w:t>
      </w:r>
      <w:r>
        <w:rPr>
          <w:rFonts w:hint="eastAsia" w:ascii="宋体" w:hAnsi="宋体" w:eastAsia="宋体" w:cs="宋体"/>
          <w:b/>
          <w:bCs/>
          <w:color w:val="auto"/>
          <w:sz w:val="24"/>
          <w:szCs w:val="24"/>
          <w:highlight w:val="none"/>
          <w:lang w:val="en-US" w:eastAsia="zh-CN"/>
        </w:rPr>
        <w:t>提供身份证正反面。</w:t>
      </w:r>
    </w:p>
    <w:p>
      <w:pPr>
        <w:spacing w:line="360" w:lineRule="auto"/>
        <w:ind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内容必须填写真实、清楚、涂改无效，不得转让。</w:t>
      </w:r>
    </w:p>
    <w:p>
      <w:pPr>
        <w:spacing w:line="360" w:lineRule="auto"/>
        <w:ind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、将此证明书原件提交采购代理机构作为投标文件附件。</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(为避免废标，请</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务必提供本附件)</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mc:AlternateContent>
          <mc:Choice Requires="wps">
            <w:drawing>
              <wp:anchor distT="0" distB="0" distL="114300" distR="114300" simplePos="0" relativeHeight="251659264" behindDoc="0" locked="0" layoutInCell="1" allowOverlap="1">
                <wp:simplePos x="0" y="0"/>
                <wp:positionH relativeFrom="column">
                  <wp:posOffset>154305</wp:posOffset>
                </wp:positionH>
                <wp:positionV relativeFrom="paragraph">
                  <wp:posOffset>10795</wp:posOffset>
                </wp:positionV>
                <wp:extent cx="2333625" cy="1584325"/>
                <wp:effectExtent l="4445" t="4445" r="5080" b="11430"/>
                <wp:wrapNone/>
                <wp:docPr id="14" name="流程图: 可选过程 14"/>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szCs w:val="21"/>
                              </w:rPr>
                            </w:pPr>
                            <w:r>
                              <w:rPr>
                                <w:rFonts w:hint="eastAsia" w:hAnsi="宋体"/>
                                <w:szCs w:val="21"/>
                              </w:rPr>
                              <w:t>法定代表人身份证复印件</w:t>
                            </w:r>
                          </w:p>
                        </w:txbxContent>
                      </wps:txbx>
                      <wps:bodyPr wrap="square" upright="1"/>
                    </wps:wsp>
                  </a:graphicData>
                </a:graphic>
              </wp:anchor>
            </w:drawing>
          </mc:Choice>
          <mc:Fallback>
            <w:pict>
              <v:shape id="_x0000_s1026" o:spid="_x0000_s1026" o:spt="176" type="#_x0000_t176" style="position:absolute;left:0pt;margin-left:12.15pt;margin-top:0.85pt;height:124.75pt;width:183.75pt;z-index:251659264;mso-width-relative:page;mso-height-relative:page;" fillcolor="#FFFFFF" filled="t" stroked="t" coordsize="21600,21600" o:gfxdata="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eVk69dYAAAAIAQAADwAAAAAAAAABACAAAAAiAAAAZHJzL2Rvd25y&#10;ZXYueG1sUEsBAhQAFAAAAAgAh07iQJu9VN85AgAAbgQAAA4AAAAAAAAAAQAgAAAAJQEAAGRycy9l&#10;Mm9Eb2MueG1sUEsFBgAAAAAGAAYAWQEAANAFAAAAAA==&#10;">
                <v:fill on="t" focussize="0,0"/>
                <v:stroke color="#000000"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szCs w:val="21"/>
                        </w:rPr>
                      </w:pPr>
                      <w:r>
                        <w:rPr>
                          <w:rFonts w:hint="eastAsia" w:hAnsi="宋体"/>
                          <w:szCs w:val="21"/>
                        </w:rPr>
                        <w:t>法定代表人身份证复印件</w:t>
                      </w:r>
                    </w:p>
                  </w:txbxContent>
                </v:textbox>
              </v:shape>
            </w:pict>
          </mc:Fallback>
        </mc:AlternateContent>
      </w:r>
      <w:r>
        <w:rPr>
          <w:rFonts w:hint="eastAsia" w:ascii="宋体" w:hAnsi="宋体" w:eastAsia="宋体" w:cs="宋体"/>
          <w:color w:val="auto"/>
          <w:sz w:val="24"/>
          <w:szCs w:val="24"/>
          <w:highlight w:val="none"/>
        </w:rPr>
        <mc:AlternateContent>
          <mc:Choice Requires="wps">
            <w:drawing>
              <wp:anchor distT="0" distB="0" distL="114300" distR="114300" simplePos="0" relativeHeight="251660288" behindDoc="0" locked="0" layoutInCell="1" allowOverlap="1">
                <wp:simplePos x="0" y="0"/>
                <wp:positionH relativeFrom="column">
                  <wp:posOffset>2918460</wp:posOffset>
                </wp:positionH>
                <wp:positionV relativeFrom="paragraph">
                  <wp:posOffset>28575</wp:posOffset>
                </wp:positionV>
                <wp:extent cx="2609850" cy="1557020"/>
                <wp:effectExtent l="7620" t="7620" r="11430" b="16510"/>
                <wp:wrapNone/>
                <wp:docPr id="15" name="圆角矩形 15"/>
                <wp:cNvGraphicFramePr/>
                <a:graphic xmlns:a="http://schemas.openxmlformats.org/drawingml/2006/main">
                  <a:graphicData uri="http://schemas.microsoft.com/office/word/2010/wordprocessingShape">
                    <wps:wsp>
                      <wps:cNvSpPr/>
                      <wps:spPr>
                        <a:xfrm>
                          <a:off x="0" y="0"/>
                          <a:ext cx="2609850" cy="1557020"/>
                        </a:xfrm>
                        <a:prstGeom prst="roundRect">
                          <a:avLst>
                            <a:gd name="adj" fmla="val 16667"/>
                          </a:avLst>
                        </a:prstGeom>
                        <a:solidFill>
                          <a:srgbClr val="FFFFFF"/>
                        </a:solidFill>
                        <a:ln w="15875" cap="flat" cmpd="sng">
                          <a:solidFill>
                            <a:srgbClr val="808080"/>
                          </a:solidFill>
                          <a:prstDash val="solid"/>
                          <a:headEnd type="none" w="med" len="med"/>
                          <a:tailEnd type="none" w="med" len="med"/>
                        </a:ln>
                        <a:effectLst/>
                      </wps:spPr>
                      <wps:txbx>
                        <w:txbxContent>
                          <w:p>
                            <w:pPr>
                              <w:jc w:val="center"/>
                              <w:rPr>
                                <w:rFonts w:hAnsi="宋体"/>
                                <w:szCs w:val="21"/>
                              </w:rPr>
                            </w:pPr>
                            <w:r>
                              <w:rPr>
                                <w:rFonts w:hint="eastAsia" w:hAnsi="宋体"/>
                                <w:szCs w:val="21"/>
                              </w:rPr>
                              <w:t xml:space="preserve">  </w:t>
                            </w:r>
                          </w:p>
                          <w:p>
                            <w:pPr>
                              <w:jc w:val="center"/>
                              <w:rPr>
                                <w:rFonts w:hAnsi="宋体"/>
                                <w:szCs w:val="21"/>
                              </w:rPr>
                            </w:pPr>
                          </w:p>
                          <w:p>
                            <w:pPr>
                              <w:jc w:val="center"/>
                              <w:rPr>
                                <w:rFonts w:hAnsi="宋体"/>
                                <w:szCs w:val="21"/>
                              </w:rPr>
                            </w:pPr>
                          </w:p>
                          <w:p>
                            <w:pPr>
                              <w:jc w:val="center"/>
                              <w:rPr>
                                <w:szCs w:val="21"/>
                              </w:rPr>
                            </w:pPr>
                            <w:r>
                              <w:rPr>
                                <w:rFonts w:hint="eastAsia" w:hAnsi="宋体"/>
                                <w:szCs w:val="21"/>
                              </w:rPr>
                              <w:t>法定代表人身份证复印件</w:t>
                            </w:r>
                          </w:p>
                          <w:p/>
                          <w:p>
                            <w:pPr>
                              <w:pStyle w:val="6"/>
                            </w:pPr>
                          </w:p>
                          <w:p>
                            <w:pPr>
                              <w:pStyle w:val="6"/>
                            </w:pPr>
                          </w:p>
                          <w:p>
                            <w:pPr>
                              <w:pStyle w:val="6"/>
                            </w:pPr>
                          </w:p>
                          <w:p>
                            <w:pPr>
                              <w:pStyle w:val="6"/>
                            </w:pPr>
                          </w:p>
                        </w:txbxContent>
                      </wps:txbx>
                      <wps:bodyPr wrap="square" upright="1"/>
                    </wps:wsp>
                  </a:graphicData>
                </a:graphic>
              </wp:anchor>
            </w:drawing>
          </mc:Choice>
          <mc:Fallback>
            <w:pict>
              <v:roundrect id="_x0000_s1026" o:spid="_x0000_s1026" o:spt="2" style="position:absolute;left:0pt;margin-left:229.8pt;margin-top:2.25pt;height:122.6pt;width:205.5pt;z-index:251660288;mso-width-relative:page;mso-height-relative:page;" fillcolor="#FFFFFF" filled="t" stroked="t" coordsize="21600,21600" arcsize="0.166666666666667" o:gfxdata="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I8vY1/aAAAACQEAAA8AAAAAAAAAAQAgAAAAIgAAAGRycy9kb3du&#10;cmV2LnhtbFBLAQIUABQAAAAIAIdO4kAI6kVeNgIAAHYEAAAOAAAAAAAAAAEAIAAAACkBAABkcnMv&#10;ZTJvRG9jLnhtbFBLBQYAAAAABgAGAFkBAADRBQAAAAA=&#10;">
                <v:fill on="t" focussize="0,0"/>
                <v:stroke weight="1.25pt" color="#808080" joinstyle="round"/>
                <v:imagedata o:title=""/>
                <o:lock v:ext="edit" aspectratio="f"/>
                <v:textbox>
                  <w:txbxContent>
                    <w:p>
                      <w:pPr>
                        <w:jc w:val="center"/>
                        <w:rPr>
                          <w:rFonts w:hAnsi="宋体"/>
                          <w:szCs w:val="21"/>
                        </w:rPr>
                      </w:pPr>
                      <w:r>
                        <w:rPr>
                          <w:rFonts w:hint="eastAsia" w:hAnsi="宋体"/>
                          <w:szCs w:val="21"/>
                        </w:rPr>
                        <w:t xml:space="preserve">  </w:t>
                      </w:r>
                    </w:p>
                    <w:p>
                      <w:pPr>
                        <w:jc w:val="center"/>
                        <w:rPr>
                          <w:rFonts w:hAnsi="宋体"/>
                          <w:szCs w:val="21"/>
                        </w:rPr>
                      </w:pPr>
                    </w:p>
                    <w:p>
                      <w:pPr>
                        <w:jc w:val="center"/>
                        <w:rPr>
                          <w:rFonts w:hAnsi="宋体"/>
                          <w:szCs w:val="21"/>
                        </w:rPr>
                      </w:pPr>
                    </w:p>
                    <w:p>
                      <w:pPr>
                        <w:jc w:val="center"/>
                        <w:rPr>
                          <w:szCs w:val="21"/>
                        </w:rPr>
                      </w:pPr>
                      <w:r>
                        <w:rPr>
                          <w:rFonts w:hint="eastAsia" w:hAnsi="宋体"/>
                          <w:szCs w:val="21"/>
                        </w:rPr>
                        <w:t>法定代表人身份证复印件</w:t>
                      </w:r>
                    </w:p>
                    <w:p/>
                    <w:p>
                      <w:pPr>
                        <w:pStyle w:val="6"/>
                      </w:pPr>
                    </w:p>
                    <w:p>
                      <w:pPr>
                        <w:pStyle w:val="6"/>
                      </w:pPr>
                    </w:p>
                    <w:p>
                      <w:pPr>
                        <w:pStyle w:val="6"/>
                      </w:pPr>
                    </w:p>
                    <w:p>
                      <w:pPr>
                        <w:pStyle w:val="6"/>
                      </w:pPr>
                    </w:p>
                  </w:txbxContent>
                </v:textbox>
              </v:roundrect>
            </w:pict>
          </mc:Fallback>
        </mc:AlternateContent>
      </w:r>
    </w:p>
    <w:p>
      <w:pPr>
        <w:spacing w:line="360" w:lineRule="auto"/>
        <w:rPr>
          <w:rFonts w:hint="eastAsia" w:ascii="宋体" w:hAnsi="宋体" w:eastAsia="宋体" w:cs="宋体"/>
          <w:color w:val="auto"/>
          <w:sz w:val="24"/>
          <w:szCs w:val="24"/>
          <w:highlight w:val="none"/>
        </w:rPr>
      </w:pPr>
    </w:p>
    <w:p>
      <w:pPr>
        <w:spacing w:line="360" w:lineRule="auto"/>
        <w:rPr>
          <w:rFonts w:hint="eastAsia" w:ascii="宋体" w:hAnsi="宋体" w:eastAsia="宋体" w:cs="宋体"/>
          <w:color w:val="auto"/>
          <w:sz w:val="24"/>
          <w:szCs w:val="24"/>
          <w:highlight w:val="none"/>
        </w:rPr>
      </w:pPr>
    </w:p>
    <w:p>
      <w:pPr>
        <w:tabs>
          <w:tab w:val="left" w:pos="654"/>
          <w:tab w:val="left" w:pos="1734"/>
          <w:tab w:val="left" w:pos="2814"/>
          <w:tab w:val="left" w:pos="3894"/>
          <w:tab w:val="left" w:pos="5334"/>
          <w:tab w:val="left" w:pos="6414"/>
          <w:tab w:val="left" w:pos="7254"/>
          <w:tab w:val="left" w:pos="8574"/>
          <w:tab w:val="left" w:pos="9654"/>
        </w:tabs>
        <w:spacing w:line="360" w:lineRule="auto"/>
        <w:rPr>
          <w:rFonts w:hint="eastAsia" w:ascii="宋体" w:hAnsi="宋体" w:eastAsia="宋体" w:cs="宋体"/>
          <w:color w:val="auto"/>
          <w:sz w:val="24"/>
          <w:szCs w:val="24"/>
          <w:highlight w:val="none"/>
        </w:rPr>
      </w:pPr>
    </w:p>
    <w:p>
      <w:pPr>
        <w:autoSpaceDE w:val="0"/>
        <w:autoSpaceDN w:val="0"/>
        <w:adjustRightInd w:val="0"/>
        <w:spacing w:line="360" w:lineRule="auto"/>
        <w:ind w:right="246"/>
        <w:rPr>
          <w:rFonts w:hint="eastAsia" w:ascii="宋体" w:hAnsi="宋体" w:eastAsia="宋体" w:cs="宋体"/>
          <w:color w:val="auto"/>
          <w:kern w:val="0"/>
          <w:sz w:val="24"/>
          <w:szCs w:val="24"/>
          <w:highlight w:val="none"/>
        </w:rPr>
      </w:pPr>
    </w:p>
    <w:p>
      <w:pPr>
        <w:autoSpaceDE w:val="0"/>
        <w:autoSpaceDN w:val="0"/>
        <w:adjustRightInd w:val="0"/>
        <w:spacing w:line="360" w:lineRule="auto"/>
        <w:ind w:right="246"/>
        <w:rPr>
          <w:rFonts w:hint="eastAsia" w:ascii="宋体" w:hAnsi="宋体" w:eastAsia="宋体" w:cs="宋体"/>
          <w:color w:val="auto"/>
          <w:kern w:val="0"/>
          <w:sz w:val="24"/>
          <w:szCs w:val="24"/>
          <w:highlight w:val="none"/>
        </w:rPr>
      </w:pPr>
    </w:p>
    <w:p>
      <w:pPr>
        <w:autoSpaceDE w:val="0"/>
        <w:autoSpaceDN w:val="0"/>
        <w:adjustRightInd w:val="0"/>
        <w:spacing w:line="360" w:lineRule="auto"/>
        <w:ind w:right="246" w:firstLine="784" w:firstLineChars="327"/>
        <w:rPr>
          <w:rFonts w:hint="eastAsia" w:ascii="宋体" w:hAnsi="宋体" w:eastAsia="宋体" w:cs="宋体"/>
          <w:color w:val="auto"/>
          <w:kern w:val="0"/>
          <w:sz w:val="24"/>
          <w:szCs w:val="24"/>
          <w:highlight w:val="none"/>
        </w:rPr>
      </w:pPr>
    </w:p>
    <w:p>
      <w:pPr>
        <w:autoSpaceDE w:val="0"/>
        <w:autoSpaceDN w:val="0"/>
        <w:adjustRightInd w:val="0"/>
        <w:spacing w:line="360" w:lineRule="auto"/>
        <w:ind w:right="246" w:firstLine="784" w:firstLineChars="327"/>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eastAsia="zh-CN"/>
        </w:rPr>
        <w:t>公</w:t>
      </w:r>
      <w:r>
        <w:rPr>
          <w:rFonts w:hint="eastAsia" w:ascii="宋体" w:hAnsi="宋体" w:eastAsia="宋体" w:cs="宋体"/>
          <w:color w:val="auto"/>
          <w:kern w:val="0"/>
          <w:sz w:val="24"/>
          <w:szCs w:val="24"/>
          <w:highlight w:val="none"/>
        </w:rPr>
        <w:t>章）：</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 xml:space="preserve"> </w:t>
      </w:r>
    </w:p>
    <w:p>
      <w:pPr>
        <w:adjustRightInd w:val="0"/>
        <w:snapToGrid w:val="0"/>
        <w:spacing w:line="360" w:lineRule="auto"/>
        <w:ind w:firstLine="784" w:firstLineChars="327"/>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法定代表人</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lang w:val="en-US" w:eastAsia="zh-CN"/>
        </w:rPr>
        <w:t>签/章</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w:t>
      </w:r>
      <w:r>
        <w:rPr>
          <w:rFonts w:hint="eastAsia" w:ascii="宋体" w:hAnsi="宋体" w:eastAsia="宋体" w:cs="宋体"/>
          <w:color w:val="auto"/>
          <w:sz w:val="24"/>
          <w:szCs w:val="24"/>
          <w:highlight w:val="none"/>
          <w:u w:val="single"/>
        </w:rPr>
        <w:t xml:space="preserve">                    </w:t>
      </w:r>
    </w:p>
    <w:p>
      <w:pPr>
        <w:adjustRightInd w:val="0"/>
        <w:snapToGrid w:val="0"/>
        <w:spacing w:line="360" w:lineRule="auto"/>
        <w:ind w:firstLine="784" w:firstLineChars="327"/>
        <w:rPr>
          <w:rFonts w:hint="eastAsia" w:ascii="宋体" w:hAnsi="宋体" w:eastAsia="宋体" w:cs="宋体"/>
          <w:b/>
          <w:bCs/>
          <w:color w:val="auto"/>
          <w:sz w:val="24"/>
          <w:szCs w:val="24"/>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bookmarkStart w:id="236" w:name="_Toc515647807"/>
      <w:bookmarkStart w:id="237" w:name="_Toc22472"/>
      <w:bookmarkStart w:id="238" w:name="_Toc1083"/>
    </w:p>
    <w:p>
      <w:pPr>
        <w:spacing w:line="360" w:lineRule="auto"/>
        <w:rPr>
          <w:rFonts w:hint="eastAsia" w:ascii="宋体" w:hAnsi="宋体" w:eastAsia="宋体" w:cs="宋体"/>
          <w:b/>
          <w:bCs/>
          <w:color w:val="auto"/>
          <w:sz w:val="24"/>
          <w:szCs w:val="24"/>
          <w:highlight w:val="none"/>
        </w:rPr>
      </w:pPr>
    </w:p>
    <w:p>
      <w:pPr>
        <w:spacing w:line="360" w:lineRule="auto"/>
        <w:rPr>
          <w:rFonts w:hint="eastAsia" w:ascii="宋体" w:hAnsi="宋体" w:eastAsia="宋体" w:cs="宋体"/>
          <w:b/>
          <w:bCs/>
          <w:color w:val="auto"/>
          <w:sz w:val="24"/>
          <w:szCs w:val="24"/>
          <w:highlight w:val="none"/>
        </w:rPr>
      </w:pPr>
    </w:p>
    <w:p>
      <w:pPr>
        <w:pStyle w:val="2"/>
        <w:rPr>
          <w:rFonts w:hint="eastAsia" w:ascii="宋体" w:hAnsi="宋体" w:eastAsia="宋体" w:cs="宋体"/>
          <w:b/>
          <w:bCs/>
          <w:color w:val="auto"/>
          <w:sz w:val="24"/>
          <w:szCs w:val="24"/>
          <w:highlight w:val="none"/>
        </w:rPr>
      </w:pPr>
    </w:p>
    <w:p>
      <w:pPr>
        <w:pStyle w:val="2"/>
        <w:rPr>
          <w:rFonts w:hint="eastAsia" w:ascii="宋体" w:hAnsi="宋体" w:eastAsia="宋体" w:cs="宋体"/>
          <w:b/>
          <w:bCs/>
          <w:color w:val="auto"/>
          <w:sz w:val="24"/>
          <w:szCs w:val="24"/>
          <w:highlight w:val="none"/>
        </w:rPr>
      </w:pPr>
    </w:p>
    <w:p>
      <w:pPr>
        <w:pStyle w:val="2"/>
        <w:rPr>
          <w:rFonts w:hint="eastAsia" w:ascii="宋体" w:hAnsi="宋体" w:eastAsia="宋体" w:cs="宋体"/>
          <w:b/>
          <w:bCs/>
          <w:color w:val="auto"/>
          <w:sz w:val="24"/>
          <w:szCs w:val="24"/>
          <w:highlight w:val="none"/>
        </w:rPr>
      </w:pPr>
    </w:p>
    <w:p>
      <w:pPr>
        <w:spacing w:line="360" w:lineRule="auto"/>
        <w:jc w:val="center"/>
        <w:rPr>
          <w:rFonts w:hint="eastAsia" w:ascii="宋体" w:hAnsi="宋体" w:eastAsia="宋体" w:cs="宋体"/>
          <w:b/>
          <w:bCs/>
          <w:color w:val="auto"/>
          <w:sz w:val="24"/>
          <w:szCs w:val="24"/>
          <w:highlight w:val="none"/>
          <w:u w:val="single"/>
        </w:rPr>
      </w:pPr>
      <w:r>
        <w:rPr>
          <w:rFonts w:hint="eastAsia" w:ascii="宋体" w:hAnsi="宋体" w:eastAsia="宋体" w:cs="宋体"/>
          <w:b/>
          <w:bCs/>
          <w:color w:val="auto"/>
          <w:sz w:val="24"/>
          <w:szCs w:val="24"/>
          <w:highlight w:val="none"/>
        </w:rPr>
        <w:t>（二）法定代表人授权委托书</w:t>
      </w:r>
      <w:bookmarkEnd w:id="236"/>
      <w:bookmarkEnd w:id="237"/>
      <w:bookmarkEnd w:id="238"/>
    </w:p>
    <w:p>
      <w:pPr>
        <w:pStyle w:val="11"/>
        <w:tabs>
          <w:tab w:val="left" w:pos="5580"/>
        </w:tabs>
        <w:spacing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本</w:t>
      </w:r>
      <w:r>
        <w:rPr>
          <w:rFonts w:hint="eastAsia" w:ascii="宋体" w:hAnsi="宋体" w:eastAsia="宋体" w:cs="宋体"/>
          <w:i w:val="0"/>
          <w:iCs w:val="0"/>
          <w:color w:val="auto"/>
          <w:sz w:val="24"/>
          <w:szCs w:val="24"/>
          <w:highlight w:val="none"/>
        </w:rPr>
        <w:t>授权书声明：注册于</w:t>
      </w:r>
      <w:r>
        <w:rPr>
          <w:rFonts w:hint="eastAsia" w:ascii="宋体" w:hAnsi="宋体" w:eastAsia="宋体" w:cs="宋体"/>
          <w:i w:val="0"/>
          <w:iCs w:val="0"/>
          <w:color w:val="auto"/>
          <w:sz w:val="24"/>
          <w:szCs w:val="24"/>
          <w:highlight w:val="none"/>
          <w:u w:val="single"/>
        </w:rPr>
        <w:t>（国家或地区的名称）</w:t>
      </w:r>
      <w:r>
        <w:rPr>
          <w:rFonts w:hint="eastAsia" w:ascii="宋体" w:hAnsi="宋体" w:eastAsia="宋体" w:cs="宋体"/>
          <w:i w:val="0"/>
          <w:iCs w:val="0"/>
          <w:color w:val="auto"/>
          <w:sz w:val="24"/>
          <w:szCs w:val="24"/>
          <w:highlight w:val="none"/>
        </w:rPr>
        <w:t>的（</w:t>
      </w:r>
      <w:r>
        <w:rPr>
          <w:rFonts w:hint="eastAsia" w:ascii="宋体" w:hAnsi="宋体" w:eastAsia="宋体" w:cs="宋体"/>
          <w:i w:val="0"/>
          <w:iCs w:val="0"/>
          <w:color w:val="auto"/>
          <w:sz w:val="24"/>
          <w:szCs w:val="24"/>
          <w:highlight w:val="none"/>
          <w:u w:val="single"/>
          <w:lang w:eastAsia="zh-CN"/>
        </w:rPr>
        <w:t>供应商</w:t>
      </w:r>
      <w:r>
        <w:rPr>
          <w:rFonts w:hint="eastAsia" w:ascii="宋体" w:hAnsi="宋体" w:eastAsia="宋体" w:cs="宋体"/>
          <w:i w:val="0"/>
          <w:iCs w:val="0"/>
          <w:color w:val="auto"/>
          <w:sz w:val="24"/>
          <w:szCs w:val="24"/>
          <w:highlight w:val="none"/>
        </w:rPr>
        <w:t>）的在下面签字的（</w:t>
      </w:r>
      <w:r>
        <w:rPr>
          <w:rFonts w:hint="eastAsia" w:ascii="宋体" w:hAnsi="宋体" w:eastAsia="宋体" w:cs="宋体"/>
          <w:i w:val="0"/>
          <w:iCs w:val="0"/>
          <w:color w:val="auto"/>
          <w:sz w:val="24"/>
          <w:szCs w:val="24"/>
          <w:highlight w:val="none"/>
          <w:u w:val="single"/>
        </w:rPr>
        <w:t>法人代表姓名、职务</w:t>
      </w:r>
      <w:r>
        <w:rPr>
          <w:rFonts w:hint="eastAsia" w:ascii="宋体" w:hAnsi="宋体" w:eastAsia="宋体" w:cs="宋体"/>
          <w:i w:val="0"/>
          <w:iCs w:val="0"/>
          <w:color w:val="auto"/>
          <w:sz w:val="24"/>
          <w:szCs w:val="24"/>
          <w:highlight w:val="none"/>
        </w:rPr>
        <w:t>）代表我单位授权（</w:t>
      </w:r>
      <w:r>
        <w:rPr>
          <w:rFonts w:hint="eastAsia" w:ascii="宋体" w:hAnsi="宋体" w:eastAsia="宋体" w:cs="宋体"/>
          <w:i w:val="0"/>
          <w:iCs w:val="0"/>
          <w:color w:val="auto"/>
          <w:sz w:val="24"/>
          <w:szCs w:val="24"/>
          <w:highlight w:val="none"/>
          <w:u w:val="single"/>
        </w:rPr>
        <w:t>单位名称</w:t>
      </w:r>
      <w:r>
        <w:rPr>
          <w:rFonts w:hint="eastAsia" w:ascii="宋体" w:hAnsi="宋体" w:eastAsia="宋体" w:cs="宋体"/>
          <w:i w:val="0"/>
          <w:iCs w:val="0"/>
          <w:color w:val="auto"/>
          <w:sz w:val="24"/>
          <w:szCs w:val="24"/>
          <w:highlight w:val="none"/>
        </w:rPr>
        <w:t>）的在下面签字的（</w:t>
      </w:r>
      <w:r>
        <w:rPr>
          <w:rFonts w:hint="eastAsia" w:ascii="宋体" w:hAnsi="宋体" w:eastAsia="宋体" w:cs="宋体"/>
          <w:i w:val="0"/>
          <w:iCs w:val="0"/>
          <w:color w:val="auto"/>
          <w:sz w:val="24"/>
          <w:szCs w:val="24"/>
          <w:highlight w:val="none"/>
          <w:u w:val="single"/>
        </w:rPr>
        <w:t>被授权人的姓名、职务</w:t>
      </w:r>
      <w:r>
        <w:rPr>
          <w:rFonts w:hint="eastAsia" w:ascii="宋体" w:hAnsi="宋体" w:eastAsia="宋体" w:cs="宋体"/>
          <w:i w:val="0"/>
          <w:iCs w:val="0"/>
          <w:color w:val="auto"/>
          <w:sz w:val="24"/>
          <w:szCs w:val="24"/>
          <w:highlight w:val="none"/>
        </w:rPr>
        <w:t>）为我单位的合法代理人，就（</w:t>
      </w:r>
      <w:r>
        <w:rPr>
          <w:rFonts w:hint="eastAsia" w:ascii="宋体" w:hAnsi="宋体" w:eastAsia="宋体" w:cs="宋体"/>
          <w:i w:val="0"/>
          <w:iCs w:val="0"/>
          <w:color w:val="auto"/>
          <w:sz w:val="24"/>
          <w:szCs w:val="24"/>
          <w:highlight w:val="none"/>
          <w:u w:val="single"/>
        </w:rPr>
        <w:t>项目名称</w:t>
      </w:r>
      <w:r>
        <w:rPr>
          <w:rFonts w:hint="eastAsia" w:ascii="宋体" w:hAnsi="宋体" w:eastAsia="宋体" w:cs="宋体"/>
          <w:i w:val="0"/>
          <w:iCs w:val="0"/>
          <w:color w:val="auto"/>
          <w:sz w:val="24"/>
          <w:szCs w:val="24"/>
          <w:highlight w:val="none"/>
        </w:rPr>
        <w:t>）的投标，以我单位名义处理一切与之有关的事</w:t>
      </w:r>
      <w:r>
        <w:rPr>
          <w:rFonts w:hint="eastAsia" w:ascii="宋体" w:hAnsi="宋体" w:eastAsia="宋体" w:cs="宋体"/>
          <w:color w:val="auto"/>
          <w:sz w:val="24"/>
          <w:szCs w:val="24"/>
          <w:highlight w:val="none"/>
        </w:rPr>
        <w:t>务。</w:t>
      </w:r>
      <w:r>
        <w:rPr>
          <w:rFonts w:hint="eastAsia" w:ascii="宋体" w:hAnsi="宋体" w:eastAsia="宋体" w:cs="宋体"/>
          <w:color w:val="auto"/>
          <w:sz w:val="24"/>
          <w:szCs w:val="24"/>
          <w:highlight w:val="none"/>
        </w:rPr>
        <w:cr/>
      </w:r>
      <w:r>
        <w:rPr>
          <w:rFonts w:hint="eastAsia" w:ascii="宋体" w:hAnsi="宋体" w:eastAsia="宋体" w:cs="宋体"/>
          <w:color w:val="auto"/>
          <w:sz w:val="24"/>
          <w:szCs w:val="24"/>
          <w:highlight w:val="none"/>
        </w:rPr>
        <w:t>　　</w:t>
      </w:r>
    </w:p>
    <w:p>
      <w:pPr>
        <w:pStyle w:val="11"/>
        <w:tabs>
          <w:tab w:val="left" w:pos="5580"/>
        </w:tabs>
        <w:spacing w:line="360" w:lineRule="exact"/>
        <w:ind w:left="-540" w:leftChars="-257" w:firstLine="900" w:firstLine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本授权书于</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日签字生效,特此声明。</w:t>
      </w:r>
    </w:p>
    <w:p>
      <w:pPr>
        <w:pStyle w:val="11"/>
        <w:tabs>
          <w:tab w:val="left" w:pos="5580"/>
        </w:tabs>
        <w:spacing w:line="240" w:lineRule="atLeast"/>
        <w:ind w:left="-540" w:leftChars="-257" w:firstLine="900" w:firstLine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mc:AlternateContent>
          <mc:Choice Requires="wps">
            <w:drawing>
              <wp:anchor distT="0" distB="0" distL="114300" distR="114300" simplePos="0" relativeHeight="251662336" behindDoc="0" locked="0" layoutInCell="1" allowOverlap="1">
                <wp:simplePos x="0" y="0"/>
                <wp:positionH relativeFrom="column">
                  <wp:posOffset>3039110</wp:posOffset>
                </wp:positionH>
                <wp:positionV relativeFrom="paragraph">
                  <wp:posOffset>167640</wp:posOffset>
                </wp:positionV>
                <wp:extent cx="2478405" cy="969010"/>
                <wp:effectExtent l="7620" t="7620" r="9525" b="13970"/>
                <wp:wrapNone/>
                <wp:docPr id="2" name="自选图形 5"/>
                <wp:cNvGraphicFramePr/>
                <a:graphic xmlns:a="http://schemas.openxmlformats.org/drawingml/2006/main">
                  <a:graphicData uri="http://schemas.microsoft.com/office/word/2010/wordprocessingShape">
                    <wps:wsp>
                      <wps:cNvSpPr/>
                      <wps:spPr>
                        <a:xfrm>
                          <a:off x="0" y="0"/>
                          <a:ext cx="2478405" cy="969010"/>
                        </a:xfrm>
                        <a:prstGeom prst="roundRect">
                          <a:avLst>
                            <a:gd name="adj" fmla="val 16667"/>
                          </a:avLst>
                        </a:prstGeom>
                        <a:solidFill>
                          <a:srgbClr val="FFFFFF"/>
                        </a:solidFill>
                        <a:ln w="15875" cap="flat" cmpd="sng">
                          <a:solidFill>
                            <a:srgbClr val="808080"/>
                          </a:solidFill>
                          <a:prstDash val="solid"/>
                          <a:headEnd type="none" w="med" len="med"/>
                          <a:tailEnd type="none" w="med" len="med"/>
                        </a:ln>
                      </wps:spPr>
                      <wps:txbx>
                        <w:txbxContent>
                          <w:p>
                            <w:pPr>
                              <w:rPr>
                                <w:rFonts w:hAnsi="宋体"/>
                              </w:rPr>
                            </w:pPr>
                          </w:p>
                          <w:p>
                            <w:pPr>
                              <w:rPr>
                                <w:rFonts w:hAnsi="宋体"/>
                              </w:rPr>
                            </w:pPr>
                          </w:p>
                          <w:p>
                            <w:pPr>
                              <w:rPr>
                                <w:rFonts w:hAnsi="宋体"/>
                              </w:rPr>
                            </w:pPr>
                          </w:p>
                          <w:p>
                            <w:pPr>
                              <w:jc w:val="center"/>
                            </w:pPr>
                            <w:r>
                              <w:rPr>
                                <w:rFonts w:hint="eastAsia" w:hAnsi="宋体"/>
                              </w:rPr>
                              <w:t>授权委托人身份证复印件</w:t>
                            </w:r>
                          </w:p>
                          <w:p/>
                        </w:txbxContent>
                      </wps:txbx>
                      <wps:bodyPr wrap="square" upright="1"/>
                    </wps:wsp>
                  </a:graphicData>
                </a:graphic>
              </wp:anchor>
            </w:drawing>
          </mc:Choice>
          <mc:Fallback>
            <w:pict>
              <v:roundrect id="自选图形 5" o:spid="_x0000_s1026" o:spt="2" style="position:absolute;left:0pt;margin-left:239.3pt;margin-top:13.2pt;height:76.3pt;width:195.15pt;z-index:251662336;mso-width-relative:page;mso-height-relative:page;" fillcolor="#FFFFFF" filled="t" stroked="t" coordsize="21600,21600" arcsize="0.166666666666667" o:gfxdata="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TBZ+42wAAAAoBAAAPAAAAAAAAAAEAIAAAACIAAABkcnMvZG93bnJldi54bWxQ&#10;SwECFAAUAAAACACHTuJAb5G58S0CAABlBAAADgAAAAAAAAABACAAAAAqAQAAZHJzL2Uyb0RvYy54&#10;bWxQSwUGAAAAAAYABgBZAQAAyQUAAAAA&#10;">
                <v:fill on="t" focussize="0,0"/>
                <v:stroke weight="1.25pt" color="#808080" joinstyle="round"/>
                <v:imagedata o:title=""/>
                <o:lock v:ext="edit" aspectratio="f"/>
                <v:textbox>
                  <w:txbxContent>
                    <w:p>
                      <w:pPr>
                        <w:rPr>
                          <w:rFonts w:hAnsi="宋体"/>
                        </w:rPr>
                      </w:pPr>
                    </w:p>
                    <w:p>
                      <w:pPr>
                        <w:rPr>
                          <w:rFonts w:hAnsi="宋体"/>
                        </w:rPr>
                      </w:pPr>
                    </w:p>
                    <w:p>
                      <w:pPr>
                        <w:rPr>
                          <w:rFonts w:hAnsi="宋体"/>
                        </w:rPr>
                      </w:pPr>
                    </w:p>
                    <w:p>
                      <w:pPr>
                        <w:jc w:val="center"/>
                      </w:pPr>
                      <w:r>
                        <w:rPr>
                          <w:rFonts w:hint="eastAsia" w:hAnsi="宋体"/>
                        </w:rPr>
                        <w:t>授权委托人身份证复印件</w:t>
                      </w:r>
                    </w:p>
                    <w:p/>
                  </w:txbxContent>
                </v:textbox>
              </v:roundrect>
            </w:pict>
          </mc:Fallback>
        </mc:AlternateContent>
      </w:r>
      <w:r>
        <w:rPr>
          <w:rFonts w:hint="eastAsia" w:ascii="宋体" w:hAnsi="宋体" w:eastAsia="宋体" w:cs="宋体"/>
          <w:color w:val="auto"/>
          <w:sz w:val="24"/>
          <w:szCs w:val="24"/>
          <w:highlight w:val="none"/>
        </w:rPr>
        <mc:AlternateContent>
          <mc:Choice Requires="wps">
            <w:drawing>
              <wp:anchor distT="0" distB="0" distL="114300" distR="114300" simplePos="0" relativeHeight="251661312" behindDoc="0" locked="0" layoutInCell="1" allowOverlap="1">
                <wp:simplePos x="0" y="0"/>
                <wp:positionH relativeFrom="column">
                  <wp:posOffset>20955</wp:posOffset>
                </wp:positionH>
                <wp:positionV relativeFrom="paragraph">
                  <wp:posOffset>135890</wp:posOffset>
                </wp:positionV>
                <wp:extent cx="2317750" cy="942340"/>
                <wp:effectExtent l="4445" t="4445" r="20955" b="5715"/>
                <wp:wrapNone/>
                <wp:docPr id="1" name="自选图形 6"/>
                <wp:cNvGraphicFramePr/>
                <a:graphic xmlns:a="http://schemas.openxmlformats.org/drawingml/2006/main">
                  <a:graphicData uri="http://schemas.microsoft.com/office/word/2010/wordprocessingShape">
                    <wps:wsp>
                      <wps:cNvSpPr/>
                      <wps:spPr>
                        <a:xfrm>
                          <a:off x="0" y="0"/>
                          <a:ext cx="2317750" cy="94234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Ansi="宋体"/>
                              </w:rPr>
                            </w:pPr>
                          </w:p>
                          <w:p>
                            <w:pPr>
                              <w:jc w:val="center"/>
                              <w:rPr>
                                <w:rFonts w:hAnsi="宋体"/>
                              </w:rPr>
                            </w:pPr>
                          </w:p>
                          <w:p>
                            <w:pPr>
                              <w:jc w:val="center"/>
                              <w:rPr>
                                <w:rFonts w:hAnsi="宋体"/>
                              </w:rPr>
                            </w:pPr>
                          </w:p>
                          <w:p>
                            <w:pPr>
                              <w:jc w:val="center"/>
                            </w:pPr>
                            <w:r>
                              <w:rPr>
                                <w:rFonts w:hint="eastAsia" w:hAnsi="宋体"/>
                              </w:rPr>
                              <w:t>授权委托人身份证复印件</w:t>
                            </w:r>
                          </w:p>
                        </w:txbxContent>
                      </wps:txbx>
                      <wps:bodyPr wrap="square" upright="1"/>
                    </wps:wsp>
                  </a:graphicData>
                </a:graphic>
              </wp:anchor>
            </w:drawing>
          </mc:Choice>
          <mc:Fallback>
            <w:pict>
              <v:shape id="自选图形 6" o:spid="_x0000_s1026" o:spt="176" type="#_x0000_t176" style="position:absolute;left:0pt;margin-left:1.65pt;margin-top:10.7pt;height:74.2pt;width:182.5pt;z-index:251661312;mso-width-relative:page;mso-height-relative:page;" fillcolor="#FFFFFF" filled="t" stroked="t" coordsize="21600,21600" o:gfxdata="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v&#10;NoQO1gAAAAgBAAAPAAAAAAAAAAEAIAAAACIAAABkcnMvZG93bnJldi54bWxQSwECFAAUAAAACACH&#10;TuJA35fIIiYCAABSBAAADgAAAAAAAAABACAAAAAlAQAAZHJzL2Uyb0RvYy54bWxQSwUGAAAAAAYA&#10;BgBZAQAAvQUAAAAA&#10;">
                <v:fill on="t" focussize="0,0"/>
                <v:stroke color="#000000" joinstyle="miter"/>
                <v:imagedata o:title=""/>
                <o:lock v:ext="edit" aspectratio="f"/>
                <v:textbox>
                  <w:txbxContent>
                    <w:p>
                      <w:pPr>
                        <w:jc w:val="center"/>
                        <w:rPr>
                          <w:rFonts w:hAnsi="宋体"/>
                        </w:rPr>
                      </w:pPr>
                    </w:p>
                    <w:p>
                      <w:pPr>
                        <w:jc w:val="center"/>
                        <w:rPr>
                          <w:rFonts w:hAnsi="宋体"/>
                        </w:rPr>
                      </w:pPr>
                    </w:p>
                    <w:p>
                      <w:pPr>
                        <w:jc w:val="center"/>
                        <w:rPr>
                          <w:rFonts w:hAnsi="宋体"/>
                        </w:rPr>
                      </w:pPr>
                    </w:p>
                    <w:p>
                      <w:pPr>
                        <w:jc w:val="center"/>
                      </w:pPr>
                      <w:r>
                        <w:rPr>
                          <w:rFonts w:hint="eastAsia" w:hAnsi="宋体"/>
                        </w:rPr>
                        <w:t>授权委托人身份证复印件</w:t>
                      </w:r>
                    </w:p>
                  </w:txbxContent>
                </v:textbox>
              </v:shape>
            </w:pict>
          </mc:Fallback>
        </mc:AlternateContent>
      </w:r>
    </w:p>
    <w:p>
      <w:pPr>
        <w:spacing w:line="360" w:lineRule="auto"/>
        <w:ind w:firstLine="240" w:firstLineChars="100"/>
        <w:rPr>
          <w:rFonts w:hint="eastAsia" w:ascii="宋体" w:hAnsi="宋体" w:eastAsia="宋体" w:cs="宋体"/>
          <w:color w:val="auto"/>
          <w:sz w:val="24"/>
          <w:szCs w:val="24"/>
          <w:highlight w:val="none"/>
        </w:rPr>
      </w:pPr>
    </w:p>
    <w:p>
      <w:pPr>
        <w:spacing w:line="360" w:lineRule="auto"/>
        <w:ind w:firstLine="240" w:firstLineChars="100"/>
        <w:rPr>
          <w:rFonts w:hint="eastAsia" w:ascii="宋体" w:hAnsi="宋体" w:eastAsia="宋体" w:cs="宋体"/>
          <w:color w:val="auto"/>
          <w:sz w:val="24"/>
          <w:szCs w:val="24"/>
          <w:highlight w:val="none"/>
        </w:rPr>
      </w:pPr>
    </w:p>
    <w:p>
      <w:pPr>
        <w:spacing w:line="360" w:lineRule="auto"/>
        <w:ind w:firstLine="240" w:firstLineChars="100"/>
        <w:rPr>
          <w:rFonts w:hint="eastAsia" w:ascii="宋体" w:hAnsi="宋体" w:eastAsia="宋体" w:cs="宋体"/>
          <w:color w:val="auto"/>
          <w:sz w:val="24"/>
          <w:szCs w:val="24"/>
          <w:highlight w:val="none"/>
        </w:rPr>
      </w:pPr>
    </w:p>
    <w:p>
      <w:pPr>
        <w:spacing w:line="360" w:lineRule="auto"/>
        <w:ind w:firstLine="240" w:firstLineChars="100"/>
        <w:rPr>
          <w:rFonts w:hint="eastAsia" w:ascii="宋体" w:hAnsi="宋体" w:eastAsia="宋体" w:cs="宋体"/>
          <w:color w:val="auto"/>
          <w:sz w:val="24"/>
          <w:szCs w:val="24"/>
          <w:highlight w:val="none"/>
        </w:rPr>
      </w:pPr>
    </w:p>
    <w:p>
      <w:pPr>
        <w:spacing w:line="360" w:lineRule="auto"/>
        <w:ind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mc:AlternateContent>
          <mc:Choice Requires="wps">
            <w:drawing>
              <wp:anchor distT="0" distB="0" distL="114300" distR="114300" simplePos="0" relativeHeight="251664384" behindDoc="0" locked="0" layoutInCell="1" allowOverlap="1">
                <wp:simplePos x="0" y="0"/>
                <wp:positionH relativeFrom="column">
                  <wp:posOffset>3018155</wp:posOffset>
                </wp:positionH>
                <wp:positionV relativeFrom="paragraph">
                  <wp:posOffset>96520</wp:posOffset>
                </wp:positionV>
                <wp:extent cx="2535555" cy="935355"/>
                <wp:effectExtent l="7620" t="7620" r="9525" b="9525"/>
                <wp:wrapNone/>
                <wp:docPr id="4" name="自选图形 7"/>
                <wp:cNvGraphicFramePr/>
                <a:graphic xmlns:a="http://schemas.openxmlformats.org/drawingml/2006/main">
                  <a:graphicData uri="http://schemas.microsoft.com/office/word/2010/wordprocessingShape">
                    <wps:wsp>
                      <wps:cNvSpPr/>
                      <wps:spPr>
                        <a:xfrm>
                          <a:off x="0" y="0"/>
                          <a:ext cx="2535555" cy="935355"/>
                        </a:xfrm>
                        <a:prstGeom prst="roundRect">
                          <a:avLst>
                            <a:gd name="adj" fmla="val 16667"/>
                          </a:avLst>
                        </a:prstGeom>
                        <a:solidFill>
                          <a:srgbClr val="FFFFFF"/>
                        </a:solidFill>
                        <a:ln w="15875" cap="flat" cmpd="sng">
                          <a:solidFill>
                            <a:srgbClr val="808080"/>
                          </a:solidFill>
                          <a:prstDash val="solid"/>
                          <a:headEnd type="none" w="med" len="med"/>
                          <a:tailEnd type="none" w="med" len="med"/>
                        </a:ln>
                      </wps:spPr>
                      <wps:txbx>
                        <w:txbxContent>
                          <w:p>
                            <w:pPr>
                              <w:jc w:val="center"/>
                              <w:rPr>
                                <w:rFonts w:hAnsi="宋体"/>
                              </w:rPr>
                            </w:pPr>
                            <w:r>
                              <w:rPr>
                                <w:rFonts w:hint="eastAsia" w:hAnsi="宋体"/>
                              </w:rPr>
                              <w:t xml:space="preserve">  </w:t>
                            </w:r>
                          </w:p>
                          <w:p>
                            <w:pPr>
                              <w:rPr>
                                <w:rFonts w:hAnsi="宋体"/>
                              </w:rPr>
                            </w:pPr>
                          </w:p>
                          <w:p>
                            <w:pPr>
                              <w:jc w:val="center"/>
                              <w:rPr>
                                <w:szCs w:val="21"/>
                              </w:rPr>
                            </w:pPr>
                            <w:r>
                              <w:rPr>
                                <w:rFonts w:hint="eastAsia" w:hAnsi="宋体"/>
                                <w:szCs w:val="21"/>
                              </w:rPr>
                              <w:t>法定代表人身份证复印件</w:t>
                            </w:r>
                          </w:p>
                          <w:p/>
                        </w:txbxContent>
                      </wps:txbx>
                      <wps:bodyPr wrap="square" upright="1"/>
                    </wps:wsp>
                  </a:graphicData>
                </a:graphic>
              </wp:anchor>
            </w:drawing>
          </mc:Choice>
          <mc:Fallback>
            <w:pict>
              <v:roundrect id="自选图形 7" o:spid="_x0000_s1026" o:spt="2" style="position:absolute;left:0pt;margin-left:237.65pt;margin-top:7.6pt;height:73.65pt;width:199.65pt;z-index:251664384;mso-width-relative:page;mso-height-relative:page;" fillcolor="#FFFFFF" filled="t" stroked="t" coordsize="21600,21600" arcsize="0.166666666666667" o:gfxdata="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KA0VntsAAAAKAQAADwAAAAAAAAABACAAAAAiAAAAZHJzL2Rvd25yZXYueG1sUEsB&#10;AhQAFAAAAAgAh07iQPj3/7krAgAAZQQAAA4AAAAAAAAAAQAgAAAAKgEAAGRycy9lMm9Eb2MueG1s&#10;UEsFBgAAAAAGAAYAWQEAAMcFAAAAAA==&#10;">
                <v:fill on="t" focussize="0,0"/>
                <v:stroke weight="1.25pt" color="#808080" joinstyle="round"/>
                <v:imagedata o:title=""/>
                <o:lock v:ext="edit" aspectratio="f"/>
                <v:textbox>
                  <w:txbxContent>
                    <w:p>
                      <w:pPr>
                        <w:jc w:val="center"/>
                        <w:rPr>
                          <w:rFonts w:hAnsi="宋体"/>
                        </w:rPr>
                      </w:pPr>
                      <w:r>
                        <w:rPr>
                          <w:rFonts w:hint="eastAsia" w:hAnsi="宋体"/>
                        </w:rPr>
                        <w:t xml:space="preserve">  </w:t>
                      </w:r>
                    </w:p>
                    <w:p>
                      <w:pPr>
                        <w:rPr>
                          <w:rFonts w:hAnsi="宋体"/>
                        </w:rPr>
                      </w:pPr>
                    </w:p>
                    <w:p>
                      <w:pPr>
                        <w:jc w:val="center"/>
                        <w:rPr>
                          <w:szCs w:val="21"/>
                        </w:rPr>
                      </w:pPr>
                      <w:r>
                        <w:rPr>
                          <w:rFonts w:hint="eastAsia" w:hAnsi="宋体"/>
                          <w:szCs w:val="21"/>
                        </w:rPr>
                        <w:t>法定代表人身份证复印件</w:t>
                      </w:r>
                    </w:p>
                    <w:p/>
                  </w:txbxContent>
                </v:textbox>
              </v:roundrect>
            </w:pict>
          </mc:Fallback>
        </mc:AlternateContent>
      </w:r>
      <w:r>
        <w:rPr>
          <w:rFonts w:hint="eastAsia" w:ascii="宋体" w:hAnsi="宋体" w:eastAsia="宋体" w:cs="宋体"/>
          <w:color w:val="auto"/>
          <w:sz w:val="24"/>
          <w:szCs w:val="24"/>
          <w:highlight w:val="none"/>
        </w:rPr>
        <mc:AlternateContent>
          <mc:Choice Requires="wps">
            <w:drawing>
              <wp:anchor distT="0" distB="0" distL="114300" distR="114300" simplePos="0" relativeHeight="251663360" behindDoc="0" locked="0" layoutInCell="1" allowOverlap="1">
                <wp:simplePos x="0" y="0"/>
                <wp:positionH relativeFrom="column">
                  <wp:posOffset>-10795</wp:posOffset>
                </wp:positionH>
                <wp:positionV relativeFrom="paragraph">
                  <wp:posOffset>29845</wp:posOffset>
                </wp:positionV>
                <wp:extent cx="2555240" cy="1024890"/>
                <wp:effectExtent l="7620" t="7620" r="8890" b="15240"/>
                <wp:wrapNone/>
                <wp:docPr id="3" name="自选图形 8"/>
                <wp:cNvGraphicFramePr/>
                <a:graphic xmlns:a="http://schemas.openxmlformats.org/drawingml/2006/main">
                  <a:graphicData uri="http://schemas.microsoft.com/office/word/2010/wordprocessingShape">
                    <wps:wsp>
                      <wps:cNvSpPr/>
                      <wps:spPr>
                        <a:xfrm>
                          <a:off x="0" y="0"/>
                          <a:ext cx="2555240" cy="1024890"/>
                        </a:xfrm>
                        <a:prstGeom prst="roundRect">
                          <a:avLst>
                            <a:gd name="adj" fmla="val 16667"/>
                          </a:avLst>
                        </a:prstGeom>
                        <a:solidFill>
                          <a:srgbClr val="FFFFFF"/>
                        </a:solidFill>
                        <a:ln w="15875" cap="flat" cmpd="sng">
                          <a:solidFill>
                            <a:srgbClr val="808080"/>
                          </a:solidFill>
                          <a:prstDash val="solid"/>
                          <a:headEnd type="none" w="med" len="med"/>
                          <a:tailEnd type="none" w="med" len="med"/>
                        </a:ln>
                      </wps:spPr>
                      <wps:txbx>
                        <w:txbxContent>
                          <w:p>
                            <w:pPr>
                              <w:jc w:val="center"/>
                              <w:rPr>
                                <w:rFonts w:hAnsi="宋体"/>
                              </w:rPr>
                            </w:pPr>
                          </w:p>
                          <w:p>
                            <w:pPr>
                              <w:rPr>
                                <w:rFonts w:hAnsi="宋体"/>
                              </w:rPr>
                            </w:pPr>
                          </w:p>
                          <w:p>
                            <w:pPr>
                              <w:jc w:val="center"/>
                              <w:rPr>
                                <w:szCs w:val="21"/>
                              </w:rPr>
                            </w:pPr>
                            <w:r>
                              <w:rPr>
                                <w:rFonts w:hint="eastAsia" w:hAnsi="宋体"/>
                                <w:szCs w:val="21"/>
                              </w:rPr>
                              <w:t>法定代表人身份证复印件</w:t>
                            </w:r>
                          </w:p>
                          <w:p/>
                        </w:txbxContent>
                      </wps:txbx>
                      <wps:bodyPr wrap="square" upright="1"/>
                    </wps:wsp>
                  </a:graphicData>
                </a:graphic>
              </wp:anchor>
            </w:drawing>
          </mc:Choice>
          <mc:Fallback>
            <w:pict>
              <v:roundrect id="自选图形 8" o:spid="_x0000_s1026" o:spt="2" style="position:absolute;left:0pt;margin-left:-0.85pt;margin-top:2.35pt;height:80.7pt;width:201.2pt;z-index:251663360;mso-width-relative:page;mso-height-relative:page;" fillcolor="#FFFFFF" filled="t" stroked="t" coordsize="21600,21600" arcsize="0.166666666666667" o:gfxdata="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FO+C3vYAAAACAEAAA8AAAAAAAAAAQAgAAAAIgAAAGRycy9kb3ducmV2LnhtbFBL&#10;AQIUABQAAAAIAIdO4kBLrs6YLwIAAGYEAAAOAAAAAAAAAAEAIAAAACcBAABkcnMvZTJvRG9jLnht&#10;bFBLBQYAAAAABgAGAFkBAADIBQAAAAA=&#10;">
                <v:fill on="t" focussize="0,0"/>
                <v:stroke weight="1.25pt" color="#808080" joinstyle="round"/>
                <v:imagedata o:title=""/>
                <o:lock v:ext="edit" aspectratio="f"/>
                <v:textbox>
                  <w:txbxContent>
                    <w:p>
                      <w:pPr>
                        <w:jc w:val="center"/>
                        <w:rPr>
                          <w:rFonts w:hAnsi="宋体"/>
                        </w:rPr>
                      </w:pPr>
                    </w:p>
                    <w:p>
                      <w:pPr>
                        <w:rPr>
                          <w:rFonts w:hAnsi="宋体"/>
                        </w:rPr>
                      </w:pPr>
                    </w:p>
                    <w:p>
                      <w:pPr>
                        <w:jc w:val="center"/>
                        <w:rPr>
                          <w:szCs w:val="21"/>
                        </w:rPr>
                      </w:pPr>
                      <w:r>
                        <w:rPr>
                          <w:rFonts w:hint="eastAsia" w:hAnsi="宋体"/>
                          <w:szCs w:val="21"/>
                        </w:rPr>
                        <w:t>法定代表人身份证复印件</w:t>
                      </w:r>
                    </w:p>
                    <w:p/>
                  </w:txbxContent>
                </v:textbox>
              </v:roundrect>
            </w:pict>
          </mc:Fallback>
        </mc:AlternateContent>
      </w:r>
    </w:p>
    <w:p>
      <w:pPr>
        <w:spacing w:line="360" w:lineRule="auto"/>
        <w:ind w:firstLine="240" w:firstLineChars="100"/>
        <w:rPr>
          <w:rFonts w:hint="eastAsia" w:ascii="宋体" w:hAnsi="宋体" w:eastAsia="宋体" w:cs="宋体"/>
          <w:color w:val="auto"/>
          <w:sz w:val="24"/>
          <w:szCs w:val="24"/>
          <w:highlight w:val="none"/>
        </w:rPr>
      </w:pPr>
    </w:p>
    <w:p>
      <w:pPr>
        <w:spacing w:line="360" w:lineRule="auto"/>
        <w:ind w:firstLine="240" w:firstLineChars="100"/>
        <w:rPr>
          <w:rFonts w:hint="eastAsia" w:ascii="宋体" w:hAnsi="宋体" w:eastAsia="宋体" w:cs="宋体"/>
          <w:color w:val="auto"/>
          <w:sz w:val="24"/>
          <w:szCs w:val="24"/>
          <w:highlight w:val="none"/>
        </w:rPr>
      </w:pPr>
    </w:p>
    <w:p>
      <w:pPr>
        <w:pStyle w:val="2"/>
        <w:rPr>
          <w:rFonts w:hint="eastAsia" w:ascii="宋体" w:hAnsi="宋体" w:eastAsia="宋体" w:cs="宋体"/>
          <w:color w:val="auto"/>
          <w:sz w:val="24"/>
          <w:szCs w:val="24"/>
          <w:highlight w:val="none"/>
        </w:rPr>
      </w:pPr>
    </w:p>
    <w:p>
      <w:pPr>
        <w:spacing w:line="360" w:lineRule="auto"/>
        <w:ind w:firstLine="240" w:firstLineChars="100"/>
        <w:rPr>
          <w:rFonts w:hint="eastAsia" w:ascii="宋体" w:hAnsi="宋体" w:eastAsia="宋体" w:cs="宋体"/>
          <w:color w:val="auto"/>
          <w:sz w:val="24"/>
          <w:szCs w:val="24"/>
          <w:highlight w:val="none"/>
        </w:rPr>
      </w:pPr>
    </w:p>
    <w:p>
      <w:pPr>
        <w:spacing w:line="360" w:lineRule="auto"/>
        <w:ind w:firstLine="241" w:firstLineChars="100"/>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注：提供身份证正反面。</w:t>
      </w:r>
    </w:p>
    <w:p>
      <w:pPr>
        <w:pStyle w:val="11"/>
        <w:tabs>
          <w:tab w:val="left" w:pos="5580"/>
        </w:tabs>
        <w:spacing w:line="360" w:lineRule="exac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公章</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u w:val="single"/>
        </w:rPr>
        <w:t xml:space="preserve">                           </w:t>
      </w:r>
    </w:p>
    <w:p>
      <w:pPr>
        <w:pStyle w:val="11"/>
        <w:tabs>
          <w:tab w:val="left" w:pos="5580"/>
        </w:tabs>
        <w:spacing w:line="360" w:lineRule="exac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法定代表人</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签/章</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u w:val="single"/>
        </w:rPr>
        <w:t xml:space="preserve">                     </w:t>
      </w:r>
    </w:p>
    <w:p>
      <w:pPr>
        <w:pStyle w:val="11"/>
        <w:tabs>
          <w:tab w:val="left" w:pos="5580"/>
        </w:tabs>
        <w:spacing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身份证号码：__________________________________ </w:t>
      </w:r>
    </w:p>
    <w:p>
      <w:pPr>
        <w:pStyle w:val="11"/>
        <w:tabs>
          <w:tab w:val="left" w:pos="5580"/>
        </w:tabs>
        <w:spacing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委托代理人</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签/章</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w:t>
      </w:r>
    </w:p>
    <w:p>
      <w:pPr>
        <w:pStyle w:val="11"/>
        <w:tabs>
          <w:tab w:val="left" w:pos="5580"/>
        </w:tabs>
        <w:spacing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身份证号码：</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w:t>
      </w:r>
    </w:p>
    <w:p>
      <w:pPr>
        <w:pStyle w:val="11"/>
        <w:tabs>
          <w:tab w:val="left" w:pos="5580"/>
        </w:tabs>
        <w:spacing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详细通讯地址：</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w:t>
      </w:r>
    </w:p>
    <w:p>
      <w:pPr>
        <w:pStyle w:val="11"/>
        <w:tabs>
          <w:tab w:val="left" w:pos="5580"/>
        </w:tabs>
        <w:spacing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邮 政 编 码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w:t>
      </w:r>
    </w:p>
    <w:p>
      <w:pPr>
        <w:pStyle w:val="11"/>
        <w:tabs>
          <w:tab w:val="left" w:pos="5580"/>
        </w:tabs>
        <w:spacing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传　　　　真：</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 xml:space="preserve">      </w:t>
      </w:r>
    </w:p>
    <w:p>
      <w:pPr>
        <w:pStyle w:val="11"/>
        <w:tabs>
          <w:tab w:val="left" w:pos="5580"/>
        </w:tabs>
        <w:spacing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　　　　话：</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w:t>
      </w:r>
    </w:p>
    <w:p>
      <w:pPr>
        <w:pStyle w:val="11"/>
        <w:tabs>
          <w:tab w:val="left" w:pos="5580"/>
        </w:tabs>
        <w:spacing w:line="360" w:lineRule="exact"/>
        <w:jc w:val="right"/>
        <w:rPr>
          <w:rFonts w:hint="eastAsia" w:ascii="宋体" w:hAnsi="宋体" w:eastAsia="宋体" w:cs="宋体"/>
          <w:color w:val="auto"/>
          <w:sz w:val="24"/>
          <w:szCs w:val="24"/>
          <w:highlight w:val="none"/>
        </w:rPr>
      </w:pPr>
    </w:p>
    <w:p>
      <w:pPr>
        <w:pStyle w:val="11"/>
        <w:tabs>
          <w:tab w:val="left" w:pos="5580"/>
        </w:tabs>
        <w:spacing w:line="360" w:lineRule="exact"/>
        <w:jc w:val="right"/>
        <w:rPr>
          <w:rFonts w:hint="eastAsia" w:ascii="宋体" w:hAnsi="宋体" w:eastAsia="宋体" w:cs="宋体"/>
          <w:color w:val="auto"/>
          <w:sz w:val="24"/>
          <w:szCs w:val="24"/>
          <w:highlight w:val="none"/>
        </w:rPr>
      </w:pPr>
    </w:p>
    <w:p>
      <w:pPr>
        <w:pStyle w:val="11"/>
        <w:tabs>
          <w:tab w:val="left" w:pos="5580"/>
        </w:tabs>
        <w:spacing w:line="360" w:lineRule="exact"/>
        <w:jc w:val="right"/>
        <w:rPr>
          <w:rFonts w:hint="eastAsia" w:ascii="宋体" w:hAnsi="宋体" w:eastAsia="宋体" w:cs="宋体"/>
          <w:color w:val="auto"/>
          <w:sz w:val="24"/>
          <w:szCs w:val="24"/>
          <w:highlight w:val="none"/>
        </w:rPr>
      </w:pPr>
    </w:p>
    <w:p>
      <w:pPr>
        <w:pStyle w:val="11"/>
        <w:tabs>
          <w:tab w:val="left" w:pos="5580"/>
        </w:tabs>
        <w:spacing w:line="360" w:lineRule="exact"/>
        <w:jc w:val="right"/>
        <w:rPr>
          <w:rFonts w:hint="eastAsia" w:ascii="宋体" w:hAnsi="宋体" w:eastAsia="宋体" w:cs="宋体"/>
          <w:color w:val="auto"/>
          <w:sz w:val="24"/>
          <w:szCs w:val="24"/>
          <w:highlight w:val="none"/>
        </w:rPr>
      </w:pPr>
    </w:p>
    <w:p>
      <w:pPr>
        <w:pStyle w:val="11"/>
        <w:tabs>
          <w:tab w:val="left" w:pos="5580"/>
        </w:tabs>
        <w:spacing w:line="360" w:lineRule="exact"/>
        <w:jc w:val="right"/>
        <w:rPr>
          <w:rFonts w:hint="eastAsia" w:ascii="宋体" w:hAnsi="宋体" w:eastAsia="宋体" w:cs="宋体"/>
          <w:color w:val="auto"/>
          <w:sz w:val="24"/>
          <w:szCs w:val="24"/>
          <w:highlight w:val="none"/>
        </w:rPr>
      </w:pPr>
    </w:p>
    <w:p>
      <w:pPr>
        <w:pStyle w:val="11"/>
        <w:tabs>
          <w:tab w:val="left" w:pos="5580"/>
        </w:tabs>
        <w:spacing w:line="360" w:lineRule="exact"/>
        <w:jc w:val="right"/>
        <w:rPr>
          <w:rFonts w:hint="eastAsia" w:ascii="宋体" w:hAnsi="宋体" w:eastAsia="宋体" w:cs="宋体"/>
          <w:color w:val="auto"/>
          <w:sz w:val="24"/>
          <w:szCs w:val="24"/>
          <w:highlight w:val="none"/>
        </w:rPr>
      </w:pPr>
    </w:p>
    <w:p>
      <w:pPr>
        <w:pStyle w:val="11"/>
        <w:tabs>
          <w:tab w:val="left" w:pos="5580"/>
        </w:tabs>
        <w:spacing w:line="360" w:lineRule="exact"/>
        <w:jc w:val="righ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年   月   日 </w:t>
      </w:r>
    </w:p>
    <w:p>
      <w:pPr>
        <w:bidi w:val="0"/>
        <w:ind w:firstLine="482" w:firstLineChars="200"/>
        <w:outlineLvl w:val="1"/>
        <w:rPr>
          <w:rFonts w:hint="eastAsia" w:ascii="宋体" w:hAnsi="宋体" w:eastAsia="宋体" w:cs="宋体"/>
          <w:color w:val="auto"/>
          <w:sz w:val="24"/>
          <w:szCs w:val="24"/>
          <w:highlight w:val="none"/>
          <w:lang w:val="en-US" w:eastAsia="zh-CN"/>
        </w:rPr>
      </w:pPr>
      <w:bookmarkStart w:id="239" w:name="_Toc24456"/>
      <w:bookmarkStart w:id="240" w:name="_Toc7550"/>
      <w:bookmarkStart w:id="241" w:name="_Toc2335"/>
      <w:bookmarkStart w:id="242" w:name="_Toc24428"/>
      <w:bookmarkStart w:id="243" w:name="_Toc32670"/>
      <w:bookmarkStart w:id="244" w:name="_Toc515647811"/>
      <w:r>
        <w:rPr>
          <w:rFonts w:hint="eastAsia" w:ascii="宋体" w:hAnsi="宋体" w:eastAsia="宋体" w:cs="宋体"/>
          <w:b/>
          <w:color w:val="auto"/>
          <w:kern w:val="0"/>
          <w:sz w:val="24"/>
          <w:szCs w:val="24"/>
          <w:highlight w:val="none"/>
          <w:lang w:val="en-US" w:eastAsia="zh-CN" w:bidi="ar-SA"/>
        </w:rPr>
        <w:t>5.</w:t>
      </w:r>
      <w:bookmarkEnd w:id="239"/>
      <w:bookmarkEnd w:id="240"/>
      <w:r>
        <w:rPr>
          <w:rFonts w:hint="eastAsia" w:ascii="宋体" w:hAnsi="宋体" w:eastAsia="宋体" w:cs="宋体"/>
          <w:b/>
          <w:color w:val="auto"/>
          <w:kern w:val="0"/>
          <w:sz w:val="24"/>
          <w:szCs w:val="24"/>
          <w:highlight w:val="none"/>
          <w:lang w:val="en-US" w:eastAsia="zh-CN" w:bidi="ar-SA"/>
        </w:rPr>
        <w:t>依法缴纳最近6个月中任意1个月的社会保险的凭据；</w:t>
      </w:r>
      <w:bookmarkEnd w:id="241"/>
    </w:p>
    <w:p>
      <w:pPr>
        <w:pStyle w:val="6"/>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pStyle w:val="6"/>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pStyle w:val="19"/>
        <w:spacing w:line="400" w:lineRule="exact"/>
        <w:outlineLvl w:val="1"/>
        <w:rPr>
          <w:rFonts w:hint="eastAsia" w:ascii="宋体" w:hAnsi="宋体" w:eastAsia="宋体" w:cs="宋体"/>
          <w:b/>
          <w:color w:val="auto"/>
          <w:kern w:val="0"/>
          <w:sz w:val="24"/>
          <w:szCs w:val="24"/>
          <w:highlight w:val="none"/>
          <w:lang w:val="en-US" w:eastAsia="zh-CN" w:bidi="ar-SA"/>
        </w:rPr>
      </w:pPr>
      <w:bookmarkStart w:id="245" w:name="_Toc29065"/>
      <w:bookmarkStart w:id="246" w:name="_Toc15050"/>
      <w:bookmarkStart w:id="247" w:name="_Toc5181"/>
      <w:r>
        <w:rPr>
          <w:rFonts w:hint="eastAsia" w:ascii="宋体" w:hAnsi="宋体" w:eastAsia="宋体" w:cs="宋体"/>
          <w:b/>
          <w:color w:val="auto"/>
          <w:kern w:val="0"/>
          <w:sz w:val="24"/>
          <w:szCs w:val="24"/>
          <w:highlight w:val="none"/>
          <w:lang w:val="en-US" w:eastAsia="zh-CN" w:bidi="ar-SA"/>
        </w:rPr>
        <w:t>6.</w:t>
      </w:r>
      <w:bookmarkEnd w:id="245"/>
      <w:bookmarkEnd w:id="246"/>
      <w:r>
        <w:rPr>
          <w:rFonts w:hint="eastAsia" w:ascii="宋体" w:hAnsi="宋体" w:eastAsia="宋体" w:cs="宋体"/>
          <w:b/>
          <w:color w:val="auto"/>
          <w:kern w:val="0"/>
          <w:sz w:val="24"/>
          <w:szCs w:val="24"/>
          <w:highlight w:val="none"/>
          <w:lang w:val="en-US" w:eastAsia="zh-CN" w:bidi="ar-SA"/>
        </w:rPr>
        <w:t>税务部门出具的最近6个月中任意1个月的完税证明；</w:t>
      </w:r>
      <w:bookmarkEnd w:id="247"/>
      <w:r>
        <w:rPr>
          <w:rFonts w:hint="eastAsia" w:ascii="宋体" w:hAnsi="宋体" w:eastAsia="宋体" w:cs="宋体"/>
          <w:b/>
          <w:color w:val="auto"/>
          <w:kern w:val="0"/>
          <w:sz w:val="24"/>
          <w:szCs w:val="24"/>
          <w:highlight w:val="none"/>
          <w:lang w:val="en-US" w:eastAsia="zh-CN" w:bidi="ar-SA"/>
        </w:rPr>
        <w:t xml:space="preserve"> </w:t>
      </w:r>
    </w:p>
    <w:p>
      <w:pPr>
        <w:bidi w:val="0"/>
        <w:rPr>
          <w:rFonts w:hint="eastAsia" w:ascii="宋体" w:hAnsi="宋体" w:eastAsia="宋体" w:cs="宋体"/>
          <w:color w:val="auto"/>
          <w:sz w:val="24"/>
          <w:szCs w:val="24"/>
          <w:highlight w:val="none"/>
          <w:lang w:val="en-US" w:eastAsia="zh-CN"/>
        </w:rPr>
      </w:pPr>
    </w:p>
    <w:p>
      <w:pPr>
        <w:rPr>
          <w:rFonts w:hint="eastAsia" w:ascii="宋体" w:hAnsi="宋体" w:eastAsia="宋体" w:cs="宋体"/>
          <w:color w:val="auto"/>
          <w:sz w:val="24"/>
          <w:szCs w:val="24"/>
          <w:highlight w:val="none"/>
        </w:rPr>
      </w:pPr>
    </w:p>
    <w:p>
      <w:pPr>
        <w:pStyle w:val="6"/>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pStyle w:val="19"/>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pStyle w:val="6"/>
        <w:rPr>
          <w:rFonts w:hint="eastAsia" w:ascii="宋体" w:hAnsi="宋体" w:eastAsia="宋体" w:cs="宋体"/>
          <w:color w:val="auto"/>
          <w:sz w:val="24"/>
          <w:szCs w:val="24"/>
          <w:highlight w:val="none"/>
        </w:rPr>
      </w:pPr>
    </w:p>
    <w:p>
      <w:pPr>
        <w:pStyle w:val="6"/>
        <w:ind w:firstLine="482" w:firstLineChars="200"/>
        <w:outlineLvl w:val="1"/>
        <w:rPr>
          <w:rFonts w:hint="eastAsia" w:ascii="宋体" w:hAnsi="宋体" w:eastAsia="宋体" w:cs="宋体"/>
          <w:color w:val="auto"/>
          <w:sz w:val="24"/>
          <w:szCs w:val="24"/>
          <w:highlight w:val="none"/>
        </w:rPr>
      </w:pPr>
      <w:bookmarkStart w:id="248" w:name="_Toc5698"/>
      <w:bookmarkStart w:id="249" w:name="_Toc13272"/>
      <w:bookmarkStart w:id="250" w:name="_Toc7766"/>
      <w:r>
        <w:rPr>
          <w:rFonts w:hint="eastAsia" w:ascii="宋体" w:hAnsi="宋体" w:eastAsia="宋体" w:cs="宋体"/>
          <w:b/>
          <w:color w:val="auto"/>
          <w:kern w:val="0"/>
          <w:sz w:val="24"/>
          <w:szCs w:val="24"/>
          <w:highlight w:val="none"/>
          <w:lang w:val="en-US" w:eastAsia="zh-CN" w:bidi="ar-SA"/>
        </w:rPr>
        <w:t>7.</w:t>
      </w:r>
      <w:bookmarkEnd w:id="248"/>
      <w:bookmarkEnd w:id="249"/>
      <w:r>
        <w:rPr>
          <w:rFonts w:hint="eastAsia" w:ascii="宋体" w:hAnsi="宋体" w:eastAsia="宋体" w:cs="宋体"/>
          <w:b/>
          <w:color w:val="auto"/>
          <w:kern w:val="0"/>
          <w:sz w:val="24"/>
          <w:szCs w:val="24"/>
          <w:highlight w:val="none"/>
          <w:lang w:val="en-US" w:eastAsia="zh-CN" w:bidi="ar-SA"/>
        </w:rPr>
        <w:t>近两年任意一年的财务审计报告；</w:t>
      </w:r>
      <w:bookmarkEnd w:id="250"/>
    </w:p>
    <w:p>
      <w:pPr>
        <w:rPr>
          <w:rFonts w:hint="eastAsia" w:ascii="宋体" w:hAnsi="宋体" w:eastAsia="宋体" w:cs="宋体"/>
          <w:color w:val="auto"/>
          <w:sz w:val="24"/>
          <w:szCs w:val="24"/>
          <w:highlight w:val="none"/>
        </w:rPr>
      </w:pPr>
    </w:p>
    <w:p>
      <w:pPr>
        <w:pStyle w:val="19"/>
        <w:rPr>
          <w:rFonts w:hint="eastAsia" w:ascii="宋体" w:hAnsi="宋体" w:eastAsia="宋体" w:cs="宋体"/>
          <w:color w:val="auto"/>
          <w:sz w:val="24"/>
          <w:szCs w:val="24"/>
          <w:highlight w:val="none"/>
        </w:rPr>
      </w:pPr>
    </w:p>
    <w:p>
      <w:pPr>
        <w:pStyle w:val="19"/>
        <w:rPr>
          <w:rFonts w:hint="eastAsia" w:ascii="宋体" w:hAnsi="宋体" w:eastAsia="宋体" w:cs="宋体"/>
          <w:color w:val="auto"/>
          <w:sz w:val="24"/>
          <w:szCs w:val="24"/>
          <w:highlight w:val="none"/>
        </w:rPr>
      </w:pPr>
    </w:p>
    <w:p>
      <w:pPr>
        <w:pStyle w:val="6"/>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bidi w:val="0"/>
        <w:rPr>
          <w:rFonts w:hint="eastAsia" w:ascii="宋体" w:hAnsi="宋体" w:eastAsia="宋体" w:cs="宋体"/>
          <w:color w:val="auto"/>
          <w:sz w:val="24"/>
          <w:szCs w:val="24"/>
          <w:highlight w:val="none"/>
        </w:rPr>
      </w:pPr>
    </w:p>
    <w:p>
      <w:pPr>
        <w:bidi w:val="0"/>
        <w:rPr>
          <w:rFonts w:hint="eastAsia" w:ascii="宋体" w:hAnsi="宋体" w:eastAsia="宋体" w:cs="宋体"/>
          <w:color w:val="auto"/>
          <w:sz w:val="24"/>
          <w:szCs w:val="24"/>
          <w:highlight w:val="none"/>
        </w:rPr>
      </w:pPr>
    </w:p>
    <w:p>
      <w:pPr>
        <w:pStyle w:val="6"/>
        <w:outlineLvl w:val="1"/>
        <w:rPr>
          <w:rFonts w:hint="eastAsia" w:ascii="宋体" w:hAnsi="宋体" w:eastAsia="宋体" w:cs="宋体"/>
          <w:b/>
          <w:color w:val="auto"/>
          <w:kern w:val="0"/>
          <w:sz w:val="24"/>
          <w:szCs w:val="24"/>
          <w:highlight w:val="none"/>
          <w:lang w:val="en-US" w:eastAsia="zh-CN" w:bidi="ar-SA"/>
        </w:rPr>
      </w:pPr>
      <w:bookmarkStart w:id="251" w:name="_Toc18144"/>
      <w:bookmarkStart w:id="252" w:name="_Toc31905"/>
      <w:r>
        <w:rPr>
          <w:rFonts w:hint="eastAsia" w:ascii="宋体" w:hAnsi="宋体" w:eastAsia="宋体" w:cs="宋体"/>
          <w:b/>
          <w:color w:val="auto"/>
          <w:kern w:val="0"/>
          <w:sz w:val="24"/>
          <w:szCs w:val="24"/>
          <w:highlight w:val="none"/>
          <w:lang w:val="en-US" w:eastAsia="zh-CN" w:bidi="ar-SA"/>
        </w:rPr>
        <w:t>8.</w:t>
      </w:r>
      <w:bookmarkEnd w:id="251"/>
      <w:r>
        <w:rPr>
          <w:rFonts w:hint="eastAsia" w:ascii="宋体" w:hAnsi="宋体" w:eastAsia="宋体" w:cs="宋体"/>
          <w:b/>
          <w:color w:val="auto"/>
          <w:kern w:val="0"/>
          <w:sz w:val="24"/>
          <w:szCs w:val="24"/>
          <w:highlight w:val="none"/>
          <w:lang w:val="en-US" w:eastAsia="zh-CN" w:bidi="ar-SA"/>
        </w:rPr>
        <w:t>根据《财政部关于在政府采购活动中查询及使用信用记录有关问题的通知》（财库﹝2016﹞125号）的要求，凡拟参加本次招标项目的供应商，如在“信用中国”网站（ www.creditchina.gov.cn） 被列入失信被执行人、重大税收违法案件当事人名单(信用服务-失信惩戒对象查询-搜索栏输入单位全称-截图)、中国政府采购网（http://www.ccgp.gov.cn/search/cr/）严重违法失信行为记录名单的（尚在处罚期内的），“国家企业信用信息公示系统（http://www.gsxt.gov.cn）”列入严重违法失信企业名单（黑名单）信息及企业信用信息公示报告；将拒绝其参加本次招标活动；</w:t>
      </w:r>
      <w:bookmarkEnd w:id="252"/>
    </w:p>
    <w:p>
      <w:pPr>
        <w:rPr>
          <w:rFonts w:hint="eastAsia" w:ascii="宋体" w:hAnsi="宋体" w:eastAsia="宋体" w:cs="宋体"/>
          <w:b/>
          <w:color w:val="auto"/>
          <w:kern w:val="0"/>
          <w:sz w:val="24"/>
          <w:szCs w:val="24"/>
          <w:highlight w:val="none"/>
          <w:lang w:val="en-US" w:eastAsia="zh-CN" w:bidi="ar-SA"/>
        </w:rPr>
      </w:pPr>
    </w:p>
    <w:p>
      <w:pPr>
        <w:pStyle w:val="6"/>
        <w:rPr>
          <w:rFonts w:hint="eastAsia" w:ascii="宋体" w:hAnsi="宋体" w:eastAsia="宋体" w:cs="宋体"/>
          <w:color w:val="auto"/>
          <w:sz w:val="24"/>
          <w:szCs w:val="24"/>
          <w:highlight w:val="none"/>
          <w:lang w:val="en-US" w:eastAsia="zh-CN"/>
        </w:rPr>
      </w:pPr>
    </w:p>
    <w:p>
      <w:pPr>
        <w:rPr>
          <w:rFonts w:hint="eastAsia" w:ascii="宋体" w:hAnsi="宋体" w:eastAsia="宋体" w:cs="宋体"/>
          <w:color w:val="auto"/>
          <w:sz w:val="24"/>
          <w:szCs w:val="24"/>
          <w:highlight w:val="none"/>
          <w:lang w:val="en-US" w:eastAsia="zh-CN"/>
        </w:rPr>
      </w:pPr>
    </w:p>
    <w:p>
      <w:pPr>
        <w:pStyle w:val="19"/>
        <w:rPr>
          <w:rFonts w:hint="eastAsia" w:ascii="宋体" w:hAnsi="宋体" w:eastAsia="宋体" w:cs="宋体"/>
          <w:color w:val="auto"/>
          <w:sz w:val="24"/>
          <w:szCs w:val="24"/>
          <w:highlight w:val="none"/>
          <w:lang w:val="en-US" w:eastAsia="zh-CN"/>
        </w:rPr>
      </w:pPr>
    </w:p>
    <w:p>
      <w:pPr>
        <w:ind w:firstLine="241" w:firstLineChars="100"/>
        <w:outlineLvl w:val="1"/>
        <w:rPr>
          <w:rFonts w:hint="eastAsia" w:ascii="宋体" w:hAnsi="宋体" w:eastAsia="宋体" w:cs="宋体"/>
          <w:b/>
          <w:color w:val="auto"/>
          <w:sz w:val="24"/>
          <w:szCs w:val="24"/>
          <w:highlight w:val="none"/>
          <w:lang w:val="en-US" w:eastAsia="zh-CN"/>
        </w:rPr>
      </w:pPr>
      <w:bookmarkStart w:id="253" w:name="_Toc30494"/>
      <w:bookmarkStart w:id="254" w:name="_Toc12074"/>
      <w:r>
        <w:rPr>
          <w:rFonts w:hint="eastAsia" w:ascii="宋体" w:hAnsi="宋体" w:eastAsia="宋体" w:cs="宋体"/>
          <w:b/>
          <w:color w:val="auto"/>
          <w:kern w:val="0"/>
          <w:sz w:val="24"/>
          <w:szCs w:val="24"/>
          <w:highlight w:val="none"/>
          <w:lang w:val="en-US" w:eastAsia="zh-CN" w:bidi="ar-SA"/>
        </w:rPr>
        <w:t>9.</w:t>
      </w:r>
      <w:bookmarkEnd w:id="253"/>
      <w:r>
        <w:rPr>
          <w:rFonts w:hint="eastAsia" w:ascii="宋体" w:hAnsi="宋体" w:eastAsia="宋体" w:cs="宋体"/>
          <w:b/>
          <w:color w:val="auto"/>
          <w:kern w:val="0"/>
          <w:sz w:val="24"/>
          <w:szCs w:val="24"/>
          <w:highlight w:val="none"/>
          <w:lang w:val="en-US" w:eastAsia="zh-CN" w:bidi="ar-SA"/>
        </w:rPr>
        <w:t>参与政府采购活动前3年内未被列入失信、重大税收违法案件、财政部门禁止参加政府采购活动的承诺书；</w:t>
      </w:r>
      <w:bookmarkEnd w:id="254"/>
    </w:p>
    <w:p>
      <w:pPr>
        <w:tabs>
          <w:tab w:val="left" w:pos="1009"/>
        </w:tabs>
        <w:bidi w:val="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ab/>
      </w:r>
    </w:p>
    <w:p>
      <w:pPr>
        <w:pStyle w:val="19"/>
        <w:ind w:left="0" w:leftChars="0" w:firstLine="0" w:firstLineChars="0"/>
        <w:rPr>
          <w:rFonts w:hint="eastAsia" w:ascii="宋体" w:hAnsi="宋体" w:eastAsia="宋体" w:cs="宋体"/>
          <w:color w:val="auto"/>
          <w:sz w:val="24"/>
          <w:szCs w:val="24"/>
          <w:highlight w:val="none"/>
          <w:lang w:val="en-US" w:eastAsia="zh-CN"/>
        </w:rPr>
      </w:pPr>
    </w:p>
    <w:p>
      <w:pPr>
        <w:pStyle w:val="19"/>
        <w:ind w:left="0" w:leftChars="0" w:firstLine="482" w:firstLineChars="200"/>
        <w:outlineLvl w:val="1"/>
        <w:rPr>
          <w:rFonts w:hint="eastAsia" w:ascii="宋体" w:hAnsi="宋体" w:eastAsia="宋体" w:cs="宋体"/>
          <w:color w:val="auto"/>
          <w:sz w:val="24"/>
          <w:szCs w:val="24"/>
          <w:highlight w:val="none"/>
          <w:lang w:val="en-US" w:eastAsia="zh-CN"/>
        </w:rPr>
      </w:pPr>
      <w:bookmarkStart w:id="255" w:name="_Toc9663"/>
      <w:r>
        <w:rPr>
          <w:rFonts w:hint="eastAsia" w:ascii="宋体" w:hAnsi="宋体" w:eastAsia="宋体" w:cs="宋体"/>
          <w:b/>
          <w:color w:val="auto"/>
          <w:kern w:val="0"/>
          <w:sz w:val="24"/>
          <w:szCs w:val="24"/>
          <w:highlight w:val="none"/>
          <w:lang w:val="en-US" w:eastAsia="zh-CN" w:bidi="ar-SA"/>
        </w:rPr>
        <w:t>10.提供针对本次项目《反商业贿赂承诺书》；</w:t>
      </w:r>
      <w:bookmarkEnd w:id="255"/>
    </w:p>
    <w:p>
      <w:pPr>
        <w:bidi w:val="0"/>
        <w:rPr>
          <w:rFonts w:hint="eastAsia" w:ascii="宋体" w:hAnsi="宋体" w:eastAsia="宋体" w:cs="宋体"/>
          <w:color w:val="auto"/>
          <w:sz w:val="24"/>
          <w:szCs w:val="24"/>
          <w:highlight w:val="none"/>
          <w:lang w:val="en-US" w:eastAsia="zh-CN"/>
        </w:rPr>
      </w:pPr>
    </w:p>
    <w:p>
      <w:pPr>
        <w:numPr>
          <w:ilvl w:val="0"/>
          <w:numId w:val="0"/>
        </w:numPr>
        <w:ind w:firstLine="241" w:firstLineChars="100"/>
        <w:outlineLvl w:val="1"/>
        <w:rPr>
          <w:rFonts w:hint="eastAsia" w:ascii="宋体" w:hAnsi="宋体" w:eastAsia="宋体" w:cs="宋体"/>
          <w:b/>
          <w:color w:val="auto"/>
          <w:kern w:val="0"/>
          <w:sz w:val="24"/>
          <w:szCs w:val="24"/>
          <w:highlight w:val="none"/>
          <w:lang w:val="en-US" w:eastAsia="zh-CN" w:bidi="ar-SA"/>
        </w:rPr>
      </w:pPr>
      <w:bookmarkStart w:id="256" w:name="_Toc29731"/>
      <w:r>
        <w:rPr>
          <w:rFonts w:hint="eastAsia" w:ascii="宋体" w:hAnsi="宋体" w:eastAsia="宋体" w:cs="宋体"/>
          <w:b/>
          <w:color w:val="auto"/>
          <w:kern w:val="0"/>
          <w:sz w:val="24"/>
          <w:szCs w:val="24"/>
          <w:highlight w:val="none"/>
          <w:lang w:val="en-US" w:eastAsia="zh-CN" w:bidi="ar-SA"/>
        </w:rPr>
        <w:t>11.</w:t>
      </w:r>
      <w:r>
        <w:rPr>
          <w:rFonts w:hint="eastAsia" w:ascii="宋体" w:hAnsi="宋体" w:cs="宋体"/>
          <w:b/>
          <w:color w:val="auto"/>
          <w:kern w:val="0"/>
          <w:sz w:val="24"/>
          <w:szCs w:val="24"/>
          <w:highlight w:val="none"/>
          <w:lang w:val="en-US" w:eastAsia="zh-CN" w:bidi="ar-SA"/>
        </w:rPr>
        <w:t>提供缴纳投标保证金的银行转账回执单</w:t>
      </w:r>
      <w:r>
        <w:rPr>
          <w:rFonts w:hint="eastAsia" w:ascii="宋体" w:hAnsi="宋体" w:eastAsia="宋体" w:cs="宋体"/>
          <w:b/>
          <w:color w:val="auto"/>
          <w:kern w:val="0"/>
          <w:sz w:val="24"/>
          <w:szCs w:val="24"/>
          <w:highlight w:val="none"/>
          <w:lang w:val="en-US" w:eastAsia="zh-CN" w:bidi="ar-SA"/>
        </w:rPr>
        <w:t>；</w:t>
      </w:r>
      <w:bookmarkEnd w:id="256"/>
    </w:p>
    <w:p>
      <w:pPr>
        <w:numPr>
          <w:ilvl w:val="0"/>
          <w:numId w:val="0"/>
        </w:numPr>
        <w:rPr>
          <w:rFonts w:hint="eastAsia" w:ascii="宋体" w:hAnsi="宋体" w:eastAsia="宋体" w:cs="宋体"/>
          <w:b/>
          <w:bCs/>
          <w:color w:val="auto"/>
          <w:sz w:val="24"/>
          <w:szCs w:val="24"/>
          <w:highlight w:val="none"/>
          <w:lang w:eastAsia="zh-CN"/>
        </w:rPr>
      </w:pPr>
    </w:p>
    <w:p>
      <w:pPr>
        <w:numPr>
          <w:ilvl w:val="0"/>
          <w:numId w:val="0"/>
        </w:numPr>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rPr>
        <w:t>注：本项目投标保证金银行转账回执单复印件以盖公章为准</w:t>
      </w:r>
      <w:r>
        <w:rPr>
          <w:rFonts w:hint="eastAsia" w:ascii="宋体" w:hAnsi="宋体" w:cs="宋体"/>
          <w:b/>
          <w:bCs/>
          <w:color w:val="auto"/>
          <w:sz w:val="24"/>
          <w:szCs w:val="24"/>
          <w:highlight w:val="none"/>
          <w:lang w:eastAsia="zh-CN"/>
        </w:rPr>
        <w:t>。</w:t>
      </w:r>
      <w:r>
        <w:rPr>
          <w:rFonts w:hint="eastAsia" w:ascii="宋体" w:hAnsi="宋体" w:eastAsia="宋体" w:cs="宋体"/>
          <w:b/>
          <w:bCs/>
          <w:color w:val="auto"/>
          <w:sz w:val="24"/>
          <w:szCs w:val="24"/>
          <w:highlight w:val="none"/>
          <w:lang w:eastAsia="zh-CN"/>
        </w:rPr>
        <w:t>）</w:t>
      </w:r>
    </w:p>
    <w:p>
      <w:pPr>
        <w:outlineLvl w:val="9"/>
        <w:rPr>
          <w:rFonts w:hint="eastAsia" w:ascii="宋体" w:hAnsi="宋体" w:eastAsia="宋体" w:cs="宋体"/>
          <w:color w:val="auto"/>
          <w:sz w:val="24"/>
          <w:szCs w:val="24"/>
          <w:highlight w:val="none"/>
        </w:rPr>
      </w:pPr>
    </w:p>
    <w:tbl>
      <w:tblPr>
        <w:tblStyle w:val="21"/>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6" w:hRule="atLeast"/>
        </w:trPr>
        <w:tc>
          <w:tcPr>
            <w:tcW w:w="8528" w:type="dxa"/>
            <w:vAlign w:val="center"/>
          </w:tcPr>
          <w:p>
            <w:pPr>
              <w:pStyle w:val="6"/>
              <w:jc w:val="center"/>
              <w:outlineLvl w:val="9"/>
              <w:rPr>
                <w:rFonts w:hint="eastAsia" w:ascii="宋体" w:hAnsi="宋体" w:eastAsia="宋体" w:cs="宋体"/>
                <w:b/>
                <w:color w:val="auto"/>
                <w:kern w:val="0"/>
                <w:sz w:val="24"/>
                <w:szCs w:val="24"/>
                <w:highlight w:val="none"/>
                <w:vertAlign w:val="baseline"/>
                <w:lang w:val="en-US" w:eastAsia="zh-CN" w:bidi="ar-SA"/>
              </w:rPr>
            </w:pPr>
            <w:r>
              <w:rPr>
                <w:rFonts w:hint="eastAsia" w:ascii="宋体" w:hAnsi="宋体" w:eastAsia="宋体" w:cs="宋体"/>
                <w:b/>
                <w:color w:val="auto"/>
                <w:kern w:val="0"/>
                <w:sz w:val="24"/>
                <w:szCs w:val="24"/>
                <w:highlight w:val="none"/>
                <w:vertAlign w:val="baseline"/>
                <w:lang w:val="en-US" w:eastAsia="zh-CN" w:bidi="ar-SA"/>
              </w:rPr>
              <w:t>银行转账回执单复印件</w:t>
            </w:r>
          </w:p>
        </w:tc>
      </w:tr>
    </w:tbl>
    <w:p>
      <w:pPr>
        <w:pStyle w:val="6"/>
        <w:outlineLvl w:val="9"/>
        <w:rPr>
          <w:rFonts w:hint="eastAsia" w:ascii="宋体" w:hAnsi="宋体" w:eastAsia="宋体" w:cs="宋体"/>
          <w:b/>
          <w:color w:val="auto"/>
          <w:kern w:val="0"/>
          <w:sz w:val="24"/>
          <w:szCs w:val="24"/>
          <w:highlight w:val="none"/>
          <w:lang w:val="en-US" w:eastAsia="zh-CN" w:bidi="ar-SA"/>
        </w:rPr>
      </w:pPr>
    </w:p>
    <w:p>
      <w:pPr>
        <w:bidi w:val="0"/>
        <w:rPr>
          <w:rFonts w:hint="eastAsia" w:ascii="宋体" w:hAnsi="宋体" w:eastAsia="宋体" w:cs="宋体"/>
          <w:color w:val="auto"/>
          <w:sz w:val="24"/>
          <w:szCs w:val="24"/>
          <w:highlight w:val="none"/>
          <w:lang w:val="en-US" w:eastAsia="zh-CN"/>
        </w:rPr>
      </w:pPr>
    </w:p>
    <w:p>
      <w:pPr>
        <w:rPr>
          <w:rFonts w:hint="eastAsia" w:ascii="宋体" w:hAnsi="宋体" w:eastAsia="宋体" w:cs="宋体"/>
          <w:b/>
          <w:color w:val="auto"/>
          <w:kern w:val="0"/>
          <w:sz w:val="24"/>
          <w:szCs w:val="24"/>
          <w:highlight w:val="none"/>
          <w:lang w:val="en-US" w:eastAsia="zh-CN" w:bidi="ar-SA"/>
        </w:rPr>
      </w:pPr>
    </w:p>
    <w:p>
      <w:pPr>
        <w:pStyle w:val="19"/>
        <w:ind w:left="0" w:leftChars="0" w:firstLine="0" w:firstLineChars="0"/>
        <w:rPr>
          <w:rFonts w:hint="eastAsia" w:ascii="宋体" w:hAnsi="宋体" w:eastAsia="宋体" w:cs="宋体"/>
          <w:b/>
          <w:color w:val="auto"/>
          <w:sz w:val="24"/>
          <w:szCs w:val="24"/>
          <w:highlight w:val="none"/>
        </w:rPr>
      </w:pPr>
    </w:p>
    <w:p>
      <w:pPr>
        <w:pStyle w:val="19"/>
        <w:rPr>
          <w:rFonts w:hint="eastAsia" w:ascii="宋体" w:hAnsi="宋体" w:eastAsia="宋体" w:cs="宋体"/>
          <w:b/>
          <w:color w:val="auto"/>
          <w:sz w:val="24"/>
          <w:szCs w:val="24"/>
          <w:highlight w:val="none"/>
        </w:rPr>
      </w:pPr>
    </w:p>
    <w:p>
      <w:pPr>
        <w:pStyle w:val="6"/>
        <w:ind w:firstLine="0"/>
        <w:rPr>
          <w:rFonts w:hint="eastAsia" w:ascii="宋体" w:hAnsi="宋体" w:eastAsia="宋体" w:cs="宋体"/>
          <w:b/>
          <w:color w:val="auto"/>
          <w:sz w:val="24"/>
          <w:szCs w:val="24"/>
          <w:highlight w:val="none"/>
        </w:rPr>
      </w:pPr>
    </w:p>
    <w:p>
      <w:pPr>
        <w:tabs>
          <w:tab w:val="left" w:pos="5580"/>
        </w:tabs>
        <w:spacing w:line="400" w:lineRule="atLeast"/>
        <w:ind w:firstLine="482" w:firstLineChars="200"/>
        <w:outlineLvl w:val="1"/>
        <w:rPr>
          <w:rFonts w:hint="eastAsia" w:ascii="宋体" w:hAnsi="宋体" w:eastAsia="宋体" w:cs="宋体"/>
          <w:b/>
          <w:color w:val="auto"/>
          <w:kern w:val="0"/>
          <w:sz w:val="24"/>
          <w:szCs w:val="24"/>
          <w:highlight w:val="none"/>
          <w:lang w:val="en-US" w:eastAsia="zh-CN" w:bidi="ar-SA"/>
        </w:rPr>
      </w:pPr>
      <w:bookmarkStart w:id="257" w:name="_Toc12542"/>
      <w:bookmarkStart w:id="258" w:name="_Toc21307"/>
      <w:bookmarkStart w:id="259" w:name="_Toc7296"/>
      <w:bookmarkStart w:id="260" w:name="_Toc3829"/>
      <w:bookmarkStart w:id="261" w:name="_Toc28906"/>
      <w:bookmarkStart w:id="262" w:name="_Toc26152"/>
      <w:r>
        <w:rPr>
          <w:rFonts w:hint="eastAsia" w:ascii="宋体" w:hAnsi="宋体" w:eastAsia="宋体" w:cs="宋体"/>
          <w:b/>
          <w:color w:val="auto"/>
          <w:kern w:val="0"/>
          <w:sz w:val="24"/>
          <w:szCs w:val="24"/>
          <w:highlight w:val="none"/>
          <w:lang w:val="en-US" w:eastAsia="zh-CN" w:bidi="ar-SA"/>
        </w:rPr>
        <w:t>12.银行开户许可证复印件或银行基本账户信息(包含：银行账号及开户行名称）；</w:t>
      </w:r>
      <w:bookmarkEnd w:id="257"/>
      <w:bookmarkEnd w:id="258"/>
      <w:bookmarkEnd w:id="259"/>
    </w:p>
    <w:p>
      <w:pPr>
        <w:pStyle w:val="6"/>
        <w:rPr>
          <w:rFonts w:hint="eastAsia" w:ascii="宋体" w:hAnsi="宋体" w:eastAsia="宋体" w:cs="宋体"/>
          <w:b/>
          <w:color w:val="auto"/>
          <w:kern w:val="0"/>
          <w:sz w:val="24"/>
          <w:szCs w:val="24"/>
          <w:highlight w:val="none"/>
          <w:lang w:val="en-US" w:eastAsia="zh-CN" w:bidi="ar-SA"/>
        </w:rPr>
      </w:pPr>
    </w:p>
    <w:p>
      <w:pPr>
        <w:rPr>
          <w:rFonts w:hint="eastAsia" w:ascii="宋体" w:hAnsi="宋体" w:eastAsia="宋体" w:cs="宋体"/>
          <w:b/>
          <w:color w:val="auto"/>
          <w:kern w:val="0"/>
          <w:sz w:val="24"/>
          <w:szCs w:val="24"/>
          <w:highlight w:val="none"/>
          <w:lang w:val="en-US" w:eastAsia="zh-CN" w:bidi="ar-SA"/>
        </w:rPr>
      </w:pPr>
    </w:p>
    <w:p>
      <w:pPr>
        <w:pStyle w:val="6"/>
        <w:rPr>
          <w:rFonts w:hint="eastAsia" w:ascii="宋体" w:hAnsi="宋体" w:eastAsia="宋体" w:cs="宋体"/>
          <w:b/>
          <w:color w:val="auto"/>
          <w:kern w:val="0"/>
          <w:sz w:val="24"/>
          <w:szCs w:val="24"/>
          <w:highlight w:val="none"/>
          <w:lang w:val="en-US" w:eastAsia="zh-CN" w:bidi="ar-SA"/>
        </w:rPr>
      </w:pPr>
    </w:p>
    <w:p>
      <w:pPr>
        <w:pStyle w:val="19"/>
        <w:ind w:left="0" w:leftChars="0" w:firstLine="0" w:firstLineChars="0"/>
        <w:rPr>
          <w:rFonts w:hint="eastAsia" w:ascii="宋体" w:hAnsi="宋体" w:eastAsia="宋体" w:cs="宋体"/>
          <w:b/>
          <w:color w:val="auto"/>
          <w:kern w:val="0"/>
          <w:sz w:val="24"/>
          <w:szCs w:val="24"/>
          <w:highlight w:val="none"/>
          <w:lang w:val="en-US" w:eastAsia="zh-CN" w:bidi="ar-SA"/>
        </w:rPr>
      </w:pPr>
    </w:p>
    <w:p>
      <w:pPr>
        <w:rPr>
          <w:rFonts w:hint="eastAsia" w:ascii="宋体" w:hAnsi="宋体" w:eastAsia="宋体" w:cs="宋体"/>
          <w:color w:val="auto"/>
          <w:sz w:val="24"/>
          <w:szCs w:val="24"/>
          <w:highlight w:val="none"/>
          <w:lang w:val="en-US" w:eastAsia="zh-CN"/>
        </w:rPr>
      </w:pPr>
    </w:p>
    <w:p>
      <w:pPr>
        <w:pStyle w:val="6"/>
        <w:rPr>
          <w:rFonts w:hint="eastAsia" w:ascii="宋体" w:hAnsi="宋体" w:eastAsia="宋体" w:cs="宋体"/>
          <w:color w:val="auto"/>
          <w:sz w:val="24"/>
          <w:szCs w:val="24"/>
          <w:highlight w:val="none"/>
          <w:lang w:val="en-US" w:eastAsia="zh-CN"/>
        </w:rPr>
      </w:pPr>
    </w:p>
    <w:p>
      <w:pPr>
        <w:tabs>
          <w:tab w:val="left" w:pos="5580"/>
        </w:tabs>
        <w:spacing w:line="400" w:lineRule="atLeast"/>
        <w:ind w:left="420" w:leftChars="200" w:firstLine="241" w:firstLineChars="100"/>
        <w:outlineLvl w:val="1"/>
        <w:rPr>
          <w:rFonts w:hint="eastAsia" w:ascii="宋体" w:hAnsi="宋体" w:eastAsia="宋体" w:cs="宋体"/>
          <w:b/>
          <w:color w:val="auto"/>
          <w:kern w:val="0"/>
          <w:sz w:val="24"/>
          <w:szCs w:val="24"/>
          <w:highlight w:val="none"/>
          <w:lang w:val="en-US" w:eastAsia="zh-CN" w:bidi="ar-SA"/>
        </w:rPr>
      </w:pPr>
      <w:bookmarkStart w:id="263" w:name="_Toc15105"/>
      <w:bookmarkStart w:id="264" w:name="_Toc23170"/>
      <w:bookmarkStart w:id="265" w:name="_Toc11003"/>
      <w:r>
        <w:rPr>
          <w:rFonts w:hint="eastAsia" w:ascii="宋体" w:hAnsi="宋体" w:eastAsia="宋体" w:cs="宋体"/>
          <w:b/>
          <w:color w:val="auto"/>
          <w:kern w:val="0"/>
          <w:sz w:val="24"/>
          <w:szCs w:val="24"/>
          <w:highlight w:val="none"/>
          <w:lang w:val="en-US" w:eastAsia="zh-CN" w:bidi="ar-SA"/>
        </w:rPr>
        <w:t>13. 供应商可提供有利于投标的其他资格证明材料。</w:t>
      </w:r>
      <w:bookmarkEnd w:id="260"/>
      <w:bookmarkEnd w:id="261"/>
      <w:bookmarkEnd w:id="262"/>
      <w:bookmarkEnd w:id="263"/>
      <w:bookmarkEnd w:id="264"/>
      <w:bookmarkEnd w:id="265"/>
    </w:p>
    <w:p>
      <w:pPr>
        <w:pStyle w:val="8"/>
        <w:rPr>
          <w:rFonts w:hint="eastAsia" w:ascii="宋体" w:hAnsi="宋体" w:eastAsia="宋体" w:cs="宋体"/>
          <w:b/>
          <w:color w:val="auto"/>
          <w:kern w:val="0"/>
          <w:szCs w:val="21"/>
          <w:highlight w:val="none"/>
        </w:rPr>
      </w:pPr>
    </w:p>
    <w:p>
      <w:pPr>
        <w:rPr>
          <w:rFonts w:hint="eastAsia" w:ascii="宋体" w:hAnsi="宋体" w:eastAsia="宋体" w:cs="宋体"/>
          <w:color w:val="auto"/>
          <w:highlight w:val="none"/>
        </w:rPr>
      </w:pPr>
    </w:p>
    <w:bookmarkEnd w:id="242"/>
    <w:bookmarkEnd w:id="243"/>
    <w:bookmarkEnd w:id="244"/>
    <w:p>
      <w:pPr>
        <w:pStyle w:val="6"/>
        <w:ind w:firstLine="0"/>
        <w:rPr>
          <w:rFonts w:hint="eastAsia" w:ascii="宋体" w:hAnsi="宋体" w:eastAsia="宋体" w:cs="宋体"/>
          <w:color w:val="auto"/>
          <w:sz w:val="21"/>
          <w:szCs w:val="21"/>
          <w:highlight w:val="none"/>
        </w:rPr>
      </w:pPr>
      <w:bookmarkStart w:id="266" w:name="_Toc515647816"/>
      <w:bookmarkStart w:id="267" w:name="_Toc30653"/>
      <w:bookmarkStart w:id="268" w:name="_Toc22967"/>
      <w:bookmarkStart w:id="269" w:name="_Toc11180"/>
    </w:p>
    <w:p>
      <w:pPr>
        <w:rPr>
          <w:rFonts w:hint="eastAsia" w:ascii="宋体" w:hAnsi="宋体" w:eastAsia="宋体" w:cs="宋体"/>
          <w:color w:val="auto"/>
          <w:sz w:val="21"/>
          <w:szCs w:val="21"/>
          <w:highlight w:val="none"/>
        </w:rPr>
      </w:pPr>
    </w:p>
    <w:p>
      <w:pPr>
        <w:pStyle w:val="19"/>
        <w:rPr>
          <w:rFonts w:hint="eastAsia" w:ascii="宋体" w:hAnsi="宋体" w:eastAsia="宋体" w:cs="宋体"/>
          <w:color w:val="auto"/>
          <w:sz w:val="21"/>
          <w:szCs w:val="21"/>
          <w:highlight w:val="none"/>
        </w:rPr>
      </w:pPr>
    </w:p>
    <w:p>
      <w:pPr>
        <w:pStyle w:val="19"/>
        <w:rPr>
          <w:rFonts w:hint="eastAsia" w:ascii="宋体" w:hAnsi="宋体" w:eastAsia="宋体" w:cs="宋体"/>
          <w:color w:val="auto"/>
          <w:sz w:val="21"/>
          <w:szCs w:val="21"/>
          <w:highlight w:val="none"/>
        </w:rPr>
      </w:pPr>
    </w:p>
    <w:p>
      <w:pPr>
        <w:pStyle w:val="19"/>
        <w:rPr>
          <w:rFonts w:hint="eastAsia" w:ascii="宋体" w:hAnsi="宋体" w:eastAsia="宋体" w:cs="宋体"/>
          <w:color w:val="auto"/>
          <w:sz w:val="21"/>
          <w:szCs w:val="21"/>
          <w:highlight w:val="none"/>
        </w:rPr>
      </w:pPr>
    </w:p>
    <w:p>
      <w:pPr>
        <w:pStyle w:val="19"/>
        <w:rPr>
          <w:rFonts w:hint="eastAsia" w:ascii="宋体" w:hAnsi="宋体" w:eastAsia="宋体" w:cs="宋体"/>
          <w:color w:val="auto"/>
          <w:sz w:val="21"/>
          <w:szCs w:val="21"/>
          <w:highlight w:val="none"/>
        </w:rPr>
      </w:pPr>
    </w:p>
    <w:p>
      <w:pPr>
        <w:pStyle w:val="19"/>
        <w:rPr>
          <w:rFonts w:hint="eastAsia" w:ascii="宋体" w:hAnsi="宋体" w:eastAsia="宋体" w:cs="宋体"/>
          <w:color w:val="auto"/>
          <w:sz w:val="21"/>
          <w:szCs w:val="21"/>
          <w:highlight w:val="none"/>
        </w:rPr>
      </w:pPr>
    </w:p>
    <w:p>
      <w:pPr>
        <w:pStyle w:val="6"/>
        <w:ind w:left="0" w:leftChars="0" w:firstLine="0" w:firstLineChars="0"/>
        <w:rPr>
          <w:rFonts w:hint="eastAsia" w:ascii="宋体" w:hAnsi="宋体" w:eastAsia="宋体" w:cs="宋体"/>
          <w:color w:val="auto"/>
          <w:highlight w:val="none"/>
        </w:rPr>
      </w:pPr>
    </w:p>
    <w:p>
      <w:pPr>
        <w:pStyle w:val="4"/>
        <w:numPr>
          <w:ilvl w:val="0"/>
          <w:numId w:val="6"/>
        </w:numPr>
        <w:spacing w:before="0" w:line="240" w:lineRule="atLeast"/>
        <w:ind w:left="1080" w:leftChars="257" w:hanging="540"/>
        <w:rPr>
          <w:rFonts w:hint="eastAsia" w:ascii="宋体" w:hAnsi="宋体" w:eastAsia="宋体" w:cs="宋体"/>
          <w:color w:val="auto"/>
          <w:kern w:val="2"/>
          <w:sz w:val="32"/>
          <w:szCs w:val="32"/>
          <w:highlight w:val="none"/>
        </w:rPr>
      </w:pPr>
      <w:r>
        <w:rPr>
          <w:rFonts w:hint="eastAsia" w:ascii="宋体" w:hAnsi="宋体" w:eastAsia="宋体" w:cs="宋体"/>
          <w:color w:val="auto"/>
          <w:kern w:val="2"/>
          <w:sz w:val="32"/>
          <w:szCs w:val="32"/>
          <w:highlight w:val="none"/>
        </w:rPr>
        <w:t xml:space="preserve"> </w:t>
      </w:r>
      <w:bookmarkStart w:id="270" w:name="_Toc2623"/>
      <w:bookmarkStart w:id="271" w:name="_Toc26066"/>
      <w:bookmarkStart w:id="272" w:name="_Toc25162"/>
      <w:r>
        <w:rPr>
          <w:rFonts w:hint="eastAsia" w:ascii="宋体" w:hAnsi="宋体" w:eastAsia="宋体" w:cs="宋体"/>
          <w:color w:val="auto"/>
          <w:kern w:val="2"/>
          <w:sz w:val="32"/>
          <w:szCs w:val="32"/>
          <w:highlight w:val="none"/>
        </w:rPr>
        <w:t>商务及技术文件</w:t>
      </w:r>
      <w:bookmarkEnd w:id="266"/>
      <w:bookmarkEnd w:id="267"/>
      <w:bookmarkEnd w:id="268"/>
      <w:bookmarkEnd w:id="269"/>
      <w:bookmarkEnd w:id="270"/>
      <w:bookmarkEnd w:id="271"/>
      <w:bookmarkEnd w:id="272"/>
    </w:p>
    <w:p>
      <w:pPr>
        <w:numPr>
          <w:ilvl w:val="0"/>
          <w:numId w:val="0"/>
        </w:numPr>
        <w:rPr>
          <w:rFonts w:hint="eastAsia" w:ascii="宋体" w:hAnsi="宋体" w:eastAsia="宋体" w:cs="宋体"/>
          <w:color w:val="auto"/>
          <w:highlight w:val="none"/>
        </w:rPr>
      </w:pPr>
    </w:p>
    <w:p>
      <w:pPr>
        <w:pStyle w:val="6"/>
        <w:rPr>
          <w:rFonts w:hint="eastAsia" w:ascii="宋体" w:hAnsi="宋体" w:eastAsia="宋体" w:cs="宋体"/>
          <w:color w:val="auto"/>
          <w:highlight w:val="none"/>
        </w:rPr>
      </w:pPr>
    </w:p>
    <w:p>
      <w:pPr>
        <w:pStyle w:val="11"/>
        <w:keepNext w:val="0"/>
        <w:keepLines w:val="0"/>
        <w:pageBreakBefore w:val="0"/>
        <w:widowControl w:val="0"/>
        <w:kinsoku/>
        <w:wordWrap/>
        <w:overflowPunct/>
        <w:topLinePunct w:val="0"/>
        <w:autoSpaceDE/>
        <w:autoSpaceDN/>
        <w:bidi w:val="0"/>
        <w:adjustRightInd/>
        <w:snapToGrid/>
        <w:spacing w:line="400" w:lineRule="exact"/>
        <w:ind w:left="1079" w:leftChars="257" w:hanging="539"/>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投标书</w:t>
      </w:r>
    </w:p>
    <w:p>
      <w:pPr>
        <w:pStyle w:val="11"/>
        <w:keepNext w:val="0"/>
        <w:keepLines w:val="0"/>
        <w:pageBreakBefore w:val="0"/>
        <w:widowControl w:val="0"/>
        <w:kinsoku/>
        <w:wordWrap/>
        <w:overflowPunct/>
        <w:topLinePunct w:val="0"/>
        <w:autoSpaceDE/>
        <w:autoSpaceDN/>
        <w:bidi w:val="0"/>
        <w:adjustRightInd/>
        <w:snapToGrid/>
        <w:spacing w:line="400" w:lineRule="exact"/>
        <w:ind w:left="1080" w:leftChars="257" w:hanging="54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投标分项报价表</w:t>
      </w:r>
    </w:p>
    <w:p>
      <w:pPr>
        <w:pStyle w:val="11"/>
        <w:keepNext w:val="0"/>
        <w:keepLines w:val="0"/>
        <w:pageBreakBefore w:val="0"/>
        <w:widowControl w:val="0"/>
        <w:kinsoku/>
        <w:wordWrap/>
        <w:overflowPunct/>
        <w:topLinePunct w:val="0"/>
        <w:autoSpaceDE/>
        <w:autoSpaceDN/>
        <w:bidi w:val="0"/>
        <w:adjustRightInd/>
        <w:snapToGrid/>
        <w:spacing w:line="400" w:lineRule="exact"/>
        <w:ind w:left="1080" w:leftChars="257" w:hanging="54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货物说明一览表</w:t>
      </w:r>
    </w:p>
    <w:p>
      <w:pPr>
        <w:pStyle w:val="11"/>
        <w:keepNext w:val="0"/>
        <w:keepLines w:val="0"/>
        <w:pageBreakBefore w:val="0"/>
        <w:widowControl w:val="0"/>
        <w:kinsoku/>
        <w:wordWrap/>
        <w:overflowPunct/>
        <w:topLinePunct w:val="0"/>
        <w:autoSpaceDE/>
        <w:autoSpaceDN/>
        <w:bidi w:val="0"/>
        <w:adjustRightInd/>
        <w:snapToGrid/>
        <w:spacing w:line="400" w:lineRule="exact"/>
        <w:ind w:left="1080" w:leftChars="257" w:hanging="54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技术规格偏离表</w:t>
      </w:r>
    </w:p>
    <w:p>
      <w:pPr>
        <w:pStyle w:val="11"/>
        <w:keepNext w:val="0"/>
        <w:keepLines w:val="0"/>
        <w:pageBreakBefore w:val="0"/>
        <w:widowControl w:val="0"/>
        <w:kinsoku/>
        <w:wordWrap/>
        <w:overflowPunct/>
        <w:topLinePunct w:val="0"/>
        <w:autoSpaceDE/>
        <w:autoSpaceDN/>
        <w:bidi w:val="0"/>
        <w:adjustRightInd/>
        <w:snapToGrid/>
        <w:spacing w:line="400" w:lineRule="exact"/>
        <w:ind w:left="1080" w:leftChars="257" w:hanging="54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商务条款偏离表</w:t>
      </w:r>
    </w:p>
    <w:p>
      <w:pPr>
        <w:pStyle w:val="11"/>
        <w:keepNext w:val="0"/>
        <w:keepLines w:val="0"/>
        <w:pageBreakBefore w:val="0"/>
        <w:widowControl w:val="0"/>
        <w:kinsoku/>
        <w:wordWrap/>
        <w:overflowPunct/>
        <w:topLinePunct w:val="0"/>
        <w:autoSpaceDE/>
        <w:autoSpaceDN/>
        <w:bidi w:val="0"/>
        <w:adjustRightInd/>
        <w:snapToGrid/>
        <w:spacing w:line="400" w:lineRule="exact"/>
        <w:ind w:left="1080" w:leftChars="257" w:hanging="54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中小企业声明函</w:t>
      </w:r>
    </w:p>
    <w:p>
      <w:pPr>
        <w:pStyle w:val="11"/>
        <w:keepNext w:val="0"/>
        <w:keepLines w:val="0"/>
        <w:pageBreakBefore w:val="0"/>
        <w:widowControl w:val="0"/>
        <w:kinsoku/>
        <w:wordWrap/>
        <w:overflowPunct/>
        <w:topLinePunct w:val="0"/>
        <w:autoSpaceDE/>
        <w:autoSpaceDN/>
        <w:bidi w:val="0"/>
        <w:adjustRightInd/>
        <w:snapToGrid/>
        <w:spacing w:line="400" w:lineRule="exact"/>
        <w:ind w:left="1080" w:leftChars="257" w:hanging="540"/>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6-2 </w:t>
      </w:r>
      <w:r>
        <w:rPr>
          <w:rFonts w:hint="eastAsia" w:ascii="宋体" w:hAnsi="宋体" w:eastAsia="宋体" w:cs="宋体"/>
          <w:color w:val="auto"/>
          <w:sz w:val="24"/>
          <w:szCs w:val="24"/>
          <w:highlight w:val="none"/>
        </w:rPr>
        <w:t>残疾人福利性单位声明函</w:t>
      </w:r>
    </w:p>
    <w:p>
      <w:pPr>
        <w:pStyle w:val="11"/>
        <w:keepNext w:val="0"/>
        <w:keepLines w:val="0"/>
        <w:pageBreakBefore w:val="0"/>
        <w:widowControl w:val="0"/>
        <w:kinsoku/>
        <w:wordWrap/>
        <w:overflowPunct/>
        <w:topLinePunct w:val="0"/>
        <w:autoSpaceDE/>
        <w:autoSpaceDN/>
        <w:bidi w:val="0"/>
        <w:adjustRightInd/>
        <w:snapToGrid/>
        <w:spacing w:line="400" w:lineRule="exact"/>
        <w:ind w:left="1080" w:leftChars="257" w:hanging="54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关联单位的说明（格式自拟）</w:t>
      </w:r>
    </w:p>
    <w:p>
      <w:pPr>
        <w:pStyle w:val="11"/>
        <w:keepNext w:val="0"/>
        <w:keepLines w:val="0"/>
        <w:pageBreakBefore w:val="0"/>
        <w:widowControl w:val="0"/>
        <w:kinsoku/>
        <w:wordWrap/>
        <w:overflowPunct/>
        <w:topLinePunct w:val="0"/>
        <w:autoSpaceDE/>
        <w:autoSpaceDN/>
        <w:bidi w:val="0"/>
        <w:adjustRightInd/>
        <w:snapToGrid/>
        <w:spacing w:line="400" w:lineRule="exact"/>
        <w:ind w:left="1080" w:leftChars="257" w:hanging="54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可提供有利于投标的其他资格证明材料</w:t>
      </w:r>
      <w:bookmarkStart w:id="273" w:name="_Toc515647817"/>
      <w:bookmarkStart w:id="274" w:name="_Toc14915"/>
      <w:bookmarkStart w:id="275" w:name="_Toc2041"/>
    </w:p>
    <w:p>
      <w:pPr>
        <w:pStyle w:val="11"/>
        <w:keepNext w:val="0"/>
        <w:keepLines w:val="0"/>
        <w:pageBreakBefore w:val="0"/>
        <w:widowControl w:val="0"/>
        <w:kinsoku/>
        <w:wordWrap/>
        <w:overflowPunct/>
        <w:topLinePunct w:val="0"/>
        <w:autoSpaceDE/>
        <w:autoSpaceDN/>
        <w:bidi w:val="0"/>
        <w:adjustRightInd/>
        <w:snapToGrid/>
        <w:spacing w:line="400" w:lineRule="exact"/>
        <w:ind w:left="1080" w:leftChars="257" w:hanging="54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9</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投标文件格式范本</w:t>
      </w:r>
    </w:p>
    <w:p>
      <w:pPr>
        <w:pStyle w:val="11"/>
        <w:tabs>
          <w:tab w:val="left" w:pos="5580"/>
        </w:tabs>
        <w:spacing w:line="240" w:lineRule="atLeast"/>
        <w:rPr>
          <w:rFonts w:hint="eastAsia" w:ascii="宋体" w:hAnsi="宋体" w:eastAsia="宋体" w:cs="宋体"/>
          <w:color w:val="auto"/>
          <w:sz w:val="24"/>
          <w:szCs w:val="24"/>
          <w:highlight w:val="none"/>
        </w:rPr>
      </w:pPr>
    </w:p>
    <w:p>
      <w:pPr>
        <w:spacing w:line="360" w:lineRule="auto"/>
        <w:rPr>
          <w:rFonts w:hint="eastAsia" w:ascii="宋体" w:hAnsi="宋体" w:eastAsia="宋体" w:cs="宋体"/>
          <w:b/>
          <w:bCs/>
          <w:color w:val="auto"/>
          <w:highlight w:val="none"/>
        </w:rPr>
      </w:pPr>
    </w:p>
    <w:p>
      <w:pPr>
        <w:pStyle w:val="6"/>
        <w:rPr>
          <w:rFonts w:hint="eastAsia" w:ascii="宋体" w:hAnsi="宋体" w:eastAsia="宋体" w:cs="宋体"/>
          <w:b/>
          <w:bCs/>
          <w:color w:val="auto"/>
          <w:highlight w:val="none"/>
        </w:rPr>
      </w:pPr>
    </w:p>
    <w:p>
      <w:pPr>
        <w:pStyle w:val="6"/>
        <w:rPr>
          <w:rFonts w:hint="eastAsia" w:ascii="宋体" w:hAnsi="宋体" w:eastAsia="宋体" w:cs="宋体"/>
          <w:b/>
          <w:bCs/>
          <w:color w:val="auto"/>
          <w:highlight w:val="none"/>
        </w:rPr>
      </w:pPr>
    </w:p>
    <w:p>
      <w:pPr>
        <w:pStyle w:val="6"/>
        <w:rPr>
          <w:rFonts w:hint="eastAsia" w:ascii="宋体" w:hAnsi="宋体" w:eastAsia="宋体" w:cs="宋体"/>
          <w:b/>
          <w:bCs/>
          <w:color w:val="auto"/>
          <w:highlight w:val="none"/>
        </w:rPr>
      </w:pPr>
    </w:p>
    <w:p>
      <w:pPr>
        <w:pStyle w:val="6"/>
        <w:rPr>
          <w:rFonts w:hint="eastAsia" w:ascii="宋体" w:hAnsi="宋体" w:eastAsia="宋体" w:cs="宋体"/>
          <w:b/>
          <w:bCs/>
          <w:color w:val="auto"/>
          <w:highlight w:val="none"/>
        </w:rPr>
      </w:pPr>
    </w:p>
    <w:p>
      <w:pPr>
        <w:pStyle w:val="6"/>
        <w:rPr>
          <w:rFonts w:hint="eastAsia" w:ascii="宋体" w:hAnsi="宋体" w:eastAsia="宋体" w:cs="宋体"/>
          <w:b/>
          <w:bCs/>
          <w:color w:val="auto"/>
          <w:highlight w:val="none"/>
        </w:rPr>
      </w:pPr>
    </w:p>
    <w:p>
      <w:pPr>
        <w:pStyle w:val="6"/>
        <w:rPr>
          <w:rFonts w:hint="eastAsia" w:ascii="宋体" w:hAnsi="宋体" w:eastAsia="宋体" w:cs="宋体"/>
          <w:b/>
          <w:bCs/>
          <w:color w:val="auto"/>
          <w:highlight w:val="none"/>
        </w:rPr>
      </w:pPr>
    </w:p>
    <w:p>
      <w:pPr>
        <w:spacing w:line="360" w:lineRule="auto"/>
        <w:rPr>
          <w:rFonts w:hint="eastAsia" w:ascii="宋体" w:hAnsi="宋体" w:eastAsia="宋体" w:cs="宋体"/>
          <w:color w:val="auto"/>
          <w:sz w:val="24"/>
          <w:highlight w:val="none"/>
        </w:rPr>
      </w:pPr>
    </w:p>
    <w:p>
      <w:pPr>
        <w:pStyle w:val="11"/>
        <w:tabs>
          <w:tab w:val="left" w:pos="5580"/>
        </w:tabs>
        <w:spacing w:line="240" w:lineRule="atLeast"/>
        <w:rPr>
          <w:rFonts w:hint="eastAsia" w:ascii="宋体" w:hAnsi="宋体" w:eastAsia="宋体" w:cs="宋体"/>
          <w:color w:val="auto"/>
          <w:szCs w:val="21"/>
          <w:highlight w:val="none"/>
        </w:rPr>
      </w:pPr>
    </w:p>
    <w:p>
      <w:pPr>
        <w:pStyle w:val="11"/>
        <w:tabs>
          <w:tab w:val="left" w:pos="5580"/>
        </w:tabs>
        <w:spacing w:line="240" w:lineRule="atLeast"/>
        <w:rPr>
          <w:rFonts w:hint="eastAsia" w:ascii="宋体" w:hAnsi="宋体" w:eastAsia="宋体" w:cs="宋体"/>
          <w:color w:val="auto"/>
          <w:szCs w:val="21"/>
          <w:highlight w:val="none"/>
        </w:rPr>
      </w:pPr>
    </w:p>
    <w:p>
      <w:pPr>
        <w:pStyle w:val="11"/>
        <w:tabs>
          <w:tab w:val="left" w:pos="5580"/>
        </w:tabs>
        <w:spacing w:line="240" w:lineRule="atLeast"/>
        <w:rPr>
          <w:rFonts w:hint="eastAsia" w:ascii="宋体" w:hAnsi="宋体" w:eastAsia="宋体" w:cs="宋体"/>
          <w:color w:val="auto"/>
          <w:szCs w:val="21"/>
          <w:highlight w:val="none"/>
        </w:rPr>
      </w:pPr>
    </w:p>
    <w:p>
      <w:pPr>
        <w:pStyle w:val="11"/>
        <w:tabs>
          <w:tab w:val="left" w:pos="5580"/>
        </w:tabs>
        <w:spacing w:line="240" w:lineRule="atLeast"/>
        <w:rPr>
          <w:rFonts w:hint="eastAsia" w:ascii="宋体" w:hAnsi="宋体" w:eastAsia="宋体" w:cs="宋体"/>
          <w:color w:val="auto"/>
          <w:szCs w:val="21"/>
          <w:highlight w:val="none"/>
        </w:rPr>
      </w:pPr>
    </w:p>
    <w:p>
      <w:pPr>
        <w:pStyle w:val="11"/>
        <w:tabs>
          <w:tab w:val="left" w:pos="5580"/>
        </w:tabs>
        <w:spacing w:line="240" w:lineRule="atLeast"/>
        <w:rPr>
          <w:rFonts w:hint="eastAsia" w:ascii="宋体" w:hAnsi="宋体" w:eastAsia="宋体" w:cs="宋体"/>
          <w:color w:val="auto"/>
          <w:szCs w:val="21"/>
          <w:highlight w:val="none"/>
        </w:rPr>
      </w:pPr>
    </w:p>
    <w:p>
      <w:pPr>
        <w:pStyle w:val="11"/>
        <w:tabs>
          <w:tab w:val="left" w:pos="5580"/>
        </w:tabs>
        <w:spacing w:line="240" w:lineRule="atLeast"/>
        <w:rPr>
          <w:rFonts w:hint="eastAsia" w:ascii="宋体" w:hAnsi="宋体" w:eastAsia="宋体" w:cs="宋体"/>
          <w:color w:val="auto"/>
          <w:szCs w:val="21"/>
          <w:highlight w:val="none"/>
        </w:rPr>
      </w:pPr>
    </w:p>
    <w:p>
      <w:pPr>
        <w:pStyle w:val="11"/>
        <w:tabs>
          <w:tab w:val="left" w:pos="5580"/>
        </w:tabs>
        <w:spacing w:line="240" w:lineRule="atLeast"/>
        <w:rPr>
          <w:rFonts w:hint="eastAsia" w:ascii="宋体" w:hAnsi="宋体" w:eastAsia="宋体" w:cs="宋体"/>
          <w:color w:val="auto"/>
          <w:szCs w:val="21"/>
          <w:highlight w:val="none"/>
        </w:rPr>
      </w:pPr>
    </w:p>
    <w:p>
      <w:pPr>
        <w:pStyle w:val="11"/>
        <w:tabs>
          <w:tab w:val="left" w:pos="5580"/>
        </w:tabs>
        <w:spacing w:line="240" w:lineRule="atLeast"/>
        <w:rPr>
          <w:rFonts w:hint="eastAsia" w:ascii="宋体" w:hAnsi="宋体" w:eastAsia="宋体" w:cs="宋体"/>
          <w:color w:val="auto"/>
          <w:szCs w:val="21"/>
          <w:highlight w:val="none"/>
        </w:rPr>
      </w:pPr>
    </w:p>
    <w:p>
      <w:pPr>
        <w:pStyle w:val="11"/>
        <w:tabs>
          <w:tab w:val="left" w:pos="5580"/>
        </w:tabs>
        <w:spacing w:line="240" w:lineRule="atLeast"/>
        <w:rPr>
          <w:rFonts w:hint="eastAsia" w:ascii="宋体" w:hAnsi="宋体" w:eastAsia="宋体" w:cs="宋体"/>
          <w:color w:val="auto"/>
          <w:szCs w:val="21"/>
          <w:highlight w:val="none"/>
        </w:rPr>
      </w:pPr>
    </w:p>
    <w:p>
      <w:pPr>
        <w:pStyle w:val="11"/>
        <w:tabs>
          <w:tab w:val="left" w:pos="5580"/>
        </w:tabs>
        <w:spacing w:line="240" w:lineRule="atLeast"/>
        <w:rPr>
          <w:rFonts w:hint="eastAsia" w:ascii="宋体" w:hAnsi="宋体" w:eastAsia="宋体" w:cs="宋体"/>
          <w:color w:val="auto"/>
          <w:szCs w:val="21"/>
          <w:highlight w:val="none"/>
        </w:rPr>
      </w:pPr>
    </w:p>
    <w:p>
      <w:pPr>
        <w:pStyle w:val="11"/>
        <w:tabs>
          <w:tab w:val="left" w:pos="5580"/>
        </w:tabs>
        <w:spacing w:line="240" w:lineRule="atLeast"/>
        <w:rPr>
          <w:rFonts w:hint="eastAsia" w:ascii="宋体" w:hAnsi="宋体" w:eastAsia="宋体" w:cs="宋体"/>
          <w:color w:val="auto"/>
          <w:szCs w:val="21"/>
          <w:highlight w:val="none"/>
        </w:rPr>
      </w:pPr>
    </w:p>
    <w:p>
      <w:pPr>
        <w:pStyle w:val="11"/>
        <w:tabs>
          <w:tab w:val="left" w:pos="5580"/>
        </w:tabs>
        <w:spacing w:line="240" w:lineRule="atLeast"/>
        <w:rPr>
          <w:rFonts w:hint="eastAsia" w:ascii="宋体" w:hAnsi="宋体" w:eastAsia="宋体" w:cs="宋体"/>
          <w:color w:val="auto"/>
          <w:szCs w:val="21"/>
          <w:highlight w:val="none"/>
        </w:rPr>
      </w:pPr>
    </w:p>
    <w:p>
      <w:pPr>
        <w:pStyle w:val="11"/>
        <w:tabs>
          <w:tab w:val="left" w:pos="5580"/>
        </w:tabs>
        <w:spacing w:line="240" w:lineRule="atLeast"/>
        <w:rPr>
          <w:rFonts w:hint="eastAsia" w:ascii="宋体" w:hAnsi="宋体" w:eastAsia="宋体" w:cs="宋体"/>
          <w:color w:val="auto"/>
          <w:szCs w:val="21"/>
          <w:highlight w:val="none"/>
        </w:rPr>
      </w:pPr>
    </w:p>
    <w:p>
      <w:pPr>
        <w:pStyle w:val="11"/>
        <w:tabs>
          <w:tab w:val="left" w:pos="5580"/>
        </w:tabs>
        <w:spacing w:line="240" w:lineRule="atLeast"/>
        <w:rPr>
          <w:rFonts w:hint="eastAsia" w:ascii="宋体" w:hAnsi="宋体" w:eastAsia="宋体" w:cs="宋体"/>
          <w:color w:val="auto"/>
          <w:szCs w:val="21"/>
          <w:highlight w:val="none"/>
        </w:rPr>
      </w:pPr>
    </w:p>
    <w:p>
      <w:pPr>
        <w:pStyle w:val="11"/>
        <w:tabs>
          <w:tab w:val="left" w:pos="5580"/>
        </w:tabs>
        <w:spacing w:line="240" w:lineRule="atLeast"/>
        <w:rPr>
          <w:rFonts w:hint="eastAsia" w:ascii="宋体" w:hAnsi="宋体" w:eastAsia="宋体" w:cs="宋体"/>
          <w:color w:val="auto"/>
          <w:szCs w:val="21"/>
          <w:highlight w:val="none"/>
        </w:rPr>
      </w:pPr>
    </w:p>
    <w:p>
      <w:pPr>
        <w:pStyle w:val="11"/>
        <w:tabs>
          <w:tab w:val="left" w:pos="5580"/>
        </w:tabs>
        <w:spacing w:line="240" w:lineRule="atLeast"/>
        <w:rPr>
          <w:rFonts w:hint="eastAsia" w:ascii="宋体" w:hAnsi="宋体" w:eastAsia="宋体" w:cs="宋体"/>
          <w:color w:val="auto"/>
          <w:szCs w:val="21"/>
          <w:highlight w:val="none"/>
        </w:rPr>
      </w:pPr>
    </w:p>
    <w:p>
      <w:pPr>
        <w:pStyle w:val="11"/>
        <w:tabs>
          <w:tab w:val="left" w:pos="5580"/>
        </w:tabs>
        <w:spacing w:line="240" w:lineRule="atLeast"/>
        <w:rPr>
          <w:rFonts w:hint="eastAsia" w:ascii="宋体" w:hAnsi="宋体" w:eastAsia="宋体" w:cs="宋体"/>
          <w:color w:val="auto"/>
          <w:szCs w:val="21"/>
          <w:highlight w:val="none"/>
        </w:rPr>
      </w:pPr>
    </w:p>
    <w:p>
      <w:pPr>
        <w:pStyle w:val="11"/>
        <w:tabs>
          <w:tab w:val="left" w:pos="5580"/>
        </w:tabs>
        <w:spacing w:line="240" w:lineRule="atLeast"/>
        <w:rPr>
          <w:rFonts w:hint="eastAsia" w:ascii="宋体" w:hAnsi="宋体" w:eastAsia="宋体" w:cs="宋体"/>
          <w:color w:val="auto"/>
          <w:szCs w:val="21"/>
          <w:highlight w:val="none"/>
        </w:rPr>
      </w:pPr>
    </w:p>
    <w:p>
      <w:pPr>
        <w:pStyle w:val="11"/>
        <w:tabs>
          <w:tab w:val="left" w:pos="5580"/>
        </w:tabs>
        <w:spacing w:line="240" w:lineRule="atLeast"/>
        <w:rPr>
          <w:rFonts w:hint="eastAsia" w:ascii="宋体" w:hAnsi="宋体" w:eastAsia="宋体" w:cs="宋体"/>
          <w:color w:val="auto"/>
          <w:szCs w:val="21"/>
          <w:highlight w:val="none"/>
        </w:rPr>
      </w:pPr>
    </w:p>
    <w:p>
      <w:pPr>
        <w:pStyle w:val="11"/>
        <w:tabs>
          <w:tab w:val="left" w:pos="5580"/>
        </w:tabs>
        <w:spacing w:line="240" w:lineRule="atLeast"/>
        <w:rPr>
          <w:rFonts w:hint="eastAsia" w:ascii="宋体" w:hAnsi="宋体" w:eastAsia="宋体" w:cs="宋体"/>
          <w:color w:val="auto"/>
          <w:szCs w:val="21"/>
          <w:highlight w:val="none"/>
        </w:rPr>
      </w:pPr>
    </w:p>
    <w:p>
      <w:pPr>
        <w:pStyle w:val="11"/>
        <w:tabs>
          <w:tab w:val="left" w:pos="5580"/>
        </w:tabs>
        <w:spacing w:line="240" w:lineRule="atLeast"/>
        <w:ind w:firstLine="3373" w:firstLineChars="1600"/>
        <w:outlineLvl w:val="1"/>
        <w:rPr>
          <w:rFonts w:hint="eastAsia" w:ascii="宋体" w:hAnsi="宋体" w:eastAsia="宋体" w:cs="宋体"/>
          <w:color w:val="auto"/>
          <w:szCs w:val="21"/>
          <w:highlight w:val="none"/>
        </w:rPr>
      </w:pPr>
      <w:bookmarkStart w:id="276" w:name="_Toc30408"/>
      <w:bookmarkStart w:id="277" w:name="_Toc27134"/>
      <w:bookmarkStart w:id="278" w:name="_Toc2305"/>
      <w:bookmarkStart w:id="279" w:name="_Toc12580"/>
      <w:bookmarkStart w:id="280" w:name="_Toc695"/>
      <w:bookmarkStart w:id="281" w:name="_Toc20896"/>
      <w:bookmarkStart w:id="282" w:name="_Toc30922"/>
      <w:bookmarkStart w:id="283" w:name="_Toc17344"/>
      <w:bookmarkStart w:id="284" w:name="_Toc28678"/>
      <w:bookmarkStart w:id="285" w:name="_Toc5022"/>
      <w:bookmarkStart w:id="286" w:name="_Toc26570"/>
      <w:r>
        <w:rPr>
          <w:rFonts w:hint="eastAsia" w:ascii="宋体" w:hAnsi="宋体" w:eastAsia="宋体" w:cs="宋体"/>
          <w:b/>
          <w:bCs/>
          <w:color w:val="auto"/>
          <w:szCs w:val="21"/>
          <w:highlight w:val="none"/>
        </w:rPr>
        <w:t>1</w:t>
      </w:r>
      <w:r>
        <w:rPr>
          <w:rFonts w:hint="eastAsia" w:ascii="宋体" w:hAnsi="宋体" w:eastAsia="宋体" w:cs="宋体"/>
          <w:b/>
          <w:bCs/>
          <w:color w:val="auto"/>
          <w:szCs w:val="21"/>
          <w:highlight w:val="none"/>
          <w:lang w:eastAsia="zh-CN"/>
        </w:rPr>
        <w:t>.</w:t>
      </w:r>
      <w:r>
        <w:rPr>
          <w:rFonts w:hint="eastAsia" w:ascii="宋体" w:hAnsi="宋体" w:eastAsia="宋体" w:cs="宋体"/>
          <w:b/>
          <w:bCs/>
          <w:color w:val="auto"/>
          <w:szCs w:val="21"/>
          <w:highlight w:val="none"/>
        </w:rPr>
        <w:t>投标</w:t>
      </w:r>
      <w:bookmarkEnd w:id="222"/>
      <w:bookmarkEnd w:id="223"/>
      <w:r>
        <w:rPr>
          <w:rFonts w:hint="eastAsia" w:ascii="宋体" w:hAnsi="宋体" w:eastAsia="宋体" w:cs="宋体"/>
          <w:b/>
          <w:bCs/>
          <w:color w:val="auto"/>
          <w:szCs w:val="21"/>
          <w:highlight w:val="none"/>
        </w:rPr>
        <w:t>书</w:t>
      </w:r>
      <w:bookmarkEnd w:id="224"/>
      <w:bookmarkEnd w:id="225"/>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pPr>
        <w:tabs>
          <w:tab w:val="left" w:pos="5580"/>
        </w:tabs>
        <w:spacing w:line="400" w:lineRule="atLeast"/>
        <w:ind w:left="1080" w:hanging="108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rPr>
        <w:t>致：</w:t>
      </w:r>
      <w:r>
        <w:rPr>
          <w:rFonts w:hint="eastAsia" w:ascii="宋体" w:hAnsi="宋体" w:eastAsia="宋体" w:cs="宋体"/>
          <w:color w:val="auto"/>
          <w:szCs w:val="21"/>
          <w:highlight w:val="none"/>
          <w:u w:val="single"/>
          <w:lang w:val="en-US" w:eastAsia="zh-CN"/>
        </w:rPr>
        <w:t xml:space="preserve">        </w:t>
      </w:r>
    </w:p>
    <w:p>
      <w:pPr>
        <w:pStyle w:val="11"/>
        <w:tabs>
          <w:tab w:val="left" w:pos="5580"/>
        </w:tabs>
        <w:spacing w:line="400" w:lineRule="atLeast"/>
        <w:ind w:left="1080" w:leftChars="257" w:hanging="540"/>
        <w:rPr>
          <w:rFonts w:hint="eastAsia" w:ascii="宋体" w:hAnsi="宋体" w:eastAsia="宋体" w:cs="宋体"/>
          <w:color w:val="auto"/>
          <w:szCs w:val="21"/>
          <w:highlight w:val="none"/>
        </w:rPr>
      </w:pPr>
    </w:p>
    <w:p>
      <w:pPr>
        <w:pStyle w:val="11"/>
        <w:tabs>
          <w:tab w:val="left" w:pos="5580"/>
        </w:tabs>
        <w:spacing w:line="400" w:lineRule="atLeast"/>
        <w:ind w:left="2" w:leftChars="1"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根据贵方(</w:t>
      </w:r>
      <w:r>
        <w:rPr>
          <w:rFonts w:hint="eastAsia" w:ascii="宋体" w:hAnsi="宋体" w:eastAsia="宋体" w:cs="宋体"/>
          <w:i/>
          <w:color w:val="auto"/>
          <w:szCs w:val="21"/>
          <w:highlight w:val="none"/>
          <w:u w:val="single"/>
        </w:rPr>
        <w:t>项目名称</w:t>
      </w:r>
      <w:r>
        <w:rPr>
          <w:rFonts w:hint="eastAsia" w:ascii="宋体" w:hAnsi="宋体" w:eastAsia="宋体" w:cs="宋体"/>
          <w:color w:val="auto"/>
          <w:szCs w:val="21"/>
          <w:highlight w:val="none"/>
        </w:rPr>
        <w:t>)项目的投标邀请(</w:t>
      </w:r>
      <w:r>
        <w:rPr>
          <w:rFonts w:hint="eastAsia" w:hAnsi="宋体" w:cs="宋体"/>
          <w:i/>
          <w:color w:val="auto"/>
          <w:szCs w:val="21"/>
          <w:highlight w:val="none"/>
          <w:u w:val="single"/>
          <w:lang w:eastAsia="zh-CN"/>
        </w:rPr>
        <w:t>项目编号</w:t>
      </w:r>
      <w:r>
        <w:rPr>
          <w:rFonts w:hint="eastAsia" w:ascii="宋体" w:hAnsi="宋体" w:eastAsia="宋体" w:cs="宋体"/>
          <w:color w:val="auto"/>
          <w:szCs w:val="21"/>
          <w:highlight w:val="none"/>
        </w:rPr>
        <w:t>),签字代表(</w:t>
      </w:r>
      <w:r>
        <w:rPr>
          <w:rFonts w:hint="eastAsia" w:ascii="宋体" w:hAnsi="宋体" w:eastAsia="宋体" w:cs="宋体"/>
          <w:i/>
          <w:color w:val="auto"/>
          <w:szCs w:val="21"/>
          <w:highlight w:val="none"/>
          <w:u w:val="single"/>
        </w:rPr>
        <w:t>姓名、职务</w:t>
      </w:r>
      <w:r>
        <w:rPr>
          <w:rFonts w:hint="eastAsia" w:ascii="宋体" w:hAnsi="宋体" w:eastAsia="宋体" w:cs="宋体"/>
          <w:color w:val="auto"/>
          <w:szCs w:val="21"/>
          <w:highlight w:val="none"/>
        </w:rPr>
        <w:t>)经正式授权并代表</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w:t>
      </w:r>
      <w:r>
        <w:rPr>
          <w:rFonts w:hint="eastAsia" w:ascii="宋体" w:hAnsi="宋体" w:eastAsia="宋体" w:cs="宋体"/>
          <w:i/>
          <w:color w:val="auto"/>
          <w:szCs w:val="21"/>
          <w:highlight w:val="none"/>
          <w:u w:val="single"/>
        </w:rPr>
        <w:t>名称、地址</w:t>
      </w:r>
      <w:r>
        <w:rPr>
          <w:rFonts w:hint="eastAsia" w:ascii="宋体" w:hAnsi="宋体" w:eastAsia="宋体" w:cs="宋体"/>
          <w:color w:val="auto"/>
          <w:szCs w:val="21"/>
          <w:highlight w:val="none"/>
        </w:rPr>
        <w:t>）提交下述文件正本</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份、副本</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份及电子文档</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份，并以</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形式出具的金额为人民币</w:t>
      </w:r>
      <w:r>
        <w:rPr>
          <w:rFonts w:hint="eastAsia" w:ascii="宋体" w:hAnsi="宋体" w:eastAsia="宋体" w:cs="宋体"/>
          <w:color w:val="auto"/>
          <w:szCs w:val="21"/>
          <w:highlight w:val="none"/>
          <w:u w:val="single"/>
        </w:rPr>
        <w:t>　　　　</w:t>
      </w:r>
      <w:r>
        <w:rPr>
          <w:rFonts w:hint="eastAsia" w:ascii="宋体" w:hAnsi="宋体" w:eastAsia="宋体" w:cs="宋体"/>
          <w:color w:val="auto"/>
          <w:szCs w:val="21"/>
          <w:highlight w:val="none"/>
        </w:rPr>
        <w:t>元的投标保证金。</w:t>
      </w:r>
    </w:p>
    <w:p>
      <w:pPr>
        <w:pStyle w:val="11"/>
        <w:tabs>
          <w:tab w:val="left" w:pos="5580"/>
        </w:tabs>
        <w:spacing w:line="400" w:lineRule="atLeast"/>
        <w:ind w:left="1080" w:leftChars="257" w:hanging="540"/>
        <w:rPr>
          <w:rFonts w:hint="eastAsia" w:ascii="宋体" w:hAnsi="宋体" w:eastAsia="宋体" w:cs="宋体"/>
          <w:color w:val="auto"/>
          <w:szCs w:val="21"/>
          <w:highlight w:val="none"/>
        </w:rPr>
      </w:pPr>
      <w:r>
        <w:rPr>
          <w:rFonts w:hint="eastAsia" w:ascii="宋体" w:hAnsi="宋体" w:eastAsia="宋体" w:cs="宋体"/>
          <w:color w:val="auto"/>
          <w:szCs w:val="21"/>
          <w:highlight w:val="none"/>
        </w:rPr>
        <w:t>据此，签字代表宣布同意如下：</w:t>
      </w:r>
    </w:p>
    <w:p>
      <w:pPr>
        <w:pStyle w:val="11"/>
        <w:tabs>
          <w:tab w:val="left" w:pos="720"/>
          <w:tab w:val="left" w:pos="900"/>
        </w:tabs>
        <w:spacing w:line="400" w:lineRule="atLeast"/>
        <w:ind w:left="769" w:leftChars="257" w:hanging="229"/>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（1）附投标价格表中规定的应提供服务的投标总价详见开标一览表，</w:t>
      </w:r>
      <w:r>
        <w:rPr>
          <w:rFonts w:hint="eastAsia" w:ascii="宋体" w:hAnsi="宋体" w:eastAsia="宋体" w:cs="宋体"/>
          <w:color w:val="auto"/>
          <w:szCs w:val="21"/>
          <w:highlight w:val="none"/>
          <w:u w:val="single"/>
        </w:rPr>
        <w:t>其中由小型和</w:t>
      </w:r>
      <w:r>
        <w:rPr>
          <w:rFonts w:hint="eastAsia" w:ascii="宋体" w:hAnsi="宋体" w:eastAsia="宋体" w:cs="宋体"/>
          <w:color w:val="auto"/>
          <w:szCs w:val="21"/>
          <w:highlight w:val="none"/>
        </w:rPr>
        <w:t>微型企业制造产品的价格为</w:t>
      </w:r>
      <w:r>
        <w:rPr>
          <w:rFonts w:hint="eastAsia" w:ascii="宋体" w:hAnsi="宋体" w:eastAsia="宋体" w:cs="宋体"/>
          <w:color w:val="auto"/>
          <w:szCs w:val="21"/>
          <w:highlight w:val="none"/>
          <w:u w:val="single"/>
        </w:rPr>
        <w:t>　　  （用文字和数字表示），占投标总价   %</w:t>
      </w:r>
      <w:r>
        <w:rPr>
          <w:rFonts w:hint="eastAsia" w:ascii="宋体" w:hAnsi="宋体" w:eastAsia="宋体" w:cs="宋体"/>
          <w:color w:val="auto"/>
          <w:szCs w:val="21"/>
          <w:highlight w:val="none"/>
        </w:rPr>
        <w:t>。</w:t>
      </w:r>
    </w:p>
    <w:p>
      <w:pPr>
        <w:pStyle w:val="11"/>
        <w:tabs>
          <w:tab w:val="left" w:pos="5580"/>
        </w:tabs>
        <w:spacing w:line="400" w:lineRule="atLeast"/>
        <w:ind w:left="1080" w:leftChars="257" w:hanging="540"/>
        <w:rPr>
          <w:rFonts w:hint="eastAsia" w:ascii="宋体" w:hAnsi="宋体" w:eastAsia="宋体" w:cs="宋体"/>
          <w:color w:val="auto"/>
          <w:szCs w:val="21"/>
          <w:highlight w:val="none"/>
        </w:rPr>
      </w:pPr>
      <w:r>
        <w:rPr>
          <w:rFonts w:hint="eastAsia" w:ascii="宋体" w:hAnsi="宋体" w:eastAsia="宋体" w:cs="宋体"/>
          <w:color w:val="auto"/>
          <w:szCs w:val="21"/>
          <w:highlight w:val="none"/>
        </w:rPr>
        <w:t>（2）本投标有效期为自投标截止之日起</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single"/>
          <w:lang w:val="en-US" w:eastAsia="zh-CN"/>
        </w:rPr>
        <w:t>60</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个日历日。</w:t>
      </w:r>
    </w:p>
    <w:p>
      <w:pPr>
        <w:pStyle w:val="11"/>
        <w:tabs>
          <w:tab w:val="left" w:pos="5580"/>
        </w:tabs>
        <w:spacing w:line="400" w:lineRule="atLeast"/>
        <w:ind w:left="1080" w:leftChars="257" w:hanging="540"/>
        <w:rPr>
          <w:rFonts w:hint="eastAsia" w:ascii="宋体" w:hAnsi="宋体" w:eastAsia="宋体" w:cs="宋体"/>
          <w:color w:val="auto"/>
          <w:szCs w:val="21"/>
          <w:highlight w:val="none"/>
        </w:rPr>
      </w:pPr>
      <w:r>
        <w:rPr>
          <w:rFonts w:hint="eastAsia" w:ascii="宋体" w:hAnsi="宋体" w:eastAsia="宋体" w:cs="宋体"/>
          <w:color w:val="auto"/>
          <w:szCs w:val="21"/>
          <w:highlight w:val="none"/>
        </w:rPr>
        <w:t>（3）联合体中的大中型企业和其他自然人、法人或者非法人组织，与联合体中的小型、微型企业之间</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存在、不存在）投资关系（如果是联合体的话）。</w:t>
      </w:r>
    </w:p>
    <w:p>
      <w:pPr>
        <w:pStyle w:val="11"/>
        <w:tabs>
          <w:tab w:val="left" w:pos="5580"/>
        </w:tabs>
        <w:spacing w:line="400" w:lineRule="atLeast"/>
        <w:ind w:left="1080" w:leftChars="257" w:hanging="540"/>
        <w:rPr>
          <w:rFonts w:hint="eastAsia" w:ascii="宋体" w:hAnsi="宋体" w:eastAsia="宋体" w:cs="宋体"/>
          <w:color w:val="auto"/>
          <w:szCs w:val="21"/>
          <w:highlight w:val="none"/>
        </w:rPr>
      </w:pPr>
      <w:r>
        <w:rPr>
          <w:rFonts w:hint="eastAsia" w:ascii="宋体" w:hAnsi="宋体" w:eastAsia="宋体" w:cs="宋体"/>
          <w:color w:val="auto"/>
          <w:szCs w:val="21"/>
          <w:highlight w:val="none"/>
        </w:rPr>
        <w:t>（4）已详细审查全部招标文件，包括所有补充通知（如果有的话），完全理解并同意放弃对这方面有不明、误解和质疑的权力。</w:t>
      </w:r>
    </w:p>
    <w:p>
      <w:pPr>
        <w:pStyle w:val="11"/>
        <w:tabs>
          <w:tab w:val="left" w:pos="5580"/>
        </w:tabs>
        <w:spacing w:line="400" w:lineRule="atLeast"/>
        <w:ind w:left="1080" w:leftChars="257" w:hanging="540"/>
        <w:rPr>
          <w:rFonts w:hint="eastAsia" w:ascii="宋体" w:hAnsi="宋体" w:eastAsia="宋体" w:cs="宋体"/>
          <w:color w:val="auto"/>
          <w:szCs w:val="21"/>
          <w:highlight w:val="none"/>
        </w:rPr>
      </w:pPr>
      <w:r>
        <w:rPr>
          <w:rFonts w:hint="eastAsia" w:ascii="宋体" w:hAnsi="宋体" w:eastAsia="宋体" w:cs="宋体"/>
          <w:color w:val="auto"/>
          <w:szCs w:val="21"/>
          <w:highlight w:val="none"/>
        </w:rPr>
        <w:t>（5）在规定的开标时间后，遵守招标文件中有关保证金的规定。</w:t>
      </w:r>
    </w:p>
    <w:p>
      <w:pPr>
        <w:pStyle w:val="11"/>
        <w:tabs>
          <w:tab w:val="left" w:pos="5580"/>
        </w:tabs>
        <w:spacing w:line="400" w:lineRule="atLeast"/>
        <w:ind w:left="1080" w:leftChars="257" w:hanging="540"/>
        <w:rPr>
          <w:rFonts w:hint="eastAsia" w:ascii="宋体" w:hAnsi="宋体" w:eastAsia="宋体" w:cs="宋体"/>
          <w:color w:val="auto"/>
          <w:szCs w:val="21"/>
          <w:highlight w:val="none"/>
        </w:rPr>
      </w:pPr>
      <w:r>
        <w:rPr>
          <w:rFonts w:hint="eastAsia" w:ascii="宋体" w:hAnsi="宋体" w:eastAsia="宋体" w:cs="宋体"/>
          <w:color w:val="auto"/>
          <w:szCs w:val="21"/>
          <w:highlight w:val="none"/>
        </w:rPr>
        <w:t>（6）我方不是为本项目提供整体设计、规范编制或者项目管理、监理、检测等服务的供应商，我方不是采购代理机构的附属机构。</w:t>
      </w:r>
    </w:p>
    <w:p>
      <w:pPr>
        <w:pStyle w:val="11"/>
        <w:tabs>
          <w:tab w:val="left" w:pos="5580"/>
        </w:tabs>
        <w:spacing w:line="400" w:lineRule="atLeast"/>
        <w:ind w:left="1080" w:leftChars="257" w:hanging="540"/>
        <w:rPr>
          <w:rFonts w:hint="eastAsia" w:ascii="宋体" w:hAnsi="宋体" w:eastAsia="宋体" w:cs="宋体"/>
          <w:color w:val="auto"/>
          <w:szCs w:val="21"/>
          <w:highlight w:val="none"/>
        </w:rPr>
      </w:pPr>
      <w:r>
        <w:rPr>
          <w:rFonts w:hint="eastAsia" w:ascii="宋体" w:hAnsi="宋体" w:eastAsia="宋体" w:cs="宋体"/>
          <w:color w:val="auto"/>
          <w:szCs w:val="21"/>
          <w:highlight w:val="none"/>
        </w:rPr>
        <w:t>（7）在领取中标通知书的同时按招标文件规定的形式，向贵方一次性支付中标服务费。</w:t>
      </w:r>
    </w:p>
    <w:p>
      <w:pPr>
        <w:pStyle w:val="11"/>
        <w:tabs>
          <w:tab w:val="left" w:pos="5580"/>
        </w:tabs>
        <w:spacing w:line="400" w:lineRule="atLeast"/>
        <w:ind w:left="1080" w:leftChars="257" w:hanging="540"/>
        <w:rPr>
          <w:rFonts w:hint="eastAsia" w:ascii="宋体" w:hAnsi="宋体" w:eastAsia="宋体" w:cs="宋体"/>
          <w:color w:val="auto"/>
          <w:szCs w:val="21"/>
          <w:highlight w:val="none"/>
        </w:rPr>
      </w:pPr>
      <w:r>
        <w:rPr>
          <w:rFonts w:hint="eastAsia" w:ascii="宋体" w:hAnsi="宋体" w:eastAsia="宋体" w:cs="宋体"/>
          <w:color w:val="auto"/>
          <w:szCs w:val="21"/>
          <w:highlight w:val="none"/>
        </w:rPr>
        <w:t>（8）按照贵方可能要求，提供与其投标有关的一切数据或资料，完全理解贵方不一定接受最低价的投标或收到的任何投标。</w:t>
      </w:r>
    </w:p>
    <w:p>
      <w:pPr>
        <w:pStyle w:val="11"/>
        <w:tabs>
          <w:tab w:val="left" w:pos="5580"/>
        </w:tabs>
        <w:spacing w:line="400" w:lineRule="atLeast"/>
        <w:ind w:left="1080" w:leftChars="257" w:hanging="540"/>
        <w:rPr>
          <w:rFonts w:hint="eastAsia" w:ascii="宋体" w:hAnsi="宋体" w:eastAsia="宋体" w:cs="宋体"/>
          <w:color w:val="auto"/>
          <w:szCs w:val="21"/>
          <w:highlight w:val="none"/>
        </w:rPr>
      </w:pPr>
      <w:r>
        <w:rPr>
          <w:rFonts w:hint="eastAsia" w:ascii="宋体" w:hAnsi="宋体" w:eastAsia="宋体" w:cs="宋体"/>
          <w:color w:val="auto"/>
          <w:szCs w:val="21"/>
          <w:highlight w:val="none"/>
        </w:rPr>
        <w:t>（9）按照招标文件的规定履行合同责任和义务。</w:t>
      </w:r>
    </w:p>
    <w:p>
      <w:pPr>
        <w:pStyle w:val="11"/>
        <w:tabs>
          <w:tab w:val="left" w:pos="5580"/>
        </w:tabs>
        <w:spacing w:line="400" w:lineRule="atLeast"/>
        <w:ind w:left="332" w:leftChars="68" w:hanging="189" w:hangingChars="90"/>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与本投标有关的一切正式往来信函请寄：</w:t>
      </w:r>
    </w:p>
    <w:p>
      <w:pPr>
        <w:pStyle w:val="11"/>
        <w:tabs>
          <w:tab w:val="left" w:pos="5580"/>
        </w:tabs>
        <w:spacing w:line="400" w:lineRule="atLeast"/>
        <w:ind w:left="1080" w:leftChars="257" w:hanging="540"/>
        <w:rPr>
          <w:rFonts w:hint="eastAsia" w:ascii="宋体" w:hAnsi="宋体" w:eastAsia="宋体" w:cs="宋体"/>
          <w:color w:val="auto"/>
          <w:szCs w:val="21"/>
          <w:highlight w:val="none"/>
        </w:rPr>
      </w:pPr>
      <w:r>
        <w:rPr>
          <w:rFonts w:hint="eastAsia" w:ascii="宋体" w:hAnsi="宋体" w:eastAsia="宋体" w:cs="宋体"/>
          <w:color w:val="auto"/>
          <w:szCs w:val="21"/>
          <w:highlight w:val="none"/>
        </w:rPr>
        <w:t>地址</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传真</w:t>
      </w:r>
      <w:r>
        <w:rPr>
          <w:rFonts w:hint="eastAsia" w:ascii="宋体" w:hAnsi="宋体" w:eastAsia="宋体" w:cs="宋体"/>
          <w:color w:val="auto"/>
          <w:szCs w:val="21"/>
          <w:highlight w:val="none"/>
          <w:u w:val="single"/>
        </w:rPr>
        <w:t xml:space="preserve">                             </w:t>
      </w:r>
    </w:p>
    <w:p>
      <w:pPr>
        <w:pStyle w:val="11"/>
        <w:tabs>
          <w:tab w:val="left" w:pos="5580"/>
        </w:tabs>
        <w:spacing w:line="400" w:lineRule="atLeast"/>
        <w:ind w:left="1080" w:leftChars="257" w:hanging="540"/>
        <w:rPr>
          <w:rFonts w:hint="eastAsia" w:ascii="宋体" w:hAnsi="宋体" w:eastAsia="宋体" w:cs="宋体"/>
          <w:color w:val="auto"/>
          <w:szCs w:val="21"/>
          <w:highlight w:val="none"/>
        </w:rPr>
      </w:pPr>
      <w:r>
        <w:rPr>
          <w:rFonts w:hint="eastAsia" w:ascii="宋体" w:hAnsi="宋体" w:eastAsia="宋体" w:cs="宋体"/>
          <w:color w:val="auto"/>
          <w:szCs w:val="21"/>
          <w:highlight w:val="none"/>
        </w:rPr>
        <w:t>电话</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电子函件</w:t>
      </w:r>
      <w:r>
        <w:rPr>
          <w:rFonts w:hint="eastAsia" w:ascii="宋体" w:hAnsi="宋体" w:eastAsia="宋体" w:cs="宋体"/>
          <w:color w:val="auto"/>
          <w:szCs w:val="21"/>
          <w:highlight w:val="none"/>
          <w:u w:val="single"/>
        </w:rPr>
        <w:t xml:space="preserve">                         </w:t>
      </w:r>
    </w:p>
    <w:p>
      <w:pPr>
        <w:pStyle w:val="11"/>
        <w:tabs>
          <w:tab w:val="left" w:pos="5580"/>
        </w:tabs>
        <w:spacing w:line="400" w:lineRule="atLeast"/>
        <w:ind w:left="1080" w:leftChars="257" w:hanging="540"/>
        <w:rPr>
          <w:rFonts w:hint="eastAsia" w:ascii="宋体" w:hAnsi="宋体" w:eastAsia="宋体" w:cs="宋体"/>
          <w:color w:val="auto"/>
          <w:szCs w:val="21"/>
          <w:highlight w:val="none"/>
        </w:rPr>
      </w:pPr>
      <w:r>
        <w:rPr>
          <w:rFonts w:hint="eastAsia" w:ascii="宋体" w:hAnsi="宋体" w:eastAsia="宋体" w:cs="宋体"/>
          <w:color w:val="auto"/>
          <w:szCs w:val="21"/>
          <w:highlight w:val="none"/>
        </w:rPr>
        <w:t>法定代表人或其委托代理人</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签/章</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u w:val="single"/>
        </w:rPr>
        <w:t xml:space="preserve">                         </w:t>
      </w:r>
    </w:p>
    <w:p>
      <w:pPr>
        <w:pStyle w:val="11"/>
        <w:tabs>
          <w:tab w:val="left" w:pos="5580"/>
        </w:tabs>
        <w:spacing w:line="400" w:lineRule="atLeast"/>
        <w:ind w:left="1080" w:leftChars="257" w:hanging="540"/>
        <w:rPr>
          <w:rFonts w:hint="eastAsia" w:ascii="宋体" w:hAnsi="宋体" w:eastAsia="宋体" w:cs="宋体"/>
          <w:color w:val="auto"/>
          <w:szCs w:val="21"/>
          <w:highlight w:val="none"/>
        </w:rPr>
      </w:pP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名称（</w:t>
      </w:r>
      <w:r>
        <w:rPr>
          <w:rFonts w:hint="eastAsia" w:ascii="宋体" w:hAnsi="宋体" w:eastAsia="宋体" w:cs="宋体"/>
          <w:color w:val="auto"/>
          <w:szCs w:val="21"/>
          <w:highlight w:val="none"/>
          <w:lang w:val="en-US" w:eastAsia="zh-CN"/>
        </w:rPr>
        <w:t>公章</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u w:val="single"/>
        </w:rPr>
        <w:t xml:space="preserve">                         </w:t>
      </w:r>
    </w:p>
    <w:p>
      <w:pPr>
        <w:pStyle w:val="11"/>
        <w:tabs>
          <w:tab w:val="left" w:pos="5580"/>
        </w:tabs>
        <w:spacing w:line="400" w:lineRule="atLeast"/>
        <w:ind w:left="1080" w:leftChars="257" w:hanging="540"/>
        <w:rPr>
          <w:rFonts w:hint="eastAsia" w:ascii="宋体" w:hAnsi="宋体" w:eastAsia="宋体" w:cs="宋体"/>
          <w:color w:val="auto"/>
          <w:szCs w:val="21"/>
          <w:highlight w:val="none"/>
        </w:rPr>
      </w:pP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开户银行（全称）</w:t>
      </w:r>
      <w:r>
        <w:rPr>
          <w:rFonts w:hint="eastAsia" w:ascii="宋体" w:hAnsi="宋体" w:eastAsia="宋体" w:cs="宋体"/>
          <w:color w:val="auto"/>
          <w:szCs w:val="21"/>
          <w:highlight w:val="none"/>
          <w:u w:val="single"/>
        </w:rPr>
        <w:t xml:space="preserve">　　　　　　 </w:t>
      </w:r>
    </w:p>
    <w:p>
      <w:pPr>
        <w:pStyle w:val="11"/>
        <w:tabs>
          <w:tab w:val="left" w:pos="5580"/>
        </w:tabs>
        <w:spacing w:line="400" w:lineRule="atLeast"/>
        <w:ind w:left="1080" w:leftChars="257" w:hanging="540"/>
        <w:rPr>
          <w:rFonts w:hint="eastAsia" w:ascii="宋体" w:hAnsi="宋体" w:eastAsia="宋体" w:cs="宋体"/>
          <w:color w:val="auto"/>
          <w:szCs w:val="21"/>
          <w:highlight w:val="none"/>
        </w:rPr>
      </w:pP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银行帐号</w:t>
      </w:r>
      <w:r>
        <w:rPr>
          <w:rFonts w:hint="eastAsia" w:ascii="宋体" w:hAnsi="宋体" w:eastAsia="宋体" w:cs="宋体"/>
          <w:color w:val="auto"/>
          <w:szCs w:val="21"/>
          <w:highlight w:val="none"/>
          <w:u w:val="single"/>
        </w:rPr>
        <w:t>　　　　　　　　 　　</w:t>
      </w:r>
    </w:p>
    <w:p>
      <w:pPr>
        <w:pStyle w:val="11"/>
        <w:tabs>
          <w:tab w:val="left" w:pos="5580"/>
        </w:tabs>
        <w:spacing w:line="400" w:lineRule="atLeast"/>
        <w:ind w:left="1080" w:leftChars="257" w:hanging="540"/>
        <w:rPr>
          <w:rFonts w:hint="eastAsia" w:ascii="宋体" w:hAnsi="宋体" w:eastAsia="宋体" w:cs="宋体"/>
          <w:color w:val="auto"/>
          <w:szCs w:val="21"/>
          <w:highlight w:val="none"/>
        </w:rPr>
      </w:pPr>
      <w:r>
        <w:rPr>
          <w:rFonts w:hint="eastAsia" w:ascii="宋体" w:hAnsi="宋体" w:eastAsia="宋体" w:cs="宋体"/>
          <w:color w:val="auto"/>
          <w:szCs w:val="21"/>
          <w:highlight w:val="none"/>
        </w:rPr>
        <w:t>日期</w:t>
      </w:r>
      <w:r>
        <w:rPr>
          <w:rFonts w:hint="eastAsia" w:ascii="宋体" w:hAnsi="宋体" w:eastAsia="宋体" w:cs="宋体"/>
          <w:color w:val="auto"/>
          <w:szCs w:val="21"/>
          <w:highlight w:val="none"/>
          <w:u w:val="single"/>
        </w:rPr>
        <w:t xml:space="preserve">                         </w:t>
      </w:r>
    </w:p>
    <w:p>
      <w:pPr>
        <w:pStyle w:val="4"/>
        <w:spacing w:before="0" w:line="240" w:lineRule="atLeast"/>
        <w:ind w:left="1080" w:leftChars="257" w:hanging="54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br w:type="page"/>
      </w:r>
      <w:bookmarkStart w:id="287" w:name="_Toc1266"/>
      <w:bookmarkStart w:id="288" w:name="_Toc19819"/>
      <w:bookmarkStart w:id="289" w:name="_Toc23473"/>
      <w:bookmarkStart w:id="290" w:name="_Toc19539"/>
      <w:bookmarkStart w:id="291" w:name="_Toc213"/>
      <w:bookmarkStart w:id="292" w:name="_Toc23851"/>
      <w:bookmarkStart w:id="293" w:name="_Toc12429"/>
      <w:bookmarkStart w:id="294" w:name="_Toc5486"/>
      <w:bookmarkStart w:id="295" w:name="_Toc30247"/>
      <w:bookmarkStart w:id="296" w:name="_Toc19746"/>
      <w:bookmarkStart w:id="297" w:name="_Toc4976"/>
      <w:bookmarkStart w:id="298" w:name="_Toc20836"/>
      <w:bookmarkStart w:id="299" w:name="_Toc6643"/>
      <w:r>
        <w:rPr>
          <w:rFonts w:hint="eastAsia" w:ascii="宋体" w:hAnsi="宋体" w:eastAsia="宋体" w:cs="宋体"/>
          <w:b/>
          <w:bCs/>
          <w:color w:val="auto"/>
          <w:sz w:val="21"/>
          <w:szCs w:val="21"/>
          <w:highlight w:val="none"/>
        </w:rPr>
        <w:t>2</w:t>
      </w:r>
      <w:bookmarkEnd w:id="287"/>
      <w:bookmarkEnd w:id="288"/>
      <w:bookmarkEnd w:id="289"/>
      <w:bookmarkStart w:id="300" w:name="_Toc20897"/>
      <w:bookmarkStart w:id="301" w:name="_Toc216582815"/>
      <w:bookmarkStart w:id="302" w:name="_Toc515647818"/>
      <w:bookmarkStart w:id="303" w:name="_Toc1881"/>
      <w:bookmarkStart w:id="304" w:name="_Toc5101"/>
      <w:bookmarkStart w:id="305" w:name="_Toc22563"/>
      <w:bookmarkStart w:id="306" w:name="_Toc216582817"/>
      <w:bookmarkStart w:id="307" w:name="_Toc515647820"/>
      <w:bookmarkStart w:id="308" w:name="_Toc28959"/>
      <w:r>
        <w:rPr>
          <w:rFonts w:hint="eastAsia" w:ascii="宋体" w:hAnsi="宋体" w:eastAsia="宋体" w:cs="宋体"/>
          <w:b/>
          <w:bCs/>
          <w:color w:val="auto"/>
          <w:sz w:val="21"/>
          <w:szCs w:val="21"/>
          <w:highlight w:val="none"/>
          <w:lang w:val="en-US" w:eastAsia="zh-CN"/>
        </w:rPr>
        <w:t>.</w:t>
      </w:r>
      <w:r>
        <w:rPr>
          <w:rFonts w:hint="eastAsia" w:ascii="宋体" w:hAnsi="宋体" w:eastAsia="宋体" w:cs="宋体"/>
          <w:b/>
          <w:bCs/>
          <w:color w:val="auto"/>
          <w:sz w:val="21"/>
          <w:szCs w:val="21"/>
          <w:highlight w:val="none"/>
        </w:rPr>
        <w:t>投标分项报价表</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pPr>
        <w:pStyle w:val="11"/>
        <w:spacing w:line="240" w:lineRule="atLeast"/>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项目名称:                      </w:t>
      </w:r>
      <w:r>
        <w:rPr>
          <w:rFonts w:hint="eastAsia" w:hAnsi="宋体" w:cs="宋体"/>
          <w:color w:val="auto"/>
          <w:szCs w:val="21"/>
          <w:highlight w:val="none"/>
          <w:lang w:eastAsia="zh-CN"/>
        </w:rPr>
        <w:t>项目编号</w:t>
      </w:r>
      <w:r>
        <w:rPr>
          <w:rFonts w:hint="eastAsia" w:ascii="宋体" w:hAnsi="宋体" w:eastAsia="宋体" w:cs="宋体"/>
          <w:color w:val="auto"/>
          <w:szCs w:val="21"/>
          <w:highlight w:val="none"/>
        </w:rPr>
        <w:t xml:space="preserve">:                       </w:t>
      </w:r>
    </w:p>
    <w:tbl>
      <w:tblPr>
        <w:tblStyle w:val="20"/>
        <w:tblpPr w:leftFromText="180" w:rightFromText="180" w:vertAnchor="text" w:horzAnchor="page" w:tblpX="797" w:tblpY="267"/>
        <w:tblOverlap w:val="never"/>
        <w:tblW w:w="105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1336"/>
        <w:gridCol w:w="1539"/>
        <w:gridCol w:w="770"/>
        <w:gridCol w:w="693"/>
        <w:gridCol w:w="693"/>
        <w:gridCol w:w="1015"/>
        <w:gridCol w:w="1417"/>
        <w:gridCol w:w="692"/>
        <w:gridCol w:w="843"/>
        <w:gridCol w:w="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trPr>
        <w:tc>
          <w:tcPr>
            <w:tcW w:w="754" w:type="dxa"/>
            <w:noWrap/>
            <w:vAlign w:val="center"/>
          </w:tcPr>
          <w:p>
            <w:pPr>
              <w:pStyle w:val="11"/>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1336" w:type="dxa"/>
            <w:noWrap/>
            <w:vAlign w:val="center"/>
          </w:tcPr>
          <w:p>
            <w:pPr>
              <w:pStyle w:val="11"/>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名称</w:t>
            </w:r>
          </w:p>
        </w:tc>
        <w:tc>
          <w:tcPr>
            <w:tcW w:w="1539" w:type="dxa"/>
            <w:noWrap/>
            <w:vAlign w:val="center"/>
          </w:tcPr>
          <w:p>
            <w:pPr>
              <w:pStyle w:val="11"/>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型号和规格</w:t>
            </w:r>
          </w:p>
        </w:tc>
        <w:tc>
          <w:tcPr>
            <w:tcW w:w="770" w:type="dxa"/>
            <w:noWrap/>
            <w:vAlign w:val="center"/>
          </w:tcPr>
          <w:p>
            <w:pPr>
              <w:pStyle w:val="11"/>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数量</w:t>
            </w:r>
          </w:p>
        </w:tc>
        <w:tc>
          <w:tcPr>
            <w:tcW w:w="693" w:type="dxa"/>
            <w:noWrap/>
            <w:vAlign w:val="center"/>
          </w:tcPr>
          <w:p>
            <w:pPr>
              <w:pStyle w:val="11"/>
              <w:spacing w:line="40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单位</w:t>
            </w:r>
          </w:p>
        </w:tc>
        <w:tc>
          <w:tcPr>
            <w:tcW w:w="693" w:type="dxa"/>
            <w:noWrap/>
            <w:vAlign w:val="center"/>
          </w:tcPr>
          <w:p>
            <w:pPr>
              <w:pStyle w:val="11"/>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品牌</w:t>
            </w:r>
          </w:p>
        </w:tc>
        <w:tc>
          <w:tcPr>
            <w:tcW w:w="1015" w:type="dxa"/>
            <w:noWrap/>
            <w:vAlign w:val="center"/>
          </w:tcPr>
          <w:p>
            <w:pPr>
              <w:pStyle w:val="11"/>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原产地</w:t>
            </w:r>
          </w:p>
        </w:tc>
        <w:tc>
          <w:tcPr>
            <w:tcW w:w="1417" w:type="dxa"/>
            <w:noWrap/>
            <w:vAlign w:val="center"/>
          </w:tcPr>
          <w:p>
            <w:pPr>
              <w:pStyle w:val="11"/>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制造商名称</w:t>
            </w:r>
          </w:p>
        </w:tc>
        <w:tc>
          <w:tcPr>
            <w:tcW w:w="692" w:type="dxa"/>
            <w:noWrap/>
            <w:vAlign w:val="center"/>
          </w:tcPr>
          <w:p>
            <w:pPr>
              <w:pStyle w:val="11"/>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单价</w:t>
            </w:r>
          </w:p>
        </w:tc>
        <w:tc>
          <w:tcPr>
            <w:tcW w:w="843" w:type="dxa"/>
            <w:noWrap/>
            <w:vAlign w:val="center"/>
          </w:tcPr>
          <w:p>
            <w:pPr>
              <w:pStyle w:val="11"/>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总价</w:t>
            </w:r>
          </w:p>
        </w:tc>
        <w:tc>
          <w:tcPr>
            <w:tcW w:w="801" w:type="dxa"/>
            <w:noWrap/>
            <w:vAlign w:val="center"/>
          </w:tcPr>
          <w:p>
            <w:pPr>
              <w:pStyle w:val="11"/>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754" w:type="dxa"/>
            <w:noWrap/>
            <w:vAlign w:val="center"/>
          </w:tcPr>
          <w:p>
            <w:pPr>
              <w:pStyle w:val="11"/>
              <w:spacing w:line="400" w:lineRule="exact"/>
              <w:rPr>
                <w:rFonts w:hint="eastAsia" w:ascii="宋体" w:hAnsi="宋体" w:eastAsia="宋体" w:cs="宋体"/>
                <w:color w:val="auto"/>
                <w:sz w:val="24"/>
                <w:szCs w:val="24"/>
                <w:highlight w:val="none"/>
              </w:rPr>
            </w:pPr>
          </w:p>
        </w:tc>
        <w:tc>
          <w:tcPr>
            <w:tcW w:w="1336" w:type="dxa"/>
            <w:noWrap/>
            <w:vAlign w:val="center"/>
          </w:tcPr>
          <w:p>
            <w:pPr>
              <w:pStyle w:val="11"/>
              <w:spacing w:line="400" w:lineRule="exact"/>
              <w:jc w:val="center"/>
              <w:rPr>
                <w:rFonts w:hint="eastAsia" w:ascii="宋体" w:hAnsi="宋体" w:eastAsia="宋体" w:cs="宋体"/>
                <w:color w:val="auto"/>
                <w:sz w:val="24"/>
                <w:szCs w:val="24"/>
                <w:highlight w:val="none"/>
              </w:rPr>
            </w:pPr>
          </w:p>
        </w:tc>
        <w:tc>
          <w:tcPr>
            <w:tcW w:w="1539" w:type="dxa"/>
            <w:noWrap/>
            <w:vAlign w:val="center"/>
          </w:tcPr>
          <w:p>
            <w:pPr>
              <w:pStyle w:val="11"/>
              <w:spacing w:line="400" w:lineRule="exact"/>
              <w:ind w:left="1080" w:leftChars="257" w:hanging="540"/>
              <w:jc w:val="center"/>
              <w:rPr>
                <w:rFonts w:hint="eastAsia" w:ascii="宋体" w:hAnsi="宋体" w:eastAsia="宋体" w:cs="宋体"/>
                <w:color w:val="auto"/>
                <w:sz w:val="24"/>
                <w:szCs w:val="24"/>
                <w:highlight w:val="none"/>
              </w:rPr>
            </w:pPr>
          </w:p>
        </w:tc>
        <w:tc>
          <w:tcPr>
            <w:tcW w:w="770" w:type="dxa"/>
            <w:noWrap/>
            <w:vAlign w:val="center"/>
          </w:tcPr>
          <w:p>
            <w:pPr>
              <w:pStyle w:val="11"/>
              <w:spacing w:line="400" w:lineRule="exact"/>
              <w:ind w:left="1080" w:leftChars="257" w:hanging="540"/>
              <w:jc w:val="center"/>
              <w:rPr>
                <w:rFonts w:hint="eastAsia" w:ascii="宋体" w:hAnsi="宋体" w:eastAsia="宋体" w:cs="宋体"/>
                <w:color w:val="auto"/>
                <w:sz w:val="24"/>
                <w:szCs w:val="24"/>
                <w:highlight w:val="none"/>
              </w:rPr>
            </w:pPr>
          </w:p>
        </w:tc>
        <w:tc>
          <w:tcPr>
            <w:tcW w:w="693" w:type="dxa"/>
            <w:noWrap/>
            <w:vAlign w:val="center"/>
          </w:tcPr>
          <w:p>
            <w:pPr>
              <w:pStyle w:val="11"/>
              <w:spacing w:line="400" w:lineRule="exact"/>
              <w:ind w:left="1080" w:leftChars="257" w:hanging="540"/>
              <w:jc w:val="center"/>
              <w:rPr>
                <w:rFonts w:hint="eastAsia" w:ascii="宋体" w:hAnsi="宋体" w:eastAsia="宋体" w:cs="宋体"/>
                <w:color w:val="auto"/>
                <w:sz w:val="24"/>
                <w:szCs w:val="24"/>
                <w:highlight w:val="none"/>
              </w:rPr>
            </w:pPr>
          </w:p>
        </w:tc>
        <w:tc>
          <w:tcPr>
            <w:tcW w:w="693" w:type="dxa"/>
            <w:noWrap/>
            <w:vAlign w:val="center"/>
          </w:tcPr>
          <w:p>
            <w:pPr>
              <w:pStyle w:val="11"/>
              <w:spacing w:line="400" w:lineRule="exact"/>
              <w:ind w:left="1080" w:leftChars="257" w:hanging="540"/>
              <w:jc w:val="center"/>
              <w:rPr>
                <w:rFonts w:hint="eastAsia" w:ascii="宋体" w:hAnsi="宋体" w:eastAsia="宋体" w:cs="宋体"/>
                <w:color w:val="auto"/>
                <w:sz w:val="24"/>
                <w:szCs w:val="24"/>
                <w:highlight w:val="none"/>
              </w:rPr>
            </w:pPr>
          </w:p>
        </w:tc>
        <w:tc>
          <w:tcPr>
            <w:tcW w:w="1015" w:type="dxa"/>
            <w:noWrap/>
            <w:vAlign w:val="center"/>
          </w:tcPr>
          <w:p>
            <w:pPr>
              <w:pStyle w:val="11"/>
              <w:spacing w:line="400" w:lineRule="exact"/>
              <w:ind w:left="1080" w:leftChars="257" w:hanging="540"/>
              <w:jc w:val="center"/>
              <w:rPr>
                <w:rFonts w:hint="eastAsia" w:ascii="宋体" w:hAnsi="宋体" w:eastAsia="宋体" w:cs="宋体"/>
                <w:color w:val="auto"/>
                <w:sz w:val="24"/>
                <w:szCs w:val="24"/>
                <w:highlight w:val="none"/>
              </w:rPr>
            </w:pPr>
          </w:p>
        </w:tc>
        <w:tc>
          <w:tcPr>
            <w:tcW w:w="1417" w:type="dxa"/>
            <w:noWrap/>
            <w:vAlign w:val="center"/>
          </w:tcPr>
          <w:p>
            <w:pPr>
              <w:pStyle w:val="11"/>
              <w:spacing w:line="400" w:lineRule="exact"/>
              <w:ind w:left="1080" w:leftChars="257" w:hanging="540"/>
              <w:jc w:val="center"/>
              <w:rPr>
                <w:rFonts w:hint="eastAsia" w:ascii="宋体" w:hAnsi="宋体" w:eastAsia="宋体" w:cs="宋体"/>
                <w:color w:val="auto"/>
                <w:sz w:val="24"/>
                <w:szCs w:val="24"/>
                <w:highlight w:val="none"/>
              </w:rPr>
            </w:pPr>
          </w:p>
        </w:tc>
        <w:tc>
          <w:tcPr>
            <w:tcW w:w="692" w:type="dxa"/>
            <w:noWrap/>
            <w:vAlign w:val="center"/>
          </w:tcPr>
          <w:p>
            <w:pPr>
              <w:pStyle w:val="11"/>
              <w:spacing w:line="400" w:lineRule="exact"/>
              <w:ind w:left="1080" w:leftChars="257" w:hanging="540"/>
              <w:jc w:val="center"/>
              <w:rPr>
                <w:rFonts w:hint="eastAsia" w:ascii="宋体" w:hAnsi="宋体" w:eastAsia="宋体" w:cs="宋体"/>
                <w:color w:val="auto"/>
                <w:sz w:val="24"/>
                <w:szCs w:val="24"/>
                <w:highlight w:val="none"/>
              </w:rPr>
            </w:pPr>
          </w:p>
        </w:tc>
        <w:tc>
          <w:tcPr>
            <w:tcW w:w="843" w:type="dxa"/>
            <w:noWrap/>
            <w:vAlign w:val="center"/>
          </w:tcPr>
          <w:p>
            <w:pPr>
              <w:pStyle w:val="11"/>
              <w:spacing w:line="400" w:lineRule="exact"/>
              <w:ind w:left="1080" w:leftChars="257" w:hanging="540"/>
              <w:jc w:val="center"/>
              <w:rPr>
                <w:rFonts w:hint="eastAsia" w:ascii="宋体" w:hAnsi="宋体" w:eastAsia="宋体" w:cs="宋体"/>
                <w:color w:val="auto"/>
                <w:sz w:val="24"/>
                <w:szCs w:val="24"/>
                <w:highlight w:val="none"/>
              </w:rPr>
            </w:pPr>
          </w:p>
        </w:tc>
        <w:tc>
          <w:tcPr>
            <w:tcW w:w="801" w:type="dxa"/>
            <w:noWrap/>
            <w:vAlign w:val="center"/>
          </w:tcPr>
          <w:p>
            <w:pPr>
              <w:pStyle w:val="11"/>
              <w:spacing w:line="400" w:lineRule="exact"/>
              <w:ind w:left="1080" w:leftChars="257" w:hanging="54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754" w:type="dxa"/>
            <w:noWrap/>
            <w:vAlign w:val="center"/>
          </w:tcPr>
          <w:p>
            <w:pPr>
              <w:pStyle w:val="11"/>
              <w:spacing w:line="400" w:lineRule="exact"/>
              <w:rPr>
                <w:rFonts w:hint="eastAsia" w:ascii="宋体" w:hAnsi="宋体" w:eastAsia="宋体" w:cs="宋体"/>
                <w:color w:val="auto"/>
                <w:sz w:val="24"/>
                <w:szCs w:val="24"/>
                <w:highlight w:val="none"/>
              </w:rPr>
            </w:pPr>
          </w:p>
        </w:tc>
        <w:tc>
          <w:tcPr>
            <w:tcW w:w="1336" w:type="dxa"/>
            <w:noWrap/>
            <w:vAlign w:val="center"/>
          </w:tcPr>
          <w:p>
            <w:pPr>
              <w:pStyle w:val="11"/>
              <w:spacing w:line="400" w:lineRule="exact"/>
              <w:jc w:val="center"/>
              <w:rPr>
                <w:rFonts w:hint="eastAsia" w:ascii="宋体" w:hAnsi="宋体" w:eastAsia="宋体" w:cs="宋体"/>
                <w:color w:val="auto"/>
                <w:sz w:val="24"/>
                <w:szCs w:val="24"/>
                <w:highlight w:val="none"/>
              </w:rPr>
            </w:pPr>
          </w:p>
        </w:tc>
        <w:tc>
          <w:tcPr>
            <w:tcW w:w="1539" w:type="dxa"/>
            <w:noWrap/>
            <w:vAlign w:val="center"/>
          </w:tcPr>
          <w:p>
            <w:pPr>
              <w:pStyle w:val="11"/>
              <w:spacing w:line="400" w:lineRule="exact"/>
              <w:ind w:left="1080" w:leftChars="257" w:hanging="540"/>
              <w:jc w:val="center"/>
              <w:rPr>
                <w:rFonts w:hint="eastAsia" w:ascii="宋体" w:hAnsi="宋体" w:eastAsia="宋体" w:cs="宋体"/>
                <w:color w:val="auto"/>
                <w:sz w:val="24"/>
                <w:szCs w:val="24"/>
                <w:highlight w:val="none"/>
              </w:rPr>
            </w:pPr>
          </w:p>
        </w:tc>
        <w:tc>
          <w:tcPr>
            <w:tcW w:w="770" w:type="dxa"/>
            <w:noWrap/>
            <w:vAlign w:val="center"/>
          </w:tcPr>
          <w:p>
            <w:pPr>
              <w:pStyle w:val="11"/>
              <w:spacing w:line="400" w:lineRule="exact"/>
              <w:ind w:left="1080" w:leftChars="257" w:hanging="540"/>
              <w:jc w:val="center"/>
              <w:rPr>
                <w:rFonts w:hint="eastAsia" w:ascii="宋体" w:hAnsi="宋体" w:eastAsia="宋体" w:cs="宋体"/>
                <w:color w:val="auto"/>
                <w:sz w:val="24"/>
                <w:szCs w:val="24"/>
                <w:highlight w:val="none"/>
              </w:rPr>
            </w:pPr>
          </w:p>
        </w:tc>
        <w:tc>
          <w:tcPr>
            <w:tcW w:w="693" w:type="dxa"/>
            <w:noWrap/>
            <w:vAlign w:val="center"/>
          </w:tcPr>
          <w:p>
            <w:pPr>
              <w:pStyle w:val="11"/>
              <w:spacing w:line="400" w:lineRule="exact"/>
              <w:ind w:left="1080" w:leftChars="257" w:hanging="540"/>
              <w:jc w:val="center"/>
              <w:rPr>
                <w:rFonts w:hint="eastAsia" w:ascii="宋体" w:hAnsi="宋体" w:eastAsia="宋体" w:cs="宋体"/>
                <w:color w:val="auto"/>
                <w:sz w:val="24"/>
                <w:szCs w:val="24"/>
                <w:highlight w:val="none"/>
              </w:rPr>
            </w:pPr>
          </w:p>
        </w:tc>
        <w:tc>
          <w:tcPr>
            <w:tcW w:w="693" w:type="dxa"/>
            <w:noWrap/>
            <w:vAlign w:val="center"/>
          </w:tcPr>
          <w:p>
            <w:pPr>
              <w:pStyle w:val="11"/>
              <w:spacing w:line="400" w:lineRule="exact"/>
              <w:ind w:left="1080" w:leftChars="257" w:hanging="540"/>
              <w:jc w:val="center"/>
              <w:rPr>
                <w:rFonts w:hint="eastAsia" w:ascii="宋体" w:hAnsi="宋体" w:eastAsia="宋体" w:cs="宋体"/>
                <w:color w:val="auto"/>
                <w:sz w:val="24"/>
                <w:szCs w:val="24"/>
                <w:highlight w:val="none"/>
              </w:rPr>
            </w:pPr>
          </w:p>
        </w:tc>
        <w:tc>
          <w:tcPr>
            <w:tcW w:w="1015" w:type="dxa"/>
            <w:noWrap/>
            <w:vAlign w:val="center"/>
          </w:tcPr>
          <w:p>
            <w:pPr>
              <w:pStyle w:val="11"/>
              <w:spacing w:line="400" w:lineRule="exact"/>
              <w:ind w:left="1080" w:leftChars="257" w:hanging="540"/>
              <w:jc w:val="center"/>
              <w:rPr>
                <w:rFonts w:hint="eastAsia" w:ascii="宋体" w:hAnsi="宋体" w:eastAsia="宋体" w:cs="宋体"/>
                <w:color w:val="auto"/>
                <w:sz w:val="24"/>
                <w:szCs w:val="24"/>
                <w:highlight w:val="none"/>
              </w:rPr>
            </w:pPr>
          </w:p>
        </w:tc>
        <w:tc>
          <w:tcPr>
            <w:tcW w:w="1417" w:type="dxa"/>
            <w:noWrap/>
            <w:vAlign w:val="center"/>
          </w:tcPr>
          <w:p>
            <w:pPr>
              <w:pStyle w:val="11"/>
              <w:spacing w:line="400" w:lineRule="exact"/>
              <w:ind w:left="1080" w:leftChars="257" w:hanging="540"/>
              <w:jc w:val="center"/>
              <w:rPr>
                <w:rFonts w:hint="eastAsia" w:ascii="宋体" w:hAnsi="宋体" w:eastAsia="宋体" w:cs="宋体"/>
                <w:color w:val="auto"/>
                <w:sz w:val="24"/>
                <w:szCs w:val="24"/>
                <w:highlight w:val="none"/>
              </w:rPr>
            </w:pPr>
          </w:p>
        </w:tc>
        <w:tc>
          <w:tcPr>
            <w:tcW w:w="692" w:type="dxa"/>
            <w:noWrap/>
            <w:vAlign w:val="center"/>
          </w:tcPr>
          <w:p>
            <w:pPr>
              <w:pStyle w:val="11"/>
              <w:spacing w:line="400" w:lineRule="exact"/>
              <w:ind w:left="1080" w:leftChars="257" w:hanging="540"/>
              <w:jc w:val="center"/>
              <w:rPr>
                <w:rFonts w:hint="eastAsia" w:ascii="宋体" w:hAnsi="宋体" w:eastAsia="宋体" w:cs="宋体"/>
                <w:color w:val="auto"/>
                <w:sz w:val="24"/>
                <w:szCs w:val="24"/>
                <w:highlight w:val="none"/>
              </w:rPr>
            </w:pPr>
          </w:p>
        </w:tc>
        <w:tc>
          <w:tcPr>
            <w:tcW w:w="843" w:type="dxa"/>
            <w:noWrap/>
            <w:vAlign w:val="center"/>
          </w:tcPr>
          <w:p>
            <w:pPr>
              <w:pStyle w:val="11"/>
              <w:spacing w:line="400" w:lineRule="exact"/>
              <w:ind w:left="1080" w:leftChars="257" w:hanging="540"/>
              <w:jc w:val="center"/>
              <w:rPr>
                <w:rFonts w:hint="eastAsia" w:ascii="宋体" w:hAnsi="宋体" w:eastAsia="宋体" w:cs="宋体"/>
                <w:color w:val="auto"/>
                <w:sz w:val="24"/>
                <w:szCs w:val="24"/>
                <w:highlight w:val="none"/>
              </w:rPr>
            </w:pPr>
          </w:p>
        </w:tc>
        <w:tc>
          <w:tcPr>
            <w:tcW w:w="801" w:type="dxa"/>
            <w:noWrap/>
            <w:vAlign w:val="center"/>
          </w:tcPr>
          <w:p>
            <w:pPr>
              <w:pStyle w:val="11"/>
              <w:spacing w:line="400" w:lineRule="exact"/>
              <w:ind w:left="1080" w:leftChars="257" w:hanging="54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trPr>
        <w:tc>
          <w:tcPr>
            <w:tcW w:w="754" w:type="dxa"/>
            <w:noWrap/>
            <w:vAlign w:val="center"/>
          </w:tcPr>
          <w:p>
            <w:pPr>
              <w:pStyle w:val="11"/>
              <w:spacing w:line="400" w:lineRule="exact"/>
              <w:rPr>
                <w:rFonts w:hint="eastAsia" w:ascii="宋体" w:hAnsi="宋体" w:eastAsia="宋体" w:cs="宋体"/>
                <w:color w:val="auto"/>
                <w:sz w:val="24"/>
                <w:szCs w:val="24"/>
                <w:highlight w:val="none"/>
              </w:rPr>
            </w:pPr>
          </w:p>
        </w:tc>
        <w:tc>
          <w:tcPr>
            <w:tcW w:w="1336" w:type="dxa"/>
            <w:noWrap/>
            <w:vAlign w:val="center"/>
          </w:tcPr>
          <w:p>
            <w:pPr>
              <w:pStyle w:val="11"/>
              <w:spacing w:line="400" w:lineRule="exact"/>
              <w:jc w:val="center"/>
              <w:rPr>
                <w:rFonts w:hint="eastAsia" w:ascii="宋体" w:hAnsi="宋体" w:eastAsia="宋体" w:cs="宋体"/>
                <w:color w:val="auto"/>
                <w:sz w:val="24"/>
                <w:szCs w:val="24"/>
                <w:highlight w:val="none"/>
              </w:rPr>
            </w:pPr>
          </w:p>
        </w:tc>
        <w:tc>
          <w:tcPr>
            <w:tcW w:w="1539" w:type="dxa"/>
            <w:noWrap/>
            <w:vAlign w:val="center"/>
          </w:tcPr>
          <w:p>
            <w:pPr>
              <w:pStyle w:val="11"/>
              <w:spacing w:line="400" w:lineRule="exact"/>
              <w:ind w:left="1080" w:leftChars="257" w:hanging="540"/>
              <w:jc w:val="center"/>
              <w:rPr>
                <w:rFonts w:hint="eastAsia" w:ascii="宋体" w:hAnsi="宋体" w:eastAsia="宋体" w:cs="宋体"/>
                <w:color w:val="auto"/>
                <w:sz w:val="24"/>
                <w:szCs w:val="24"/>
                <w:highlight w:val="none"/>
              </w:rPr>
            </w:pPr>
          </w:p>
        </w:tc>
        <w:tc>
          <w:tcPr>
            <w:tcW w:w="770" w:type="dxa"/>
            <w:noWrap/>
            <w:vAlign w:val="center"/>
          </w:tcPr>
          <w:p>
            <w:pPr>
              <w:pStyle w:val="11"/>
              <w:spacing w:line="400" w:lineRule="exact"/>
              <w:ind w:left="1080" w:leftChars="257" w:hanging="540"/>
              <w:jc w:val="center"/>
              <w:rPr>
                <w:rFonts w:hint="eastAsia" w:ascii="宋体" w:hAnsi="宋体" w:eastAsia="宋体" w:cs="宋体"/>
                <w:color w:val="auto"/>
                <w:sz w:val="24"/>
                <w:szCs w:val="24"/>
                <w:highlight w:val="none"/>
              </w:rPr>
            </w:pPr>
          </w:p>
        </w:tc>
        <w:tc>
          <w:tcPr>
            <w:tcW w:w="693" w:type="dxa"/>
            <w:noWrap/>
            <w:vAlign w:val="center"/>
          </w:tcPr>
          <w:p>
            <w:pPr>
              <w:pStyle w:val="11"/>
              <w:spacing w:line="400" w:lineRule="exact"/>
              <w:ind w:left="1080" w:leftChars="257" w:hanging="540"/>
              <w:jc w:val="center"/>
              <w:rPr>
                <w:rFonts w:hint="eastAsia" w:ascii="宋体" w:hAnsi="宋体" w:eastAsia="宋体" w:cs="宋体"/>
                <w:color w:val="auto"/>
                <w:sz w:val="24"/>
                <w:szCs w:val="24"/>
                <w:highlight w:val="none"/>
              </w:rPr>
            </w:pPr>
          </w:p>
        </w:tc>
        <w:tc>
          <w:tcPr>
            <w:tcW w:w="693" w:type="dxa"/>
            <w:noWrap/>
            <w:vAlign w:val="center"/>
          </w:tcPr>
          <w:p>
            <w:pPr>
              <w:pStyle w:val="11"/>
              <w:spacing w:line="400" w:lineRule="exact"/>
              <w:ind w:left="1080" w:leftChars="257" w:hanging="540"/>
              <w:jc w:val="center"/>
              <w:rPr>
                <w:rFonts w:hint="eastAsia" w:ascii="宋体" w:hAnsi="宋体" w:eastAsia="宋体" w:cs="宋体"/>
                <w:color w:val="auto"/>
                <w:sz w:val="24"/>
                <w:szCs w:val="24"/>
                <w:highlight w:val="none"/>
              </w:rPr>
            </w:pPr>
          </w:p>
        </w:tc>
        <w:tc>
          <w:tcPr>
            <w:tcW w:w="1015" w:type="dxa"/>
            <w:noWrap/>
            <w:vAlign w:val="center"/>
          </w:tcPr>
          <w:p>
            <w:pPr>
              <w:pStyle w:val="11"/>
              <w:spacing w:line="400" w:lineRule="exact"/>
              <w:ind w:left="1080" w:leftChars="257" w:hanging="540"/>
              <w:jc w:val="center"/>
              <w:rPr>
                <w:rFonts w:hint="eastAsia" w:ascii="宋体" w:hAnsi="宋体" w:eastAsia="宋体" w:cs="宋体"/>
                <w:color w:val="auto"/>
                <w:sz w:val="24"/>
                <w:szCs w:val="24"/>
                <w:highlight w:val="none"/>
              </w:rPr>
            </w:pPr>
          </w:p>
        </w:tc>
        <w:tc>
          <w:tcPr>
            <w:tcW w:w="1417" w:type="dxa"/>
            <w:noWrap/>
            <w:vAlign w:val="center"/>
          </w:tcPr>
          <w:p>
            <w:pPr>
              <w:pStyle w:val="11"/>
              <w:spacing w:line="400" w:lineRule="exact"/>
              <w:ind w:left="1080" w:leftChars="257" w:hanging="540"/>
              <w:jc w:val="center"/>
              <w:rPr>
                <w:rFonts w:hint="eastAsia" w:ascii="宋体" w:hAnsi="宋体" w:eastAsia="宋体" w:cs="宋体"/>
                <w:color w:val="auto"/>
                <w:sz w:val="24"/>
                <w:szCs w:val="24"/>
                <w:highlight w:val="none"/>
              </w:rPr>
            </w:pPr>
          </w:p>
        </w:tc>
        <w:tc>
          <w:tcPr>
            <w:tcW w:w="692" w:type="dxa"/>
            <w:noWrap/>
            <w:vAlign w:val="center"/>
          </w:tcPr>
          <w:p>
            <w:pPr>
              <w:pStyle w:val="11"/>
              <w:spacing w:line="400" w:lineRule="exact"/>
              <w:ind w:left="1080" w:leftChars="257" w:hanging="540"/>
              <w:jc w:val="center"/>
              <w:rPr>
                <w:rFonts w:hint="eastAsia" w:ascii="宋体" w:hAnsi="宋体" w:eastAsia="宋体" w:cs="宋体"/>
                <w:color w:val="auto"/>
                <w:sz w:val="24"/>
                <w:szCs w:val="24"/>
                <w:highlight w:val="none"/>
              </w:rPr>
            </w:pPr>
          </w:p>
        </w:tc>
        <w:tc>
          <w:tcPr>
            <w:tcW w:w="843" w:type="dxa"/>
            <w:noWrap/>
            <w:vAlign w:val="center"/>
          </w:tcPr>
          <w:p>
            <w:pPr>
              <w:pStyle w:val="11"/>
              <w:spacing w:line="400" w:lineRule="exact"/>
              <w:ind w:left="1080" w:leftChars="257" w:hanging="540"/>
              <w:jc w:val="center"/>
              <w:rPr>
                <w:rFonts w:hint="eastAsia" w:ascii="宋体" w:hAnsi="宋体" w:eastAsia="宋体" w:cs="宋体"/>
                <w:color w:val="auto"/>
                <w:sz w:val="24"/>
                <w:szCs w:val="24"/>
                <w:highlight w:val="none"/>
              </w:rPr>
            </w:pPr>
          </w:p>
        </w:tc>
        <w:tc>
          <w:tcPr>
            <w:tcW w:w="801" w:type="dxa"/>
            <w:noWrap/>
            <w:vAlign w:val="center"/>
          </w:tcPr>
          <w:p>
            <w:pPr>
              <w:pStyle w:val="11"/>
              <w:spacing w:line="400" w:lineRule="exact"/>
              <w:ind w:left="1080" w:leftChars="257" w:hanging="54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754" w:type="dxa"/>
            <w:noWrap/>
            <w:vAlign w:val="center"/>
          </w:tcPr>
          <w:p>
            <w:pPr>
              <w:pStyle w:val="11"/>
              <w:spacing w:line="400" w:lineRule="exact"/>
              <w:rPr>
                <w:rFonts w:hint="eastAsia" w:ascii="宋体" w:hAnsi="宋体" w:eastAsia="宋体" w:cs="宋体"/>
                <w:color w:val="auto"/>
                <w:sz w:val="24"/>
                <w:szCs w:val="24"/>
                <w:highlight w:val="none"/>
              </w:rPr>
            </w:pPr>
          </w:p>
        </w:tc>
        <w:tc>
          <w:tcPr>
            <w:tcW w:w="1336" w:type="dxa"/>
            <w:noWrap/>
            <w:vAlign w:val="center"/>
          </w:tcPr>
          <w:p>
            <w:pPr>
              <w:pStyle w:val="11"/>
              <w:spacing w:line="400" w:lineRule="exact"/>
              <w:jc w:val="center"/>
              <w:rPr>
                <w:rFonts w:hint="eastAsia" w:ascii="宋体" w:hAnsi="宋体" w:eastAsia="宋体" w:cs="宋体"/>
                <w:color w:val="auto"/>
                <w:sz w:val="24"/>
                <w:szCs w:val="24"/>
                <w:highlight w:val="none"/>
              </w:rPr>
            </w:pPr>
          </w:p>
        </w:tc>
        <w:tc>
          <w:tcPr>
            <w:tcW w:w="1539" w:type="dxa"/>
            <w:noWrap/>
            <w:vAlign w:val="center"/>
          </w:tcPr>
          <w:p>
            <w:pPr>
              <w:pStyle w:val="11"/>
              <w:spacing w:line="400" w:lineRule="exact"/>
              <w:ind w:left="1080" w:leftChars="257" w:hanging="540"/>
              <w:jc w:val="center"/>
              <w:rPr>
                <w:rFonts w:hint="eastAsia" w:ascii="宋体" w:hAnsi="宋体" w:eastAsia="宋体" w:cs="宋体"/>
                <w:color w:val="auto"/>
                <w:sz w:val="24"/>
                <w:szCs w:val="24"/>
                <w:highlight w:val="none"/>
              </w:rPr>
            </w:pPr>
          </w:p>
        </w:tc>
        <w:tc>
          <w:tcPr>
            <w:tcW w:w="770" w:type="dxa"/>
            <w:noWrap/>
            <w:vAlign w:val="center"/>
          </w:tcPr>
          <w:p>
            <w:pPr>
              <w:pStyle w:val="11"/>
              <w:spacing w:line="400" w:lineRule="exact"/>
              <w:ind w:left="1080" w:leftChars="257" w:hanging="540"/>
              <w:jc w:val="center"/>
              <w:rPr>
                <w:rFonts w:hint="eastAsia" w:ascii="宋体" w:hAnsi="宋体" w:eastAsia="宋体" w:cs="宋体"/>
                <w:color w:val="auto"/>
                <w:sz w:val="24"/>
                <w:szCs w:val="24"/>
                <w:highlight w:val="none"/>
              </w:rPr>
            </w:pPr>
          </w:p>
        </w:tc>
        <w:tc>
          <w:tcPr>
            <w:tcW w:w="693" w:type="dxa"/>
            <w:noWrap/>
            <w:vAlign w:val="center"/>
          </w:tcPr>
          <w:p>
            <w:pPr>
              <w:pStyle w:val="11"/>
              <w:spacing w:line="400" w:lineRule="exact"/>
              <w:ind w:left="1080" w:leftChars="257" w:hanging="540"/>
              <w:jc w:val="center"/>
              <w:rPr>
                <w:rFonts w:hint="eastAsia" w:ascii="宋体" w:hAnsi="宋体" w:eastAsia="宋体" w:cs="宋体"/>
                <w:color w:val="auto"/>
                <w:sz w:val="24"/>
                <w:szCs w:val="24"/>
                <w:highlight w:val="none"/>
              </w:rPr>
            </w:pPr>
          </w:p>
        </w:tc>
        <w:tc>
          <w:tcPr>
            <w:tcW w:w="693" w:type="dxa"/>
            <w:noWrap/>
            <w:vAlign w:val="center"/>
          </w:tcPr>
          <w:p>
            <w:pPr>
              <w:pStyle w:val="11"/>
              <w:spacing w:line="400" w:lineRule="exact"/>
              <w:ind w:left="1080" w:leftChars="257" w:hanging="540"/>
              <w:jc w:val="center"/>
              <w:rPr>
                <w:rFonts w:hint="eastAsia" w:ascii="宋体" w:hAnsi="宋体" w:eastAsia="宋体" w:cs="宋体"/>
                <w:color w:val="auto"/>
                <w:sz w:val="24"/>
                <w:szCs w:val="24"/>
                <w:highlight w:val="none"/>
              </w:rPr>
            </w:pPr>
          </w:p>
        </w:tc>
        <w:tc>
          <w:tcPr>
            <w:tcW w:w="1015" w:type="dxa"/>
            <w:noWrap/>
            <w:vAlign w:val="center"/>
          </w:tcPr>
          <w:p>
            <w:pPr>
              <w:pStyle w:val="11"/>
              <w:spacing w:line="400" w:lineRule="exact"/>
              <w:ind w:left="1080" w:leftChars="257" w:hanging="540"/>
              <w:jc w:val="center"/>
              <w:rPr>
                <w:rFonts w:hint="eastAsia" w:ascii="宋体" w:hAnsi="宋体" w:eastAsia="宋体" w:cs="宋体"/>
                <w:color w:val="auto"/>
                <w:sz w:val="24"/>
                <w:szCs w:val="24"/>
                <w:highlight w:val="none"/>
              </w:rPr>
            </w:pPr>
          </w:p>
        </w:tc>
        <w:tc>
          <w:tcPr>
            <w:tcW w:w="1417" w:type="dxa"/>
            <w:noWrap/>
            <w:vAlign w:val="center"/>
          </w:tcPr>
          <w:p>
            <w:pPr>
              <w:pStyle w:val="11"/>
              <w:spacing w:line="400" w:lineRule="exact"/>
              <w:ind w:left="1080" w:leftChars="257" w:hanging="540"/>
              <w:jc w:val="center"/>
              <w:rPr>
                <w:rFonts w:hint="eastAsia" w:ascii="宋体" w:hAnsi="宋体" w:eastAsia="宋体" w:cs="宋体"/>
                <w:color w:val="auto"/>
                <w:sz w:val="24"/>
                <w:szCs w:val="24"/>
                <w:highlight w:val="none"/>
              </w:rPr>
            </w:pPr>
          </w:p>
        </w:tc>
        <w:tc>
          <w:tcPr>
            <w:tcW w:w="692" w:type="dxa"/>
            <w:noWrap/>
            <w:vAlign w:val="center"/>
          </w:tcPr>
          <w:p>
            <w:pPr>
              <w:pStyle w:val="11"/>
              <w:spacing w:line="400" w:lineRule="exact"/>
              <w:ind w:left="1080" w:leftChars="257" w:hanging="540"/>
              <w:jc w:val="center"/>
              <w:rPr>
                <w:rFonts w:hint="eastAsia" w:ascii="宋体" w:hAnsi="宋体" w:eastAsia="宋体" w:cs="宋体"/>
                <w:color w:val="auto"/>
                <w:sz w:val="24"/>
                <w:szCs w:val="24"/>
                <w:highlight w:val="none"/>
              </w:rPr>
            </w:pPr>
          </w:p>
        </w:tc>
        <w:tc>
          <w:tcPr>
            <w:tcW w:w="843" w:type="dxa"/>
            <w:noWrap/>
            <w:vAlign w:val="center"/>
          </w:tcPr>
          <w:p>
            <w:pPr>
              <w:pStyle w:val="11"/>
              <w:spacing w:line="400" w:lineRule="exact"/>
              <w:ind w:left="1080" w:leftChars="257" w:hanging="540"/>
              <w:jc w:val="center"/>
              <w:rPr>
                <w:rFonts w:hint="eastAsia" w:ascii="宋体" w:hAnsi="宋体" w:eastAsia="宋体" w:cs="宋体"/>
                <w:color w:val="auto"/>
                <w:sz w:val="24"/>
                <w:szCs w:val="24"/>
                <w:highlight w:val="none"/>
              </w:rPr>
            </w:pPr>
          </w:p>
        </w:tc>
        <w:tc>
          <w:tcPr>
            <w:tcW w:w="801" w:type="dxa"/>
            <w:noWrap/>
            <w:vAlign w:val="center"/>
          </w:tcPr>
          <w:p>
            <w:pPr>
              <w:pStyle w:val="11"/>
              <w:spacing w:line="400" w:lineRule="exact"/>
              <w:ind w:left="1080" w:leftChars="257" w:hanging="54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754" w:type="dxa"/>
            <w:noWrap/>
            <w:vAlign w:val="center"/>
          </w:tcPr>
          <w:p>
            <w:pPr>
              <w:pStyle w:val="11"/>
              <w:spacing w:line="400" w:lineRule="exact"/>
              <w:rPr>
                <w:rFonts w:hint="eastAsia" w:ascii="宋体" w:hAnsi="宋体" w:eastAsia="宋体" w:cs="宋体"/>
                <w:color w:val="auto"/>
                <w:sz w:val="24"/>
                <w:szCs w:val="24"/>
                <w:highlight w:val="none"/>
              </w:rPr>
            </w:pPr>
          </w:p>
        </w:tc>
        <w:tc>
          <w:tcPr>
            <w:tcW w:w="1336" w:type="dxa"/>
            <w:noWrap/>
            <w:vAlign w:val="center"/>
          </w:tcPr>
          <w:p>
            <w:pPr>
              <w:pStyle w:val="11"/>
              <w:spacing w:line="400" w:lineRule="exact"/>
              <w:jc w:val="center"/>
              <w:rPr>
                <w:rFonts w:hint="eastAsia" w:ascii="宋体" w:hAnsi="宋体" w:eastAsia="宋体" w:cs="宋体"/>
                <w:color w:val="auto"/>
                <w:sz w:val="24"/>
                <w:szCs w:val="24"/>
                <w:highlight w:val="none"/>
              </w:rPr>
            </w:pPr>
          </w:p>
        </w:tc>
        <w:tc>
          <w:tcPr>
            <w:tcW w:w="1539" w:type="dxa"/>
            <w:noWrap/>
            <w:vAlign w:val="center"/>
          </w:tcPr>
          <w:p>
            <w:pPr>
              <w:pStyle w:val="11"/>
              <w:spacing w:line="400" w:lineRule="exact"/>
              <w:ind w:left="1080" w:leftChars="257" w:hanging="540"/>
              <w:jc w:val="center"/>
              <w:rPr>
                <w:rFonts w:hint="eastAsia" w:ascii="宋体" w:hAnsi="宋体" w:eastAsia="宋体" w:cs="宋体"/>
                <w:color w:val="auto"/>
                <w:sz w:val="24"/>
                <w:szCs w:val="24"/>
                <w:highlight w:val="none"/>
              </w:rPr>
            </w:pPr>
          </w:p>
        </w:tc>
        <w:tc>
          <w:tcPr>
            <w:tcW w:w="770" w:type="dxa"/>
            <w:noWrap/>
            <w:vAlign w:val="center"/>
          </w:tcPr>
          <w:p>
            <w:pPr>
              <w:pStyle w:val="11"/>
              <w:spacing w:line="400" w:lineRule="exact"/>
              <w:ind w:left="1080" w:leftChars="257" w:hanging="540"/>
              <w:jc w:val="center"/>
              <w:rPr>
                <w:rFonts w:hint="eastAsia" w:ascii="宋体" w:hAnsi="宋体" w:eastAsia="宋体" w:cs="宋体"/>
                <w:color w:val="auto"/>
                <w:sz w:val="24"/>
                <w:szCs w:val="24"/>
                <w:highlight w:val="none"/>
              </w:rPr>
            </w:pPr>
          </w:p>
        </w:tc>
        <w:tc>
          <w:tcPr>
            <w:tcW w:w="693" w:type="dxa"/>
            <w:noWrap/>
            <w:vAlign w:val="center"/>
          </w:tcPr>
          <w:p>
            <w:pPr>
              <w:pStyle w:val="11"/>
              <w:spacing w:line="400" w:lineRule="exact"/>
              <w:ind w:left="1080" w:leftChars="257" w:hanging="540"/>
              <w:jc w:val="center"/>
              <w:rPr>
                <w:rFonts w:hint="eastAsia" w:ascii="宋体" w:hAnsi="宋体" w:eastAsia="宋体" w:cs="宋体"/>
                <w:color w:val="auto"/>
                <w:sz w:val="24"/>
                <w:szCs w:val="24"/>
                <w:highlight w:val="none"/>
              </w:rPr>
            </w:pPr>
          </w:p>
        </w:tc>
        <w:tc>
          <w:tcPr>
            <w:tcW w:w="693" w:type="dxa"/>
            <w:noWrap/>
            <w:vAlign w:val="center"/>
          </w:tcPr>
          <w:p>
            <w:pPr>
              <w:pStyle w:val="11"/>
              <w:spacing w:line="400" w:lineRule="exact"/>
              <w:ind w:left="1080" w:leftChars="257" w:hanging="540"/>
              <w:jc w:val="center"/>
              <w:rPr>
                <w:rFonts w:hint="eastAsia" w:ascii="宋体" w:hAnsi="宋体" w:eastAsia="宋体" w:cs="宋体"/>
                <w:color w:val="auto"/>
                <w:sz w:val="24"/>
                <w:szCs w:val="24"/>
                <w:highlight w:val="none"/>
              </w:rPr>
            </w:pPr>
          </w:p>
        </w:tc>
        <w:tc>
          <w:tcPr>
            <w:tcW w:w="1015" w:type="dxa"/>
            <w:noWrap/>
            <w:vAlign w:val="center"/>
          </w:tcPr>
          <w:p>
            <w:pPr>
              <w:pStyle w:val="11"/>
              <w:spacing w:line="400" w:lineRule="exact"/>
              <w:ind w:left="1080" w:leftChars="257" w:hanging="540"/>
              <w:jc w:val="center"/>
              <w:rPr>
                <w:rFonts w:hint="eastAsia" w:ascii="宋体" w:hAnsi="宋体" w:eastAsia="宋体" w:cs="宋体"/>
                <w:color w:val="auto"/>
                <w:sz w:val="24"/>
                <w:szCs w:val="24"/>
                <w:highlight w:val="none"/>
              </w:rPr>
            </w:pPr>
          </w:p>
        </w:tc>
        <w:tc>
          <w:tcPr>
            <w:tcW w:w="1417" w:type="dxa"/>
            <w:noWrap/>
            <w:vAlign w:val="center"/>
          </w:tcPr>
          <w:p>
            <w:pPr>
              <w:pStyle w:val="11"/>
              <w:spacing w:line="400" w:lineRule="exact"/>
              <w:ind w:left="1080" w:leftChars="257" w:hanging="540"/>
              <w:jc w:val="center"/>
              <w:rPr>
                <w:rFonts w:hint="eastAsia" w:ascii="宋体" w:hAnsi="宋体" w:eastAsia="宋体" w:cs="宋体"/>
                <w:color w:val="auto"/>
                <w:sz w:val="24"/>
                <w:szCs w:val="24"/>
                <w:highlight w:val="none"/>
              </w:rPr>
            </w:pPr>
          </w:p>
        </w:tc>
        <w:tc>
          <w:tcPr>
            <w:tcW w:w="692" w:type="dxa"/>
            <w:noWrap/>
            <w:vAlign w:val="center"/>
          </w:tcPr>
          <w:p>
            <w:pPr>
              <w:pStyle w:val="11"/>
              <w:spacing w:line="400" w:lineRule="exact"/>
              <w:ind w:left="1080" w:leftChars="257" w:hanging="540"/>
              <w:jc w:val="center"/>
              <w:rPr>
                <w:rFonts w:hint="eastAsia" w:ascii="宋体" w:hAnsi="宋体" w:eastAsia="宋体" w:cs="宋体"/>
                <w:color w:val="auto"/>
                <w:sz w:val="24"/>
                <w:szCs w:val="24"/>
                <w:highlight w:val="none"/>
              </w:rPr>
            </w:pPr>
          </w:p>
        </w:tc>
        <w:tc>
          <w:tcPr>
            <w:tcW w:w="843" w:type="dxa"/>
            <w:noWrap/>
            <w:vAlign w:val="center"/>
          </w:tcPr>
          <w:p>
            <w:pPr>
              <w:pStyle w:val="11"/>
              <w:spacing w:line="400" w:lineRule="exact"/>
              <w:ind w:left="1080" w:leftChars="257" w:hanging="540"/>
              <w:jc w:val="center"/>
              <w:rPr>
                <w:rFonts w:hint="eastAsia" w:ascii="宋体" w:hAnsi="宋体" w:eastAsia="宋体" w:cs="宋体"/>
                <w:color w:val="auto"/>
                <w:sz w:val="24"/>
                <w:szCs w:val="24"/>
                <w:highlight w:val="none"/>
              </w:rPr>
            </w:pPr>
          </w:p>
        </w:tc>
        <w:tc>
          <w:tcPr>
            <w:tcW w:w="801" w:type="dxa"/>
            <w:noWrap/>
            <w:vAlign w:val="center"/>
          </w:tcPr>
          <w:p>
            <w:pPr>
              <w:pStyle w:val="11"/>
              <w:spacing w:line="400" w:lineRule="exact"/>
              <w:ind w:left="1080" w:leftChars="257" w:hanging="54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8" w:hRule="atLeast"/>
        </w:trPr>
        <w:tc>
          <w:tcPr>
            <w:tcW w:w="8909" w:type="dxa"/>
            <w:gridSpan w:val="9"/>
            <w:noWrap/>
            <w:vAlign w:val="center"/>
          </w:tcPr>
          <w:p>
            <w:pPr>
              <w:pStyle w:val="11"/>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总价：</w:t>
            </w:r>
          </w:p>
        </w:tc>
        <w:tc>
          <w:tcPr>
            <w:tcW w:w="1644" w:type="dxa"/>
            <w:gridSpan w:val="2"/>
            <w:noWrap/>
            <w:vAlign w:val="center"/>
          </w:tcPr>
          <w:p>
            <w:pPr>
              <w:pStyle w:val="11"/>
              <w:spacing w:line="400" w:lineRule="exact"/>
              <w:ind w:left="1080" w:leftChars="257" w:hanging="540"/>
              <w:jc w:val="center"/>
              <w:rPr>
                <w:rFonts w:hint="eastAsia" w:ascii="宋体" w:hAnsi="宋体" w:eastAsia="宋体" w:cs="宋体"/>
                <w:color w:val="auto"/>
                <w:sz w:val="24"/>
                <w:szCs w:val="24"/>
                <w:highlight w:val="none"/>
              </w:rPr>
            </w:pPr>
          </w:p>
        </w:tc>
      </w:tr>
    </w:tbl>
    <w:p>
      <w:pPr>
        <w:pStyle w:val="11"/>
        <w:spacing w:line="240" w:lineRule="atLeast"/>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报价单位：</w:t>
      </w:r>
    </w:p>
    <w:p>
      <w:pPr>
        <w:pStyle w:val="11"/>
        <w:spacing w:line="240" w:lineRule="atLeast"/>
        <w:jc w:val="left"/>
        <w:rPr>
          <w:rFonts w:hint="eastAsia" w:ascii="宋体" w:hAnsi="宋体" w:eastAsia="宋体" w:cs="宋体"/>
          <w:color w:val="auto"/>
          <w:szCs w:val="21"/>
          <w:highlight w:val="none"/>
        </w:rPr>
      </w:pPr>
    </w:p>
    <w:p>
      <w:pPr>
        <w:pStyle w:val="11"/>
        <w:spacing w:line="240" w:lineRule="atLeast"/>
        <w:rPr>
          <w:rFonts w:hint="eastAsia" w:ascii="宋体" w:hAnsi="宋体" w:eastAsia="宋体" w:cs="宋体"/>
          <w:color w:val="auto"/>
          <w:szCs w:val="21"/>
          <w:highlight w:val="none"/>
        </w:rPr>
      </w:pPr>
    </w:p>
    <w:p>
      <w:pPr>
        <w:pStyle w:val="11"/>
        <w:spacing w:line="400" w:lineRule="atLeast"/>
        <w:ind w:left="1080" w:leftChars="257" w:hanging="540"/>
        <w:rPr>
          <w:rFonts w:hint="eastAsia" w:ascii="宋体" w:hAnsi="宋体" w:eastAsia="宋体" w:cs="宋体"/>
          <w:color w:val="auto"/>
          <w:szCs w:val="21"/>
          <w:highlight w:val="none"/>
        </w:rPr>
      </w:pPr>
      <w:r>
        <w:rPr>
          <w:rFonts w:hint="eastAsia" w:ascii="宋体" w:hAnsi="宋体" w:eastAsia="宋体" w:cs="宋体"/>
          <w:color w:val="auto"/>
          <w:szCs w:val="21"/>
          <w:highlight w:val="none"/>
        </w:rPr>
        <w:t>法定代表人或其委托代理人</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签/章</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single"/>
        </w:rPr>
        <w:tab/>
      </w:r>
      <w:r>
        <w:rPr>
          <w:rFonts w:hint="eastAsia" w:ascii="宋体" w:hAnsi="宋体" w:eastAsia="宋体" w:cs="宋体"/>
          <w:color w:val="auto"/>
          <w:szCs w:val="21"/>
          <w:highlight w:val="none"/>
          <w:u w:val="single"/>
        </w:rPr>
        <w:t xml:space="preserve">                 </w:t>
      </w:r>
    </w:p>
    <w:p>
      <w:pPr>
        <w:pStyle w:val="11"/>
        <w:tabs>
          <w:tab w:val="left" w:pos="5370"/>
        </w:tabs>
        <w:spacing w:line="400" w:lineRule="atLeast"/>
        <w:ind w:left="1080" w:leftChars="257" w:hanging="540"/>
        <w:rPr>
          <w:rFonts w:hint="eastAsia" w:ascii="宋体" w:hAnsi="宋体" w:eastAsia="宋体" w:cs="宋体"/>
          <w:color w:val="auto"/>
          <w:szCs w:val="21"/>
          <w:highlight w:val="none"/>
        </w:rPr>
      </w:pP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eastAsia="zh-CN"/>
        </w:rPr>
        <w:t>公章</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u w:val="single"/>
        </w:rPr>
        <w:tab/>
      </w:r>
    </w:p>
    <w:p>
      <w:pPr>
        <w:pStyle w:val="11"/>
        <w:spacing w:line="400" w:lineRule="atLeast"/>
        <w:ind w:left="1080" w:leftChars="257" w:hanging="540"/>
        <w:rPr>
          <w:rFonts w:hint="eastAsia" w:ascii="宋体" w:hAnsi="宋体" w:eastAsia="宋体" w:cs="宋体"/>
          <w:color w:val="auto"/>
          <w:szCs w:val="21"/>
          <w:highlight w:val="none"/>
        </w:rPr>
      </w:pPr>
      <w:r>
        <w:rPr>
          <w:rFonts w:hint="eastAsia" w:ascii="宋体" w:hAnsi="宋体" w:eastAsia="宋体" w:cs="宋体"/>
          <w:color w:val="auto"/>
          <w:szCs w:val="21"/>
          <w:highlight w:val="none"/>
        </w:rPr>
        <w:t>注:1.如果</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认为需要，每种服务内容填写一份该表。</w:t>
      </w:r>
    </w:p>
    <w:p>
      <w:pPr>
        <w:pStyle w:val="11"/>
        <w:spacing w:line="400" w:lineRule="atLeast"/>
        <w:ind w:left="1056" w:leftChars="428" w:hanging="157" w:hangingChars="75"/>
        <w:rPr>
          <w:rFonts w:hint="eastAsia" w:ascii="宋体" w:hAnsi="宋体" w:eastAsia="宋体" w:cs="宋体"/>
          <w:color w:val="auto"/>
          <w:szCs w:val="21"/>
          <w:highlight w:val="none"/>
        </w:rPr>
      </w:pPr>
      <w:r>
        <w:rPr>
          <w:rFonts w:hint="eastAsia" w:ascii="宋体" w:hAnsi="宋体" w:eastAsia="宋体" w:cs="宋体"/>
          <w:color w:val="auto"/>
          <w:szCs w:val="21"/>
          <w:highlight w:val="none"/>
        </w:rPr>
        <w:t>2.如果按单价计算的结果与总价不一致,以单价为准修正总价。</w:t>
      </w:r>
    </w:p>
    <w:p>
      <w:pPr>
        <w:pStyle w:val="11"/>
        <w:spacing w:line="400" w:lineRule="atLeast"/>
        <w:ind w:left="1080" w:leftChars="257" w:hanging="540"/>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3.如果不提供详细分项报价将视为没有实质性响应招标文件。</w:t>
      </w:r>
    </w:p>
    <w:p>
      <w:pPr>
        <w:pStyle w:val="11"/>
        <w:spacing w:line="400" w:lineRule="atLeast"/>
        <w:ind w:left="1080" w:leftChars="257" w:hanging="540"/>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4.上述各项的详细分项报价，应另页描述。</w:t>
      </w:r>
    </w:p>
    <w:p>
      <w:pPr>
        <w:pStyle w:val="11"/>
        <w:spacing w:line="400" w:lineRule="atLeast"/>
        <w:ind w:left="1080" w:leftChars="257" w:hanging="540"/>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5.如果开标一览表（报价表）内容与投标文件中明细表内容不一致的，以开标一览表（报价表）内容为准。</w:t>
      </w:r>
    </w:p>
    <w:p>
      <w:pPr>
        <w:pStyle w:val="11"/>
        <w:spacing w:line="240" w:lineRule="atLeast"/>
        <w:ind w:left="1258" w:leftChars="599" w:firstLine="1143" w:firstLineChars="542"/>
        <w:rPr>
          <w:rFonts w:hint="eastAsia" w:ascii="宋体" w:hAnsi="宋体" w:eastAsia="宋体" w:cs="宋体"/>
          <w:b/>
          <w:color w:val="auto"/>
          <w:kern w:val="0"/>
          <w:szCs w:val="21"/>
          <w:highlight w:val="none"/>
        </w:rPr>
      </w:pPr>
    </w:p>
    <w:p>
      <w:pPr>
        <w:pStyle w:val="11"/>
        <w:spacing w:line="240" w:lineRule="atLeast"/>
        <w:ind w:left="1258" w:leftChars="599" w:firstLine="1143" w:firstLineChars="542"/>
        <w:rPr>
          <w:rFonts w:hint="eastAsia" w:ascii="宋体" w:hAnsi="宋体" w:eastAsia="宋体" w:cs="宋体"/>
          <w:b/>
          <w:color w:val="auto"/>
          <w:kern w:val="0"/>
          <w:szCs w:val="21"/>
          <w:highlight w:val="none"/>
        </w:rPr>
      </w:pPr>
    </w:p>
    <w:p>
      <w:pPr>
        <w:pStyle w:val="11"/>
        <w:spacing w:line="240" w:lineRule="atLeast"/>
        <w:ind w:left="1258" w:leftChars="599" w:firstLine="1143" w:firstLineChars="542"/>
        <w:rPr>
          <w:rFonts w:hint="eastAsia" w:ascii="宋体" w:hAnsi="宋体" w:eastAsia="宋体" w:cs="宋体"/>
          <w:b/>
          <w:color w:val="auto"/>
          <w:kern w:val="0"/>
          <w:szCs w:val="21"/>
          <w:highlight w:val="none"/>
        </w:rPr>
      </w:pPr>
    </w:p>
    <w:p>
      <w:pPr>
        <w:pStyle w:val="11"/>
        <w:spacing w:line="240" w:lineRule="atLeast"/>
        <w:ind w:left="1258" w:leftChars="599" w:firstLine="1143" w:firstLineChars="542"/>
        <w:rPr>
          <w:rFonts w:hint="eastAsia" w:ascii="宋体" w:hAnsi="宋体" w:eastAsia="宋体" w:cs="宋体"/>
          <w:b/>
          <w:color w:val="auto"/>
          <w:kern w:val="0"/>
          <w:szCs w:val="21"/>
          <w:highlight w:val="none"/>
        </w:rPr>
      </w:pPr>
    </w:p>
    <w:p>
      <w:pPr>
        <w:pStyle w:val="11"/>
        <w:spacing w:line="240" w:lineRule="atLeast"/>
        <w:ind w:left="1258" w:leftChars="599" w:firstLine="1143" w:firstLineChars="542"/>
        <w:rPr>
          <w:rFonts w:hint="eastAsia" w:ascii="宋体" w:hAnsi="宋体" w:eastAsia="宋体" w:cs="宋体"/>
          <w:b/>
          <w:color w:val="auto"/>
          <w:kern w:val="0"/>
          <w:szCs w:val="21"/>
          <w:highlight w:val="none"/>
        </w:rPr>
      </w:pPr>
    </w:p>
    <w:p>
      <w:pPr>
        <w:pStyle w:val="11"/>
        <w:spacing w:line="240" w:lineRule="atLeast"/>
        <w:ind w:left="1258" w:leftChars="599" w:firstLine="1143" w:firstLineChars="542"/>
        <w:rPr>
          <w:rFonts w:hint="eastAsia" w:ascii="宋体" w:hAnsi="宋体" w:eastAsia="宋体" w:cs="宋体"/>
          <w:b/>
          <w:color w:val="auto"/>
          <w:kern w:val="0"/>
          <w:szCs w:val="21"/>
          <w:highlight w:val="none"/>
        </w:rPr>
      </w:pPr>
    </w:p>
    <w:p>
      <w:pPr>
        <w:pStyle w:val="11"/>
        <w:spacing w:line="240" w:lineRule="atLeast"/>
        <w:ind w:left="1258" w:leftChars="599" w:firstLine="1143" w:firstLineChars="542"/>
        <w:rPr>
          <w:rFonts w:hint="eastAsia" w:ascii="宋体" w:hAnsi="宋体" w:eastAsia="宋体" w:cs="宋体"/>
          <w:b/>
          <w:color w:val="auto"/>
          <w:kern w:val="0"/>
          <w:szCs w:val="21"/>
          <w:highlight w:val="none"/>
        </w:rPr>
      </w:pPr>
    </w:p>
    <w:p>
      <w:pPr>
        <w:pStyle w:val="11"/>
        <w:spacing w:line="240" w:lineRule="atLeast"/>
        <w:ind w:left="1258" w:leftChars="599" w:firstLine="1143" w:firstLineChars="542"/>
        <w:rPr>
          <w:rFonts w:hint="eastAsia" w:ascii="宋体" w:hAnsi="宋体" w:eastAsia="宋体" w:cs="宋体"/>
          <w:b/>
          <w:color w:val="auto"/>
          <w:kern w:val="0"/>
          <w:szCs w:val="21"/>
          <w:highlight w:val="none"/>
        </w:rPr>
      </w:pPr>
    </w:p>
    <w:p>
      <w:pPr>
        <w:pStyle w:val="11"/>
        <w:spacing w:line="240" w:lineRule="atLeast"/>
        <w:ind w:left="1258" w:leftChars="599" w:firstLine="1143" w:firstLineChars="542"/>
        <w:rPr>
          <w:rFonts w:hint="eastAsia" w:ascii="宋体" w:hAnsi="宋体" w:eastAsia="宋体" w:cs="宋体"/>
          <w:b/>
          <w:color w:val="auto"/>
          <w:kern w:val="0"/>
          <w:szCs w:val="21"/>
          <w:highlight w:val="none"/>
        </w:rPr>
      </w:pPr>
    </w:p>
    <w:p>
      <w:pPr>
        <w:pStyle w:val="11"/>
        <w:spacing w:line="240" w:lineRule="atLeast"/>
        <w:ind w:left="1258" w:leftChars="599" w:firstLine="1143" w:firstLineChars="542"/>
        <w:rPr>
          <w:rFonts w:hint="eastAsia" w:ascii="宋体" w:hAnsi="宋体" w:eastAsia="宋体" w:cs="宋体"/>
          <w:b/>
          <w:color w:val="auto"/>
          <w:kern w:val="0"/>
          <w:szCs w:val="21"/>
          <w:highlight w:val="none"/>
        </w:rPr>
      </w:pPr>
    </w:p>
    <w:p>
      <w:pPr>
        <w:pStyle w:val="11"/>
        <w:spacing w:line="240" w:lineRule="atLeast"/>
        <w:ind w:left="1258" w:leftChars="599" w:firstLine="1143" w:firstLineChars="542"/>
        <w:rPr>
          <w:rFonts w:hint="eastAsia" w:ascii="宋体" w:hAnsi="宋体" w:eastAsia="宋体" w:cs="宋体"/>
          <w:b/>
          <w:color w:val="auto"/>
          <w:kern w:val="0"/>
          <w:szCs w:val="21"/>
          <w:highlight w:val="none"/>
        </w:rPr>
      </w:pPr>
    </w:p>
    <w:p>
      <w:pPr>
        <w:pStyle w:val="11"/>
        <w:spacing w:line="240" w:lineRule="atLeast"/>
        <w:ind w:left="1258" w:leftChars="599" w:firstLine="1143" w:firstLineChars="542"/>
        <w:rPr>
          <w:rFonts w:hint="eastAsia" w:ascii="宋体" w:hAnsi="宋体" w:eastAsia="宋体" w:cs="宋体"/>
          <w:b/>
          <w:color w:val="auto"/>
          <w:kern w:val="0"/>
          <w:szCs w:val="21"/>
          <w:highlight w:val="none"/>
        </w:rPr>
      </w:pPr>
    </w:p>
    <w:p>
      <w:pPr>
        <w:pStyle w:val="11"/>
        <w:spacing w:line="240" w:lineRule="atLeast"/>
        <w:ind w:left="1258" w:leftChars="599" w:firstLine="1143" w:firstLineChars="542"/>
        <w:rPr>
          <w:rFonts w:hint="eastAsia" w:ascii="宋体" w:hAnsi="宋体" w:eastAsia="宋体" w:cs="宋体"/>
          <w:b/>
          <w:color w:val="auto"/>
          <w:kern w:val="0"/>
          <w:szCs w:val="21"/>
          <w:highlight w:val="none"/>
        </w:rPr>
      </w:pPr>
    </w:p>
    <w:p>
      <w:pPr>
        <w:spacing w:line="360" w:lineRule="auto"/>
        <w:jc w:val="center"/>
        <w:outlineLvl w:val="1"/>
        <w:rPr>
          <w:rFonts w:hint="eastAsia" w:ascii="宋体" w:hAnsi="宋体" w:eastAsia="宋体" w:cs="宋体"/>
          <w:b/>
          <w:color w:val="auto"/>
          <w:sz w:val="30"/>
          <w:szCs w:val="30"/>
          <w:highlight w:val="none"/>
        </w:rPr>
      </w:pPr>
      <w:bookmarkStart w:id="309" w:name="_Toc27721"/>
      <w:bookmarkStart w:id="310" w:name="_Toc12483"/>
      <w:bookmarkStart w:id="311" w:name="_Toc30209"/>
      <w:bookmarkStart w:id="312" w:name="_Toc16166"/>
      <w:bookmarkStart w:id="313" w:name="_Toc16798"/>
      <w:bookmarkStart w:id="314" w:name="_Toc13950"/>
      <w:bookmarkStart w:id="315" w:name="_Toc28199"/>
      <w:bookmarkStart w:id="316" w:name="_Toc10486"/>
      <w:bookmarkStart w:id="317" w:name="_Toc6480"/>
      <w:bookmarkStart w:id="318" w:name="_Toc11434"/>
      <w:r>
        <w:rPr>
          <w:rFonts w:hint="eastAsia" w:ascii="宋体" w:hAnsi="宋体" w:eastAsia="宋体" w:cs="宋体"/>
          <w:b/>
          <w:bCs/>
          <w:color w:val="auto"/>
          <w:sz w:val="24"/>
          <w:highlight w:val="none"/>
        </w:rPr>
        <w:t>备品备件设备分项报价表（二）</w:t>
      </w:r>
      <w:bookmarkEnd w:id="309"/>
      <w:bookmarkEnd w:id="310"/>
      <w:bookmarkEnd w:id="311"/>
      <w:bookmarkEnd w:id="312"/>
      <w:bookmarkEnd w:id="313"/>
      <w:bookmarkEnd w:id="314"/>
      <w:bookmarkEnd w:id="315"/>
      <w:bookmarkEnd w:id="316"/>
      <w:bookmarkEnd w:id="317"/>
      <w:bookmarkEnd w:id="318"/>
    </w:p>
    <w:tbl>
      <w:tblPr>
        <w:tblStyle w:val="20"/>
        <w:tblW w:w="9072" w:type="dxa"/>
        <w:tblInd w:w="-5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9"/>
        <w:gridCol w:w="794"/>
        <w:gridCol w:w="703"/>
        <w:gridCol w:w="805"/>
        <w:gridCol w:w="692"/>
        <w:gridCol w:w="908"/>
        <w:gridCol w:w="612"/>
        <w:gridCol w:w="715"/>
        <w:gridCol w:w="646"/>
        <w:gridCol w:w="658"/>
        <w:gridCol w:w="647"/>
        <w:gridCol w:w="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trPr>
        <w:tc>
          <w:tcPr>
            <w:tcW w:w="1259" w:type="dxa"/>
            <w:vAlign w:val="center"/>
          </w:tcPr>
          <w:p>
            <w:pPr>
              <w:spacing w:line="360" w:lineRule="auto"/>
              <w:jc w:val="center"/>
              <w:rPr>
                <w:rFonts w:hint="eastAsia" w:ascii="宋体" w:hAnsi="宋体" w:eastAsia="宋体" w:cs="宋体"/>
                <w:color w:val="auto"/>
                <w:sz w:val="24"/>
                <w:highlight w:val="none"/>
              </w:rPr>
            </w:pPr>
          </w:p>
        </w:tc>
        <w:tc>
          <w:tcPr>
            <w:tcW w:w="794" w:type="dxa"/>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编号</w:t>
            </w:r>
          </w:p>
        </w:tc>
        <w:tc>
          <w:tcPr>
            <w:tcW w:w="703" w:type="dxa"/>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货物名称</w:t>
            </w:r>
          </w:p>
        </w:tc>
        <w:tc>
          <w:tcPr>
            <w:tcW w:w="805" w:type="dxa"/>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品牌</w:t>
            </w:r>
          </w:p>
        </w:tc>
        <w:tc>
          <w:tcPr>
            <w:tcW w:w="692" w:type="dxa"/>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规格型号</w:t>
            </w:r>
          </w:p>
        </w:tc>
        <w:tc>
          <w:tcPr>
            <w:tcW w:w="908" w:type="dxa"/>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供货厂商名称</w:t>
            </w:r>
          </w:p>
        </w:tc>
        <w:tc>
          <w:tcPr>
            <w:tcW w:w="612" w:type="dxa"/>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产地</w:t>
            </w:r>
          </w:p>
        </w:tc>
        <w:tc>
          <w:tcPr>
            <w:tcW w:w="715" w:type="dxa"/>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数量</w:t>
            </w:r>
          </w:p>
        </w:tc>
        <w:tc>
          <w:tcPr>
            <w:tcW w:w="646" w:type="dxa"/>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单位</w:t>
            </w:r>
          </w:p>
        </w:tc>
        <w:tc>
          <w:tcPr>
            <w:tcW w:w="658" w:type="dxa"/>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单价</w:t>
            </w:r>
          </w:p>
        </w:tc>
        <w:tc>
          <w:tcPr>
            <w:tcW w:w="647" w:type="dxa"/>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合价</w:t>
            </w:r>
          </w:p>
        </w:tc>
        <w:tc>
          <w:tcPr>
            <w:tcW w:w="633" w:type="dxa"/>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259" w:type="dxa"/>
            <w:vMerge w:val="restart"/>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质保期外设备报价</w:t>
            </w:r>
          </w:p>
        </w:tc>
        <w:tc>
          <w:tcPr>
            <w:tcW w:w="794" w:type="dxa"/>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703" w:type="dxa"/>
            <w:vAlign w:val="center"/>
          </w:tcPr>
          <w:p>
            <w:pPr>
              <w:spacing w:line="360" w:lineRule="auto"/>
              <w:jc w:val="center"/>
              <w:rPr>
                <w:rFonts w:hint="eastAsia" w:ascii="宋体" w:hAnsi="宋体" w:eastAsia="宋体" w:cs="宋体"/>
                <w:color w:val="auto"/>
                <w:sz w:val="24"/>
                <w:highlight w:val="none"/>
              </w:rPr>
            </w:pPr>
          </w:p>
        </w:tc>
        <w:tc>
          <w:tcPr>
            <w:tcW w:w="805" w:type="dxa"/>
            <w:vAlign w:val="center"/>
          </w:tcPr>
          <w:p>
            <w:pPr>
              <w:spacing w:line="360" w:lineRule="auto"/>
              <w:jc w:val="center"/>
              <w:rPr>
                <w:rFonts w:hint="eastAsia" w:ascii="宋体" w:hAnsi="宋体" w:eastAsia="宋体" w:cs="宋体"/>
                <w:color w:val="auto"/>
                <w:sz w:val="24"/>
                <w:highlight w:val="none"/>
              </w:rPr>
            </w:pPr>
          </w:p>
        </w:tc>
        <w:tc>
          <w:tcPr>
            <w:tcW w:w="692" w:type="dxa"/>
            <w:vAlign w:val="center"/>
          </w:tcPr>
          <w:p>
            <w:pPr>
              <w:spacing w:line="360" w:lineRule="auto"/>
              <w:jc w:val="center"/>
              <w:rPr>
                <w:rFonts w:hint="eastAsia" w:ascii="宋体" w:hAnsi="宋体" w:eastAsia="宋体" w:cs="宋体"/>
                <w:color w:val="auto"/>
                <w:sz w:val="24"/>
                <w:highlight w:val="none"/>
              </w:rPr>
            </w:pPr>
          </w:p>
        </w:tc>
        <w:tc>
          <w:tcPr>
            <w:tcW w:w="908" w:type="dxa"/>
            <w:vAlign w:val="center"/>
          </w:tcPr>
          <w:p>
            <w:pPr>
              <w:spacing w:line="360" w:lineRule="auto"/>
              <w:jc w:val="center"/>
              <w:rPr>
                <w:rFonts w:hint="eastAsia" w:ascii="宋体" w:hAnsi="宋体" w:eastAsia="宋体" w:cs="宋体"/>
                <w:color w:val="auto"/>
                <w:sz w:val="24"/>
                <w:highlight w:val="none"/>
              </w:rPr>
            </w:pPr>
          </w:p>
        </w:tc>
        <w:tc>
          <w:tcPr>
            <w:tcW w:w="612" w:type="dxa"/>
            <w:vAlign w:val="center"/>
          </w:tcPr>
          <w:p>
            <w:pPr>
              <w:spacing w:line="360" w:lineRule="auto"/>
              <w:jc w:val="center"/>
              <w:rPr>
                <w:rFonts w:hint="eastAsia" w:ascii="宋体" w:hAnsi="宋体" w:eastAsia="宋体" w:cs="宋体"/>
                <w:color w:val="auto"/>
                <w:sz w:val="24"/>
                <w:highlight w:val="none"/>
              </w:rPr>
            </w:pPr>
          </w:p>
        </w:tc>
        <w:tc>
          <w:tcPr>
            <w:tcW w:w="715" w:type="dxa"/>
            <w:vAlign w:val="center"/>
          </w:tcPr>
          <w:p>
            <w:pPr>
              <w:spacing w:line="360" w:lineRule="auto"/>
              <w:jc w:val="center"/>
              <w:rPr>
                <w:rFonts w:hint="eastAsia" w:ascii="宋体" w:hAnsi="宋体" w:eastAsia="宋体" w:cs="宋体"/>
                <w:color w:val="auto"/>
                <w:sz w:val="24"/>
                <w:highlight w:val="none"/>
              </w:rPr>
            </w:pPr>
          </w:p>
        </w:tc>
        <w:tc>
          <w:tcPr>
            <w:tcW w:w="646" w:type="dxa"/>
            <w:vAlign w:val="center"/>
          </w:tcPr>
          <w:p>
            <w:pPr>
              <w:spacing w:line="360" w:lineRule="auto"/>
              <w:jc w:val="center"/>
              <w:rPr>
                <w:rFonts w:hint="eastAsia" w:ascii="宋体" w:hAnsi="宋体" w:eastAsia="宋体" w:cs="宋体"/>
                <w:color w:val="auto"/>
                <w:sz w:val="24"/>
                <w:highlight w:val="none"/>
              </w:rPr>
            </w:pPr>
          </w:p>
        </w:tc>
        <w:tc>
          <w:tcPr>
            <w:tcW w:w="658" w:type="dxa"/>
            <w:vAlign w:val="center"/>
          </w:tcPr>
          <w:p>
            <w:pPr>
              <w:spacing w:line="360" w:lineRule="auto"/>
              <w:jc w:val="center"/>
              <w:rPr>
                <w:rFonts w:hint="eastAsia" w:ascii="宋体" w:hAnsi="宋体" w:eastAsia="宋体" w:cs="宋体"/>
                <w:color w:val="auto"/>
                <w:sz w:val="24"/>
                <w:highlight w:val="none"/>
              </w:rPr>
            </w:pPr>
          </w:p>
        </w:tc>
        <w:tc>
          <w:tcPr>
            <w:tcW w:w="647" w:type="dxa"/>
            <w:vAlign w:val="center"/>
          </w:tcPr>
          <w:p>
            <w:pPr>
              <w:spacing w:line="360" w:lineRule="auto"/>
              <w:jc w:val="center"/>
              <w:rPr>
                <w:rFonts w:hint="eastAsia" w:ascii="宋体" w:hAnsi="宋体" w:eastAsia="宋体" w:cs="宋体"/>
                <w:color w:val="auto"/>
                <w:sz w:val="24"/>
                <w:highlight w:val="none"/>
              </w:rPr>
            </w:pPr>
          </w:p>
        </w:tc>
        <w:tc>
          <w:tcPr>
            <w:tcW w:w="633" w:type="dxa"/>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259" w:type="dxa"/>
            <w:vMerge w:val="continue"/>
            <w:vAlign w:val="center"/>
          </w:tcPr>
          <w:p>
            <w:pPr>
              <w:spacing w:line="360" w:lineRule="auto"/>
              <w:jc w:val="center"/>
              <w:rPr>
                <w:rFonts w:hint="eastAsia" w:ascii="宋体" w:hAnsi="宋体" w:eastAsia="宋体" w:cs="宋体"/>
                <w:color w:val="auto"/>
                <w:sz w:val="24"/>
                <w:highlight w:val="none"/>
              </w:rPr>
            </w:pPr>
          </w:p>
        </w:tc>
        <w:tc>
          <w:tcPr>
            <w:tcW w:w="794" w:type="dxa"/>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c>
          <w:tcPr>
            <w:tcW w:w="703" w:type="dxa"/>
            <w:vAlign w:val="center"/>
          </w:tcPr>
          <w:p>
            <w:pPr>
              <w:spacing w:line="360" w:lineRule="auto"/>
              <w:jc w:val="center"/>
              <w:rPr>
                <w:rFonts w:hint="eastAsia" w:ascii="宋体" w:hAnsi="宋体" w:eastAsia="宋体" w:cs="宋体"/>
                <w:color w:val="auto"/>
                <w:sz w:val="24"/>
                <w:highlight w:val="none"/>
              </w:rPr>
            </w:pPr>
          </w:p>
        </w:tc>
        <w:tc>
          <w:tcPr>
            <w:tcW w:w="805" w:type="dxa"/>
            <w:vAlign w:val="center"/>
          </w:tcPr>
          <w:p>
            <w:pPr>
              <w:spacing w:line="360" w:lineRule="auto"/>
              <w:jc w:val="center"/>
              <w:rPr>
                <w:rFonts w:hint="eastAsia" w:ascii="宋体" w:hAnsi="宋体" w:eastAsia="宋体" w:cs="宋体"/>
                <w:color w:val="auto"/>
                <w:sz w:val="24"/>
                <w:highlight w:val="none"/>
              </w:rPr>
            </w:pPr>
          </w:p>
        </w:tc>
        <w:tc>
          <w:tcPr>
            <w:tcW w:w="692" w:type="dxa"/>
            <w:vAlign w:val="center"/>
          </w:tcPr>
          <w:p>
            <w:pPr>
              <w:spacing w:line="360" w:lineRule="auto"/>
              <w:jc w:val="center"/>
              <w:rPr>
                <w:rFonts w:hint="eastAsia" w:ascii="宋体" w:hAnsi="宋体" w:eastAsia="宋体" w:cs="宋体"/>
                <w:color w:val="auto"/>
                <w:sz w:val="24"/>
                <w:highlight w:val="none"/>
              </w:rPr>
            </w:pPr>
          </w:p>
        </w:tc>
        <w:tc>
          <w:tcPr>
            <w:tcW w:w="908" w:type="dxa"/>
            <w:vAlign w:val="center"/>
          </w:tcPr>
          <w:p>
            <w:pPr>
              <w:spacing w:line="360" w:lineRule="auto"/>
              <w:jc w:val="center"/>
              <w:rPr>
                <w:rFonts w:hint="eastAsia" w:ascii="宋体" w:hAnsi="宋体" w:eastAsia="宋体" w:cs="宋体"/>
                <w:color w:val="auto"/>
                <w:sz w:val="24"/>
                <w:highlight w:val="none"/>
              </w:rPr>
            </w:pPr>
          </w:p>
        </w:tc>
        <w:tc>
          <w:tcPr>
            <w:tcW w:w="612" w:type="dxa"/>
            <w:vAlign w:val="center"/>
          </w:tcPr>
          <w:p>
            <w:pPr>
              <w:spacing w:line="360" w:lineRule="auto"/>
              <w:jc w:val="center"/>
              <w:rPr>
                <w:rFonts w:hint="eastAsia" w:ascii="宋体" w:hAnsi="宋体" w:eastAsia="宋体" w:cs="宋体"/>
                <w:color w:val="auto"/>
                <w:sz w:val="24"/>
                <w:highlight w:val="none"/>
              </w:rPr>
            </w:pPr>
          </w:p>
        </w:tc>
        <w:tc>
          <w:tcPr>
            <w:tcW w:w="715" w:type="dxa"/>
            <w:vAlign w:val="center"/>
          </w:tcPr>
          <w:p>
            <w:pPr>
              <w:spacing w:line="360" w:lineRule="auto"/>
              <w:jc w:val="center"/>
              <w:rPr>
                <w:rFonts w:hint="eastAsia" w:ascii="宋体" w:hAnsi="宋体" w:eastAsia="宋体" w:cs="宋体"/>
                <w:color w:val="auto"/>
                <w:sz w:val="24"/>
                <w:highlight w:val="none"/>
              </w:rPr>
            </w:pPr>
          </w:p>
        </w:tc>
        <w:tc>
          <w:tcPr>
            <w:tcW w:w="646" w:type="dxa"/>
            <w:vAlign w:val="center"/>
          </w:tcPr>
          <w:p>
            <w:pPr>
              <w:spacing w:line="360" w:lineRule="auto"/>
              <w:jc w:val="center"/>
              <w:rPr>
                <w:rFonts w:hint="eastAsia" w:ascii="宋体" w:hAnsi="宋体" w:eastAsia="宋体" w:cs="宋体"/>
                <w:color w:val="auto"/>
                <w:sz w:val="24"/>
                <w:highlight w:val="none"/>
              </w:rPr>
            </w:pPr>
          </w:p>
        </w:tc>
        <w:tc>
          <w:tcPr>
            <w:tcW w:w="658" w:type="dxa"/>
            <w:vAlign w:val="center"/>
          </w:tcPr>
          <w:p>
            <w:pPr>
              <w:spacing w:line="360" w:lineRule="auto"/>
              <w:jc w:val="center"/>
              <w:rPr>
                <w:rFonts w:hint="eastAsia" w:ascii="宋体" w:hAnsi="宋体" w:eastAsia="宋体" w:cs="宋体"/>
                <w:color w:val="auto"/>
                <w:sz w:val="24"/>
                <w:highlight w:val="none"/>
              </w:rPr>
            </w:pPr>
          </w:p>
        </w:tc>
        <w:tc>
          <w:tcPr>
            <w:tcW w:w="647" w:type="dxa"/>
            <w:vAlign w:val="center"/>
          </w:tcPr>
          <w:p>
            <w:pPr>
              <w:spacing w:line="360" w:lineRule="auto"/>
              <w:jc w:val="center"/>
              <w:rPr>
                <w:rFonts w:hint="eastAsia" w:ascii="宋体" w:hAnsi="宋体" w:eastAsia="宋体" w:cs="宋体"/>
                <w:color w:val="auto"/>
                <w:sz w:val="24"/>
                <w:highlight w:val="none"/>
              </w:rPr>
            </w:pPr>
          </w:p>
        </w:tc>
        <w:tc>
          <w:tcPr>
            <w:tcW w:w="633" w:type="dxa"/>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259" w:type="dxa"/>
            <w:vMerge w:val="continue"/>
            <w:vAlign w:val="center"/>
          </w:tcPr>
          <w:p>
            <w:pPr>
              <w:spacing w:line="360" w:lineRule="auto"/>
              <w:jc w:val="center"/>
              <w:rPr>
                <w:rFonts w:hint="eastAsia" w:ascii="宋体" w:hAnsi="宋体" w:eastAsia="宋体" w:cs="宋体"/>
                <w:color w:val="auto"/>
                <w:sz w:val="24"/>
                <w:highlight w:val="none"/>
              </w:rPr>
            </w:pPr>
          </w:p>
        </w:tc>
        <w:tc>
          <w:tcPr>
            <w:tcW w:w="794" w:type="dxa"/>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3</w:t>
            </w:r>
          </w:p>
        </w:tc>
        <w:tc>
          <w:tcPr>
            <w:tcW w:w="703" w:type="dxa"/>
            <w:vAlign w:val="center"/>
          </w:tcPr>
          <w:p>
            <w:pPr>
              <w:spacing w:line="360" w:lineRule="auto"/>
              <w:jc w:val="center"/>
              <w:rPr>
                <w:rFonts w:hint="eastAsia" w:ascii="宋体" w:hAnsi="宋体" w:eastAsia="宋体" w:cs="宋体"/>
                <w:color w:val="auto"/>
                <w:sz w:val="24"/>
                <w:highlight w:val="none"/>
              </w:rPr>
            </w:pPr>
          </w:p>
        </w:tc>
        <w:tc>
          <w:tcPr>
            <w:tcW w:w="805" w:type="dxa"/>
            <w:vAlign w:val="center"/>
          </w:tcPr>
          <w:p>
            <w:pPr>
              <w:spacing w:line="360" w:lineRule="auto"/>
              <w:jc w:val="center"/>
              <w:rPr>
                <w:rFonts w:hint="eastAsia" w:ascii="宋体" w:hAnsi="宋体" w:eastAsia="宋体" w:cs="宋体"/>
                <w:color w:val="auto"/>
                <w:sz w:val="24"/>
                <w:highlight w:val="none"/>
              </w:rPr>
            </w:pPr>
          </w:p>
        </w:tc>
        <w:tc>
          <w:tcPr>
            <w:tcW w:w="692" w:type="dxa"/>
            <w:vAlign w:val="center"/>
          </w:tcPr>
          <w:p>
            <w:pPr>
              <w:spacing w:line="360" w:lineRule="auto"/>
              <w:jc w:val="center"/>
              <w:rPr>
                <w:rFonts w:hint="eastAsia" w:ascii="宋体" w:hAnsi="宋体" w:eastAsia="宋体" w:cs="宋体"/>
                <w:color w:val="auto"/>
                <w:sz w:val="24"/>
                <w:highlight w:val="none"/>
              </w:rPr>
            </w:pPr>
          </w:p>
        </w:tc>
        <w:tc>
          <w:tcPr>
            <w:tcW w:w="908" w:type="dxa"/>
            <w:vAlign w:val="center"/>
          </w:tcPr>
          <w:p>
            <w:pPr>
              <w:spacing w:line="360" w:lineRule="auto"/>
              <w:jc w:val="center"/>
              <w:rPr>
                <w:rFonts w:hint="eastAsia" w:ascii="宋体" w:hAnsi="宋体" w:eastAsia="宋体" w:cs="宋体"/>
                <w:color w:val="auto"/>
                <w:sz w:val="24"/>
                <w:highlight w:val="none"/>
              </w:rPr>
            </w:pPr>
          </w:p>
        </w:tc>
        <w:tc>
          <w:tcPr>
            <w:tcW w:w="612" w:type="dxa"/>
            <w:vAlign w:val="center"/>
          </w:tcPr>
          <w:p>
            <w:pPr>
              <w:spacing w:line="360" w:lineRule="auto"/>
              <w:jc w:val="center"/>
              <w:rPr>
                <w:rFonts w:hint="eastAsia" w:ascii="宋体" w:hAnsi="宋体" w:eastAsia="宋体" w:cs="宋体"/>
                <w:color w:val="auto"/>
                <w:sz w:val="24"/>
                <w:highlight w:val="none"/>
              </w:rPr>
            </w:pPr>
          </w:p>
        </w:tc>
        <w:tc>
          <w:tcPr>
            <w:tcW w:w="715" w:type="dxa"/>
            <w:vAlign w:val="center"/>
          </w:tcPr>
          <w:p>
            <w:pPr>
              <w:spacing w:line="360" w:lineRule="auto"/>
              <w:jc w:val="center"/>
              <w:rPr>
                <w:rFonts w:hint="eastAsia" w:ascii="宋体" w:hAnsi="宋体" w:eastAsia="宋体" w:cs="宋体"/>
                <w:color w:val="auto"/>
                <w:sz w:val="24"/>
                <w:highlight w:val="none"/>
              </w:rPr>
            </w:pPr>
          </w:p>
        </w:tc>
        <w:tc>
          <w:tcPr>
            <w:tcW w:w="646" w:type="dxa"/>
            <w:vAlign w:val="center"/>
          </w:tcPr>
          <w:p>
            <w:pPr>
              <w:spacing w:line="360" w:lineRule="auto"/>
              <w:jc w:val="center"/>
              <w:rPr>
                <w:rFonts w:hint="eastAsia" w:ascii="宋体" w:hAnsi="宋体" w:eastAsia="宋体" w:cs="宋体"/>
                <w:color w:val="auto"/>
                <w:sz w:val="24"/>
                <w:highlight w:val="none"/>
              </w:rPr>
            </w:pPr>
          </w:p>
        </w:tc>
        <w:tc>
          <w:tcPr>
            <w:tcW w:w="658" w:type="dxa"/>
            <w:vAlign w:val="center"/>
          </w:tcPr>
          <w:p>
            <w:pPr>
              <w:spacing w:line="360" w:lineRule="auto"/>
              <w:jc w:val="center"/>
              <w:rPr>
                <w:rFonts w:hint="eastAsia" w:ascii="宋体" w:hAnsi="宋体" w:eastAsia="宋体" w:cs="宋体"/>
                <w:color w:val="auto"/>
                <w:sz w:val="24"/>
                <w:highlight w:val="none"/>
              </w:rPr>
            </w:pPr>
          </w:p>
        </w:tc>
        <w:tc>
          <w:tcPr>
            <w:tcW w:w="647" w:type="dxa"/>
            <w:vAlign w:val="center"/>
          </w:tcPr>
          <w:p>
            <w:pPr>
              <w:spacing w:line="360" w:lineRule="auto"/>
              <w:jc w:val="center"/>
              <w:rPr>
                <w:rFonts w:hint="eastAsia" w:ascii="宋体" w:hAnsi="宋体" w:eastAsia="宋体" w:cs="宋体"/>
                <w:color w:val="auto"/>
                <w:sz w:val="24"/>
                <w:highlight w:val="none"/>
              </w:rPr>
            </w:pPr>
          </w:p>
        </w:tc>
        <w:tc>
          <w:tcPr>
            <w:tcW w:w="633" w:type="dxa"/>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259" w:type="dxa"/>
            <w:vMerge w:val="continue"/>
            <w:vAlign w:val="center"/>
          </w:tcPr>
          <w:p>
            <w:pPr>
              <w:spacing w:line="360" w:lineRule="auto"/>
              <w:jc w:val="center"/>
              <w:rPr>
                <w:rFonts w:hint="eastAsia" w:ascii="宋体" w:hAnsi="宋体" w:eastAsia="宋体" w:cs="宋体"/>
                <w:color w:val="auto"/>
                <w:sz w:val="24"/>
                <w:highlight w:val="none"/>
              </w:rPr>
            </w:pPr>
          </w:p>
        </w:tc>
        <w:tc>
          <w:tcPr>
            <w:tcW w:w="794" w:type="dxa"/>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4</w:t>
            </w:r>
          </w:p>
        </w:tc>
        <w:tc>
          <w:tcPr>
            <w:tcW w:w="703" w:type="dxa"/>
            <w:vAlign w:val="center"/>
          </w:tcPr>
          <w:p>
            <w:pPr>
              <w:spacing w:line="360" w:lineRule="auto"/>
              <w:jc w:val="center"/>
              <w:rPr>
                <w:rFonts w:hint="eastAsia" w:ascii="宋体" w:hAnsi="宋体" w:eastAsia="宋体" w:cs="宋体"/>
                <w:color w:val="auto"/>
                <w:sz w:val="24"/>
                <w:highlight w:val="none"/>
              </w:rPr>
            </w:pPr>
          </w:p>
        </w:tc>
        <w:tc>
          <w:tcPr>
            <w:tcW w:w="805" w:type="dxa"/>
            <w:vAlign w:val="center"/>
          </w:tcPr>
          <w:p>
            <w:pPr>
              <w:spacing w:line="360" w:lineRule="auto"/>
              <w:jc w:val="center"/>
              <w:rPr>
                <w:rFonts w:hint="eastAsia" w:ascii="宋体" w:hAnsi="宋体" w:eastAsia="宋体" w:cs="宋体"/>
                <w:color w:val="auto"/>
                <w:sz w:val="24"/>
                <w:highlight w:val="none"/>
              </w:rPr>
            </w:pPr>
          </w:p>
        </w:tc>
        <w:tc>
          <w:tcPr>
            <w:tcW w:w="692" w:type="dxa"/>
            <w:vAlign w:val="center"/>
          </w:tcPr>
          <w:p>
            <w:pPr>
              <w:spacing w:line="360" w:lineRule="auto"/>
              <w:jc w:val="center"/>
              <w:rPr>
                <w:rFonts w:hint="eastAsia" w:ascii="宋体" w:hAnsi="宋体" w:eastAsia="宋体" w:cs="宋体"/>
                <w:color w:val="auto"/>
                <w:sz w:val="24"/>
                <w:highlight w:val="none"/>
              </w:rPr>
            </w:pPr>
          </w:p>
        </w:tc>
        <w:tc>
          <w:tcPr>
            <w:tcW w:w="908" w:type="dxa"/>
            <w:vAlign w:val="center"/>
          </w:tcPr>
          <w:p>
            <w:pPr>
              <w:spacing w:line="360" w:lineRule="auto"/>
              <w:jc w:val="center"/>
              <w:rPr>
                <w:rFonts w:hint="eastAsia" w:ascii="宋体" w:hAnsi="宋体" w:eastAsia="宋体" w:cs="宋体"/>
                <w:color w:val="auto"/>
                <w:sz w:val="24"/>
                <w:highlight w:val="none"/>
              </w:rPr>
            </w:pPr>
          </w:p>
        </w:tc>
        <w:tc>
          <w:tcPr>
            <w:tcW w:w="612" w:type="dxa"/>
            <w:vAlign w:val="center"/>
          </w:tcPr>
          <w:p>
            <w:pPr>
              <w:spacing w:line="360" w:lineRule="auto"/>
              <w:jc w:val="center"/>
              <w:rPr>
                <w:rFonts w:hint="eastAsia" w:ascii="宋体" w:hAnsi="宋体" w:eastAsia="宋体" w:cs="宋体"/>
                <w:color w:val="auto"/>
                <w:sz w:val="24"/>
                <w:highlight w:val="none"/>
              </w:rPr>
            </w:pPr>
          </w:p>
        </w:tc>
        <w:tc>
          <w:tcPr>
            <w:tcW w:w="715" w:type="dxa"/>
            <w:vAlign w:val="center"/>
          </w:tcPr>
          <w:p>
            <w:pPr>
              <w:spacing w:line="360" w:lineRule="auto"/>
              <w:jc w:val="center"/>
              <w:rPr>
                <w:rFonts w:hint="eastAsia" w:ascii="宋体" w:hAnsi="宋体" w:eastAsia="宋体" w:cs="宋体"/>
                <w:color w:val="auto"/>
                <w:sz w:val="24"/>
                <w:highlight w:val="none"/>
              </w:rPr>
            </w:pPr>
          </w:p>
        </w:tc>
        <w:tc>
          <w:tcPr>
            <w:tcW w:w="646" w:type="dxa"/>
            <w:vAlign w:val="center"/>
          </w:tcPr>
          <w:p>
            <w:pPr>
              <w:spacing w:line="360" w:lineRule="auto"/>
              <w:jc w:val="center"/>
              <w:rPr>
                <w:rFonts w:hint="eastAsia" w:ascii="宋体" w:hAnsi="宋体" w:eastAsia="宋体" w:cs="宋体"/>
                <w:color w:val="auto"/>
                <w:sz w:val="24"/>
                <w:highlight w:val="none"/>
              </w:rPr>
            </w:pPr>
          </w:p>
        </w:tc>
        <w:tc>
          <w:tcPr>
            <w:tcW w:w="658" w:type="dxa"/>
            <w:vAlign w:val="center"/>
          </w:tcPr>
          <w:p>
            <w:pPr>
              <w:spacing w:line="360" w:lineRule="auto"/>
              <w:jc w:val="center"/>
              <w:rPr>
                <w:rFonts w:hint="eastAsia" w:ascii="宋体" w:hAnsi="宋体" w:eastAsia="宋体" w:cs="宋体"/>
                <w:color w:val="auto"/>
                <w:sz w:val="24"/>
                <w:highlight w:val="none"/>
              </w:rPr>
            </w:pPr>
          </w:p>
        </w:tc>
        <w:tc>
          <w:tcPr>
            <w:tcW w:w="647" w:type="dxa"/>
            <w:vAlign w:val="center"/>
          </w:tcPr>
          <w:p>
            <w:pPr>
              <w:spacing w:line="360" w:lineRule="auto"/>
              <w:jc w:val="center"/>
              <w:rPr>
                <w:rFonts w:hint="eastAsia" w:ascii="宋体" w:hAnsi="宋体" w:eastAsia="宋体" w:cs="宋体"/>
                <w:color w:val="auto"/>
                <w:sz w:val="24"/>
                <w:highlight w:val="none"/>
              </w:rPr>
            </w:pPr>
          </w:p>
        </w:tc>
        <w:tc>
          <w:tcPr>
            <w:tcW w:w="633" w:type="dxa"/>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259" w:type="dxa"/>
            <w:vAlign w:val="center"/>
          </w:tcPr>
          <w:p>
            <w:pPr>
              <w:spacing w:line="360" w:lineRule="auto"/>
              <w:jc w:val="center"/>
              <w:rPr>
                <w:rFonts w:hint="eastAsia" w:ascii="宋体" w:hAnsi="宋体" w:eastAsia="宋体" w:cs="宋体"/>
                <w:color w:val="auto"/>
                <w:sz w:val="24"/>
                <w:highlight w:val="none"/>
              </w:rPr>
            </w:pPr>
          </w:p>
        </w:tc>
        <w:tc>
          <w:tcPr>
            <w:tcW w:w="7813" w:type="dxa"/>
            <w:gridSpan w:val="11"/>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合计总价：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259" w:type="dxa"/>
            <w:vMerge w:val="restart"/>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质保期内免费设备</w:t>
            </w:r>
          </w:p>
        </w:tc>
        <w:tc>
          <w:tcPr>
            <w:tcW w:w="794" w:type="dxa"/>
            <w:vAlign w:val="center"/>
          </w:tcPr>
          <w:p>
            <w:pPr>
              <w:spacing w:line="360" w:lineRule="auto"/>
              <w:jc w:val="center"/>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val="en-US" w:eastAsia="zh-CN"/>
              </w:rPr>
              <w:t>5</w:t>
            </w:r>
          </w:p>
        </w:tc>
        <w:tc>
          <w:tcPr>
            <w:tcW w:w="703" w:type="dxa"/>
            <w:vAlign w:val="center"/>
          </w:tcPr>
          <w:p>
            <w:pPr>
              <w:spacing w:line="360" w:lineRule="auto"/>
              <w:jc w:val="center"/>
              <w:rPr>
                <w:rFonts w:hint="eastAsia" w:ascii="宋体" w:hAnsi="宋体" w:eastAsia="宋体" w:cs="宋体"/>
                <w:color w:val="auto"/>
                <w:sz w:val="24"/>
                <w:highlight w:val="none"/>
              </w:rPr>
            </w:pPr>
          </w:p>
        </w:tc>
        <w:tc>
          <w:tcPr>
            <w:tcW w:w="805" w:type="dxa"/>
            <w:vAlign w:val="center"/>
          </w:tcPr>
          <w:p>
            <w:pPr>
              <w:spacing w:line="360" w:lineRule="auto"/>
              <w:jc w:val="center"/>
              <w:rPr>
                <w:rFonts w:hint="eastAsia" w:ascii="宋体" w:hAnsi="宋体" w:eastAsia="宋体" w:cs="宋体"/>
                <w:color w:val="auto"/>
                <w:sz w:val="24"/>
                <w:highlight w:val="none"/>
              </w:rPr>
            </w:pPr>
          </w:p>
        </w:tc>
        <w:tc>
          <w:tcPr>
            <w:tcW w:w="692" w:type="dxa"/>
            <w:vAlign w:val="center"/>
          </w:tcPr>
          <w:p>
            <w:pPr>
              <w:spacing w:line="360" w:lineRule="auto"/>
              <w:jc w:val="center"/>
              <w:rPr>
                <w:rFonts w:hint="eastAsia" w:ascii="宋体" w:hAnsi="宋体" w:eastAsia="宋体" w:cs="宋体"/>
                <w:color w:val="auto"/>
                <w:sz w:val="24"/>
                <w:highlight w:val="none"/>
              </w:rPr>
            </w:pPr>
          </w:p>
        </w:tc>
        <w:tc>
          <w:tcPr>
            <w:tcW w:w="908" w:type="dxa"/>
            <w:vAlign w:val="center"/>
          </w:tcPr>
          <w:p>
            <w:pPr>
              <w:spacing w:line="360" w:lineRule="auto"/>
              <w:jc w:val="center"/>
              <w:rPr>
                <w:rFonts w:hint="eastAsia" w:ascii="宋体" w:hAnsi="宋体" w:eastAsia="宋体" w:cs="宋体"/>
                <w:color w:val="auto"/>
                <w:sz w:val="24"/>
                <w:highlight w:val="none"/>
              </w:rPr>
            </w:pPr>
          </w:p>
        </w:tc>
        <w:tc>
          <w:tcPr>
            <w:tcW w:w="612" w:type="dxa"/>
            <w:vAlign w:val="center"/>
          </w:tcPr>
          <w:p>
            <w:pPr>
              <w:spacing w:line="360" w:lineRule="auto"/>
              <w:jc w:val="center"/>
              <w:rPr>
                <w:rFonts w:hint="eastAsia" w:ascii="宋体" w:hAnsi="宋体" w:eastAsia="宋体" w:cs="宋体"/>
                <w:color w:val="auto"/>
                <w:sz w:val="24"/>
                <w:highlight w:val="none"/>
              </w:rPr>
            </w:pPr>
          </w:p>
        </w:tc>
        <w:tc>
          <w:tcPr>
            <w:tcW w:w="715" w:type="dxa"/>
            <w:vAlign w:val="center"/>
          </w:tcPr>
          <w:p>
            <w:pPr>
              <w:spacing w:line="360" w:lineRule="auto"/>
              <w:jc w:val="center"/>
              <w:rPr>
                <w:rFonts w:hint="eastAsia" w:ascii="宋体" w:hAnsi="宋体" w:eastAsia="宋体" w:cs="宋体"/>
                <w:color w:val="auto"/>
                <w:sz w:val="24"/>
                <w:highlight w:val="none"/>
              </w:rPr>
            </w:pPr>
          </w:p>
        </w:tc>
        <w:tc>
          <w:tcPr>
            <w:tcW w:w="646" w:type="dxa"/>
            <w:vAlign w:val="center"/>
          </w:tcPr>
          <w:p>
            <w:pPr>
              <w:spacing w:line="360" w:lineRule="auto"/>
              <w:jc w:val="center"/>
              <w:rPr>
                <w:rFonts w:hint="eastAsia" w:ascii="宋体" w:hAnsi="宋体" w:eastAsia="宋体" w:cs="宋体"/>
                <w:color w:val="auto"/>
                <w:sz w:val="24"/>
                <w:highlight w:val="none"/>
              </w:rPr>
            </w:pPr>
          </w:p>
        </w:tc>
        <w:tc>
          <w:tcPr>
            <w:tcW w:w="658" w:type="dxa"/>
            <w:vAlign w:val="center"/>
          </w:tcPr>
          <w:p>
            <w:pPr>
              <w:spacing w:line="360" w:lineRule="auto"/>
              <w:jc w:val="center"/>
              <w:rPr>
                <w:rFonts w:hint="eastAsia" w:ascii="宋体" w:hAnsi="宋体" w:eastAsia="宋体" w:cs="宋体"/>
                <w:color w:val="auto"/>
                <w:sz w:val="24"/>
                <w:highlight w:val="none"/>
              </w:rPr>
            </w:pPr>
          </w:p>
        </w:tc>
        <w:tc>
          <w:tcPr>
            <w:tcW w:w="647" w:type="dxa"/>
            <w:vAlign w:val="center"/>
          </w:tcPr>
          <w:p>
            <w:pPr>
              <w:spacing w:line="360" w:lineRule="auto"/>
              <w:jc w:val="center"/>
              <w:rPr>
                <w:rFonts w:hint="eastAsia" w:ascii="宋体" w:hAnsi="宋体" w:eastAsia="宋体" w:cs="宋体"/>
                <w:color w:val="auto"/>
                <w:sz w:val="24"/>
                <w:highlight w:val="none"/>
              </w:rPr>
            </w:pPr>
          </w:p>
        </w:tc>
        <w:tc>
          <w:tcPr>
            <w:tcW w:w="633" w:type="dxa"/>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259" w:type="dxa"/>
            <w:vMerge w:val="continue"/>
            <w:vAlign w:val="center"/>
          </w:tcPr>
          <w:p>
            <w:pPr>
              <w:spacing w:line="360" w:lineRule="auto"/>
              <w:jc w:val="center"/>
              <w:rPr>
                <w:rFonts w:hint="eastAsia" w:ascii="宋体" w:hAnsi="宋体" w:eastAsia="宋体" w:cs="宋体"/>
                <w:color w:val="auto"/>
                <w:sz w:val="24"/>
                <w:highlight w:val="none"/>
              </w:rPr>
            </w:pPr>
          </w:p>
        </w:tc>
        <w:tc>
          <w:tcPr>
            <w:tcW w:w="794" w:type="dxa"/>
            <w:vAlign w:val="center"/>
          </w:tcPr>
          <w:p>
            <w:pPr>
              <w:spacing w:line="360" w:lineRule="auto"/>
              <w:jc w:val="center"/>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val="en-US" w:eastAsia="zh-CN"/>
              </w:rPr>
              <w:t>6</w:t>
            </w:r>
          </w:p>
        </w:tc>
        <w:tc>
          <w:tcPr>
            <w:tcW w:w="703" w:type="dxa"/>
            <w:vAlign w:val="center"/>
          </w:tcPr>
          <w:p>
            <w:pPr>
              <w:spacing w:line="360" w:lineRule="auto"/>
              <w:jc w:val="center"/>
              <w:rPr>
                <w:rFonts w:hint="eastAsia" w:ascii="宋体" w:hAnsi="宋体" w:eastAsia="宋体" w:cs="宋体"/>
                <w:color w:val="auto"/>
                <w:sz w:val="24"/>
                <w:highlight w:val="none"/>
              </w:rPr>
            </w:pPr>
          </w:p>
        </w:tc>
        <w:tc>
          <w:tcPr>
            <w:tcW w:w="805" w:type="dxa"/>
            <w:vAlign w:val="center"/>
          </w:tcPr>
          <w:p>
            <w:pPr>
              <w:spacing w:line="360" w:lineRule="auto"/>
              <w:jc w:val="center"/>
              <w:rPr>
                <w:rFonts w:hint="eastAsia" w:ascii="宋体" w:hAnsi="宋体" w:eastAsia="宋体" w:cs="宋体"/>
                <w:color w:val="auto"/>
                <w:sz w:val="24"/>
                <w:highlight w:val="none"/>
              </w:rPr>
            </w:pPr>
          </w:p>
        </w:tc>
        <w:tc>
          <w:tcPr>
            <w:tcW w:w="692" w:type="dxa"/>
            <w:vAlign w:val="center"/>
          </w:tcPr>
          <w:p>
            <w:pPr>
              <w:spacing w:line="360" w:lineRule="auto"/>
              <w:jc w:val="center"/>
              <w:rPr>
                <w:rFonts w:hint="eastAsia" w:ascii="宋体" w:hAnsi="宋体" w:eastAsia="宋体" w:cs="宋体"/>
                <w:color w:val="auto"/>
                <w:sz w:val="24"/>
                <w:highlight w:val="none"/>
              </w:rPr>
            </w:pPr>
          </w:p>
        </w:tc>
        <w:tc>
          <w:tcPr>
            <w:tcW w:w="908" w:type="dxa"/>
            <w:vAlign w:val="center"/>
          </w:tcPr>
          <w:p>
            <w:pPr>
              <w:spacing w:line="360" w:lineRule="auto"/>
              <w:jc w:val="center"/>
              <w:rPr>
                <w:rFonts w:hint="eastAsia" w:ascii="宋体" w:hAnsi="宋体" w:eastAsia="宋体" w:cs="宋体"/>
                <w:color w:val="auto"/>
                <w:sz w:val="24"/>
                <w:highlight w:val="none"/>
              </w:rPr>
            </w:pPr>
          </w:p>
        </w:tc>
        <w:tc>
          <w:tcPr>
            <w:tcW w:w="612" w:type="dxa"/>
            <w:vAlign w:val="center"/>
          </w:tcPr>
          <w:p>
            <w:pPr>
              <w:spacing w:line="360" w:lineRule="auto"/>
              <w:jc w:val="center"/>
              <w:rPr>
                <w:rFonts w:hint="eastAsia" w:ascii="宋体" w:hAnsi="宋体" w:eastAsia="宋体" w:cs="宋体"/>
                <w:color w:val="auto"/>
                <w:sz w:val="24"/>
                <w:highlight w:val="none"/>
              </w:rPr>
            </w:pPr>
          </w:p>
        </w:tc>
        <w:tc>
          <w:tcPr>
            <w:tcW w:w="715" w:type="dxa"/>
            <w:vAlign w:val="center"/>
          </w:tcPr>
          <w:p>
            <w:pPr>
              <w:spacing w:line="360" w:lineRule="auto"/>
              <w:jc w:val="center"/>
              <w:rPr>
                <w:rFonts w:hint="eastAsia" w:ascii="宋体" w:hAnsi="宋体" w:eastAsia="宋体" w:cs="宋体"/>
                <w:color w:val="auto"/>
                <w:sz w:val="24"/>
                <w:highlight w:val="none"/>
              </w:rPr>
            </w:pPr>
          </w:p>
        </w:tc>
        <w:tc>
          <w:tcPr>
            <w:tcW w:w="646" w:type="dxa"/>
            <w:vAlign w:val="center"/>
          </w:tcPr>
          <w:p>
            <w:pPr>
              <w:spacing w:line="360" w:lineRule="auto"/>
              <w:jc w:val="center"/>
              <w:rPr>
                <w:rFonts w:hint="eastAsia" w:ascii="宋体" w:hAnsi="宋体" w:eastAsia="宋体" w:cs="宋体"/>
                <w:color w:val="auto"/>
                <w:sz w:val="24"/>
                <w:highlight w:val="none"/>
              </w:rPr>
            </w:pPr>
          </w:p>
        </w:tc>
        <w:tc>
          <w:tcPr>
            <w:tcW w:w="658" w:type="dxa"/>
            <w:vAlign w:val="center"/>
          </w:tcPr>
          <w:p>
            <w:pPr>
              <w:spacing w:line="360" w:lineRule="auto"/>
              <w:jc w:val="center"/>
              <w:rPr>
                <w:rFonts w:hint="eastAsia" w:ascii="宋体" w:hAnsi="宋体" w:eastAsia="宋体" w:cs="宋体"/>
                <w:color w:val="auto"/>
                <w:sz w:val="24"/>
                <w:highlight w:val="none"/>
              </w:rPr>
            </w:pPr>
          </w:p>
        </w:tc>
        <w:tc>
          <w:tcPr>
            <w:tcW w:w="647" w:type="dxa"/>
            <w:vAlign w:val="center"/>
          </w:tcPr>
          <w:p>
            <w:pPr>
              <w:spacing w:line="360" w:lineRule="auto"/>
              <w:jc w:val="center"/>
              <w:rPr>
                <w:rFonts w:hint="eastAsia" w:ascii="宋体" w:hAnsi="宋体" w:eastAsia="宋体" w:cs="宋体"/>
                <w:color w:val="auto"/>
                <w:sz w:val="24"/>
                <w:highlight w:val="none"/>
              </w:rPr>
            </w:pPr>
          </w:p>
        </w:tc>
        <w:tc>
          <w:tcPr>
            <w:tcW w:w="633" w:type="dxa"/>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259" w:type="dxa"/>
            <w:vMerge w:val="continue"/>
            <w:vAlign w:val="center"/>
          </w:tcPr>
          <w:p>
            <w:pPr>
              <w:spacing w:line="360" w:lineRule="auto"/>
              <w:jc w:val="center"/>
              <w:rPr>
                <w:rFonts w:hint="eastAsia" w:ascii="宋体" w:hAnsi="宋体" w:eastAsia="宋体" w:cs="宋体"/>
                <w:color w:val="auto"/>
                <w:sz w:val="24"/>
                <w:highlight w:val="none"/>
              </w:rPr>
            </w:pPr>
          </w:p>
        </w:tc>
        <w:tc>
          <w:tcPr>
            <w:tcW w:w="794" w:type="dxa"/>
            <w:vAlign w:val="center"/>
          </w:tcPr>
          <w:p>
            <w:pPr>
              <w:spacing w:line="360" w:lineRule="auto"/>
              <w:jc w:val="center"/>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val="en-US" w:eastAsia="zh-CN"/>
              </w:rPr>
              <w:t>7</w:t>
            </w:r>
          </w:p>
        </w:tc>
        <w:tc>
          <w:tcPr>
            <w:tcW w:w="703" w:type="dxa"/>
            <w:vAlign w:val="center"/>
          </w:tcPr>
          <w:p>
            <w:pPr>
              <w:spacing w:line="360" w:lineRule="auto"/>
              <w:jc w:val="center"/>
              <w:rPr>
                <w:rFonts w:hint="eastAsia" w:ascii="宋体" w:hAnsi="宋体" w:eastAsia="宋体" w:cs="宋体"/>
                <w:color w:val="auto"/>
                <w:sz w:val="24"/>
                <w:highlight w:val="none"/>
              </w:rPr>
            </w:pPr>
          </w:p>
        </w:tc>
        <w:tc>
          <w:tcPr>
            <w:tcW w:w="805" w:type="dxa"/>
            <w:vAlign w:val="center"/>
          </w:tcPr>
          <w:p>
            <w:pPr>
              <w:spacing w:line="360" w:lineRule="auto"/>
              <w:jc w:val="center"/>
              <w:rPr>
                <w:rFonts w:hint="eastAsia" w:ascii="宋体" w:hAnsi="宋体" w:eastAsia="宋体" w:cs="宋体"/>
                <w:color w:val="auto"/>
                <w:sz w:val="24"/>
                <w:highlight w:val="none"/>
              </w:rPr>
            </w:pPr>
          </w:p>
        </w:tc>
        <w:tc>
          <w:tcPr>
            <w:tcW w:w="692" w:type="dxa"/>
            <w:vAlign w:val="center"/>
          </w:tcPr>
          <w:p>
            <w:pPr>
              <w:spacing w:line="360" w:lineRule="auto"/>
              <w:jc w:val="center"/>
              <w:rPr>
                <w:rFonts w:hint="eastAsia" w:ascii="宋体" w:hAnsi="宋体" w:eastAsia="宋体" w:cs="宋体"/>
                <w:color w:val="auto"/>
                <w:sz w:val="24"/>
                <w:highlight w:val="none"/>
              </w:rPr>
            </w:pPr>
          </w:p>
        </w:tc>
        <w:tc>
          <w:tcPr>
            <w:tcW w:w="908" w:type="dxa"/>
            <w:vAlign w:val="center"/>
          </w:tcPr>
          <w:p>
            <w:pPr>
              <w:spacing w:line="360" w:lineRule="auto"/>
              <w:jc w:val="center"/>
              <w:rPr>
                <w:rFonts w:hint="eastAsia" w:ascii="宋体" w:hAnsi="宋体" w:eastAsia="宋体" w:cs="宋体"/>
                <w:color w:val="auto"/>
                <w:sz w:val="24"/>
                <w:highlight w:val="none"/>
              </w:rPr>
            </w:pPr>
          </w:p>
        </w:tc>
        <w:tc>
          <w:tcPr>
            <w:tcW w:w="612" w:type="dxa"/>
            <w:vAlign w:val="center"/>
          </w:tcPr>
          <w:p>
            <w:pPr>
              <w:spacing w:line="360" w:lineRule="auto"/>
              <w:jc w:val="center"/>
              <w:rPr>
                <w:rFonts w:hint="eastAsia" w:ascii="宋体" w:hAnsi="宋体" w:eastAsia="宋体" w:cs="宋体"/>
                <w:color w:val="auto"/>
                <w:sz w:val="24"/>
                <w:highlight w:val="none"/>
              </w:rPr>
            </w:pPr>
          </w:p>
        </w:tc>
        <w:tc>
          <w:tcPr>
            <w:tcW w:w="715" w:type="dxa"/>
            <w:vAlign w:val="center"/>
          </w:tcPr>
          <w:p>
            <w:pPr>
              <w:spacing w:line="360" w:lineRule="auto"/>
              <w:jc w:val="center"/>
              <w:rPr>
                <w:rFonts w:hint="eastAsia" w:ascii="宋体" w:hAnsi="宋体" w:eastAsia="宋体" w:cs="宋体"/>
                <w:color w:val="auto"/>
                <w:sz w:val="24"/>
                <w:highlight w:val="none"/>
              </w:rPr>
            </w:pPr>
          </w:p>
        </w:tc>
        <w:tc>
          <w:tcPr>
            <w:tcW w:w="646" w:type="dxa"/>
            <w:vAlign w:val="center"/>
          </w:tcPr>
          <w:p>
            <w:pPr>
              <w:spacing w:line="360" w:lineRule="auto"/>
              <w:jc w:val="center"/>
              <w:rPr>
                <w:rFonts w:hint="eastAsia" w:ascii="宋体" w:hAnsi="宋体" w:eastAsia="宋体" w:cs="宋体"/>
                <w:color w:val="auto"/>
                <w:sz w:val="24"/>
                <w:highlight w:val="none"/>
              </w:rPr>
            </w:pPr>
          </w:p>
        </w:tc>
        <w:tc>
          <w:tcPr>
            <w:tcW w:w="658" w:type="dxa"/>
            <w:vAlign w:val="center"/>
          </w:tcPr>
          <w:p>
            <w:pPr>
              <w:spacing w:line="360" w:lineRule="auto"/>
              <w:jc w:val="center"/>
              <w:rPr>
                <w:rFonts w:hint="eastAsia" w:ascii="宋体" w:hAnsi="宋体" w:eastAsia="宋体" w:cs="宋体"/>
                <w:color w:val="auto"/>
                <w:sz w:val="24"/>
                <w:highlight w:val="none"/>
              </w:rPr>
            </w:pPr>
          </w:p>
        </w:tc>
        <w:tc>
          <w:tcPr>
            <w:tcW w:w="647" w:type="dxa"/>
            <w:vAlign w:val="center"/>
          </w:tcPr>
          <w:p>
            <w:pPr>
              <w:spacing w:line="360" w:lineRule="auto"/>
              <w:jc w:val="center"/>
              <w:rPr>
                <w:rFonts w:hint="eastAsia" w:ascii="宋体" w:hAnsi="宋体" w:eastAsia="宋体" w:cs="宋体"/>
                <w:color w:val="auto"/>
                <w:sz w:val="24"/>
                <w:highlight w:val="none"/>
              </w:rPr>
            </w:pPr>
          </w:p>
        </w:tc>
        <w:tc>
          <w:tcPr>
            <w:tcW w:w="633" w:type="dxa"/>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259" w:type="dxa"/>
            <w:vMerge w:val="continue"/>
            <w:vAlign w:val="center"/>
          </w:tcPr>
          <w:p>
            <w:pPr>
              <w:spacing w:line="360" w:lineRule="auto"/>
              <w:jc w:val="center"/>
              <w:rPr>
                <w:rFonts w:hint="eastAsia" w:ascii="宋体" w:hAnsi="宋体" w:eastAsia="宋体" w:cs="宋体"/>
                <w:color w:val="auto"/>
                <w:sz w:val="24"/>
                <w:highlight w:val="none"/>
              </w:rPr>
            </w:pPr>
          </w:p>
        </w:tc>
        <w:tc>
          <w:tcPr>
            <w:tcW w:w="794" w:type="dxa"/>
            <w:vAlign w:val="center"/>
          </w:tcPr>
          <w:p>
            <w:pPr>
              <w:spacing w:line="360" w:lineRule="auto"/>
              <w:jc w:val="center"/>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val="en-US" w:eastAsia="zh-CN"/>
              </w:rPr>
              <w:t>8</w:t>
            </w:r>
          </w:p>
        </w:tc>
        <w:tc>
          <w:tcPr>
            <w:tcW w:w="703" w:type="dxa"/>
            <w:vAlign w:val="center"/>
          </w:tcPr>
          <w:p>
            <w:pPr>
              <w:spacing w:line="360" w:lineRule="auto"/>
              <w:jc w:val="center"/>
              <w:rPr>
                <w:rFonts w:hint="eastAsia" w:ascii="宋体" w:hAnsi="宋体" w:eastAsia="宋体" w:cs="宋体"/>
                <w:color w:val="auto"/>
                <w:sz w:val="24"/>
                <w:highlight w:val="none"/>
              </w:rPr>
            </w:pPr>
          </w:p>
        </w:tc>
        <w:tc>
          <w:tcPr>
            <w:tcW w:w="805" w:type="dxa"/>
            <w:vAlign w:val="center"/>
          </w:tcPr>
          <w:p>
            <w:pPr>
              <w:spacing w:line="360" w:lineRule="auto"/>
              <w:jc w:val="center"/>
              <w:rPr>
                <w:rFonts w:hint="eastAsia" w:ascii="宋体" w:hAnsi="宋体" w:eastAsia="宋体" w:cs="宋体"/>
                <w:color w:val="auto"/>
                <w:sz w:val="24"/>
                <w:highlight w:val="none"/>
              </w:rPr>
            </w:pPr>
          </w:p>
        </w:tc>
        <w:tc>
          <w:tcPr>
            <w:tcW w:w="692" w:type="dxa"/>
            <w:vAlign w:val="center"/>
          </w:tcPr>
          <w:p>
            <w:pPr>
              <w:spacing w:line="360" w:lineRule="auto"/>
              <w:jc w:val="center"/>
              <w:rPr>
                <w:rFonts w:hint="eastAsia" w:ascii="宋体" w:hAnsi="宋体" w:eastAsia="宋体" w:cs="宋体"/>
                <w:color w:val="auto"/>
                <w:sz w:val="24"/>
                <w:highlight w:val="none"/>
              </w:rPr>
            </w:pPr>
          </w:p>
        </w:tc>
        <w:tc>
          <w:tcPr>
            <w:tcW w:w="908" w:type="dxa"/>
            <w:vAlign w:val="center"/>
          </w:tcPr>
          <w:p>
            <w:pPr>
              <w:spacing w:line="360" w:lineRule="auto"/>
              <w:jc w:val="center"/>
              <w:rPr>
                <w:rFonts w:hint="eastAsia" w:ascii="宋体" w:hAnsi="宋体" w:eastAsia="宋体" w:cs="宋体"/>
                <w:color w:val="auto"/>
                <w:sz w:val="24"/>
                <w:highlight w:val="none"/>
              </w:rPr>
            </w:pPr>
          </w:p>
        </w:tc>
        <w:tc>
          <w:tcPr>
            <w:tcW w:w="612" w:type="dxa"/>
            <w:vAlign w:val="center"/>
          </w:tcPr>
          <w:p>
            <w:pPr>
              <w:spacing w:line="360" w:lineRule="auto"/>
              <w:jc w:val="center"/>
              <w:rPr>
                <w:rFonts w:hint="eastAsia" w:ascii="宋体" w:hAnsi="宋体" w:eastAsia="宋体" w:cs="宋体"/>
                <w:color w:val="auto"/>
                <w:sz w:val="24"/>
                <w:highlight w:val="none"/>
              </w:rPr>
            </w:pPr>
          </w:p>
        </w:tc>
        <w:tc>
          <w:tcPr>
            <w:tcW w:w="715" w:type="dxa"/>
            <w:vAlign w:val="center"/>
          </w:tcPr>
          <w:p>
            <w:pPr>
              <w:spacing w:line="360" w:lineRule="auto"/>
              <w:jc w:val="center"/>
              <w:rPr>
                <w:rFonts w:hint="eastAsia" w:ascii="宋体" w:hAnsi="宋体" w:eastAsia="宋体" w:cs="宋体"/>
                <w:color w:val="auto"/>
                <w:sz w:val="24"/>
                <w:highlight w:val="none"/>
              </w:rPr>
            </w:pPr>
          </w:p>
        </w:tc>
        <w:tc>
          <w:tcPr>
            <w:tcW w:w="646" w:type="dxa"/>
            <w:vAlign w:val="center"/>
          </w:tcPr>
          <w:p>
            <w:pPr>
              <w:spacing w:line="360" w:lineRule="auto"/>
              <w:jc w:val="center"/>
              <w:rPr>
                <w:rFonts w:hint="eastAsia" w:ascii="宋体" w:hAnsi="宋体" w:eastAsia="宋体" w:cs="宋体"/>
                <w:color w:val="auto"/>
                <w:sz w:val="24"/>
                <w:highlight w:val="none"/>
              </w:rPr>
            </w:pPr>
          </w:p>
        </w:tc>
        <w:tc>
          <w:tcPr>
            <w:tcW w:w="658" w:type="dxa"/>
            <w:vAlign w:val="center"/>
          </w:tcPr>
          <w:p>
            <w:pPr>
              <w:spacing w:line="360" w:lineRule="auto"/>
              <w:jc w:val="center"/>
              <w:rPr>
                <w:rFonts w:hint="eastAsia" w:ascii="宋体" w:hAnsi="宋体" w:eastAsia="宋体" w:cs="宋体"/>
                <w:color w:val="auto"/>
                <w:sz w:val="24"/>
                <w:highlight w:val="none"/>
              </w:rPr>
            </w:pPr>
          </w:p>
        </w:tc>
        <w:tc>
          <w:tcPr>
            <w:tcW w:w="647" w:type="dxa"/>
            <w:vAlign w:val="center"/>
          </w:tcPr>
          <w:p>
            <w:pPr>
              <w:spacing w:line="360" w:lineRule="auto"/>
              <w:jc w:val="center"/>
              <w:rPr>
                <w:rFonts w:hint="eastAsia" w:ascii="宋体" w:hAnsi="宋体" w:eastAsia="宋体" w:cs="宋体"/>
                <w:color w:val="auto"/>
                <w:sz w:val="24"/>
                <w:highlight w:val="none"/>
              </w:rPr>
            </w:pPr>
          </w:p>
        </w:tc>
        <w:tc>
          <w:tcPr>
            <w:tcW w:w="633" w:type="dxa"/>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9072" w:type="dxa"/>
            <w:gridSpan w:val="12"/>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总    价（元）：</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（质保期外设备报价）</w:t>
            </w:r>
          </w:p>
        </w:tc>
      </w:tr>
    </w:tbl>
    <w:p>
      <w:pPr>
        <w:pStyle w:val="6"/>
        <w:spacing w:line="360" w:lineRule="exact"/>
        <w:ind w:firstLine="0"/>
        <w:rPr>
          <w:rFonts w:hint="eastAsia" w:ascii="宋体" w:hAnsi="宋体" w:eastAsia="宋体" w:cs="宋体"/>
          <w:color w:val="auto"/>
          <w:kern w:val="2"/>
          <w:sz w:val="21"/>
          <w:szCs w:val="21"/>
          <w:highlight w:val="none"/>
        </w:rPr>
      </w:pPr>
    </w:p>
    <w:p>
      <w:pPr>
        <w:pStyle w:val="6"/>
        <w:spacing w:line="360" w:lineRule="exact"/>
        <w:ind w:firstLine="0"/>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rPr>
        <w:t>供应商名称（公章）：</w:t>
      </w:r>
      <w:r>
        <w:rPr>
          <w:rFonts w:hint="eastAsia" w:ascii="宋体" w:hAnsi="宋体" w:eastAsia="宋体" w:cs="宋体"/>
          <w:color w:val="auto"/>
          <w:kern w:val="2"/>
          <w:sz w:val="21"/>
          <w:szCs w:val="21"/>
          <w:highlight w:val="none"/>
          <w:u w:val="single"/>
          <w:lang w:val="en-US" w:eastAsia="zh-CN"/>
        </w:rPr>
        <w:t xml:space="preserve">                            </w:t>
      </w:r>
      <w:r>
        <w:rPr>
          <w:rFonts w:hint="eastAsia" w:ascii="宋体" w:hAnsi="宋体" w:eastAsia="宋体" w:cs="宋体"/>
          <w:color w:val="auto"/>
          <w:kern w:val="2"/>
          <w:sz w:val="21"/>
          <w:szCs w:val="21"/>
          <w:highlight w:val="none"/>
          <w:lang w:val="en-US" w:eastAsia="zh-CN"/>
        </w:rPr>
        <w:t xml:space="preserve">                                </w:t>
      </w:r>
    </w:p>
    <w:p>
      <w:pPr>
        <w:pStyle w:val="6"/>
        <w:spacing w:line="360" w:lineRule="exact"/>
        <w:ind w:firstLine="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供应商法人或授权代表</w:t>
      </w: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lang w:val="en-US" w:eastAsia="zh-CN"/>
        </w:rPr>
        <w:t>签/章</w:t>
      </w: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rPr>
        <w:t>：</w:t>
      </w:r>
      <w:r>
        <w:rPr>
          <w:rFonts w:hint="eastAsia" w:ascii="宋体" w:hAnsi="宋体" w:eastAsia="宋体" w:cs="宋体"/>
          <w:color w:val="auto"/>
          <w:kern w:val="2"/>
          <w:sz w:val="21"/>
          <w:szCs w:val="21"/>
          <w:highlight w:val="none"/>
          <w:u w:val="single"/>
          <w:lang w:val="en-US" w:eastAsia="zh-CN"/>
        </w:rPr>
        <w:t xml:space="preserve">                                     </w:t>
      </w:r>
      <w:r>
        <w:rPr>
          <w:rFonts w:hint="eastAsia" w:ascii="宋体" w:hAnsi="宋体" w:eastAsia="宋体" w:cs="宋体"/>
          <w:color w:val="auto"/>
          <w:kern w:val="2"/>
          <w:sz w:val="21"/>
          <w:szCs w:val="21"/>
          <w:highlight w:val="none"/>
          <w:lang w:val="en-US" w:eastAsia="zh-CN"/>
        </w:rPr>
        <w:t xml:space="preserve">                       </w:t>
      </w:r>
      <w:r>
        <w:rPr>
          <w:rFonts w:hint="eastAsia" w:ascii="宋体" w:hAnsi="宋体" w:eastAsia="宋体" w:cs="宋体"/>
          <w:color w:val="auto"/>
          <w:kern w:val="2"/>
          <w:sz w:val="21"/>
          <w:szCs w:val="21"/>
          <w:highlight w:val="none"/>
        </w:rPr>
        <w:t xml:space="preserve">                    </w:t>
      </w:r>
    </w:p>
    <w:p>
      <w:pPr>
        <w:pStyle w:val="6"/>
        <w:spacing w:line="360" w:lineRule="exact"/>
        <w:ind w:firstLine="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日       期 ：</w:t>
      </w:r>
      <w:r>
        <w:rPr>
          <w:rFonts w:hint="eastAsia" w:ascii="宋体" w:hAnsi="宋体" w:eastAsia="宋体" w:cs="宋体"/>
          <w:color w:val="auto"/>
          <w:kern w:val="2"/>
          <w:sz w:val="21"/>
          <w:szCs w:val="21"/>
          <w:highlight w:val="none"/>
          <w:u w:val="single"/>
          <w:lang w:val="en-US" w:eastAsia="zh-CN"/>
        </w:rPr>
        <w:t xml:space="preserve">                                </w:t>
      </w:r>
      <w:r>
        <w:rPr>
          <w:rFonts w:hint="eastAsia" w:ascii="宋体" w:hAnsi="宋体" w:eastAsia="宋体" w:cs="宋体"/>
          <w:color w:val="auto"/>
          <w:kern w:val="2"/>
          <w:sz w:val="21"/>
          <w:szCs w:val="21"/>
          <w:highlight w:val="none"/>
          <w:lang w:val="en-US" w:eastAsia="zh-CN"/>
        </w:rPr>
        <w:t xml:space="preserve">                                      </w:t>
      </w:r>
      <w:r>
        <w:rPr>
          <w:rFonts w:hint="eastAsia" w:ascii="宋体" w:hAnsi="宋体" w:eastAsia="宋体" w:cs="宋体"/>
          <w:color w:val="auto"/>
          <w:kern w:val="2"/>
          <w:sz w:val="21"/>
          <w:szCs w:val="21"/>
          <w:highlight w:val="none"/>
        </w:rPr>
        <w:t xml:space="preserve">   </w:t>
      </w:r>
    </w:p>
    <w:p>
      <w:pPr>
        <w:spacing w:line="360" w:lineRule="exact"/>
        <w:rPr>
          <w:rFonts w:hint="eastAsia" w:ascii="宋体" w:hAnsi="宋体" w:eastAsia="宋体" w:cs="宋体"/>
          <w:color w:val="auto"/>
          <w:szCs w:val="21"/>
          <w:highlight w:val="none"/>
        </w:rPr>
      </w:pPr>
      <w:r>
        <w:rPr>
          <w:rFonts w:hint="eastAsia" w:ascii="宋体" w:hAnsi="宋体" w:eastAsia="宋体" w:cs="宋体"/>
          <w:color w:val="auto"/>
          <w:sz w:val="24"/>
          <w:highlight w:val="none"/>
        </w:rPr>
        <w:t>注：</w:t>
      </w:r>
      <w:r>
        <w:rPr>
          <w:rFonts w:hint="eastAsia" w:ascii="宋体" w:hAnsi="宋体" w:eastAsia="宋体" w:cs="宋体"/>
          <w:color w:val="auto"/>
          <w:szCs w:val="21"/>
          <w:highlight w:val="none"/>
        </w:rPr>
        <w:t>1、 表格长度方向可做扩展根据需求可补充相关资料，但不可减少。</w:t>
      </w:r>
    </w:p>
    <w:p>
      <w:pPr>
        <w:spacing w:line="36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2、备品备件设备分项报价仅供</w:t>
      </w:r>
      <w:r>
        <w:rPr>
          <w:rFonts w:hint="eastAsia" w:ascii="宋体" w:hAnsi="宋体" w:eastAsia="宋体" w:cs="宋体"/>
          <w:color w:val="auto"/>
          <w:szCs w:val="21"/>
          <w:highlight w:val="none"/>
          <w:lang w:eastAsia="zh-CN"/>
        </w:rPr>
        <w:t>采购人</w:t>
      </w:r>
      <w:r>
        <w:rPr>
          <w:rFonts w:hint="eastAsia" w:ascii="宋体" w:hAnsi="宋体" w:eastAsia="宋体" w:cs="宋体"/>
          <w:color w:val="auto"/>
          <w:szCs w:val="21"/>
          <w:highlight w:val="none"/>
        </w:rPr>
        <w:t xml:space="preserve">在设备发生故障情况下采用此报价，填写此表时请谨慎。备品备件分为两部分（1、质保期内免费的备品备件、2、质保期外备品备件报价）                 </w:t>
      </w:r>
    </w:p>
    <w:p>
      <w:pPr>
        <w:pStyle w:val="6"/>
        <w:spacing w:line="360" w:lineRule="exact"/>
        <w:ind w:firstLine="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3、备品备件设备分项报价不合计于开标一览表总价，单独名列即可。</w:t>
      </w:r>
    </w:p>
    <w:p>
      <w:pPr>
        <w:pStyle w:val="6"/>
        <w:spacing w:line="360" w:lineRule="exact"/>
        <w:ind w:firstLine="0"/>
        <w:rPr>
          <w:rFonts w:hint="eastAsia" w:ascii="宋体" w:hAnsi="宋体" w:eastAsia="宋体" w:cs="宋体"/>
          <w:b/>
          <w:color w:val="auto"/>
          <w:sz w:val="21"/>
          <w:szCs w:val="21"/>
          <w:highlight w:val="none"/>
        </w:rPr>
      </w:pPr>
      <w:r>
        <w:rPr>
          <w:rFonts w:hint="eastAsia" w:ascii="宋体" w:hAnsi="宋体" w:eastAsia="宋体" w:cs="宋体"/>
          <w:color w:val="auto"/>
          <w:kern w:val="2"/>
          <w:sz w:val="21"/>
          <w:szCs w:val="21"/>
          <w:highlight w:val="none"/>
        </w:rPr>
        <w:t>4、在设备维修和维护过程中，用来更换已经磨损，不能继续使用或损坏的零件和修复件。而为了缩短设备维修的停机维修时间，减少停机损失，供应质量优良的备件，可以保证修理质量和修理周期，提高设备的可靠性，有效率。备件管理工作的重点首先是满足关键设备对维修备件的需要，保证关键设备的正常运行，尽量减少停机损失。</w:t>
      </w:r>
    </w:p>
    <w:p>
      <w:pPr>
        <w:pStyle w:val="11"/>
        <w:spacing w:line="240" w:lineRule="atLeast"/>
        <w:ind w:left="1258" w:leftChars="599" w:firstLine="1143" w:firstLineChars="542"/>
        <w:rPr>
          <w:rFonts w:hint="eastAsia" w:ascii="宋体" w:hAnsi="宋体" w:eastAsia="宋体" w:cs="宋体"/>
          <w:b/>
          <w:color w:val="auto"/>
          <w:kern w:val="0"/>
          <w:szCs w:val="21"/>
          <w:highlight w:val="none"/>
        </w:rPr>
      </w:pPr>
    </w:p>
    <w:p>
      <w:pPr>
        <w:pStyle w:val="11"/>
        <w:spacing w:line="240" w:lineRule="atLeast"/>
        <w:ind w:left="1258" w:leftChars="599" w:firstLine="1143" w:firstLineChars="542"/>
        <w:rPr>
          <w:rFonts w:hint="eastAsia" w:ascii="宋体" w:hAnsi="宋体" w:eastAsia="宋体" w:cs="宋体"/>
          <w:b/>
          <w:color w:val="auto"/>
          <w:kern w:val="0"/>
          <w:szCs w:val="21"/>
          <w:highlight w:val="none"/>
        </w:rPr>
      </w:pPr>
    </w:p>
    <w:p>
      <w:pPr>
        <w:pStyle w:val="11"/>
        <w:spacing w:line="240" w:lineRule="atLeast"/>
        <w:ind w:left="1258" w:leftChars="599" w:firstLine="1143" w:firstLineChars="542"/>
        <w:rPr>
          <w:rFonts w:hint="eastAsia" w:ascii="宋体" w:hAnsi="宋体" w:eastAsia="宋体" w:cs="宋体"/>
          <w:b/>
          <w:color w:val="auto"/>
          <w:kern w:val="0"/>
          <w:szCs w:val="21"/>
          <w:highlight w:val="none"/>
        </w:rPr>
      </w:pPr>
    </w:p>
    <w:p>
      <w:pPr>
        <w:pStyle w:val="4"/>
        <w:spacing w:before="0" w:line="240" w:lineRule="atLeast"/>
        <w:ind w:firstLine="2741" w:firstLineChars="1300"/>
        <w:jc w:val="both"/>
        <w:rPr>
          <w:rFonts w:hint="eastAsia" w:ascii="宋体" w:hAnsi="宋体" w:eastAsia="宋体" w:cs="宋体"/>
          <w:b/>
          <w:bCs/>
          <w:color w:val="auto"/>
          <w:sz w:val="21"/>
          <w:szCs w:val="21"/>
          <w:highlight w:val="none"/>
        </w:rPr>
      </w:pPr>
      <w:bookmarkStart w:id="319" w:name="_Toc21726"/>
      <w:bookmarkStart w:id="320" w:name="_Toc22966"/>
      <w:bookmarkStart w:id="321" w:name="_Toc28817"/>
      <w:bookmarkStart w:id="322" w:name="_Toc15893"/>
      <w:bookmarkStart w:id="323" w:name="_Toc28800"/>
      <w:bookmarkStart w:id="324" w:name="_Toc15861"/>
      <w:bookmarkStart w:id="325" w:name="_Toc31515"/>
      <w:bookmarkStart w:id="326" w:name="_Toc11577"/>
      <w:bookmarkStart w:id="327" w:name="_Toc11211"/>
      <w:bookmarkStart w:id="328" w:name="_Toc25956"/>
      <w:r>
        <w:rPr>
          <w:rFonts w:hint="eastAsia" w:ascii="宋体" w:hAnsi="宋体" w:eastAsia="宋体" w:cs="宋体"/>
          <w:b/>
          <w:bCs/>
          <w:color w:val="auto"/>
          <w:sz w:val="21"/>
          <w:szCs w:val="21"/>
          <w:highlight w:val="none"/>
        </w:rPr>
        <w:t>3</w:t>
      </w:r>
      <w:r>
        <w:rPr>
          <w:rFonts w:hint="eastAsia" w:ascii="宋体" w:hAnsi="宋体" w:eastAsia="宋体" w:cs="宋体"/>
          <w:b/>
          <w:bCs/>
          <w:color w:val="auto"/>
          <w:sz w:val="21"/>
          <w:szCs w:val="21"/>
          <w:highlight w:val="none"/>
          <w:lang w:val="en-US" w:eastAsia="zh-CN"/>
        </w:rPr>
        <w:t>.</w:t>
      </w:r>
      <w:r>
        <w:rPr>
          <w:rFonts w:hint="eastAsia" w:ascii="宋体" w:hAnsi="宋体" w:eastAsia="宋体" w:cs="宋体"/>
          <w:b/>
          <w:bCs/>
          <w:color w:val="auto"/>
          <w:sz w:val="21"/>
          <w:szCs w:val="21"/>
          <w:highlight w:val="none"/>
        </w:rPr>
        <w:t>货物说明一览表</w:t>
      </w:r>
      <w:bookmarkEnd w:id="319"/>
      <w:bookmarkEnd w:id="320"/>
      <w:bookmarkEnd w:id="321"/>
      <w:bookmarkEnd w:id="322"/>
      <w:bookmarkEnd w:id="323"/>
      <w:bookmarkEnd w:id="324"/>
      <w:bookmarkEnd w:id="325"/>
      <w:bookmarkEnd w:id="326"/>
      <w:bookmarkEnd w:id="327"/>
      <w:bookmarkEnd w:id="328"/>
    </w:p>
    <w:p>
      <w:pPr>
        <w:pStyle w:val="11"/>
        <w:spacing w:line="240" w:lineRule="atLeast"/>
        <w:jc w:val="left"/>
        <w:rPr>
          <w:rFonts w:hint="eastAsia" w:ascii="宋体" w:hAnsi="宋体" w:eastAsia="宋体" w:cs="宋体"/>
          <w:color w:val="auto"/>
          <w:szCs w:val="21"/>
          <w:highlight w:val="none"/>
        </w:rPr>
      </w:pPr>
    </w:p>
    <w:p>
      <w:pPr>
        <w:pStyle w:val="11"/>
        <w:spacing w:line="240" w:lineRule="atLeast"/>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项目名称:                    </w:t>
      </w:r>
      <w:r>
        <w:rPr>
          <w:rFonts w:hint="eastAsia" w:hAnsi="宋体" w:cs="宋体"/>
          <w:color w:val="auto"/>
          <w:szCs w:val="21"/>
          <w:highlight w:val="none"/>
          <w:lang w:eastAsia="zh-CN"/>
        </w:rPr>
        <w:t>项目编号</w:t>
      </w:r>
      <w:r>
        <w:rPr>
          <w:rFonts w:hint="eastAsia" w:ascii="宋体" w:hAnsi="宋体" w:eastAsia="宋体" w:cs="宋体"/>
          <w:color w:val="auto"/>
          <w:szCs w:val="21"/>
          <w:highlight w:val="none"/>
        </w:rPr>
        <w:t xml:space="preserve">:                                                              </w:t>
      </w:r>
    </w:p>
    <w:p>
      <w:pPr>
        <w:pStyle w:val="11"/>
        <w:spacing w:line="240" w:lineRule="atLeast"/>
        <w:ind w:left="1080" w:leftChars="257" w:hanging="540"/>
        <w:rPr>
          <w:rFonts w:hint="eastAsia" w:ascii="宋体" w:hAnsi="宋体" w:eastAsia="宋体" w:cs="宋体"/>
          <w:color w:val="auto"/>
          <w:szCs w:val="21"/>
          <w:highlight w:val="none"/>
        </w:rPr>
      </w:pPr>
    </w:p>
    <w:tbl>
      <w:tblPr>
        <w:tblStyle w:val="20"/>
        <w:tblW w:w="8678" w:type="dxa"/>
        <w:tblInd w:w="-3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1"/>
        <w:gridCol w:w="1370"/>
        <w:gridCol w:w="1475"/>
        <w:gridCol w:w="1730"/>
        <w:gridCol w:w="1730"/>
        <w:gridCol w:w="1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3" w:hRule="atLeast"/>
        </w:trPr>
        <w:tc>
          <w:tcPr>
            <w:tcW w:w="1141" w:type="dxa"/>
            <w:vAlign w:val="center"/>
          </w:tcPr>
          <w:p>
            <w:pPr>
              <w:widowControl/>
              <w:jc w:val="center"/>
              <w:textAlignment w:val="center"/>
              <w:rPr>
                <w:rFonts w:hint="eastAsia" w:ascii="宋体" w:hAnsi="宋体" w:eastAsia="宋体" w:cs="宋体"/>
                <w:color w:val="auto"/>
                <w:szCs w:val="21"/>
                <w:highlight w:val="none"/>
              </w:rPr>
            </w:pPr>
            <w:r>
              <w:rPr>
                <w:rFonts w:hint="eastAsia" w:ascii="宋体" w:hAnsi="宋体" w:eastAsia="宋体" w:cs="宋体"/>
                <w:color w:val="auto"/>
                <w:kern w:val="0"/>
                <w:sz w:val="24"/>
                <w:highlight w:val="none"/>
              </w:rPr>
              <w:t>序号</w:t>
            </w:r>
          </w:p>
        </w:tc>
        <w:tc>
          <w:tcPr>
            <w:tcW w:w="1370" w:type="dxa"/>
            <w:vAlign w:val="center"/>
          </w:tcPr>
          <w:p>
            <w:pPr>
              <w:widowControl/>
              <w:jc w:val="center"/>
              <w:textAlignment w:val="center"/>
              <w:rPr>
                <w:rFonts w:hint="eastAsia" w:ascii="宋体" w:hAnsi="宋体" w:eastAsia="宋体" w:cs="宋体"/>
                <w:color w:val="auto"/>
                <w:szCs w:val="21"/>
                <w:highlight w:val="none"/>
              </w:rPr>
            </w:pPr>
            <w:r>
              <w:rPr>
                <w:rFonts w:hint="eastAsia" w:ascii="宋体" w:hAnsi="宋体" w:eastAsia="宋体" w:cs="宋体"/>
                <w:color w:val="auto"/>
                <w:kern w:val="0"/>
                <w:sz w:val="24"/>
                <w:highlight w:val="none"/>
              </w:rPr>
              <w:t>货物名称</w:t>
            </w:r>
          </w:p>
        </w:tc>
        <w:tc>
          <w:tcPr>
            <w:tcW w:w="1475" w:type="dxa"/>
            <w:vAlign w:val="center"/>
          </w:tcPr>
          <w:p>
            <w:pPr>
              <w:widowControl/>
              <w:jc w:val="center"/>
              <w:textAlignment w:val="center"/>
              <w:rPr>
                <w:rFonts w:hint="eastAsia" w:ascii="宋体" w:hAnsi="宋体" w:eastAsia="宋体" w:cs="宋体"/>
                <w:color w:val="auto"/>
                <w:szCs w:val="21"/>
                <w:highlight w:val="none"/>
              </w:rPr>
            </w:pPr>
            <w:r>
              <w:rPr>
                <w:rFonts w:hint="eastAsia" w:ascii="宋体" w:hAnsi="宋体" w:eastAsia="宋体" w:cs="宋体"/>
                <w:color w:val="auto"/>
                <w:kern w:val="0"/>
                <w:sz w:val="24"/>
                <w:highlight w:val="none"/>
              </w:rPr>
              <w:t>规格型号</w:t>
            </w:r>
          </w:p>
        </w:tc>
        <w:tc>
          <w:tcPr>
            <w:tcW w:w="1730" w:type="dxa"/>
            <w:vAlign w:val="center"/>
          </w:tcPr>
          <w:p>
            <w:pPr>
              <w:widowControl/>
              <w:jc w:val="center"/>
              <w:textAlignment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交货期</w:t>
            </w:r>
          </w:p>
        </w:tc>
        <w:tc>
          <w:tcPr>
            <w:tcW w:w="1730" w:type="dxa"/>
            <w:vAlign w:val="center"/>
          </w:tcPr>
          <w:p>
            <w:pPr>
              <w:widowControl/>
              <w:jc w:val="center"/>
              <w:textAlignment w:val="center"/>
              <w:rPr>
                <w:rFonts w:hint="eastAsia" w:ascii="宋体" w:hAnsi="宋体" w:eastAsia="宋体" w:cs="宋体"/>
                <w:color w:val="auto"/>
                <w:szCs w:val="21"/>
                <w:highlight w:val="none"/>
              </w:rPr>
            </w:pPr>
            <w:r>
              <w:rPr>
                <w:rFonts w:hint="eastAsia" w:ascii="宋体" w:hAnsi="宋体" w:eastAsia="宋体" w:cs="宋体"/>
                <w:color w:val="auto"/>
                <w:kern w:val="0"/>
                <w:sz w:val="24"/>
                <w:highlight w:val="none"/>
              </w:rPr>
              <w:t>交货地点</w:t>
            </w:r>
          </w:p>
        </w:tc>
        <w:tc>
          <w:tcPr>
            <w:tcW w:w="1232" w:type="dxa"/>
            <w:vAlign w:val="center"/>
          </w:tcPr>
          <w:p>
            <w:pPr>
              <w:widowControl/>
              <w:jc w:val="center"/>
              <w:textAlignment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1141" w:type="dxa"/>
          </w:tcPr>
          <w:p>
            <w:pPr>
              <w:pStyle w:val="11"/>
              <w:spacing w:line="240" w:lineRule="atLeast"/>
              <w:ind w:left="1080" w:leftChars="257" w:hanging="540"/>
              <w:rPr>
                <w:rFonts w:hint="eastAsia" w:ascii="宋体" w:hAnsi="宋体" w:eastAsia="宋体" w:cs="宋体"/>
                <w:color w:val="auto"/>
                <w:szCs w:val="21"/>
                <w:highlight w:val="none"/>
              </w:rPr>
            </w:pPr>
          </w:p>
        </w:tc>
        <w:tc>
          <w:tcPr>
            <w:tcW w:w="1370" w:type="dxa"/>
          </w:tcPr>
          <w:p>
            <w:pPr>
              <w:pStyle w:val="11"/>
              <w:spacing w:line="240" w:lineRule="atLeast"/>
              <w:ind w:left="1080" w:leftChars="257" w:hanging="540"/>
              <w:rPr>
                <w:rFonts w:hint="eastAsia" w:ascii="宋体" w:hAnsi="宋体" w:eastAsia="宋体" w:cs="宋体"/>
                <w:color w:val="auto"/>
                <w:szCs w:val="21"/>
                <w:highlight w:val="none"/>
              </w:rPr>
            </w:pPr>
          </w:p>
        </w:tc>
        <w:tc>
          <w:tcPr>
            <w:tcW w:w="1475" w:type="dxa"/>
          </w:tcPr>
          <w:p>
            <w:pPr>
              <w:pStyle w:val="11"/>
              <w:spacing w:line="240" w:lineRule="atLeast"/>
              <w:ind w:left="1080" w:leftChars="257" w:hanging="540"/>
              <w:rPr>
                <w:rFonts w:hint="eastAsia" w:ascii="宋体" w:hAnsi="宋体" w:eastAsia="宋体" w:cs="宋体"/>
                <w:color w:val="auto"/>
                <w:szCs w:val="21"/>
                <w:highlight w:val="none"/>
              </w:rPr>
            </w:pPr>
          </w:p>
        </w:tc>
        <w:tc>
          <w:tcPr>
            <w:tcW w:w="1730" w:type="dxa"/>
          </w:tcPr>
          <w:p>
            <w:pPr>
              <w:pStyle w:val="11"/>
              <w:spacing w:line="240" w:lineRule="atLeast"/>
              <w:ind w:left="1080" w:leftChars="257" w:hanging="540"/>
              <w:rPr>
                <w:rFonts w:hint="eastAsia" w:ascii="宋体" w:hAnsi="宋体" w:eastAsia="宋体" w:cs="宋体"/>
                <w:color w:val="auto"/>
                <w:szCs w:val="21"/>
                <w:highlight w:val="none"/>
              </w:rPr>
            </w:pPr>
          </w:p>
        </w:tc>
        <w:tc>
          <w:tcPr>
            <w:tcW w:w="1730" w:type="dxa"/>
          </w:tcPr>
          <w:p>
            <w:pPr>
              <w:pStyle w:val="11"/>
              <w:spacing w:line="240" w:lineRule="atLeast"/>
              <w:ind w:left="1080" w:leftChars="257" w:hanging="540"/>
              <w:rPr>
                <w:rFonts w:hint="eastAsia" w:ascii="宋体" w:hAnsi="宋体" w:eastAsia="宋体" w:cs="宋体"/>
                <w:color w:val="auto"/>
                <w:szCs w:val="21"/>
                <w:highlight w:val="none"/>
              </w:rPr>
            </w:pPr>
          </w:p>
        </w:tc>
        <w:tc>
          <w:tcPr>
            <w:tcW w:w="1232" w:type="dxa"/>
          </w:tcPr>
          <w:p>
            <w:pPr>
              <w:pStyle w:val="11"/>
              <w:spacing w:line="240" w:lineRule="atLeast"/>
              <w:ind w:left="1080" w:leftChars="257" w:hanging="540"/>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1141" w:type="dxa"/>
          </w:tcPr>
          <w:p>
            <w:pPr>
              <w:pStyle w:val="11"/>
              <w:spacing w:line="240" w:lineRule="atLeast"/>
              <w:ind w:left="1080" w:leftChars="257" w:hanging="540"/>
              <w:rPr>
                <w:rFonts w:hint="eastAsia" w:ascii="宋体" w:hAnsi="宋体" w:eastAsia="宋体" w:cs="宋体"/>
                <w:color w:val="auto"/>
                <w:szCs w:val="21"/>
                <w:highlight w:val="none"/>
              </w:rPr>
            </w:pPr>
          </w:p>
        </w:tc>
        <w:tc>
          <w:tcPr>
            <w:tcW w:w="1370" w:type="dxa"/>
          </w:tcPr>
          <w:p>
            <w:pPr>
              <w:pStyle w:val="11"/>
              <w:spacing w:line="240" w:lineRule="atLeast"/>
              <w:ind w:left="1080" w:leftChars="257" w:hanging="540"/>
              <w:rPr>
                <w:rFonts w:hint="eastAsia" w:ascii="宋体" w:hAnsi="宋体" w:eastAsia="宋体" w:cs="宋体"/>
                <w:color w:val="auto"/>
                <w:szCs w:val="21"/>
                <w:highlight w:val="none"/>
              </w:rPr>
            </w:pPr>
          </w:p>
        </w:tc>
        <w:tc>
          <w:tcPr>
            <w:tcW w:w="1475" w:type="dxa"/>
          </w:tcPr>
          <w:p>
            <w:pPr>
              <w:pStyle w:val="11"/>
              <w:spacing w:line="240" w:lineRule="atLeast"/>
              <w:ind w:left="1080" w:leftChars="257" w:hanging="540"/>
              <w:rPr>
                <w:rFonts w:hint="eastAsia" w:ascii="宋体" w:hAnsi="宋体" w:eastAsia="宋体" w:cs="宋体"/>
                <w:color w:val="auto"/>
                <w:szCs w:val="21"/>
                <w:highlight w:val="none"/>
              </w:rPr>
            </w:pPr>
          </w:p>
        </w:tc>
        <w:tc>
          <w:tcPr>
            <w:tcW w:w="1730" w:type="dxa"/>
          </w:tcPr>
          <w:p>
            <w:pPr>
              <w:pStyle w:val="11"/>
              <w:spacing w:line="240" w:lineRule="atLeast"/>
              <w:ind w:left="1080" w:leftChars="257" w:hanging="540"/>
              <w:rPr>
                <w:rFonts w:hint="eastAsia" w:ascii="宋体" w:hAnsi="宋体" w:eastAsia="宋体" w:cs="宋体"/>
                <w:color w:val="auto"/>
                <w:szCs w:val="21"/>
                <w:highlight w:val="none"/>
              </w:rPr>
            </w:pPr>
          </w:p>
        </w:tc>
        <w:tc>
          <w:tcPr>
            <w:tcW w:w="1730" w:type="dxa"/>
          </w:tcPr>
          <w:p>
            <w:pPr>
              <w:pStyle w:val="11"/>
              <w:spacing w:line="240" w:lineRule="atLeast"/>
              <w:ind w:left="1080" w:leftChars="257" w:hanging="540"/>
              <w:rPr>
                <w:rFonts w:hint="eastAsia" w:ascii="宋体" w:hAnsi="宋体" w:eastAsia="宋体" w:cs="宋体"/>
                <w:color w:val="auto"/>
                <w:szCs w:val="21"/>
                <w:highlight w:val="none"/>
              </w:rPr>
            </w:pPr>
          </w:p>
        </w:tc>
        <w:tc>
          <w:tcPr>
            <w:tcW w:w="1232" w:type="dxa"/>
          </w:tcPr>
          <w:p>
            <w:pPr>
              <w:pStyle w:val="11"/>
              <w:spacing w:line="240" w:lineRule="atLeast"/>
              <w:ind w:left="1080" w:leftChars="257" w:hanging="540"/>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1141" w:type="dxa"/>
          </w:tcPr>
          <w:p>
            <w:pPr>
              <w:pStyle w:val="11"/>
              <w:spacing w:line="240" w:lineRule="atLeast"/>
              <w:ind w:left="1080" w:leftChars="257" w:hanging="540"/>
              <w:rPr>
                <w:rFonts w:hint="eastAsia" w:ascii="宋体" w:hAnsi="宋体" w:eastAsia="宋体" w:cs="宋体"/>
                <w:color w:val="auto"/>
                <w:szCs w:val="21"/>
                <w:highlight w:val="none"/>
              </w:rPr>
            </w:pPr>
          </w:p>
        </w:tc>
        <w:tc>
          <w:tcPr>
            <w:tcW w:w="1370" w:type="dxa"/>
          </w:tcPr>
          <w:p>
            <w:pPr>
              <w:pStyle w:val="11"/>
              <w:spacing w:line="240" w:lineRule="atLeast"/>
              <w:ind w:left="1080" w:leftChars="257" w:hanging="540"/>
              <w:rPr>
                <w:rFonts w:hint="eastAsia" w:ascii="宋体" w:hAnsi="宋体" w:eastAsia="宋体" w:cs="宋体"/>
                <w:color w:val="auto"/>
                <w:szCs w:val="21"/>
                <w:highlight w:val="none"/>
              </w:rPr>
            </w:pPr>
          </w:p>
        </w:tc>
        <w:tc>
          <w:tcPr>
            <w:tcW w:w="1475" w:type="dxa"/>
          </w:tcPr>
          <w:p>
            <w:pPr>
              <w:pStyle w:val="11"/>
              <w:spacing w:line="240" w:lineRule="atLeast"/>
              <w:ind w:left="1080" w:leftChars="257" w:hanging="540"/>
              <w:rPr>
                <w:rFonts w:hint="eastAsia" w:ascii="宋体" w:hAnsi="宋体" w:eastAsia="宋体" w:cs="宋体"/>
                <w:color w:val="auto"/>
                <w:szCs w:val="21"/>
                <w:highlight w:val="none"/>
              </w:rPr>
            </w:pPr>
          </w:p>
        </w:tc>
        <w:tc>
          <w:tcPr>
            <w:tcW w:w="1730" w:type="dxa"/>
          </w:tcPr>
          <w:p>
            <w:pPr>
              <w:pStyle w:val="11"/>
              <w:spacing w:line="240" w:lineRule="atLeast"/>
              <w:ind w:left="1080" w:leftChars="257" w:hanging="540"/>
              <w:rPr>
                <w:rFonts w:hint="eastAsia" w:ascii="宋体" w:hAnsi="宋体" w:eastAsia="宋体" w:cs="宋体"/>
                <w:color w:val="auto"/>
                <w:szCs w:val="21"/>
                <w:highlight w:val="none"/>
              </w:rPr>
            </w:pPr>
          </w:p>
        </w:tc>
        <w:tc>
          <w:tcPr>
            <w:tcW w:w="1730" w:type="dxa"/>
          </w:tcPr>
          <w:p>
            <w:pPr>
              <w:pStyle w:val="11"/>
              <w:spacing w:line="240" w:lineRule="atLeast"/>
              <w:ind w:left="1080" w:leftChars="257" w:hanging="540"/>
              <w:rPr>
                <w:rFonts w:hint="eastAsia" w:ascii="宋体" w:hAnsi="宋体" w:eastAsia="宋体" w:cs="宋体"/>
                <w:color w:val="auto"/>
                <w:szCs w:val="21"/>
                <w:highlight w:val="none"/>
              </w:rPr>
            </w:pPr>
          </w:p>
        </w:tc>
        <w:tc>
          <w:tcPr>
            <w:tcW w:w="1232" w:type="dxa"/>
          </w:tcPr>
          <w:p>
            <w:pPr>
              <w:pStyle w:val="11"/>
              <w:spacing w:line="240" w:lineRule="atLeast"/>
              <w:ind w:left="1080" w:leftChars="257" w:hanging="540"/>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1141" w:type="dxa"/>
          </w:tcPr>
          <w:p>
            <w:pPr>
              <w:pStyle w:val="11"/>
              <w:spacing w:line="240" w:lineRule="atLeast"/>
              <w:ind w:left="1080" w:leftChars="257" w:hanging="540"/>
              <w:rPr>
                <w:rFonts w:hint="eastAsia" w:ascii="宋体" w:hAnsi="宋体" w:eastAsia="宋体" w:cs="宋体"/>
                <w:color w:val="auto"/>
                <w:szCs w:val="21"/>
                <w:highlight w:val="none"/>
              </w:rPr>
            </w:pPr>
          </w:p>
        </w:tc>
        <w:tc>
          <w:tcPr>
            <w:tcW w:w="1370" w:type="dxa"/>
          </w:tcPr>
          <w:p>
            <w:pPr>
              <w:pStyle w:val="11"/>
              <w:spacing w:line="240" w:lineRule="atLeast"/>
              <w:ind w:left="1080" w:leftChars="257" w:hanging="540"/>
              <w:rPr>
                <w:rFonts w:hint="eastAsia" w:ascii="宋体" w:hAnsi="宋体" w:eastAsia="宋体" w:cs="宋体"/>
                <w:color w:val="auto"/>
                <w:szCs w:val="21"/>
                <w:highlight w:val="none"/>
              </w:rPr>
            </w:pPr>
          </w:p>
        </w:tc>
        <w:tc>
          <w:tcPr>
            <w:tcW w:w="1475" w:type="dxa"/>
          </w:tcPr>
          <w:p>
            <w:pPr>
              <w:pStyle w:val="11"/>
              <w:spacing w:line="240" w:lineRule="atLeast"/>
              <w:ind w:left="1080" w:leftChars="257" w:hanging="540"/>
              <w:rPr>
                <w:rFonts w:hint="eastAsia" w:ascii="宋体" w:hAnsi="宋体" w:eastAsia="宋体" w:cs="宋体"/>
                <w:color w:val="auto"/>
                <w:szCs w:val="21"/>
                <w:highlight w:val="none"/>
              </w:rPr>
            </w:pPr>
          </w:p>
        </w:tc>
        <w:tc>
          <w:tcPr>
            <w:tcW w:w="1730" w:type="dxa"/>
          </w:tcPr>
          <w:p>
            <w:pPr>
              <w:pStyle w:val="11"/>
              <w:spacing w:line="240" w:lineRule="atLeast"/>
              <w:ind w:left="1080" w:leftChars="257" w:hanging="540"/>
              <w:rPr>
                <w:rFonts w:hint="eastAsia" w:ascii="宋体" w:hAnsi="宋体" w:eastAsia="宋体" w:cs="宋体"/>
                <w:color w:val="auto"/>
                <w:szCs w:val="21"/>
                <w:highlight w:val="none"/>
              </w:rPr>
            </w:pPr>
          </w:p>
        </w:tc>
        <w:tc>
          <w:tcPr>
            <w:tcW w:w="1730" w:type="dxa"/>
          </w:tcPr>
          <w:p>
            <w:pPr>
              <w:pStyle w:val="11"/>
              <w:spacing w:line="240" w:lineRule="atLeast"/>
              <w:ind w:left="1080" w:leftChars="257" w:hanging="540"/>
              <w:rPr>
                <w:rFonts w:hint="eastAsia" w:ascii="宋体" w:hAnsi="宋体" w:eastAsia="宋体" w:cs="宋体"/>
                <w:color w:val="auto"/>
                <w:szCs w:val="21"/>
                <w:highlight w:val="none"/>
              </w:rPr>
            </w:pPr>
          </w:p>
        </w:tc>
        <w:tc>
          <w:tcPr>
            <w:tcW w:w="1232" w:type="dxa"/>
          </w:tcPr>
          <w:p>
            <w:pPr>
              <w:pStyle w:val="11"/>
              <w:spacing w:line="240" w:lineRule="atLeast"/>
              <w:ind w:left="1080" w:leftChars="257" w:hanging="540"/>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1141" w:type="dxa"/>
          </w:tcPr>
          <w:p>
            <w:pPr>
              <w:pStyle w:val="11"/>
              <w:spacing w:line="240" w:lineRule="atLeast"/>
              <w:ind w:left="1080" w:leftChars="257" w:hanging="540"/>
              <w:rPr>
                <w:rFonts w:hint="eastAsia" w:ascii="宋体" w:hAnsi="宋体" w:eastAsia="宋体" w:cs="宋体"/>
                <w:color w:val="auto"/>
                <w:szCs w:val="21"/>
                <w:highlight w:val="none"/>
              </w:rPr>
            </w:pPr>
          </w:p>
        </w:tc>
        <w:tc>
          <w:tcPr>
            <w:tcW w:w="1370" w:type="dxa"/>
          </w:tcPr>
          <w:p>
            <w:pPr>
              <w:pStyle w:val="11"/>
              <w:spacing w:line="240" w:lineRule="atLeast"/>
              <w:ind w:left="1080" w:leftChars="257" w:hanging="540"/>
              <w:rPr>
                <w:rFonts w:hint="eastAsia" w:ascii="宋体" w:hAnsi="宋体" w:eastAsia="宋体" w:cs="宋体"/>
                <w:color w:val="auto"/>
                <w:szCs w:val="21"/>
                <w:highlight w:val="none"/>
              </w:rPr>
            </w:pPr>
          </w:p>
        </w:tc>
        <w:tc>
          <w:tcPr>
            <w:tcW w:w="1475" w:type="dxa"/>
          </w:tcPr>
          <w:p>
            <w:pPr>
              <w:pStyle w:val="11"/>
              <w:spacing w:line="240" w:lineRule="atLeast"/>
              <w:ind w:left="1080" w:leftChars="257" w:hanging="540"/>
              <w:rPr>
                <w:rFonts w:hint="eastAsia" w:ascii="宋体" w:hAnsi="宋体" w:eastAsia="宋体" w:cs="宋体"/>
                <w:color w:val="auto"/>
                <w:szCs w:val="21"/>
                <w:highlight w:val="none"/>
              </w:rPr>
            </w:pPr>
          </w:p>
        </w:tc>
        <w:tc>
          <w:tcPr>
            <w:tcW w:w="1730" w:type="dxa"/>
          </w:tcPr>
          <w:p>
            <w:pPr>
              <w:pStyle w:val="11"/>
              <w:spacing w:line="240" w:lineRule="atLeast"/>
              <w:ind w:left="1080" w:leftChars="257" w:hanging="540"/>
              <w:rPr>
                <w:rFonts w:hint="eastAsia" w:ascii="宋体" w:hAnsi="宋体" w:eastAsia="宋体" w:cs="宋体"/>
                <w:color w:val="auto"/>
                <w:szCs w:val="21"/>
                <w:highlight w:val="none"/>
              </w:rPr>
            </w:pPr>
          </w:p>
        </w:tc>
        <w:tc>
          <w:tcPr>
            <w:tcW w:w="1730" w:type="dxa"/>
          </w:tcPr>
          <w:p>
            <w:pPr>
              <w:pStyle w:val="11"/>
              <w:spacing w:line="240" w:lineRule="atLeast"/>
              <w:ind w:left="1080" w:leftChars="257" w:hanging="540"/>
              <w:rPr>
                <w:rFonts w:hint="eastAsia" w:ascii="宋体" w:hAnsi="宋体" w:eastAsia="宋体" w:cs="宋体"/>
                <w:color w:val="auto"/>
                <w:szCs w:val="21"/>
                <w:highlight w:val="none"/>
              </w:rPr>
            </w:pPr>
          </w:p>
        </w:tc>
        <w:tc>
          <w:tcPr>
            <w:tcW w:w="1232" w:type="dxa"/>
          </w:tcPr>
          <w:p>
            <w:pPr>
              <w:pStyle w:val="11"/>
              <w:spacing w:line="240" w:lineRule="atLeast"/>
              <w:ind w:left="1080" w:leftChars="257" w:hanging="540"/>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1141" w:type="dxa"/>
          </w:tcPr>
          <w:p>
            <w:pPr>
              <w:pStyle w:val="11"/>
              <w:spacing w:line="240" w:lineRule="atLeast"/>
              <w:ind w:left="1080" w:leftChars="257" w:hanging="540"/>
              <w:rPr>
                <w:rFonts w:hint="eastAsia" w:ascii="宋体" w:hAnsi="宋体" w:eastAsia="宋体" w:cs="宋体"/>
                <w:color w:val="auto"/>
                <w:szCs w:val="21"/>
                <w:highlight w:val="none"/>
              </w:rPr>
            </w:pPr>
          </w:p>
        </w:tc>
        <w:tc>
          <w:tcPr>
            <w:tcW w:w="1370" w:type="dxa"/>
          </w:tcPr>
          <w:p>
            <w:pPr>
              <w:pStyle w:val="11"/>
              <w:spacing w:line="240" w:lineRule="atLeast"/>
              <w:ind w:left="1080" w:leftChars="257" w:hanging="540"/>
              <w:rPr>
                <w:rFonts w:hint="eastAsia" w:ascii="宋体" w:hAnsi="宋体" w:eastAsia="宋体" w:cs="宋体"/>
                <w:color w:val="auto"/>
                <w:szCs w:val="21"/>
                <w:highlight w:val="none"/>
              </w:rPr>
            </w:pPr>
          </w:p>
        </w:tc>
        <w:tc>
          <w:tcPr>
            <w:tcW w:w="1475" w:type="dxa"/>
          </w:tcPr>
          <w:p>
            <w:pPr>
              <w:pStyle w:val="11"/>
              <w:spacing w:line="240" w:lineRule="atLeast"/>
              <w:ind w:left="1080" w:leftChars="257" w:hanging="540"/>
              <w:rPr>
                <w:rFonts w:hint="eastAsia" w:ascii="宋体" w:hAnsi="宋体" w:eastAsia="宋体" w:cs="宋体"/>
                <w:color w:val="auto"/>
                <w:szCs w:val="21"/>
                <w:highlight w:val="none"/>
              </w:rPr>
            </w:pPr>
          </w:p>
        </w:tc>
        <w:tc>
          <w:tcPr>
            <w:tcW w:w="1730" w:type="dxa"/>
          </w:tcPr>
          <w:p>
            <w:pPr>
              <w:pStyle w:val="11"/>
              <w:spacing w:line="240" w:lineRule="atLeast"/>
              <w:ind w:left="1080" w:leftChars="257" w:hanging="540"/>
              <w:rPr>
                <w:rFonts w:hint="eastAsia" w:ascii="宋体" w:hAnsi="宋体" w:eastAsia="宋体" w:cs="宋体"/>
                <w:color w:val="auto"/>
                <w:szCs w:val="21"/>
                <w:highlight w:val="none"/>
              </w:rPr>
            </w:pPr>
          </w:p>
        </w:tc>
        <w:tc>
          <w:tcPr>
            <w:tcW w:w="1730" w:type="dxa"/>
          </w:tcPr>
          <w:p>
            <w:pPr>
              <w:pStyle w:val="11"/>
              <w:spacing w:line="240" w:lineRule="atLeast"/>
              <w:ind w:left="1080" w:leftChars="257" w:hanging="540"/>
              <w:rPr>
                <w:rFonts w:hint="eastAsia" w:ascii="宋体" w:hAnsi="宋体" w:eastAsia="宋体" w:cs="宋体"/>
                <w:color w:val="auto"/>
                <w:szCs w:val="21"/>
                <w:highlight w:val="none"/>
              </w:rPr>
            </w:pPr>
          </w:p>
        </w:tc>
        <w:tc>
          <w:tcPr>
            <w:tcW w:w="1232" w:type="dxa"/>
          </w:tcPr>
          <w:p>
            <w:pPr>
              <w:pStyle w:val="11"/>
              <w:spacing w:line="240" w:lineRule="atLeast"/>
              <w:ind w:left="1080" w:leftChars="257" w:hanging="540"/>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141" w:type="dxa"/>
          </w:tcPr>
          <w:p>
            <w:pPr>
              <w:pStyle w:val="11"/>
              <w:spacing w:line="240" w:lineRule="atLeast"/>
              <w:ind w:left="1080" w:leftChars="257" w:hanging="540"/>
              <w:rPr>
                <w:rFonts w:hint="eastAsia" w:ascii="宋体" w:hAnsi="宋体" w:eastAsia="宋体" w:cs="宋体"/>
                <w:color w:val="auto"/>
                <w:szCs w:val="21"/>
                <w:highlight w:val="none"/>
              </w:rPr>
            </w:pPr>
          </w:p>
        </w:tc>
        <w:tc>
          <w:tcPr>
            <w:tcW w:w="1370" w:type="dxa"/>
          </w:tcPr>
          <w:p>
            <w:pPr>
              <w:pStyle w:val="11"/>
              <w:spacing w:line="240" w:lineRule="atLeast"/>
              <w:ind w:left="1080" w:leftChars="257" w:hanging="540"/>
              <w:rPr>
                <w:rFonts w:hint="eastAsia" w:ascii="宋体" w:hAnsi="宋体" w:eastAsia="宋体" w:cs="宋体"/>
                <w:color w:val="auto"/>
                <w:szCs w:val="21"/>
                <w:highlight w:val="none"/>
              </w:rPr>
            </w:pPr>
          </w:p>
        </w:tc>
        <w:tc>
          <w:tcPr>
            <w:tcW w:w="1475" w:type="dxa"/>
          </w:tcPr>
          <w:p>
            <w:pPr>
              <w:pStyle w:val="11"/>
              <w:spacing w:line="240" w:lineRule="atLeast"/>
              <w:ind w:left="1080" w:leftChars="257" w:hanging="540"/>
              <w:rPr>
                <w:rFonts w:hint="eastAsia" w:ascii="宋体" w:hAnsi="宋体" w:eastAsia="宋体" w:cs="宋体"/>
                <w:color w:val="auto"/>
                <w:szCs w:val="21"/>
                <w:highlight w:val="none"/>
              </w:rPr>
            </w:pPr>
          </w:p>
        </w:tc>
        <w:tc>
          <w:tcPr>
            <w:tcW w:w="1730" w:type="dxa"/>
          </w:tcPr>
          <w:p>
            <w:pPr>
              <w:pStyle w:val="11"/>
              <w:spacing w:line="240" w:lineRule="atLeast"/>
              <w:ind w:left="1080" w:leftChars="257" w:hanging="540"/>
              <w:rPr>
                <w:rFonts w:hint="eastAsia" w:ascii="宋体" w:hAnsi="宋体" w:eastAsia="宋体" w:cs="宋体"/>
                <w:color w:val="auto"/>
                <w:szCs w:val="21"/>
                <w:highlight w:val="none"/>
              </w:rPr>
            </w:pPr>
          </w:p>
        </w:tc>
        <w:tc>
          <w:tcPr>
            <w:tcW w:w="1730" w:type="dxa"/>
          </w:tcPr>
          <w:p>
            <w:pPr>
              <w:pStyle w:val="11"/>
              <w:spacing w:line="240" w:lineRule="atLeast"/>
              <w:ind w:left="1080" w:leftChars="257" w:hanging="540"/>
              <w:rPr>
                <w:rFonts w:hint="eastAsia" w:ascii="宋体" w:hAnsi="宋体" w:eastAsia="宋体" w:cs="宋体"/>
                <w:color w:val="auto"/>
                <w:szCs w:val="21"/>
                <w:highlight w:val="none"/>
              </w:rPr>
            </w:pPr>
          </w:p>
        </w:tc>
        <w:tc>
          <w:tcPr>
            <w:tcW w:w="1232" w:type="dxa"/>
          </w:tcPr>
          <w:p>
            <w:pPr>
              <w:pStyle w:val="11"/>
              <w:spacing w:line="240" w:lineRule="atLeast"/>
              <w:ind w:left="1080" w:leftChars="257" w:hanging="540"/>
              <w:rPr>
                <w:rFonts w:hint="eastAsia" w:ascii="宋体" w:hAnsi="宋体" w:eastAsia="宋体" w:cs="宋体"/>
                <w:color w:val="auto"/>
                <w:szCs w:val="21"/>
                <w:highlight w:val="none"/>
              </w:rPr>
            </w:pPr>
          </w:p>
        </w:tc>
      </w:tr>
    </w:tbl>
    <w:p>
      <w:pPr>
        <w:pStyle w:val="11"/>
        <w:spacing w:line="240" w:lineRule="atLeast"/>
        <w:ind w:left="1080" w:leftChars="257" w:hanging="540"/>
        <w:rPr>
          <w:rFonts w:hint="eastAsia" w:ascii="宋体" w:hAnsi="宋体" w:eastAsia="宋体" w:cs="宋体"/>
          <w:color w:val="auto"/>
          <w:szCs w:val="21"/>
          <w:highlight w:val="none"/>
        </w:rPr>
      </w:pPr>
    </w:p>
    <w:p>
      <w:pPr>
        <w:pStyle w:val="11"/>
        <w:spacing w:line="240" w:lineRule="atLeast"/>
        <w:ind w:left="1080" w:leftChars="257" w:hanging="540"/>
        <w:rPr>
          <w:rFonts w:hint="eastAsia" w:ascii="宋体" w:hAnsi="宋体" w:eastAsia="宋体" w:cs="宋体"/>
          <w:color w:val="auto"/>
          <w:szCs w:val="21"/>
          <w:highlight w:val="none"/>
        </w:rPr>
      </w:pPr>
      <w:r>
        <w:rPr>
          <w:rFonts w:hint="eastAsia" w:ascii="宋体" w:hAnsi="宋体" w:eastAsia="宋体" w:cs="宋体"/>
          <w:color w:val="auto"/>
          <w:szCs w:val="21"/>
          <w:highlight w:val="none"/>
        </w:rPr>
        <w:t>法定代表人或其委托代理人</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签/章</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single"/>
        </w:rPr>
        <w:tab/>
      </w:r>
      <w:r>
        <w:rPr>
          <w:rFonts w:hint="eastAsia" w:ascii="宋体" w:hAnsi="宋体" w:eastAsia="宋体" w:cs="宋体"/>
          <w:color w:val="auto"/>
          <w:szCs w:val="21"/>
          <w:highlight w:val="none"/>
          <w:u w:val="single"/>
        </w:rPr>
        <w:t xml:space="preserve">                 </w:t>
      </w:r>
    </w:p>
    <w:p>
      <w:pPr>
        <w:pStyle w:val="11"/>
        <w:tabs>
          <w:tab w:val="left" w:pos="5370"/>
        </w:tabs>
        <w:spacing w:line="240" w:lineRule="atLeast"/>
        <w:ind w:left="1080" w:leftChars="257" w:hanging="540"/>
        <w:rPr>
          <w:rFonts w:hint="eastAsia" w:ascii="宋体" w:hAnsi="宋体" w:eastAsia="宋体" w:cs="宋体"/>
          <w:color w:val="auto"/>
          <w:szCs w:val="21"/>
          <w:highlight w:val="none"/>
        </w:rPr>
      </w:pP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eastAsia="zh-CN"/>
        </w:rPr>
        <w:t>公章</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u w:val="single"/>
        </w:rPr>
        <w:tab/>
      </w:r>
    </w:p>
    <w:p>
      <w:pPr>
        <w:pStyle w:val="11"/>
        <w:spacing w:line="240" w:lineRule="atLeast"/>
        <w:ind w:left="1080" w:leftChars="257" w:hanging="540"/>
        <w:rPr>
          <w:rFonts w:hint="eastAsia" w:ascii="宋体" w:hAnsi="宋体" w:eastAsia="宋体" w:cs="宋体"/>
          <w:b/>
          <w:bCs/>
          <w:color w:val="auto"/>
          <w:sz w:val="22"/>
          <w:szCs w:val="22"/>
          <w:highlight w:val="none"/>
        </w:rPr>
      </w:pPr>
      <w:r>
        <w:rPr>
          <w:rFonts w:hint="eastAsia" w:ascii="宋体" w:hAnsi="宋体" w:eastAsia="宋体" w:cs="宋体"/>
          <w:color w:val="auto"/>
          <w:szCs w:val="21"/>
          <w:highlight w:val="none"/>
        </w:rPr>
        <w:t>注: 各项服务详细技术性能应另页描述。</w:t>
      </w:r>
    </w:p>
    <w:p>
      <w:pPr>
        <w:pStyle w:val="11"/>
        <w:spacing w:line="240" w:lineRule="atLeast"/>
        <w:ind w:left="1080" w:leftChars="257" w:hanging="540"/>
        <w:jc w:val="center"/>
        <w:rPr>
          <w:rFonts w:hint="eastAsia" w:ascii="宋体" w:hAnsi="宋体" w:eastAsia="宋体" w:cs="宋体"/>
          <w:b/>
          <w:bCs/>
          <w:color w:val="auto"/>
          <w:sz w:val="22"/>
          <w:szCs w:val="22"/>
          <w:highlight w:val="none"/>
        </w:rPr>
      </w:pPr>
    </w:p>
    <w:p>
      <w:pPr>
        <w:pStyle w:val="11"/>
        <w:spacing w:line="240" w:lineRule="atLeast"/>
        <w:ind w:left="1080" w:leftChars="257" w:hanging="540"/>
        <w:jc w:val="center"/>
        <w:rPr>
          <w:rFonts w:hint="eastAsia" w:ascii="宋体" w:hAnsi="宋体" w:eastAsia="宋体" w:cs="宋体"/>
          <w:b/>
          <w:bCs/>
          <w:color w:val="auto"/>
          <w:sz w:val="22"/>
          <w:szCs w:val="22"/>
          <w:highlight w:val="none"/>
        </w:rPr>
      </w:pPr>
    </w:p>
    <w:p>
      <w:pPr>
        <w:pStyle w:val="11"/>
        <w:spacing w:line="240" w:lineRule="atLeast"/>
        <w:ind w:left="1080" w:leftChars="257" w:hanging="540"/>
        <w:jc w:val="center"/>
        <w:rPr>
          <w:rFonts w:hint="eastAsia" w:ascii="宋体" w:hAnsi="宋体" w:eastAsia="宋体" w:cs="宋体"/>
          <w:b/>
          <w:bCs/>
          <w:color w:val="auto"/>
          <w:sz w:val="22"/>
          <w:szCs w:val="22"/>
          <w:highlight w:val="none"/>
        </w:rPr>
      </w:pPr>
    </w:p>
    <w:p>
      <w:pPr>
        <w:pStyle w:val="11"/>
        <w:spacing w:line="240" w:lineRule="atLeast"/>
        <w:ind w:left="1080" w:leftChars="257" w:hanging="540"/>
        <w:jc w:val="center"/>
        <w:rPr>
          <w:rFonts w:hint="eastAsia" w:ascii="宋体" w:hAnsi="宋体" w:eastAsia="宋体" w:cs="宋体"/>
          <w:b/>
          <w:bCs/>
          <w:color w:val="auto"/>
          <w:sz w:val="22"/>
          <w:szCs w:val="22"/>
          <w:highlight w:val="none"/>
        </w:rPr>
      </w:pPr>
    </w:p>
    <w:p>
      <w:pPr>
        <w:pStyle w:val="11"/>
        <w:spacing w:line="240" w:lineRule="atLeast"/>
        <w:ind w:left="1080" w:leftChars="257" w:hanging="540"/>
        <w:jc w:val="center"/>
        <w:rPr>
          <w:rFonts w:hint="eastAsia" w:ascii="宋体" w:hAnsi="宋体" w:eastAsia="宋体" w:cs="宋体"/>
          <w:b/>
          <w:bCs/>
          <w:color w:val="auto"/>
          <w:sz w:val="22"/>
          <w:szCs w:val="22"/>
          <w:highlight w:val="none"/>
        </w:rPr>
      </w:pPr>
    </w:p>
    <w:p>
      <w:pPr>
        <w:pStyle w:val="11"/>
        <w:spacing w:line="240" w:lineRule="atLeast"/>
        <w:ind w:left="1080" w:leftChars="257" w:hanging="540"/>
        <w:jc w:val="center"/>
        <w:rPr>
          <w:rFonts w:hint="eastAsia" w:ascii="宋体" w:hAnsi="宋体" w:eastAsia="宋体" w:cs="宋体"/>
          <w:b/>
          <w:bCs/>
          <w:color w:val="auto"/>
          <w:sz w:val="22"/>
          <w:szCs w:val="22"/>
          <w:highlight w:val="none"/>
        </w:rPr>
      </w:pPr>
    </w:p>
    <w:p>
      <w:pPr>
        <w:pStyle w:val="11"/>
        <w:spacing w:line="240" w:lineRule="atLeast"/>
        <w:ind w:left="1080" w:leftChars="257" w:hanging="540"/>
        <w:jc w:val="center"/>
        <w:rPr>
          <w:rFonts w:hint="eastAsia" w:ascii="宋体" w:hAnsi="宋体" w:eastAsia="宋体" w:cs="宋体"/>
          <w:b/>
          <w:bCs/>
          <w:color w:val="auto"/>
          <w:sz w:val="22"/>
          <w:szCs w:val="22"/>
          <w:highlight w:val="none"/>
        </w:rPr>
      </w:pPr>
    </w:p>
    <w:p>
      <w:pPr>
        <w:pStyle w:val="11"/>
        <w:spacing w:line="240" w:lineRule="atLeast"/>
        <w:ind w:left="1080" w:leftChars="257" w:hanging="540"/>
        <w:jc w:val="center"/>
        <w:rPr>
          <w:rFonts w:hint="eastAsia" w:ascii="宋体" w:hAnsi="宋体" w:eastAsia="宋体" w:cs="宋体"/>
          <w:b/>
          <w:bCs/>
          <w:color w:val="auto"/>
          <w:sz w:val="22"/>
          <w:szCs w:val="22"/>
          <w:highlight w:val="none"/>
        </w:rPr>
      </w:pPr>
    </w:p>
    <w:p>
      <w:pPr>
        <w:pStyle w:val="11"/>
        <w:spacing w:line="240" w:lineRule="atLeast"/>
        <w:ind w:left="1080" w:leftChars="257" w:hanging="540"/>
        <w:jc w:val="center"/>
        <w:rPr>
          <w:rFonts w:hint="eastAsia" w:ascii="宋体" w:hAnsi="宋体" w:eastAsia="宋体" w:cs="宋体"/>
          <w:b/>
          <w:bCs/>
          <w:color w:val="auto"/>
          <w:sz w:val="22"/>
          <w:szCs w:val="22"/>
          <w:highlight w:val="none"/>
        </w:rPr>
      </w:pPr>
    </w:p>
    <w:p>
      <w:pPr>
        <w:pStyle w:val="11"/>
        <w:spacing w:line="240" w:lineRule="atLeast"/>
        <w:ind w:left="1080" w:leftChars="257" w:hanging="540"/>
        <w:jc w:val="center"/>
        <w:rPr>
          <w:rFonts w:hint="eastAsia" w:ascii="宋体" w:hAnsi="宋体" w:eastAsia="宋体" w:cs="宋体"/>
          <w:b/>
          <w:bCs/>
          <w:color w:val="auto"/>
          <w:sz w:val="22"/>
          <w:szCs w:val="22"/>
          <w:highlight w:val="none"/>
        </w:rPr>
      </w:pPr>
    </w:p>
    <w:p>
      <w:pPr>
        <w:pStyle w:val="11"/>
        <w:spacing w:line="240" w:lineRule="atLeast"/>
        <w:ind w:left="1080" w:leftChars="257" w:hanging="540"/>
        <w:jc w:val="center"/>
        <w:rPr>
          <w:rFonts w:hint="eastAsia" w:ascii="宋体" w:hAnsi="宋体" w:eastAsia="宋体" w:cs="宋体"/>
          <w:b/>
          <w:bCs/>
          <w:color w:val="auto"/>
          <w:sz w:val="22"/>
          <w:szCs w:val="22"/>
          <w:highlight w:val="none"/>
        </w:rPr>
      </w:pPr>
    </w:p>
    <w:p>
      <w:pPr>
        <w:pStyle w:val="11"/>
        <w:spacing w:line="240" w:lineRule="atLeast"/>
        <w:ind w:left="1080" w:leftChars="257" w:hanging="540"/>
        <w:jc w:val="center"/>
        <w:rPr>
          <w:rFonts w:hint="eastAsia" w:ascii="宋体" w:hAnsi="宋体" w:eastAsia="宋体" w:cs="宋体"/>
          <w:b/>
          <w:bCs/>
          <w:color w:val="auto"/>
          <w:sz w:val="22"/>
          <w:szCs w:val="22"/>
          <w:highlight w:val="none"/>
        </w:rPr>
      </w:pPr>
    </w:p>
    <w:p>
      <w:pPr>
        <w:pStyle w:val="11"/>
        <w:spacing w:line="240" w:lineRule="atLeast"/>
        <w:ind w:left="1080" w:leftChars="257" w:hanging="540"/>
        <w:jc w:val="center"/>
        <w:rPr>
          <w:rFonts w:hint="eastAsia" w:ascii="宋体" w:hAnsi="宋体" w:eastAsia="宋体" w:cs="宋体"/>
          <w:b/>
          <w:bCs/>
          <w:color w:val="auto"/>
          <w:sz w:val="22"/>
          <w:szCs w:val="22"/>
          <w:highlight w:val="none"/>
        </w:rPr>
      </w:pPr>
    </w:p>
    <w:p>
      <w:pPr>
        <w:pStyle w:val="11"/>
        <w:spacing w:line="240" w:lineRule="atLeast"/>
        <w:ind w:left="1080" w:leftChars="257" w:hanging="540"/>
        <w:jc w:val="center"/>
        <w:rPr>
          <w:rFonts w:hint="eastAsia" w:ascii="宋体" w:hAnsi="宋体" w:eastAsia="宋体" w:cs="宋体"/>
          <w:b/>
          <w:bCs/>
          <w:color w:val="auto"/>
          <w:sz w:val="22"/>
          <w:szCs w:val="22"/>
          <w:highlight w:val="none"/>
        </w:rPr>
      </w:pPr>
    </w:p>
    <w:p>
      <w:pPr>
        <w:pStyle w:val="11"/>
        <w:spacing w:line="240" w:lineRule="atLeast"/>
        <w:ind w:left="1080" w:leftChars="257" w:hanging="540"/>
        <w:jc w:val="center"/>
        <w:rPr>
          <w:rFonts w:hint="eastAsia" w:ascii="宋体" w:hAnsi="宋体" w:eastAsia="宋体" w:cs="宋体"/>
          <w:b/>
          <w:bCs/>
          <w:color w:val="auto"/>
          <w:sz w:val="22"/>
          <w:szCs w:val="22"/>
          <w:highlight w:val="none"/>
        </w:rPr>
      </w:pPr>
    </w:p>
    <w:p>
      <w:pPr>
        <w:pStyle w:val="11"/>
        <w:spacing w:line="240" w:lineRule="atLeast"/>
        <w:ind w:left="1080" w:leftChars="257" w:hanging="540"/>
        <w:jc w:val="center"/>
        <w:rPr>
          <w:rFonts w:hint="eastAsia" w:ascii="宋体" w:hAnsi="宋体" w:eastAsia="宋体" w:cs="宋体"/>
          <w:b/>
          <w:bCs/>
          <w:color w:val="auto"/>
          <w:sz w:val="22"/>
          <w:szCs w:val="22"/>
          <w:highlight w:val="none"/>
        </w:rPr>
      </w:pPr>
    </w:p>
    <w:p>
      <w:pPr>
        <w:pStyle w:val="11"/>
        <w:spacing w:line="240" w:lineRule="atLeast"/>
        <w:ind w:left="1080" w:leftChars="257" w:hanging="540"/>
        <w:jc w:val="center"/>
        <w:rPr>
          <w:rFonts w:hint="eastAsia" w:ascii="宋体" w:hAnsi="宋体" w:eastAsia="宋体" w:cs="宋体"/>
          <w:b/>
          <w:bCs/>
          <w:color w:val="auto"/>
          <w:sz w:val="22"/>
          <w:szCs w:val="22"/>
          <w:highlight w:val="none"/>
        </w:rPr>
      </w:pPr>
    </w:p>
    <w:p>
      <w:pPr>
        <w:rPr>
          <w:rFonts w:hint="eastAsia" w:ascii="宋体" w:hAnsi="宋体" w:eastAsia="宋体" w:cs="宋体"/>
          <w:b/>
          <w:bCs/>
          <w:color w:val="auto"/>
          <w:sz w:val="22"/>
          <w:szCs w:val="22"/>
          <w:highlight w:val="none"/>
        </w:rPr>
      </w:pPr>
      <w:bookmarkStart w:id="329" w:name="_Toc23542"/>
      <w:bookmarkStart w:id="330" w:name="_Toc3537"/>
      <w:bookmarkStart w:id="331" w:name="_Toc13093"/>
      <w:bookmarkStart w:id="332" w:name="_Toc32130"/>
      <w:bookmarkStart w:id="333" w:name="_Toc28414"/>
      <w:bookmarkStart w:id="334" w:name="_Toc32666"/>
      <w:bookmarkStart w:id="335" w:name="_Toc13229"/>
      <w:bookmarkStart w:id="336" w:name="_Toc4939"/>
      <w:bookmarkStart w:id="337" w:name="_Toc26490"/>
      <w:r>
        <w:rPr>
          <w:rFonts w:hint="eastAsia" w:ascii="宋体" w:hAnsi="宋体" w:eastAsia="宋体" w:cs="宋体"/>
          <w:b/>
          <w:bCs/>
          <w:color w:val="auto"/>
          <w:sz w:val="22"/>
          <w:szCs w:val="22"/>
          <w:highlight w:val="none"/>
        </w:rPr>
        <w:br w:type="page"/>
      </w:r>
    </w:p>
    <w:p>
      <w:pPr>
        <w:pStyle w:val="11"/>
        <w:spacing w:line="240" w:lineRule="atLeast"/>
        <w:ind w:left="1080" w:leftChars="257" w:hanging="540"/>
        <w:jc w:val="center"/>
        <w:outlineLvl w:val="1"/>
        <w:rPr>
          <w:rFonts w:hint="eastAsia" w:ascii="宋体" w:hAnsi="宋体" w:eastAsia="宋体" w:cs="宋体"/>
          <w:b/>
          <w:bCs/>
          <w:color w:val="auto"/>
          <w:sz w:val="22"/>
          <w:szCs w:val="22"/>
          <w:highlight w:val="none"/>
        </w:rPr>
      </w:pPr>
      <w:bookmarkStart w:id="338" w:name="_Toc25417"/>
      <w:r>
        <w:rPr>
          <w:rFonts w:hint="eastAsia" w:ascii="宋体" w:hAnsi="宋体" w:eastAsia="宋体" w:cs="宋体"/>
          <w:b/>
          <w:bCs/>
          <w:color w:val="auto"/>
          <w:sz w:val="22"/>
          <w:szCs w:val="22"/>
          <w:highlight w:val="none"/>
        </w:rPr>
        <w:t>4</w:t>
      </w:r>
      <w:r>
        <w:rPr>
          <w:rFonts w:hint="eastAsia" w:ascii="宋体" w:hAnsi="宋体" w:eastAsia="宋体" w:cs="宋体"/>
          <w:b/>
          <w:bCs/>
          <w:color w:val="auto"/>
          <w:sz w:val="22"/>
          <w:szCs w:val="22"/>
          <w:highlight w:val="none"/>
          <w:lang w:val="en-US" w:eastAsia="zh-CN"/>
        </w:rPr>
        <w:t>.</w:t>
      </w:r>
      <w:r>
        <w:rPr>
          <w:rFonts w:hint="eastAsia" w:ascii="宋体" w:hAnsi="宋体" w:eastAsia="宋体" w:cs="宋体"/>
          <w:b/>
          <w:bCs/>
          <w:color w:val="auto"/>
          <w:sz w:val="22"/>
          <w:szCs w:val="22"/>
          <w:highlight w:val="none"/>
        </w:rPr>
        <w:t>技术规格偏离表</w:t>
      </w:r>
      <w:bookmarkEnd w:id="329"/>
      <w:bookmarkEnd w:id="330"/>
      <w:bookmarkEnd w:id="331"/>
      <w:bookmarkEnd w:id="332"/>
      <w:bookmarkEnd w:id="333"/>
      <w:bookmarkEnd w:id="334"/>
      <w:bookmarkEnd w:id="335"/>
      <w:bookmarkEnd w:id="336"/>
      <w:bookmarkEnd w:id="337"/>
      <w:bookmarkEnd w:id="338"/>
    </w:p>
    <w:p>
      <w:pPr>
        <w:pStyle w:val="11"/>
        <w:spacing w:line="240" w:lineRule="atLeast"/>
        <w:ind w:left="1080" w:leftChars="257" w:hanging="540"/>
        <w:rPr>
          <w:rFonts w:hint="eastAsia" w:ascii="宋体" w:hAnsi="宋体" w:eastAsia="宋体" w:cs="宋体"/>
          <w:color w:val="auto"/>
          <w:szCs w:val="21"/>
          <w:highlight w:val="none"/>
        </w:rPr>
      </w:pPr>
    </w:p>
    <w:p>
      <w:pPr>
        <w:pStyle w:val="11"/>
        <w:spacing w:line="240" w:lineRule="atLeast"/>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项目名称:                       </w:t>
      </w:r>
      <w:r>
        <w:rPr>
          <w:rFonts w:hint="eastAsia" w:hAnsi="宋体" w:cs="宋体"/>
          <w:color w:val="auto"/>
          <w:szCs w:val="21"/>
          <w:highlight w:val="none"/>
          <w:lang w:eastAsia="zh-CN"/>
        </w:rPr>
        <w:t>项目编号</w:t>
      </w:r>
      <w:r>
        <w:rPr>
          <w:rFonts w:hint="eastAsia" w:ascii="宋体" w:hAnsi="宋体" w:eastAsia="宋体" w:cs="宋体"/>
          <w:color w:val="auto"/>
          <w:szCs w:val="21"/>
          <w:highlight w:val="none"/>
        </w:rPr>
        <w:t xml:space="preserve">:                </w:t>
      </w:r>
    </w:p>
    <w:p>
      <w:pPr>
        <w:pStyle w:val="11"/>
        <w:spacing w:line="240" w:lineRule="atLeast"/>
        <w:ind w:left="1080" w:leftChars="257" w:hanging="540"/>
        <w:rPr>
          <w:rFonts w:hint="eastAsia" w:ascii="宋体" w:hAnsi="宋体" w:eastAsia="宋体" w:cs="宋体"/>
          <w:color w:val="auto"/>
          <w:szCs w:val="21"/>
          <w:highlight w:val="none"/>
        </w:rPr>
      </w:pPr>
    </w:p>
    <w:tbl>
      <w:tblPr>
        <w:tblStyle w:val="20"/>
        <w:tblW w:w="92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
        <w:gridCol w:w="1330"/>
        <w:gridCol w:w="2472"/>
        <w:gridCol w:w="1331"/>
        <w:gridCol w:w="1331"/>
        <w:gridCol w:w="950"/>
        <w:gridCol w:w="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875" w:type="dxa"/>
            <w:vAlign w:val="center"/>
          </w:tcPr>
          <w:p>
            <w:pPr>
              <w:pStyle w:val="11"/>
              <w:spacing w:line="240" w:lineRule="atLeas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序号</w:t>
            </w:r>
          </w:p>
        </w:tc>
        <w:tc>
          <w:tcPr>
            <w:tcW w:w="1330" w:type="dxa"/>
            <w:vAlign w:val="center"/>
          </w:tcPr>
          <w:p>
            <w:pPr>
              <w:pStyle w:val="11"/>
              <w:spacing w:line="240" w:lineRule="atLeas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货物名称</w:t>
            </w:r>
          </w:p>
        </w:tc>
        <w:tc>
          <w:tcPr>
            <w:tcW w:w="2472" w:type="dxa"/>
            <w:vAlign w:val="center"/>
          </w:tcPr>
          <w:p>
            <w:pPr>
              <w:pStyle w:val="11"/>
              <w:spacing w:line="240" w:lineRule="atLeast"/>
              <w:ind w:left="269" w:leftChars="128"/>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招标文件条款号</w:t>
            </w:r>
          </w:p>
        </w:tc>
        <w:tc>
          <w:tcPr>
            <w:tcW w:w="1331" w:type="dxa"/>
            <w:vAlign w:val="center"/>
          </w:tcPr>
          <w:p>
            <w:pPr>
              <w:pStyle w:val="11"/>
              <w:spacing w:line="240" w:lineRule="atLeas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招标规格</w:t>
            </w:r>
          </w:p>
        </w:tc>
        <w:tc>
          <w:tcPr>
            <w:tcW w:w="1331" w:type="dxa"/>
            <w:vAlign w:val="center"/>
          </w:tcPr>
          <w:p>
            <w:pPr>
              <w:pStyle w:val="11"/>
              <w:spacing w:line="240" w:lineRule="atLeas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投标规格</w:t>
            </w:r>
          </w:p>
        </w:tc>
        <w:tc>
          <w:tcPr>
            <w:tcW w:w="950" w:type="dxa"/>
            <w:vAlign w:val="center"/>
          </w:tcPr>
          <w:p>
            <w:pPr>
              <w:pStyle w:val="11"/>
              <w:spacing w:line="240" w:lineRule="atLeas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偏离</w:t>
            </w:r>
          </w:p>
        </w:tc>
        <w:tc>
          <w:tcPr>
            <w:tcW w:w="951" w:type="dxa"/>
            <w:vAlign w:val="center"/>
          </w:tcPr>
          <w:p>
            <w:pPr>
              <w:pStyle w:val="11"/>
              <w:spacing w:line="240" w:lineRule="atLeas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875" w:type="dxa"/>
          </w:tcPr>
          <w:p>
            <w:pPr>
              <w:pStyle w:val="11"/>
              <w:spacing w:line="240" w:lineRule="atLeast"/>
              <w:ind w:left="1080" w:leftChars="257" w:hanging="540"/>
              <w:rPr>
                <w:rFonts w:hint="eastAsia" w:ascii="宋体" w:hAnsi="宋体" w:eastAsia="宋体" w:cs="宋体"/>
                <w:color w:val="auto"/>
                <w:szCs w:val="21"/>
                <w:highlight w:val="none"/>
              </w:rPr>
            </w:pPr>
          </w:p>
        </w:tc>
        <w:tc>
          <w:tcPr>
            <w:tcW w:w="1330" w:type="dxa"/>
          </w:tcPr>
          <w:p>
            <w:pPr>
              <w:pStyle w:val="11"/>
              <w:spacing w:line="240" w:lineRule="atLeast"/>
              <w:ind w:left="1080" w:leftChars="257" w:hanging="540"/>
              <w:rPr>
                <w:rFonts w:hint="eastAsia" w:ascii="宋体" w:hAnsi="宋体" w:eastAsia="宋体" w:cs="宋体"/>
                <w:color w:val="auto"/>
                <w:szCs w:val="21"/>
                <w:highlight w:val="none"/>
              </w:rPr>
            </w:pPr>
          </w:p>
        </w:tc>
        <w:tc>
          <w:tcPr>
            <w:tcW w:w="2472" w:type="dxa"/>
          </w:tcPr>
          <w:p>
            <w:pPr>
              <w:pStyle w:val="11"/>
              <w:spacing w:line="240" w:lineRule="atLeast"/>
              <w:ind w:left="1080" w:leftChars="257" w:hanging="540"/>
              <w:rPr>
                <w:rFonts w:hint="eastAsia" w:ascii="宋体" w:hAnsi="宋体" w:eastAsia="宋体" w:cs="宋体"/>
                <w:color w:val="auto"/>
                <w:szCs w:val="21"/>
                <w:highlight w:val="none"/>
              </w:rPr>
            </w:pPr>
          </w:p>
        </w:tc>
        <w:tc>
          <w:tcPr>
            <w:tcW w:w="1331" w:type="dxa"/>
          </w:tcPr>
          <w:p>
            <w:pPr>
              <w:pStyle w:val="11"/>
              <w:spacing w:line="240" w:lineRule="atLeast"/>
              <w:ind w:left="1080" w:leftChars="257" w:hanging="540"/>
              <w:rPr>
                <w:rFonts w:hint="eastAsia" w:ascii="宋体" w:hAnsi="宋体" w:eastAsia="宋体" w:cs="宋体"/>
                <w:color w:val="auto"/>
                <w:szCs w:val="21"/>
                <w:highlight w:val="none"/>
              </w:rPr>
            </w:pPr>
          </w:p>
        </w:tc>
        <w:tc>
          <w:tcPr>
            <w:tcW w:w="1331" w:type="dxa"/>
          </w:tcPr>
          <w:p>
            <w:pPr>
              <w:pStyle w:val="11"/>
              <w:spacing w:line="240" w:lineRule="atLeast"/>
              <w:ind w:left="1080" w:leftChars="257" w:hanging="540"/>
              <w:rPr>
                <w:rFonts w:hint="eastAsia" w:ascii="宋体" w:hAnsi="宋体" w:eastAsia="宋体" w:cs="宋体"/>
                <w:color w:val="auto"/>
                <w:szCs w:val="21"/>
                <w:highlight w:val="none"/>
              </w:rPr>
            </w:pPr>
          </w:p>
        </w:tc>
        <w:tc>
          <w:tcPr>
            <w:tcW w:w="950" w:type="dxa"/>
          </w:tcPr>
          <w:p>
            <w:pPr>
              <w:pStyle w:val="11"/>
              <w:spacing w:line="240" w:lineRule="atLeast"/>
              <w:ind w:left="1080" w:leftChars="257" w:hanging="540"/>
              <w:rPr>
                <w:rFonts w:hint="eastAsia" w:ascii="宋体" w:hAnsi="宋体" w:eastAsia="宋体" w:cs="宋体"/>
                <w:color w:val="auto"/>
                <w:szCs w:val="21"/>
                <w:highlight w:val="none"/>
              </w:rPr>
            </w:pPr>
          </w:p>
        </w:tc>
        <w:tc>
          <w:tcPr>
            <w:tcW w:w="951" w:type="dxa"/>
          </w:tcPr>
          <w:p>
            <w:pPr>
              <w:pStyle w:val="11"/>
              <w:spacing w:line="240" w:lineRule="atLeast"/>
              <w:ind w:left="1080" w:leftChars="257" w:hanging="540"/>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875" w:type="dxa"/>
          </w:tcPr>
          <w:p>
            <w:pPr>
              <w:pStyle w:val="11"/>
              <w:spacing w:line="240" w:lineRule="atLeast"/>
              <w:ind w:left="1080" w:leftChars="257" w:hanging="540"/>
              <w:rPr>
                <w:rFonts w:hint="eastAsia" w:ascii="宋体" w:hAnsi="宋体" w:eastAsia="宋体" w:cs="宋体"/>
                <w:color w:val="auto"/>
                <w:szCs w:val="21"/>
                <w:highlight w:val="none"/>
              </w:rPr>
            </w:pPr>
          </w:p>
        </w:tc>
        <w:tc>
          <w:tcPr>
            <w:tcW w:w="1330" w:type="dxa"/>
          </w:tcPr>
          <w:p>
            <w:pPr>
              <w:pStyle w:val="11"/>
              <w:spacing w:line="240" w:lineRule="atLeast"/>
              <w:ind w:left="1080" w:leftChars="257" w:hanging="540"/>
              <w:rPr>
                <w:rFonts w:hint="eastAsia" w:ascii="宋体" w:hAnsi="宋体" w:eastAsia="宋体" w:cs="宋体"/>
                <w:color w:val="auto"/>
                <w:szCs w:val="21"/>
                <w:highlight w:val="none"/>
              </w:rPr>
            </w:pPr>
          </w:p>
        </w:tc>
        <w:tc>
          <w:tcPr>
            <w:tcW w:w="2472" w:type="dxa"/>
          </w:tcPr>
          <w:p>
            <w:pPr>
              <w:pStyle w:val="11"/>
              <w:spacing w:line="240" w:lineRule="atLeast"/>
              <w:ind w:left="1080" w:leftChars="257" w:hanging="540"/>
              <w:rPr>
                <w:rFonts w:hint="eastAsia" w:ascii="宋体" w:hAnsi="宋体" w:eastAsia="宋体" w:cs="宋体"/>
                <w:color w:val="auto"/>
                <w:szCs w:val="21"/>
                <w:highlight w:val="none"/>
              </w:rPr>
            </w:pPr>
          </w:p>
        </w:tc>
        <w:tc>
          <w:tcPr>
            <w:tcW w:w="1331" w:type="dxa"/>
          </w:tcPr>
          <w:p>
            <w:pPr>
              <w:pStyle w:val="11"/>
              <w:spacing w:line="240" w:lineRule="atLeast"/>
              <w:ind w:left="1080" w:leftChars="257" w:hanging="540"/>
              <w:rPr>
                <w:rFonts w:hint="eastAsia" w:ascii="宋体" w:hAnsi="宋体" w:eastAsia="宋体" w:cs="宋体"/>
                <w:color w:val="auto"/>
                <w:szCs w:val="21"/>
                <w:highlight w:val="none"/>
              </w:rPr>
            </w:pPr>
          </w:p>
        </w:tc>
        <w:tc>
          <w:tcPr>
            <w:tcW w:w="1331" w:type="dxa"/>
          </w:tcPr>
          <w:p>
            <w:pPr>
              <w:pStyle w:val="11"/>
              <w:spacing w:line="240" w:lineRule="atLeast"/>
              <w:ind w:left="1080" w:leftChars="257" w:hanging="540"/>
              <w:rPr>
                <w:rFonts w:hint="eastAsia" w:ascii="宋体" w:hAnsi="宋体" w:eastAsia="宋体" w:cs="宋体"/>
                <w:color w:val="auto"/>
                <w:szCs w:val="21"/>
                <w:highlight w:val="none"/>
              </w:rPr>
            </w:pPr>
          </w:p>
        </w:tc>
        <w:tc>
          <w:tcPr>
            <w:tcW w:w="950" w:type="dxa"/>
          </w:tcPr>
          <w:p>
            <w:pPr>
              <w:pStyle w:val="11"/>
              <w:spacing w:line="240" w:lineRule="atLeast"/>
              <w:ind w:left="1080" w:leftChars="257" w:hanging="540"/>
              <w:rPr>
                <w:rFonts w:hint="eastAsia" w:ascii="宋体" w:hAnsi="宋体" w:eastAsia="宋体" w:cs="宋体"/>
                <w:color w:val="auto"/>
                <w:szCs w:val="21"/>
                <w:highlight w:val="none"/>
              </w:rPr>
            </w:pPr>
          </w:p>
        </w:tc>
        <w:tc>
          <w:tcPr>
            <w:tcW w:w="951" w:type="dxa"/>
          </w:tcPr>
          <w:p>
            <w:pPr>
              <w:pStyle w:val="11"/>
              <w:spacing w:line="240" w:lineRule="atLeast"/>
              <w:ind w:left="1080" w:leftChars="257" w:hanging="540"/>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875" w:type="dxa"/>
          </w:tcPr>
          <w:p>
            <w:pPr>
              <w:pStyle w:val="11"/>
              <w:spacing w:line="240" w:lineRule="atLeast"/>
              <w:ind w:left="1080" w:leftChars="257" w:hanging="540"/>
              <w:rPr>
                <w:rFonts w:hint="eastAsia" w:ascii="宋体" w:hAnsi="宋体" w:eastAsia="宋体" w:cs="宋体"/>
                <w:color w:val="auto"/>
                <w:szCs w:val="21"/>
                <w:highlight w:val="none"/>
              </w:rPr>
            </w:pPr>
          </w:p>
        </w:tc>
        <w:tc>
          <w:tcPr>
            <w:tcW w:w="1330" w:type="dxa"/>
          </w:tcPr>
          <w:p>
            <w:pPr>
              <w:pStyle w:val="11"/>
              <w:spacing w:line="240" w:lineRule="atLeast"/>
              <w:ind w:left="1080" w:leftChars="257" w:hanging="540"/>
              <w:rPr>
                <w:rFonts w:hint="eastAsia" w:ascii="宋体" w:hAnsi="宋体" w:eastAsia="宋体" w:cs="宋体"/>
                <w:color w:val="auto"/>
                <w:szCs w:val="21"/>
                <w:highlight w:val="none"/>
              </w:rPr>
            </w:pPr>
          </w:p>
        </w:tc>
        <w:tc>
          <w:tcPr>
            <w:tcW w:w="2472" w:type="dxa"/>
          </w:tcPr>
          <w:p>
            <w:pPr>
              <w:pStyle w:val="11"/>
              <w:spacing w:line="240" w:lineRule="atLeast"/>
              <w:ind w:left="1080" w:leftChars="257" w:hanging="540"/>
              <w:rPr>
                <w:rFonts w:hint="eastAsia" w:ascii="宋体" w:hAnsi="宋体" w:eastAsia="宋体" w:cs="宋体"/>
                <w:color w:val="auto"/>
                <w:szCs w:val="21"/>
                <w:highlight w:val="none"/>
              </w:rPr>
            </w:pPr>
          </w:p>
        </w:tc>
        <w:tc>
          <w:tcPr>
            <w:tcW w:w="1331" w:type="dxa"/>
          </w:tcPr>
          <w:p>
            <w:pPr>
              <w:pStyle w:val="11"/>
              <w:spacing w:line="240" w:lineRule="atLeast"/>
              <w:ind w:left="1080" w:leftChars="257" w:hanging="540"/>
              <w:rPr>
                <w:rFonts w:hint="eastAsia" w:ascii="宋体" w:hAnsi="宋体" w:eastAsia="宋体" w:cs="宋体"/>
                <w:color w:val="auto"/>
                <w:szCs w:val="21"/>
                <w:highlight w:val="none"/>
              </w:rPr>
            </w:pPr>
          </w:p>
        </w:tc>
        <w:tc>
          <w:tcPr>
            <w:tcW w:w="1331" w:type="dxa"/>
          </w:tcPr>
          <w:p>
            <w:pPr>
              <w:pStyle w:val="11"/>
              <w:spacing w:line="240" w:lineRule="atLeast"/>
              <w:ind w:left="1080" w:leftChars="257" w:hanging="540"/>
              <w:rPr>
                <w:rFonts w:hint="eastAsia" w:ascii="宋体" w:hAnsi="宋体" w:eastAsia="宋体" w:cs="宋体"/>
                <w:color w:val="auto"/>
                <w:szCs w:val="21"/>
                <w:highlight w:val="none"/>
              </w:rPr>
            </w:pPr>
          </w:p>
        </w:tc>
        <w:tc>
          <w:tcPr>
            <w:tcW w:w="950" w:type="dxa"/>
          </w:tcPr>
          <w:p>
            <w:pPr>
              <w:pStyle w:val="11"/>
              <w:spacing w:line="240" w:lineRule="atLeast"/>
              <w:ind w:left="1080" w:leftChars="257" w:hanging="540"/>
              <w:rPr>
                <w:rFonts w:hint="eastAsia" w:ascii="宋体" w:hAnsi="宋体" w:eastAsia="宋体" w:cs="宋体"/>
                <w:color w:val="auto"/>
                <w:szCs w:val="21"/>
                <w:highlight w:val="none"/>
              </w:rPr>
            </w:pPr>
          </w:p>
        </w:tc>
        <w:tc>
          <w:tcPr>
            <w:tcW w:w="951" w:type="dxa"/>
          </w:tcPr>
          <w:p>
            <w:pPr>
              <w:pStyle w:val="11"/>
              <w:spacing w:line="240" w:lineRule="atLeast"/>
              <w:ind w:left="1080" w:leftChars="257" w:hanging="540"/>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875" w:type="dxa"/>
          </w:tcPr>
          <w:p>
            <w:pPr>
              <w:pStyle w:val="11"/>
              <w:spacing w:line="240" w:lineRule="atLeast"/>
              <w:ind w:left="1080" w:leftChars="257" w:hanging="540"/>
              <w:rPr>
                <w:rFonts w:hint="eastAsia" w:ascii="宋体" w:hAnsi="宋体" w:eastAsia="宋体" w:cs="宋体"/>
                <w:color w:val="auto"/>
                <w:szCs w:val="21"/>
                <w:highlight w:val="none"/>
              </w:rPr>
            </w:pPr>
          </w:p>
        </w:tc>
        <w:tc>
          <w:tcPr>
            <w:tcW w:w="1330" w:type="dxa"/>
          </w:tcPr>
          <w:p>
            <w:pPr>
              <w:pStyle w:val="11"/>
              <w:spacing w:line="240" w:lineRule="atLeast"/>
              <w:ind w:left="1080" w:leftChars="257" w:hanging="540"/>
              <w:rPr>
                <w:rFonts w:hint="eastAsia" w:ascii="宋体" w:hAnsi="宋体" w:eastAsia="宋体" w:cs="宋体"/>
                <w:color w:val="auto"/>
                <w:szCs w:val="21"/>
                <w:highlight w:val="none"/>
              </w:rPr>
            </w:pPr>
          </w:p>
        </w:tc>
        <w:tc>
          <w:tcPr>
            <w:tcW w:w="2472" w:type="dxa"/>
          </w:tcPr>
          <w:p>
            <w:pPr>
              <w:pStyle w:val="11"/>
              <w:spacing w:line="240" w:lineRule="atLeast"/>
              <w:ind w:left="1080" w:leftChars="257" w:hanging="540"/>
              <w:rPr>
                <w:rFonts w:hint="eastAsia" w:ascii="宋体" w:hAnsi="宋体" w:eastAsia="宋体" w:cs="宋体"/>
                <w:color w:val="auto"/>
                <w:szCs w:val="21"/>
                <w:highlight w:val="none"/>
              </w:rPr>
            </w:pPr>
          </w:p>
        </w:tc>
        <w:tc>
          <w:tcPr>
            <w:tcW w:w="1331" w:type="dxa"/>
          </w:tcPr>
          <w:p>
            <w:pPr>
              <w:pStyle w:val="11"/>
              <w:spacing w:line="240" w:lineRule="atLeast"/>
              <w:ind w:left="1080" w:leftChars="257" w:hanging="540"/>
              <w:rPr>
                <w:rFonts w:hint="eastAsia" w:ascii="宋体" w:hAnsi="宋体" w:eastAsia="宋体" w:cs="宋体"/>
                <w:color w:val="auto"/>
                <w:szCs w:val="21"/>
                <w:highlight w:val="none"/>
              </w:rPr>
            </w:pPr>
          </w:p>
        </w:tc>
        <w:tc>
          <w:tcPr>
            <w:tcW w:w="1331" w:type="dxa"/>
          </w:tcPr>
          <w:p>
            <w:pPr>
              <w:pStyle w:val="11"/>
              <w:spacing w:line="240" w:lineRule="atLeast"/>
              <w:ind w:left="1080" w:leftChars="257" w:hanging="540"/>
              <w:rPr>
                <w:rFonts w:hint="eastAsia" w:ascii="宋体" w:hAnsi="宋体" w:eastAsia="宋体" w:cs="宋体"/>
                <w:color w:val="auto"/>
                <w:szCs w:val="21"/>
                <w:highlight w:val="none"/>
              </w:rPr>
            </w:pPr>
          </w:p>
        </w:tc>
        <w:tc>
          <w:tcPr>
            <w:tcW w:w="950" w:type="dxa"/>
          </w:tcPr>
          <w:p>
            <w:pPr>
              <w:pStyle w:val="11"/>
              <w:spacing w:line="240" w:lineRule="atLeast"/>
              <w:ind w:left="1080" w:leftChars="257" w:hanging="540"/>
              <w:rPr>
                <w:rFonts w:hint="eastAsia" w:ascii="宋体" w:hAnsi="宋体" w:eastAsia="宋体" w:cs="宋体"/>
                <w:color w:val="auto"/>
                <w:szCs w:val="21"/>
                <w:highlight w:val="none"/>
              </w:rPr>
            </w:pPr>
          </w:p>
        </w:tc>
        <w:tc>
          <w:tcPr>
            <w:tcW w:w="951" w:type="dxa"/>
          </w:tcPr>
          <w:p>
            <w:pPr>
              <w:pStyle w:val="11"/>
              <w:spacing w:line="240" w:lineRule="atLeast"/>
              <w:ind w:left="1080" w:leftChars="257" w:hanging="540"/>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875" w:type="dxa"/>
          </w:tcPr>
          <w:p>
            <w:pPr>
              <w:pStyle w:val="11"/>
              <w:spacing w:line="240" w:lineRule="atLeast"/>
              <w:ind w:left="1080" w:leftChars="257" w:hanging="540"/>
              <w:rPr>
                <w:rFonts w:hint="eastAsia" w:ascii="宋体" w:hAnsi="宋体" w:eastAsia="宋体" w:cs="宋体"/>
                <w:color w:val="auto"/>
                <w:szCs w:val="21"/>
                <w:highlight w:val="none"/>
              </w:rPr>
            </w:pPr>
          </w:p>
        </w:tc>
        <w:tc>
          <w:tcPr>
            <w:tcW w:w="1330" w:type="dxa"/>
          </w:tcPr>
          <w:p>
            <w:pPr>
              <w:pStyle w:val="11"/>
              <w:spacing w:line="240" w:lineRule="atLeast"/>
              <w:ind w:left="1080" w:leftChars="257" w:hanging="540"/>
              <w:rPr>
                <w:rFonts w:hint="eastAsia" w:ascii="宋体" w:hAnsi="宋体" w:eastAsia="宋体" w:cs="宋体"/>
                <w:color w:val="auto"/>
                <w:szCs w:val="21"/>
                <w:highlight w:val="none"/>
              </w:rPr>
            </w:pPr>
          </w:p>
        </w:tc>
        <w:tc>
          <w:tcPr>
            <w:tcW w:w="2472" w:type="dxa"/>
          </w:tcPr>
          <w:p>
            <w:pPr>
              <w:pStyle w:val="11"/>
              <w:spacing w:line="240" w:lineRule="atLeast"/>
              <w:ind w:left="1080" w:leftChars="257" w:hanging="540"/>
              <w:rPr>
                <w:rFonts w:hint="eastAsia" w:ascii="宋体" w:hAnsi="宋体" w:eastAsia="宋体" w:cs="宋体"/>
                <w:color w:val="auto"/>
                <w:szCs w:val="21"/>
                <w:highlight w:val="none"/>
              </w:rPr>
            </w:pPr>
          </w:p>
        </w:tc>
        <w:tc>
          <w:tcPr>
            <w:tcW w:w="1331" w:type="dxa"/>
          </w:tcPr>
          <w:p>
            <w:pPr>
              <w:pStyle w:val="11"/>
              <w:spacing w:line="240" w:lineRule="atLeast"/>
              <w:ind w:left="1080" w:leftChars="257" w:hanging="540"/>
              <w:rPr>
                <w:rFonts w:hint="eastAsia" w:ascii="宋体" w:hAnsi="宋体" w:eastAsia="宋体" w:cs="宋体"/>
                <w:color w:val="auto"/>
                <w:szCs w:val="21"/>
                <w:highlight w:val="none"/>
              </w:rPr>
            </w:pPr>
          </w:p>
        </w:tc>
        <w:tc>
          <w:tcPr>
            <w:tcW w:w="1331" w:type="dxa"/>
          </w:tcPr>
          <w:p>
            <w:pPr>
              <w:pStyle w:val="11"/>
              <w:spacing w:line="240" w:lineRule="atLeast"/>
              <w:ind w:left="1080" w:leftChars="257" w:hanging="540"/>
              <w:rPr>
                <w:rFonts w:hint="eastAsia" w:ascii="宋体" w:hAnsi="宋体" w:eastAsia="宋体" w:cs="宋体"/>
                <w:color w:val="auto"/>
                <w:szCs w:val="21"/>
                <w:highlight w:val="none"/>
              </w:rPr>
            </w:pPr>
          </w:p>
        </w:tc>
        <w:tc>
          <w:tcPr>
            <w:tcW w:w="950" w:type="dxa"/>
          </w:tcPr>
          <w:p>
            <w:pPr>
              <w:pStyle w:val="11"/>
              <w:spacing w:line="240" w:lineRule="atLeast"/>
              <w:ind w:left="1080" w:leftChars="257" w:hanging="540"/>
              <w:rPr>
                <w:rFonts w:hint="eastAsia" w:ascii="宋体" w:hAnsi="宋体" w:eastAsia="宋体" w:cs="宋体"/>
                <w:color w:val="auto"/>
                <w:szCs w:val="21"/>
                <w:highlight w:val="none"/>
              </w:rPr>
            </w:pPr>
          </w:p>
        </w:tc>
        <w:tc>
          <w:tcPr>
            <w:tcW w:w="951" w:type="dxa"/>
          </w:tcPr>
          <w:p>
            <w:pPr>
              <w:pStyle w:val="11"/>
              <w:spacing w:line="240" w:lineRule="atLeast"/>
              <w:ind w:left="1080" w:leftChars="257" w:hanging="540"/>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875" w:type="dxa"/>
          </w:tcPr>
          <w:p>
            <w:pPr>
              <w:pStyle w:val="11"/>
              <w:spacing w:line="240" w:lineRule="atLeast"/>
              <w:ind w:left="1080" w:leftChars="257" w:hanging="540"/>
              <w:rPr>
                <w:rFonts w:hint="eastAsia" w:ascii="宋体" w:hAnsi="宋体" w:eastAsia="宋体" w:cs="宋体"/>
                <w:color w:val="auto"/>
                <w:szCs w:val="21"/>
                <w:highlight w:val="none"/>
              </w:rPr>
            </w:pPr>
          </w:p>
        </w:tc>
        <w:tc>
          <w:tcPr>
            <w:tcW w:w="1330" w:type="dxa"/>
          </w:tcPr>
          <w:p>
            <w:pPr>
              <w:pStyle w:val="11"/>
              <w:spacing w:line="240" w:lineRule="atLeast"/>
              <w:ind w:left="1080" w:leftChars="257" w:hanging="540"/>
              <w:rPr>
                <w:rFonts w:hint="eastAsia" w:ascii="宋体" w:hAnsi="宋体" w:eastAsia="宋体" w:cs="宋体"/>
                <w:color w:val="auto"/>
                <w:szCs w:val="21"/>
                <w:highlight w:val="none"/>
              </w:rPr>
            </w:pPr>
          </w:p>
        </w:tc>
        <w:tc>
          <w:tcPr>
            <w:tcW w:w="2472" w:type="dxa"/>
          </w:tcPr>
          <w:p>
            <w:pPr>
              <w:pStyle w:val="11"/>
              <w:spacing w:line="240" w:lineRule="atLeast"/>
              <w:ind w:left="1080" w:leftChars="257" w:hanging="540"/>
              <w:rPr>
                <w:rFonts w:hint="eastAsia" w:ascii="宋体" w:hAnsi="宋体" w:eastAsia="宋体" w:cs="宋体"/>
                <w:color w:val="auto"/>
                <w:szCs w:val="21"/>
                <w:highlight w:val="none"/>
              </w:rPr>
            </w:pPr>
          </w:p>
        </w:tc>
        <w:tc>
          <w:tcPr>
            <w:tcW w:w="1331" w:type="dxa"/>
          </w:tcPr>
          <w:p>
            <w:pPr>
              <w:pStyle w:val="11"/>
              <w:spacing w:line="240" w:lineRule="atLeast"/>
              <w:ind w:left="1080" w:leftChars="257" w:hanging="540"/>
              <w:rPr>
                <w:rFonts w:hint="eastAsia" w:ascii="宋体" w:hAnsi="宋体" w:eastAsia="宋体" w:cs="宋体"/>
                <w:color w:val="auto"/>
                <w:szCs w:val="21"/>
                <w:highlight w:val="none"/>
              </w:rPr>
            </w:pPr>
          </w:p>
        </w:tc>
        <w:tc>
          <w:tcPr>
            <w:tcW w:w="1331" w:type="dxa"/>
          </w:tcPr>
          <w:p>
            <w:pPr>
              <w:pStyle w:val="11"/>
              <w:spacing w:line="240" w:lineRule="atLeast"/>
              <w:ind w:left="1080" w:leftChars="257" w:hanging="540"/>
              <w:rPr>
                <w:rFonts w:hint="eastAsia" w:ascii="宋体" w:hAnsi="宋体" w:eastAsia="宋体" w:cs="宋体"/>
                <w:color w:val="auto"/>
                <w:szCs w:val="21"/>
                <w:highlight w:val="none"/>
              </w:rPr>
            </w:pPr>
          </w:p>
        </w:tc>
        <w:tc>
          <w:tcPr>
            <w:tcW w:w="950" w:type="dxa"/>
          </w:tcPr>
          <w:p>
            <w:pPr>
              <w:pStyle w:val="11"/>
              <w:spacing w:line="240" w:lineRule="atLeast"/>
              <w:ind w:left="1080" w:leftChars="257" w:hanging="540"/>
              <w:rPr>
                <w:rFonts w:hint="eastAsia" w:ascii="宋体" w:hAnsi="宋体" w:eastAsia="宋体" w:cs="宋体"/>
                <w:color w:val="auto"/>
                <w:szCs w:val="21"/>
                <w:highlight w:val="none"/>
              </w:rPr>
            </w:pPr>
          </w:p>
        </w:tc>
        <w:tc>
          <w:tcPr>
            <w:tcW w:w="951" w:type="dxa"/>
          </w:tcPr>
          <w:p>
            <w:pPr>
              <w:pStyle w:val="11"/>
              <w:spacing w:line="240" w:lineRule="atLeast"/>
              <w:ind w:left="1080" w:leftChars="257" w:hanging="540"/>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875" w:type="dxa"/>
          </w:tcPr>
          <w:p>
            <w:pPr>
              <w:pStyle w:val="11"/>
              <w:spacing w:line="240" w:lineRule="atLeast"/>
              <w:ind w:left="1080" w:leftChars="257" w:hanging="540"/>
              <w:rPr>
                <w:rFonts w:hint="eastAsia" w:ascii="宋体" w:hAnsi="宋体" w:eastAsia="宋体" w:cs="宋体"/>
                <w:color w:val="auto"/>
                <w:szCs w:val="21"/>
                <w:highlight w:val="none"/>
              </w:rPr>
            </w:pPr>
          </w:p>
        </w:tc>
        <w:tc>
          <w:tcPr>
            <w:tcW w:w="1330" w:type="dxa"/>
          </w:tcPr>
          <w:p>
            <w:pPr>
              <w:pStyle w:val="11"/>
              <w:spacing w:line="240" w:lineRule="atLeast"/>
              <w:ind w:left="1080" w:leftChars="257" w:hanging="540"/>
              <w:rPr>
                <w:rFonts w:hint="eastAsia" w:ascii="宋体" w:hAnsi="宋体" w:eastAsia="宋体" w:cs="宋体"/>
                <w:color w:val="auto"/>
                <w:szCs w:val="21"/>
                <w:highlight w:val="none"/>
              </w:rPr>
            </w:pPr>
          </w:p>
        </w:tc>
        <w:tc>
          <w:tcPr>
            <w:tcW w:w="2472" w:type="dxa"/>
          </w:tcPr>
          <w:p>
            <w:pPr>
              <w:pStyle w:val="11"/>
              <w:spacing w:line="240" w:lineRule="atLeast"/>
              <w:ind w:left="1080" w:leftChars="257" w:hanging="540"/>
              <w:rPr>
                <w:rFonts w:hint="eastAsia" w:ascii="宋体" w:hAnsi="宋体" w:eastAsia="宋体" w:cs="宋体"/>
                <w:color w:val="auto"/>
                <w:szCs w:val="21"/>
                <w:highlight w:val="none"/>
              </w:rPr>
            </w:pPr>
          </w:p>
        </w:tc>
        <w:tc>
          <w:tcPr>
            <w:tcW w:w="1331" w:type="dxa"/>
          </w:tcPr>
          <w:p>
            <w:pPr>
              <w:pStyle w:val="11"/>
              <w:spacing w:line="240" w:lineRule="atLeast"/>
              <w:ind w:left="1080" w:leftChars="257" w:hanging="540"/>
              <w:rPr>
                <w:rFonts w:hint="eastAsia" w:ascii="宋体" w:hAnsi="宋体" w:eastAsia="宋体" w:cs="宋体"/>
                <w:color w:val="auto"/>
                <w:szCs w:val="21"/>
                <w:highlight w:val="none"/>
              </w:rPr>
            </w:pPr>
          </w:p>
        </w:tc>
        <w:tc>
          <w:tcPr>
            <w:tcW w:w="1331" w:type="dxa"/>
          </w:tcPr>
          <w:p>
            <w:pPr>
              <w:pStyle w:val="11"/>
              <w:spacing w:line="240" w:lineRule="atLeast"/>
              <w:ind w:left="1080" w:leftChars="257" w:hanging="540"/>
              <w:rPr>
                <w:rFonts w:hint="eastAsia" w:ascii="宋体" w:hAnsi="宋体" w:eastAsia="宋体" w:cs="宋体"/>
                <w:color w:val="auto"/>
                <w:szCs w:val="21"/>
                <w:highlight w:val="none"/>
              </w:rPr>
            </w:pPr>
          </w:p>
        </w:tc>
        <w:tc>
          <w:tcPr>
            <w:tcW w:w="950" w:type="dxa"/>
          </w:tcPr>
          <w:p>
            <w:pPr>
              <w:pStyle w:val="11"/>
              <w:spacing w:line="240" w:lineRule="atLeast"/>
              <w:ind w:left="1080" w:leftChars="257" w:hanging="540"/>
              <w:rPr>
                <w:rFonts w:hint="eastAsia" w:ascii="宋体" w:hAnsi="宋体" w:eastAsia="宋体" w:cs="宋体"/>
                <w:color w:val="auto"/>
                <w:szCs w:val="21"/>
                <w:highlight w:val="none"/>
              </w:rPr>
            </w:pPr>
          </w:p>
        </w:tc>
        <w:tc>
          <w:tcPr>
            <w:tcW w:w="951" w:type="dxa"/>
          </w:tcPr>
          <w:p>
            <w:pPr>
              <w:pStyle w:val="11"/>
              <w:spacing w:line="240" w:lineRule="atLeast"/>
              <w:ind w:left="1080" w:leftChars="257" w:hanging="540"/>
              <w:rPr>
                <w:rFonts w:hint="eastAsia" w:ascii="宋体" w:hAnsi="宋体" w:eastAsia="宋体" w:cs="宋体"/>
                <w:color w:val="auto"/>
                <w:szCs w:val="21"/>
                <w:highlight w:val="none"/>
              </w:rPr>
            </w:pPr>
          </w:p>
        </w:tc>
      </w:tr>
    </w:tbl>
    <w:p>
      <w:pPr>
        <w:pStyle w:val="11"/>
        <w:spacing w:line="240" w:lineRule="atLeast"/>
        <w:rPr>
          <w:rFonts w:hint="eastAsia" w:ascii="宋体" w:hAnsi="宋体" w:eastAsia="宋体" w:cs="宋体"/>
          <w:color w:val="auto"/>
          <w:szCs w:val="21"/>
          <w:highlight w:val="none"/>
        </w:rPr>
      </w:pPr>
    </w:p>
    <w:p>
      <w:pPr>
        <w:pStyle w:val="11"/>
        <w:spacing w:line="240" w:lineRule="atLeast"/>
        <w:ind w:left="1080" w:leftChars="257" w:hanging="540"/>
        <w:rPr>
          <w:rFonts w:hint="eastAsia" w:ascii="宋体" w:hAnsi="宋体" w:eastAsia="宋体" w:cs="宋体"/>
          <w:color w:val="auto"/>
          <w:szCs w:val="21"/>
          <w:highlight w:val="none"/>
        </w:rPr>
      </w:pPr>
      <w:r>
        <w:rPr>
          <w:rFonts w:hint="eastAsia" w:ascii="宋体" w:hAnsi="宋体" w:eastAsia="宋体" w:cs="宋体"/>
          <w:color w:val="auto"/>
          <w:szCs w:val="21"/>
          <w:highlight w:val="none"/>
        </w:rPr>
        <w:t>法定代表人或其委托代理人</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签/章</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single"/>
        </w:rPr>
        <w:tab/>
      </w:r>
      <w:r>
        <w:rPr>
          <w:rFonts w:hint="eastAsia" w:ascii="宋体" w:hAnsi="宋体" w:eastAsia="宋体" w:cs="宋体"/>
          <w:color w:val="auto"/>
          <w:szCs w:val="21"/>
          <w:highlight w:val="none"/>
          <w:u w:val="single"/>
        </w:rPr>
        <w:t xml:space="preserve">                 </w:t>
      </w:r>
    </w:p>
    <w:p>
      <w:pPr>
        <w:pStyle w:val="11"/>
        <w:tabs>
          <w:tab w:val="left" w:pos="5370"/>
        </w:tabs>
        <w:spacing w:line="240" w:lineRule="atLeast"/>
        <w:ind w:left="1080" w:leftChars="257" w:hanging="540"/>
        <w:rPr>
          <w:rFonts w:hint="eastAsia" w:ascii="宋体" w:hAnsi="宋体" w:eastAsia="宋体" w:cs="宋体"/>
          <w:b/>
          <w:bCs/>
          <w:color w:val="auto"/>
          <w:sz w:val="22"/>
          <w:szCs w:val="22"/>
          <w:highlight w:val="none"/>
        </w:rPr>
      </w:pP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eastAsia="zh-CN"/>
        </w:rPr>
        <w:t>公章</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u w:val="single"/>
        </w:rPr>
        <w:tab/>
      </w:r>
    </w:p>
    <w:bookmarkEnd w:id="305"/>
    <w:bookmarkEnd w:id="306"/>
    <w:bookmarkEnd w:id="307"/>
    <w:bookmarkEnd w:id="308"/>
    <w:p>
      <w:pPr>
        <w:bidi w:val="0"/>
        <w:rPr>
          <w:rFonts w:hint="eastAsia" w:ascii="宋体" w:hAnsi="宋体" w:eastAsia="宋体" w:cs="宋体"/>
          <w:color w:val="auto"/>
          <w:highlight w:val="none"/>
        </w:rPr>
      </w:pPr>
      <w:bookmarkStart w:id="339" w:name="_Toc1980"/>
      <w:bookmarkStart w:id="340" w:name="_Toc31439"/>
      <w:bookmarkStart w:id="341" w:name="_Toc216582818"/>
      <w:bookmarkStart w:id="342" w:name="_Toc515647821"/>
      <w:bookmarkStart w:id="343" w:name="_Toc23"/>
    </w:p>
    <w:p>
      <w:pPr>
        <w:bidi w:val="0"/>
        <w:rPr>
          <w:rFonts w:hint="eastAsia" w:ascii="宋体" w:hAnsi="宋体" w:eastAsia="宋体" w:cs="宋体"/>
          <w:color w:val="auto"/>
          <w:highlight w:val="none"/>
        </w:rPr>
      </w:pPr>
    </w:p>
    <w:p>
      <w:pPr>
        <w:rPr>
          <w:rFonts w:hint="eastAsia" w:ascii="宋体" w:hAnsi="宋体" w:eastAsia="宋体" w:cs="宋体"/>
          <w:color w:val="auto"/>
          <w:szCs w:val="21"/>
          <w:highlight w:val="none"/>
        </w:rPr>
      </w:pPr>
    </w:p>
    <w:p>
      <w:pPr>
        <w:pStyle w:val="26"/>
        <w:rPr>
          <w:rFonts w:hint="eastAsia" w:ascii="宋体" w:hAnsi="宋体" w:eastAsia="宋体" w:cs="宋体"/>
          <w:color w:val="auto"/>
          <w:sz w:val="21"/>
          <w:szCs w:val="21"/>
          <w:highlight w:val="none"/>
        </w:rPr>
      </w:pPr>
    </w:p>
    <w:p>
      <w:pPr>
        <w:pStyle w:val="26"/>
        <w:rPr>
          <w:rFonts w:hint="eastAsia" w:ascii="宋体" w:hAnsi="宋体" w:eastAsia="宋体" w:cs="宋体"/>
          <w:color w:val="auto"/>
          <w:sz w:val="21"/>
          <w:szCs w:val="21"/>
          <w:highlight w:val="none"/>
        </w:rPr>
      </w:pPr>
    </w:p>
    <w:p>
      <w:pPr>
        <w:pStyle w:val="26"/>
        <w:rPr>
          <w:rFonts w:hint="eastAsia" w:ascii="宋体" w:hAnsi="宋体" w:eastAsia="宋体" w:cs="宋体"/>
          <w:color w:val="auto"/>
          <w:sz w:val="21"/>
          <w:szCs w:val="21"/>
          <w:highlight w:val="none"/>
        </w:rPr>
      </w:pPr>
    </w:p>
    <w:p>
      <w:pPr>
        <w:pStyle w:val="26"/>
        <w:rPr>
          <w:rFonts w:hint="eastAsia" w:ascii="宋体" w:hAnsi="宋体" w:eastAsia="宋体" w:cs="宋体"/>
          <w:color w:val="auto"/>
          <w:sz w:val="21"/>
          <w:szCs w:val="21"/>
          <w:highlight w:val="none"/>
        </w:rPr>
      </w:pPr>
    </w:p>
    <w:p>
      <w:pPr>
        <w:pStyle w:val="26"/>
        <w:rPr>
          <w:rFonts w:hint="eastAsia" w:ascii="宋体" w:hAnsi="宋体" w:eastAsia="宋体" w:cs="宋体"/>
          <w:color w:val="auto"/>
          <w:sz w:val="21"/>
          <w:szCs w:val="21"/>
          <w:highlight w:val="none"/>
        </w:rPr>
      </w:pPr>
    </w:p>
    <w:p>
      <w:pPr>
        <w:pStyle w:val="26"/>
        <w:rPr>
          <w:rFonts w:hint="eastAsia" w:ascii="宋体" w:hAnsi="宋体" w:eastAsia="宋体" w:cs="宋体"/>
          <w:color w:val="auto"/>
          <w:sz w:val="21"/>
          <w:szCs w:val="21"/>
          <w:highlight w:val="none"/>
        </w:rPr>
      </w:pPr>
    </w:p>
    <w:p>
      <w:pPr>
        <w:bidi w:val="0"/>
        <w:rPr>
          <w:rFonts w:hint="eastAsia" w:ascii="宋体" w:hAnsi="宋体" w:eastAsia="宋体" w:cs="宋体"/>
          <w:color w:val="auto"/>
          <w:highlight w:val="none"/>
        </w:rPr>
      </w:pPr>
    </w:p>
    <w:p>
      <w:pPr>
        <w:rPr>
          <w:rFonts w:hint="eastAsia" w:ascii="宋体" w:hAnsi="宋体" w:eastAsia="宋体" w:cs="宋体"/>
          <w:color w:val="auto"/>
          <w:highlight w:val="none"/>
        </w:rPr>
      </w:pPr>
      <w:r>
        <w:rPr>
          <w:rFonts w:hint="eastAsia" w:ascii="宋体" w:hAnsi="宋体" w:eastAsia="宋体" w:cs="宋体"/>
          <w:color w:val="auto"/>
          <w:highlight w:val="none"/>
        </w:rPr>
        <w:br w:type="page"/>
      </w:r>
    </w:p>
    <w:bookmarkEnd w:id="339"/>
    <w:bookmarkEnd w:id="340"/>
    <w:bookmarkEnd w:id="341"/>
    <w:bookmarkEnd w:id="342"/>
    <w:bookmarkEnd w:id="343"/>
    <w:p>
      <w:pPr>
        <w:pStyle w:val="4"/>
        <w:spacing w:before="0" w:line="240" w:lineRule="atLeast"/>
        <w:rPr>
          <w:rFonts w:hint="eastAsia" w:ascii="宋体" w:hAnsi="宋体" w:eastAsia="宋体" w:cs="宋体"/>
          <w:b/>
          <w:bCs/>
          <w:color w:val="auto"/>
          <w:kern w:val="2"/>
          <w:sz w:val="22"/>
          <w:szCs w:val="22"/>
          <w:highlight w:val="none"/>
        </w:rPr>
      </w:pPr>
      <w:bookmarkStart w:id="344" w:name="_Toc28566"/>
      <w:bookmarkStart w:id="345" w:name="_Toc6513"/>
      <w:bookmarkStart w:id="346" w:name="_Toc3070"/>
      <w:bookmarkStart w:id="347" w:name="_Toc7965"/>
      <w:bookmarkStart w:id="348" w:name="_Toc14878"/>
      <w:bookmarkStart w:id="349" w:name="_Toc22640"/>
      <w:bookmarkStart w:id="350" w:name="_Toc24526"/>
      <w:bookmarkStart w:id="351" w:name="_Toc29782"/>
      <w:bookmarkStart w:id="352" w:name="_Toc1896"/>
      <w:bookmarkStart w:id="353" w:name="_Toc16720"/>
      <w:r>
        <w:rPr>
          <w:rFonts w:hint="eastAsia" w:ascii="宋体" w:hAnsi="宋体" w:eastAsia="宋体" w:cs="宋体"/>
          <w:b/>
          <w:bCs/>
          <w:color w:val="auto"/>
          <w:kern w:val="2"/>
          <w:sz w:val="22"/>
          <w:szCs w:val="22"/>
          <w:highlight w:val="none"/>
        </w:rPr>
        <w:t>5</w:t>
      </w:r>
      <w:r>
        <w:rPr>
          <w:rFonts w:hint="eastAsia" w:ascii="宋体" w:hAnsi="宋体" w:eastAsia="宋体" w:cs="宋体"/>
          <w:b/>
          <w:bCs/>
          <w:color w:val="auto"/>
          <w:kern w:val="2"/>
          <w:sz w:val="22"/>
          <w:szCs w:val="22"/>
          <w:highlight w:val="none"/>
          <w:lang w:val="en-US" w:eastAsia="zh-CN"/>
        </w:rPr>
        <w:t>.</w:t>
      </w:r>
      <w:r>
        <w:rPr>
          <w:rFonts w:hint="eastAsia" w:ascii="宋体" w:hAnsi="宋体" w:eastAsia="宋体" w:cs="宋体"/>
          <w:b/>
          <w:bCs/>
          <w:color w:val="auto"/>
          <w:kern w:val="2"/>
          <w:sz w:val="22"/>
          <w:szCs w:val="22"/>
          <w:highlight w:val="none"/>
        </w:rPr>
        <w:t>商务条款偏离表</w:t>
      </w:r>
      <w:bookmarkEnd w:id="344"/>
      <w:bookmarkEnd w:id="345"/>
      <w:bookmarkEnd w:id="346"/>
      <w:bookmarkEnd w:id="347"/>
      <w:bookmarkEnd w:id="348"/>
      <w:bookmarkEnd w:id="349"/>
      <w:bookmarkEnd w:id="350"/>
      <w:bookmarkEnd w:id="351"/>
      <w:bookmarkEnd w:id="352"/>
      <w:bookmarkEnd w:id="353"/>
    </w:p>
    <w:p>
      <w:pPr>
        <w:pStyle w:val="11"/>
        <w:spacing w:line="240" w:lineRule="atLeast"/>
        <w:ind w:left="1080" w:leftChars="257" w:hanging="540"/>
        <w:rPr>
          <w:rFonts w:hint="eastAsia" w:ascii="宋体" w:hAnsi="宋体" w:eastAsia="宋体" w:cs="宋体"/>
          <w:color w:val="auto"/>
          <w:szCs w:val="21"/>
          <w:highlight w:val="none"/>
        </w:rPr>
      </w:pPr>
    </w:p>
    <w:p>
      <w:pPr>
        <w:pStyle w:val="11"/>
        <w:spacing w:line="240" w:lineRule="atLeast"/>
        <w:ind w:left="1080" w:leftChars="257" w:hanging="540"/>
        <w:rPr>
          <w:rFonts w:hint="eastAsia" w:ascii="宋体" w:hAnsi="宋体" w:eastAsia="宋体" w:cs="宋体"/>
          <w:color w:val="auto"/>
          <w:szCs w:val="21"/>
          <w:highlight w:val="none"/>
        </w:rPr>
      </w:pPr>
    </w:p>
    <w:p>
      <w:pPr>
        <w:pStyle w:val="11"/>
        <w:spacing w:line="240" w:lineRule="atLeast"/>
        <w:ind w:left="1080" w:leftChars="257" w:hanging="540"/>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项目名称:                      </w:t>
      </w:r>
      <w:r>
        <w:rPr>
          <w:rFonts w:hint="eastAsia" w:hAnsi="宋体" w:cs="宋体"/>
          <w:color w:val="auto"/>
          <w:szCs w:val="21"/>
          <w:highlight w:val="none"/>
          <w:lang w:eastAsia="zh-CN"/>
        </w:rPr>
        <w:t>项目编号</w:t>
      </w:r>
      <w:r>
        <w:rPr>
          <w:rFonts w:hint="eastAsia" w:ascii="宋体" w:hAnsi="宋体" w:eastAsia="宋体" w:cs="宋体"/>
          <w:color w:val="auto"/>
          <w:szCs w:val="21"/>
          <w:highlight w:val="none"/>
        </w:rPr>
        <w:t xml:space="preserve">:             </w:t>
      </w:r>
    </w:p>
    <w:p>
      <w:pPr>
        <w:pStyle w:val="11"/>
        <w:spacing w:line="240" w:lineRule="atLeast"/>
        <w:ind w:left="1080" w:leftChars="257" w:hanging="540"/>
        <w:rPr>
          <w:rFonts w:hint="eastAsia" w:ascii="宋体" w:hAnsi="宋体" w:eastAsia="宋体" w:cs="宋体"/>
          <w:color w:val="auto"/>
          <w:szCs w:val="21"/>
          <w:highlight w:val="none"/>
        </w:rPr>
      </w:pPr>
    </w:p>
    <w:tbl>
      <w:tblPr>
        <w:tblStyle w:val="20"/>
        <w:tblW w:w="90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2040"/>
        <w:gridCol w:w="2520"/>
        <w:gridCol w:w="2520"/>
        <w:gridCol w:w="1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1"/>
              <w:spacing w:line="240" w:lineRule="atLeas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序号</w:t>
            </w:r>
          </w:p>
        </w:tc>
        <w:tc>
          <w:tcPr>
            <w:tcW w:w="2040" w:type="dxa"/>
          </w:tcPr>
          <w:p>
            <w:pPr>
              <w:pStyle w:val="11"/>
              <w:spacing w:line="240" w:lineRule="atLeas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招标文件条款号</w:t>
            </w:r>
          </w:p>
        </w:tc>
        <w:tc>
          <w:tcPr>
            <w:tcW w:w="2520" w:type="dxa"/>
          </w:tcPr>
          <w:p>
            <w:pPr>
              <w:pStyle w:val="11"/>
              <w:spacing w:line="240" w:lineRule="atLeas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招标文件的商务条款</w:t>
            </w:r>
          </w:p>
        </w:tc>
        <w:tc>
          <w:tcPr>
            <w:tcW w:w="2520" w:type="dxa"/>
          </w:tcPr>
          <w:p>
            <w:pPr>
              <w:pStyle w:val="11"/>
              <w:spacing w:line="240" w:lineRule="atLeas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投标文件的商务条款</w:t>
            </w:r>
          </w:p>
        </w:tc>
        <w:tc>
          <w:tcPr>
            <w:tcW w:w="1014" w:type="dxa"/>
          </w:tcPr>
          <w:p>
            <w:pPr>
              <w:pStyle w:val="11"/>
              <w:spacing w:line="240" w:lineRule="atLeas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1"/>
              <w:spacing w:line="240" w:lineRule="atLeast"/>
              <w:ind w:left="1080" w:leftChars="257" w:hanging="540"/>
              <w:rPr>
                <w:rFonts w:hint="eastAsia" w:ascii="宋体" w:hAnsi="宋体" w:eastAsia="宋体" w:cs="宋体"/>
                <w:color w:val="auto"/>
                <w:szCs w:val="21"/>
                <w:highlight w:val="none"/>
              </w:rPr>
            </w:pPr>
          </w:p>
        </w:tc>
        <w:tc>
          <w:tcPr>
            <w:tcW w:w="2040" w:type="dxa"/>
          </w:tcPr>
          <w:p>
            <w:pPr>
              <w:pStyle w:val="11"/>
              <w:spacing w:line="240" w:lineRule="atLeast"/>
              <w:ind w:left="1080" w:leftChars="257" w:hanging="540"/>
              <w:rPr>
                <w:rFonts w:hint="eastAsia" w:ascii="宋体" w:hAnsi="宋体" w:eastAsia="宋体" w:cs="宋体"/>
                <w:color w:val="auto"/>
                <w:szCs w:val="21"/>
                <w:highlight w:val="none"/>
              </w:rPr>
            </w:pPr>
          </w:p>
        </w:tc>
        <w:tc>
          <w:tcPr>
            <w:tcW w:w="2520" w:type="dxa"/>
          </w:tcPr>
          <w:p>
            <w:pPr>
              <w:pStyle w:val="11"/>
              <w:spacing w:line="240" w:lineRule="atLeast"/>
              <w:ind w:left="1080" w:leftChars="257" w:hanging="540"/>
              <w:jc w:val="center"/>
              <w:rPr>
                <w:rFonts w:hint="eastAsia" w:ascii="宋体" w:hAnsi="宋体" w:eastAsia="宋体" w:cs="宋体"/>
                <w:color w:val="auto"/>
                <w:szCs w:val="21"/>
                <w:highlight w:val="none"/>
              </w:rPr>
            </w:pPr>
          </w:p>
        </w:tc>
        <w:tc>
          <w:tcPr>
            <w:tcW w:w="2520" w:type="dxa"/>
          </w:tcPr>
          <w:p>
            <w:pPr>
              <w:pStyle w:val="11"/>
              <w:spacing w:line="240" w:lineRule="atLeast"/>
              <w:ind w:left="1080" w:leftChars="257" w:hanging="540"/>
              <w:jc w:val="center"/>
              <w:rPr>
                <w:rFonts w:hint="eastAsia" w:ascii="宋体" w:hAnsi="宋体" w:eastAsia="宋体" w:cs="宋体"/>
                <w:color w:val="auto"/>
                <w:szCs w:val="21"/>
                <w:highlight w:val="none"/>
              </w:rPr>
            </w:pPr>
          </w:p>
        </w:tc>
        <w:tc>
          <w:tcPr>
            <w:tcW w:w="1014" w:type="dxa"/>
          </w:tcPr>
          <w:p>
            <w:pPr>
              <w:pStyle w:val="11"/>
              <w:spacing w:line="240" w:lineRule="atLeast"/>
              <w:ind w:left="1080" w:leftChars="257" w:hanging="540"/>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1"/>
              <w:spacing w:line="240" w:lineRule="atLeast"/>
              <w:ind w:left="1080" w:leftChars="257" w:hanging="540"/>
              <w:rPr>
                <w:rFonts w:hint="eastAsia" w:ascii="宋体" w:hAnsi="宋体" w:eastAsia="宋体" w:cs="宋体"/>
                <w:color w:val="auto"/>
                <w:szCs w:val="21"/>
                <w:highlight w:val="none"/>
              </w:rPr>
            </w:pPr>
          </w:p>
        </w:tc>
        <w:tc>
          <w:tcPr>
            <w:tcW w:w="2040" w:type="dxa"/>
          </w:tcPr>
          <w:p>
            <w:pPr>
              <w:pStyle w:val="11"/>
              <w:spacing w:line="240" w:lineRule="atLeast"/>
              <w:ind w:left="1080" w:leftChars="257" w:hanging="540"/>
              <w:rPr>
                <w:rFonts w:hint="eastAsia" w:ascii="宋体" w:hAnsi="宋体" w:eastAsia="宋体" w:cs="宋体"/>
                <w:color w:val="auto"/>
                <w:szCs w:val="21"/>
                <w:highlight w:val="none"/>
              </w:rPr>
            </w:pPr>
          </w:p>
        </w:tc>
        <w:tc>
          <w:tcPr>
            <w:tcW w:w="2520" w:type="dxa"/>
          </w:tcPr>
          <w:p>
            <w:pPr>
              <w:pStyle w:val="11"/>
              <w:spacing w:line="240" w:lineRule="atLeast"/>
              <w:ind w:left="1080" w:leftChars="257" w:hanging="540"/>
              <w:rPr>
                <w:rFonts w:hint="eastAsia" w:ascii="宋体" w:hAnsi="宋体" w:eastAsia="宋体" w:cs="宋体"/>
                <w:color w:val="auto"/>
                <w:szCs w:val="21"/>
                <w:highlight w:val="none"/>
              </w:rPr>
            </w:pPr>
          </w:p>
        </w:tc>
        <w:tc>
          <w:tcPr>
            <w:tcW w:w="2520" w:type="dxa"/>
          </w:tcPr>
          <w:p>
            <w:pPr>
              <w:pStyle w:val="11"/>
              <w:spacing w:line="240" w:lineRule="atLeast"/>
              <w:ind w:left="1080" w:leftChars="257" w:hanging="540"/>
              <w:rPr>
                <w:rFonts w:hint="eastAsia" w:ascii="宋体" w:hAnsi="宋体" w:eastAsia="宋体" w:cs="宋体"/>
                <w:color w:val="auto"/>
                <w:szCs w:val="21"/>
                <w:highlight w:val="none"/>
              </w:rPr>
            </w:pPr>
          </w:p>
        </w:tc>
        <w:tc>
          <w:tcPr>
            <w:tcW w:w="1014" w:type="dxa"/>
          </w:tcPr>
          <w:p>
            <w:pPr>
              <w:pStyle w:val="11"/>
              <w:spacing w:line="240" w:lineRule="atLeast"/>
              <w:ind w:left="1080" w:leftChars="257" w:hanging="540"/>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1"/>
              <w:spacing w:line="240" w:lineRule="atLeast"/>
              <w:ind w:left="1080" w:leftChars="257" w:hanging="540"/>
              <w:rPr>
                <w:rFonts w:hint="eastAsia" w:ascii="宋体" w:hAnsi="宋体" w:eastAsia="宋体" w:cs="宋体"/>
                <w:color w:val="auto"/>
                <w:szCs w:val="21"/>
                <w:highlight w:val="none"/>
              </w:rPr>
            </w:pPr>
          </w:p>
        </w:tc>
        <w:tc>
          <w:tcPr>
            <w:tcW w:w="2040" w:type="dxa"/>
          </w:tcPr>
          <w:p>
            <w:pPr>
              <w:pStyle w:val="11"/>
              <w:spacing w:line="240" w:lineRule="atLeast"/>
              <w:ind w:left="1080" w:leftChars="257" w:hanging="540"/>
              <w:rPr>
                <w:rFonts w:hint="eastAsia" w:ascii="宋体" w:hAnsi="宋体" w:eastAsia="宋体" w:cs="宋体"/>
                <w:color w:val="auto"/>
                <w:szCs w:val="21"/>
                <w:highlight w:val="none"/>
              </w:rPr>
            </w:pPr>
          </w:p>
        </w:tc>
        <w:tc>
          <w:tcPr>
            <w:tcW w:w="2520" w:type="dxa"/>
          </w:tcPr>
          <w:p>
            <w:pPr>
              <w:pStyle w:val="11"/>
              <w:spacing w:line="240" w:lineRule="atLeast"/>
              <w:ind w:left="1080" w:leftChars="257" w:hanging="540"/>
              <w:rPr>
                <w:rFonts w:hint="eastAsia" w:ascii="宋体" w:hAnsi="宋体" w:eastAsia="宋体" w:cs="宋体"/>
                <w:color w:val="auto"/>
                <w:szCs w:val="21"/>
                <w:highlight w:val="none"/>
              </w:rPr>
            </w:pPr>
          </w:p>
        </w:tc>
        <w:tc>
          <w:tcPr>
            <w:tcW w:w="2520" w:type="dxa"/>
          </w:tcPr>
          <w:p>
            <w:pPr>
              <w:pStyle w:val="11"/>
              <w:spacing w:line="240" w:lineRule="atLeast"/>
              <w:ind w:left="1080" w:leftChars="257" w:hanging="540"/>
              <w:rPr>
                <w:rFonts w:hint="eastAsia" w:ascii="宋体" w:hAnsi="宋体" w:eastAsia="宋体" w:cs="宋体"/>
                <w:color w:val="auto"/>
                <w:szCs w:val="21"/>
                <w:highlight w:val="none"/>
              </w:rPr>
            </w:pPr>
          </w:p>
        </w:tc>
        <w:tc>
          <w:tcPr>
            <w:tcW w:w="1014" w:type="dxa"/>
          </w:tcPr>
          <w:p>
            <w:pPr>
              <w:pStyle w:val="11"/>
              <w:spacing w:line="240" w:lineRule="atLeast"/>
              <w:ind w:left="1080" w:leftChars="257" w:hanging="540"/>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1"/>
              <w:spacing w:line="240" w:lineRule="atLeast"/>
              <w:ind w:left="1080" w:leftChars="257" w:hanging="540"/>
              <w:rPr>
                <w:rFonts w:hint="eastAsia" w:ascii="宋体" w:hAnsi="宋体" w:eastAsia="宋体" w:cs="宋体"/>
                <w:color w:val="auto"/>
                <w:szCs w:val="21"/>
                <w:highlight w:val="none"/>
              </w:rPr>
            </w:pPr>
          </w:p>
        </w:tc>
        <w:tc>
          <w:tcPr>
            <w:tcW w:w="2040" w:type="dxa"/>
          </w:tcPr>
          <w:p>
            <w:pPr>
              <w:pStyle w:val="11"/>
              <w:spacing w:line="240" w:lineRule="atLeast"/>
              <w:ind w:left="1080" w:leftChars="257" w:hanging="540"/>
              <w:rPr>
                <w:rFonts w:hint="eastAsia" w:ascii="宋体" w:hAnsi="宋体" w:eastAsia="宋体" w:cs="宋体"/>
                <w:color w:val="auto"/>
                <w:szCs w:val="21"/>
                <w:highlight w:val="none"/>
              </w:rPr>
            </w:pPr>
          </w:p>
        </w:tc>
        <w:tc>
          <w:tcPr>
            <w:tcW w:w="2520" w:type="dxa"/>
          </w:tcPr>
          <w:p>
            <w:pPr>
              <w:pStyle w:val="11"/>
              <w:spacing w:line="240" w:lineRule="atLeast"/>
              <w:ind w:left="1080" w:leftChars="257" w:hanging="540"/>
              <w:rPr>
                <w:rFonts w:hint="eastAsia" w:ascii="宋体" w:hAnsi="宋体" w:eastAsia="宋体" w:cs="宋体"/>
                <w:color w:val="auto"/>
                <w:szCs w:val="21"/>
                <w:highlight w:val="none"/>
              </w:rPr>
            </w:pPr>
          </w:p>
        </w:tc>
        <w:tc>
          <w:tcPr>
            <w:tcW w:w="2520" w:type="dxa"/>
          </w:tcPr>
          <w:p>
            <w:pPr>
              <w:pStyle w:val="11"/>
              <w:spacing w:line="240" w:lineRule="atLeast"/>
              <w:ind w:left="1080" w:leftChars="257" w:hanging="540"/>
              <w:rPr>
                <w:rFonts w:hint="eastAsia" w:ascii="宋体" w:hAnsi="宋体" w:eastAsia="宋体" w:cs="宋体"/>
                <w:color w:val="auto"/>
                <w:szCs w:val="21"/>
                <w:highlight w:val="none"/>
              </w:rPr>
            </w:pPr>
          </w:p>
        </w:tc>
        <w:tc>
          <w:tcPr>
            <w:tcW w:w="1014" w:type="dxa"/>
          </w:tcPr>
          <w:p>
            <w:pPr>
              <w:pStyle w:val="11"/>
              <w:spacing w:line="240" w:lineRule="atLeast"/>
              <w:ind w:left="1080" w:leftChars="257" w:hanging="540"/>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1"/>
              <w:spacing w:line="240" w:lineRule="atLeast"/>
              <w:ind w:left="1080" w:leftChars="257" w:hanging="540"/>
              <w:rPr>
                <w:rFonts w:hint="eastAsia" w:ascii="宋体" w:hAnsi="宋体" w:eastAsia="宋体" w:cs="宋体"/>
                <w:color w:val="auto"/>
                <w:szCs w:val="21"/>
                <w:highlight w:val="none"/>
              </w:rPr>
            </w:pPr>
          </w:p>
        </w:tc>
        <w:tc>
          <w:tcPr>
            <w:tcW w:w="2040" w:type="dxa"/>
          </w:tcPr>
          <w:p>
            <w:pPr>
              <w:pStyle w:val="11"/>
              <w:spacing w:line="240" w:lineRule="atLeast"/>
              <w:ind w:left="1080" w:leftChars="257" w:hanging="540"/>
              <w:rPr>
                <w:rFonts w:hint="eastAsia" w:ascii="宋体" w:hAnsi="宋体" w:eastAsia="宋体" w:cs="宋体"/>
                <w:color w:val="auto"/>
                <w:szCs w:val="21"/>
                <w:highlight w:val="none"/>
              </w:rPr>
            </w:pPr>
          </w:p>
        </w:tc>
        <w:tc>
          <w:tcPr>
            <w:tcW w:w="2520" w:type="dxa"/>
          </w:tcPr>
          <w:p>
            <w:pPr>
              <w:pStyle w:val="11"/>
              <w:spacing w:line="240" w:lineRule="atLeast"/>
              <w:ind w:left="1080" w:leftChars="257" w:hanging="540"/>
              <w:rPr>
                <w:rFonts w:hint="eastAsia" w:ascii="宋体" w:hAnsi="宋体" w:eastAsia="宋体" w:cs="宋体"/>
                <w:color w:val="auto"/>
                <w:szCs w:val="21"/>
                <w:highlight w:val="none"/>
              </w:rPr>
            </w:pPr>
          </w:p>
        </w:tc>
        <w:tc>
          <w:tcPr>
            <w:tcW w:w="2520" w:type="dxa"/>
          </w:tcPr>
          <w:p>
            <w:pPr>
              <w:pStyle w:val="11"/>
              <w:spacing w:line="240" w:lineRule="atLeast"/>
              <w:ind w:left="1080" w:leftChars="257" w:hanging="540"/>
              <w:rPr>
                <w:rFonts w:hint="eastAsia" w:ascii="宋体" w:hAnsi="宋体" w:eastAsia="宋体" w:cs="宋体"/>
                <w:color w:val="auto"/>
                <w:szCs w:val="21"/>
                <w:highlight w:val="none"/>
              </w:rPr>
            </w:pPr>
          </w:p>
        </w:tc>
        <w:tc>
          <w:tcPr>
            <w:tcW w:w="1014" w:type="dxa"/>
          </w:tcPr>
          <w:p>
            <w:pPr>
              <w:pStyle w:val="11"/>
              <w:spacing w:line="240" w:lineRule="atLeast"/>
              <w:ind w:left="1080" w:leftChars="257" w:hanging="540"/>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1"/>
              <w:spacing w:line="240" w:lineRule="atLeast"/>
              <w:ind w:left="1080" w:leftChars="257" w:hanging="540"/>
              <w:rPr>
                <w:rFonts w:hint="eastAsia" w:ascii="宋体" w:hAnsi="宋体" w:eastAsia="宋体" w:cs="宋体"/>
                <w:color w:val="auto"/>
                <w:szCs w:val="21"/>
                <w:highlight w:val="none"/>
              </w:rPr>
            </w:pPr>
          </w:p>
        </w:tc>
        <w:tc>
          <w:tcPr>
            <w:tcW w:w="2040" w:type="dxa"/>
          </w:tcPr>
          <w:p>
            <w:pPr>
              <w:pStyle w:val="11"/>
              <w:spacing w:line="240" w:lineRule="atLeast"/>
              <w:ind w:left="1080" w:leftChars="257" w:hanging="540"/>
              <w:rPr>
                <w:rFonts w:hint="eastAsia" w:ascii="宋体" w:hAnsi="宋体" w:eastAsia="宋体" w:cs="宋体"/>
                <w:color w:val="auto"/>
                <w:szCs w:val="21"/>
                <w:highlight w:val="none"/>
              </w:rPr>
            </w:pPr>
          </w:p>
        </w:tc>
        <w:tc>
          <w:tcPr>
            <w:tcW w:w="2520" w:type="dxa"/>
          </w:tcPr>
          <w:p>
            <w:pPr>
              <w:pStyle w:val="11"/>
              <w:spacing w:line="240" w:lineRule="atLeast"/>
              <w:ind w:left="1080" w:leftChars="257" w:hanging="540"/>
              <w:rPr>
                <w:rFonts w:hint="eastAsia" w:ascii="宋体" w:hAnsi="宋体" w:eastAsia="宋体" w:cs="宋体"/>
                <w:color w:val="auto"/>
                <w:szCs w:val="21"/>
                <w:highlight w:val="none"/>
              </w:rPr>
            </w:pPr>
          </w:p>
        </w:tc>
        <w:tc>
          <w:tcPr>
            <w:tcW w:w="2520" w:type="dxa"/>
          </w:tcPr>
          <w:p>
            <w:pPr>
              <w:pStyle w:val="11"/>
              <w:spacing w:line="240" w:lineRule="atLeast"/>
              <w:ind w:left="1080" w:leftChars="257" w:hanging="540"/>
              <w:rPr>
                <w:rFonts w:hint="eastAsia" w:ascii="宋体" w:hAnsi="宋体" w:eastAsia="宋体" w:cs="宋体"/>
                <w:color w:val="auto"/>
                <w:szCs w:val="21"/>
                <w:highlight w:val="none"/>
              </w:rPr>
            </w:pPr>
          </w:p>
        </w:tc>
        <w:tc>
          <w:tcPr>
            <w:tcW w:w="1014" w:type="dxa"/>
          </w:tcPr>
          <w:p>
            <w:pPr>
              <w:pStyle w:val="11"/>
              <w:spacing w:line="240" w:lineRule="atLeast"/>
              <w:ind w:left="1080" w:leftChars="257" w:hanging="540"/>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1"/>
              <w:spacing w:line="240" w:lineRule="atLeast"/>
              <w:ind w:left="1080" w:leftChars="257" w:hanging="540"/>
              <w:rPr>
                <w:rFonts w:hint="eastAsia" w:ascii="宋体" w:hAnsi="宋体" w:eastAsia="宋体" w:cs="宋体"/>
                <w:color w:val="auto"/>
                <w:szCs w:val="21"/>
                <w:highlight w:val="none"/>
              </w:rPr>
            </w:pPr>
          </w:p>
        </w:tc>
        <w:tc>
          <w:tcPr>
            <w:tcW w:w="2040" w:type="dxa"/>
          </w:tcPr>
          <w:p>
            <w:pPr>
              <w:pStyle w:val="11"/>
              <w:spacing w:line="240" w:lineRule="atLeast"/>
              <w:ind w:left="1080" w:leftChars="257" w:hanging="540"/>
              <w:rPr>
                <w:rFonts w:hint="eastAsia" w:ascii="宋体" w:hAnsi="宋体" w:eastAsia="宋体" w:cs="宋体"/>
                <w:color w:val="auto"/>
                <w:szCs w:val="21"/>
                <w:highlight w:val="none"/>
              </w:rPr>
            </w:pPr>
          </w:p>
        </w:tc>
        <w:tc>
          <w:tcPr>
            <w:tcW w:w="2520" w:type="dxa"/>
          </w:tcPr>
          <w:p>
            <w:pPr>
              <w:pStyle w:val="11"/>
              <w:spacing w:line="240" w:lineRule="atLeast"/>
              <w:ind w:left="1080" w:leftChars="257" w:hanging="540"/>
              <w:rPr>
                <w:rFonts w:hint="eastAsia" w:ascii="宋体" w:hAnsi="宋体" w:eastAsia="宋体" w:cs="宋体"/>
                <w:color w:val="auto"/>
                <w:szCs w:val="21"/>
                <w:highlight w:val="none"/>
              </w:rPr>
            </w:pPr>
          </w:p>
        </w:tc>
        <w:tc>
          <w:tcPr>
            <w:tcW w:w="2520" w:type="dxa"/>
          </w:tcPr>
          <w:p>
            <w:pPr>
              <w:pStyle w:val="11"/>
              <w:spacing w:line="240" w:lineRule="atLeast"/>
              <w:ind w:left="1080" w:leftChars="257" w:hanging="540"/>
              <w:rPr>
                <w:rFonts w:hint="eastAsia" w:ascii="宋体" w:hAnsi="宋体" w:eastAsia="宋体" w:cs="宋体"/>
                <w:color w:val="auto"/>
                <w:szCs w:val="21"/>
                <w:highlight w:val="none"/>
              </w:rPr>
            </w:pPr>
          </w:p>
        </w:tc>
        <w:tc>
          <w:tcPr>
            <w:tcW w:w="1014" w:type="dxa"/>
          </w:tcPr>
          <w:p>
            <w:pPr>
              <w:pStyle w:val="11"/>
              <w:spacing w:line="240" w:lineRule="atLeast"/>
              <w:ind w:left="1080" w:leftChars="257" w:hanging="540"/>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1"/>
              <w:spacing w:line="240" w:lineRule="atLeast"/>
              <w:ind w:left="1080" w:leftChars="257" w:hanging="540"/>
              <w:rPr>
                <w:rFonts w:hint="eastAsia" w:ascii="宋体" w:hAnsi="宋体" w:eastAsia="宋体" w:cs="宋体"/>
                <w:color w:val="auto"/>
                <w:szCs w:val="21"/>
                <w:highlight w:val="none"/>
              </w:rPr>
            </w:pPr>
          </w:p>
        </w:tc>
        <w:tc>
          <w:tcPr>
            <w:tcW w:w="2040" w:type="dxa"/>
          </w:tcPr>
          <w:p>
            <w:pPr>
              <w:pStyle w:val="11"/>
              <w:spacing w:line="240" w:lineRule="atLeast"/>
              <w:ind w:left="1080" w:leftChars="257" w:hanging="540"/>
              <w:rPr>
                <w:rFonts w:hint="eastAsia" w:ascii="宋体" w:hAnsi="宋体" w:eastAsia="宋体" w:cs="宋体"/>
                <w:color w:val="auto"/>
                <w:szCs w:val="21"/>
                <w:highlight w:val="none"/>
              </w:rPr>
            </w:pPr>
          </w:p>
        </w:tc>
        <w:tc>
          <w:tcPr>
            <w:tcW w:w="2520" w:type="dxa"/>
          </w:tcPr>
          <w:p>
            <w:pPr>
              <w:pStyle w:val="11"/>
              <w:spacing w:line="240" w:lineRule="atLeast"/>
              <w:ind w:left="1080" w:leftChars="257" w:hanging="540"/>
              <w:rPr>
                <w:rFonts w:hint="eastAsia" w:ascii="宋体" w:hAnsi="宋体" w:eastAsia="宋体" w:cs="宋体"/>
                <w:color w:val="auto"/>
                <w:szCs w:val="21"/>
                <w:highlight w:val="none"/>
              </w:rPr>
            </w:pPr>
          </w:p>
        </w:tc>
        <w:tc>
          <w:tcPr>
            <w:tcW w:w="2520" w:type="dxa"/>
          </w:tcPr>
          <w:p>
            <w:pPr>
              <w:pStyle w:val="11"/>
              <w:spacing w:line="240" w:lineRule="atLeast"/>
              <w:ind w:left="1080" w:leftChars="257" w:hanging="540"/>
              <w:rPr>
                <w:rFonts w:hint="eastAsia" w:ascii="宋体" w:hAnsi="宋体" w:eastAsia="宋体" w:cs="宋体"/>
                <w:color w:val="auto"/>
                <w:szCs w:val="21"/>
                <w:highlight w:val="none"/>
              </w:rPr>
            </w:pPr>
          </w:p>
        </w:tc>
        <w:tc>
          <w:tcPr>
            <w:tcW w:w="1014" w:type="dxa"/>
          </w:tcPr>
          <w:p>
            <w:pPr>
              <w:pStyle w:val="11"/>
              <w:spacing w:line="240" w:lineRule="atLeast"/>
              <w:ind w:left="1080" w:leftChars="257" w:hanging="540"/>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1"/>
              <w:spacing w:line="240" w:lineRule="atLeast"/>
              <w:ind w:left="1080" w:leftChars="257" w:hanging="540"/>
              <w:rPr>
                <w:rFonts w:hint="eastAsia" w:ascii="宋体" w:hAnsi="宋体" w:eastAsia="宋体" w:cs="宋体"/>
                <w:color w:val="auto"/>
                <w:szCs w:val="21"/>
                <w:highlight w:val="none"/>
              </w:rPr>
            </w:pPr>
          </w:p>
        </w:tc>
        <w:tc>
          <w:tcPr>
            <w:tcW w:w="2040" w:type="dxa"/>
          </w:tcPr>
          <w:p>
            <w:pPr>
              <w:pStyle w:val="11"/>
              <w:spacing w:line="240" w:lineRule="atLeast"/>
              <w:ind w:left="1080" w:leftChars="257" w:hanging="540"/>
              <w:rPr>
                <w:rFonts w:hint="eastAsia" w:ascii="宋体" w:hAnsi="宋体" w:eastAsia="宋体" w:cs="宋体"/>
                <w:color w:val="auto"/>
                <w:szCs w:val="21"/>
                <w:highlight w:val="none"/>
              </w:rPr>
            </w:pPr>
          </w:p>
        </w:tc>
        <w:tc>
          <w:tcPr>
            <w:tcW w:w="2520" w:type="dxa"/>
          </w:tcPr>
          <w:p>
            <w:pPr>
              <w:pStyle w:val="11"/>
              <w:spacing w:line="240" w:lineRule="atLeast"/>
              <w:ind w:left="1080" w:leftChars="257" w:hanging="540"/>
              <w:rPr>
                <w:rFonts w:hint="eastAsia" w:ascii="宋体" w:hAnsi="宋体" w:eastAsia="宋体" w:cs="宋体"/>
                <w:color w:val="auto"/>
                <w:szCs w:val="21"/>
                <w:highlight w:val="none"/>
              </w:rPr>
            </w:pPr>
          </w:p>
        </w:tc>
        <w:tc>
          <w:tcPr>
            <w:tcW w:w="2520" w:type="dxa"/>
          </w:tcPr>
          <w:p>
            <w:pPr>
              <w:pStyle w:val="11"/>
              <w:spacing w:line="240" w:lineRule="atLeast"/>
              <w:ind w:left="1080" w:leftChars="257" w:hanging="540"/>
              <w:rPr>
                <w:rFonts w:hint="eastAsia" w:ascii="宋体" w:hAnsi="宋体" w:eastAsia="宋体" w:cs="宋体"/>
                <w:color w:val="auto"/>
                <w:szCs w:val="21"/>
                <w:highlight w:val="none"/>
              </w:rPr>
            </w:pPr>
          </w:p>
        </w:tc>
        <w:tc>
          <w:tcPr>
            <w:tcW w:w="1014" w:type="dxa"/>
          </w:tcPr>
          <w:p>
            <w:pPr>
              <w:pStyle w:val="11"/>
              <w:spacing w:line="240" w:lineRule="atLeast"/>
              <w:ind w:left="1080" w:leftChars="257" w:hanging="540"/>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1"/>
              <w:spacing w:line="240" w:lineRule="atLeast"/>
              <w:ind w:left="1080" w:leftChars="257" w:hanging="540"/>
              <w:rPr>
                <w:rFonts w:hint="eastAsia" w:ascii="宋体" w:hAnsi="宋体" w:eastAsia="宋体" w:cs="宋体"/>
                <w:color w:val="auto"/>
                <w:szCs w:val="21"/>
                <w:highlight w:val="none"/>
              </w:rPr>
            </w:pPr>
          </w:p>
        </w:tc>
        <w:tc>
          <w:tcPr>
            <w:tcW w:w="2040" w:type="dxa"/>
          </w:tcPr>
          <w:p>
            <w:pPr>
              <w:pStyle w:val="11"/>
              <w:spacing w:line="240" w:lineRule="atLeast"/>
              <w:ind w:left="1080" w:leftChars="257" w:hanging="540"/>
              <w:rPr>
                <w:rFonts w:hint="eastAsia" w:ascii="宋体" w:hAnsi="宋体" w:eastAsia="宋体" w:cs="宋体"/>
                <w:color w:val="auto"/>
                <w:szCs w:val="21"/>
                <w:highlight w:val="none"/>
              </w:rPr>
            </w:pPr>
          </w:p>
        </w:tc>
        <w:tc>
          <w:tcPr>
            <w:tcW w:w="2520" w:type="dxa"/>
          </w:tcPr>
          <w:p>
            <w:pPr>
              <w:pStyle w:val="11"/>
              <w:spacing w:line="240" w:lineRule="atLeast"/>
              <w:ind w:left="1080" w:leftChars="257" w:hanging="540"/>
              <w:rPr>
                <w:rFonts w:hint="eastAsia" w:ascii="宋体" w:hAnsi="宋体" w:eastAsia="宋体" w:cs="宋体"/>
                <w:color w:val="auto"/>
                <w:szCs w:val="21"/>
                <w:highlight w:val="none"/>
              </w:rPr>
            </w:pPr>
          </w:p>
        </w:tc>
        <w:tc>
          <w:tcPr>
            <w:tcW w:w="2520" w:type="dxa"/>
          </w:tcPr>
          <w:p>
            <w:pPr>
              <w:pStyle w:val="11"/>
              <w:spacing w:line="240" w:lineRule="atLeast"/>
              <w:ind w:left="1080" w:leftChars="257" w:hanging="540"/>
              <w:rPr>
                <w:rFonts w:hint="eastAsia" w:ascii="宋体" w:hAnsi="宋体" w:eastAsia="宋体" w:cs="宋体"/>
                <w:color w:val="auto"/>
                <w:szCs w:val="21"/>
                <w:highlight w:val="none"/>
              </w:rPr>
            </w:pPr>
          </w:p>
        </w:tc>
        <w:tc>
          <w:tcPr>
            <w:tcW w:w="1014" w:type="dxa"/>
          </w:tcPr>
          <w:p>
            <w:pPr>
              <w:pStyle w:val="11"/>
              <w:spacing w:line="240" w:lineRule="atLeast"/>
              <w:ind w:left="1080" w:leftChars="257" w:hanging="540"/>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1"/>
              <w:spacing w:line="240" w:lineRule="atLeast"/>
              <w:ind w:left="1080" w:leftChars="257" w:hanging="540"/>
              <w:rPr>
                <w:rFonts w:hint="eastAsia" w:ascii="宋体" w:hAnsi="宋体" w:eastAsia="宋体" w:cs="宋体"/>
                <w:color w:val="auto"/>
                <w:szCs w:val="21"/>
                <w:highlight w:val="none"/>
              </w:rPr>
            </w:pPr>
          </w:p>
        </w:tc>
        <w:tc>
          <w:tcPr>
            <w:tcW w:w="2040" w:type="dxa"/>
          </w:tcPr>
          <w:p>
            <w:pPr>
              <w:pStyle w:val="11"/>
              <w:spacing w:line="240" w:lineRule="atLeast"/>
              <w:ind w:left="1080" w:leftChars="257" w:hanging="540"/>
              <w:rPr>
                <w:rFonts w:hint="eastAsia" w:ascii="宋体" w:hAnsi="宋体" w:eastAsia="宋体" w:cs="宋体"/>
                <w:color w:val="auto"/>
                <w:szCs w:val="21"/>
                <w:highlight w:val="none"/>
              </w:rPr>
            </w:pPr>
          </w:p>
        </w:tc>
        <w:tc>
          <w:tcPr>
            <w:tcW w:w="2520" w:type="dxa"/>
          </w:tcPr>
          <w:p>
            <w:pPr>
              <w:pStyle w:val="11"/>
              <w:spacing w:line="240" w:lineRule="atLeast"/>
              <w:ind w:left="1080" w:leftChars="257" w:hanging="540"/>
              <w:rPr>
                <w:rFonts w:hint="eastAsia" w:ascii="宋体" w:hAnsi="宋体" w:eastAsia="宋体" w:cs="宋体"/>
                <w:color w:val="auto"/>
                <w:szCs w:val="21"/>
                <w:highlight w:val="none"/>
              </w:rPr>
            </w:pPr>
          </w:p>
        </w:tc>
        <w:tc>
          <w:tcPr>
            <w:tcW w:w="2520" w:type="dxa"/>
          </w:tcPr>
          <w:p>
            <w:pPr>
              <w:pStyle w:val="11"/>
              <w:spacing w:line="240" w:lineRule="atLeast"/>
              <w:ind w:left="1080" w:leftChars="257" w:hanging="540"/>
              <w:rPr>
                <w:rFonts w:hint="eastAsia" w:ascii="宋体" w:hAnsi="宋体" w:eastAsia="宋体" w:cs="宋体"/>
                <w:color w:val="auto"/>
                <w:szCs w:val="21"/>
                <w:highlight w:val="none"/>
              </w:rPr>
            </w:pPr>
          </w:p>
        </w:tc>
        <w:tc>
          <w:tcPr>
            <w:tcW w:w="1014" w:type="dxa"/>
          </w:tcPr>
          <w:p>
            <w:pPr>
              <w:pStyle w:val="11"/>
              <w:spacing w:line="240" w:lineRule="atLeast"/>
              <w:ind w:left="1080" w:leftChars="257" w:hanging="540"/>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1"/>
              <w:spacing w:line="240" w:lineRule="atLeast"/>
              <w:ind w:left="1080" w:leftChars="257" w:hanging="540"/>
              <w:rPr>
                <w:rFonts w:hint="eastAsia" w:ascii="宋体" w:hAnsi="宋体" w:eastAsia="宋体" w:cs="宋体"/>
                <w:color w:val="auto"/>
                <w:szCs w:val="21"/>
                <w:highlight w:val="none"/>
              </w:rPr>
            </w:pPr>
          </w:p>
        </w:tc>
        <w:tc>
          <w:tcPr>
            <w:tcW w:w="2040" w:type="dxa"/>
          </w:tcPr>
          <w:p>
            <w:pPr>
              <w:pStyle w:val="11"/>
              <w:spacing w:line="240" w:lineRule="atLeast"/>
              <w:ind w:left="1080" w:leftChars="257" w:hanging="540"/>
              <w:rPr>
                <w:rFonts w:hint="eastAsia" w:ascii="宋体" w:hAnsi="宋体" w:eastAsia="宋体" w:cs="宋体"/>
                <w:color w:val="auto"/>
                <w:szCs w:val="21"/>
                <w:highlight w:val="none"/>
              </w:rPr>
            </w:pPr>
          </w:p>
        </w:tc>
        <w:tc>
          <w:tcPr>
            <w:tcW w:w="2520" w:type="dxa"/>
          </w:tcPr>
          <w:p>
            <w:pPr>
              <w:pStyle w:val="11"/>
              <w:spacing w:line="240" w:lineRule="atLeast"/>
              <w:ind w:left="1080" w:leftChars="257" w:hanging="540"/>
              <w:rPr>
                <w:rFonts w:hint="eastAsia" w:ascii="宋体" w:hAnsi="宋体" w:eastAsia="宋体" w:cs="宋体"/>
                <w:color w:val="auto"/>
                <w:szCs w:val="21"/>
                <w:highlight w:val="none"/>
              </w:rPr>
            </w:pPr>
          </w:p>
        </w:tc>
        <w:tc>
          <w:tcPr>
            <w:tcW w:w="2520" w:type="dxa"/>
          </w:tcPr>
          <w:p>
            <w:pPr>
              <w:pStyle w:val="11"/>
              <w:spacing w:line="240" w:lineRule="atLeast"/>
              <w:ind w:left="1080" w:leftChars="257" w:hanging="540"/>
              <w:rPr>
                <w:rFonts w:hint="eastAsia" w:ascii="宋体" w:hAnsi="宋体" w:eastAsia="宋体" w:cs="宋体"/>
                <w:color w:val="auto"/>
                <w:szCs w:val="21"/>
                <w:highlight w:val="none"/>
              </w:rPr>
            </w:pPr>
          </w:p>
        </w:tc>
        <w:tc>
          <w:tcPr>
            <w:tcW w:w="1014" w:type="dxa"/>
          </w:tcPr>
          <w:p>
            <w:pPr>
              <w:pStyle w:val="11"/>
              <w:spacing w:line="240" w:lineRule="atLeast"/>
              <w:ind w:left="1080" w:leftChars="257" w:hanging="540"/>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1"/>
              <w:spacing w:line="240" w:lineRule="atLeast"/>
              <w:ind w:left="1080" w:leftChars="257" w:hanging="540"/>
              <w:rPr>
                <w:rFonts w:hint="eastAsia" w:ascii="宋体" w:hAnsi="宋体" w:eastAsia="宋体" w:cs="宋体"/>
                <w:color w:val="auto"/>
                <w:szCs w:val="21"/>
                <w:highlight w:val="none"/>
              </w:rPr>
            </w:pPr>
          </w:p>
        </w:tc>
        <w:tc>
          <w:tcPr>
            <w:tcW w:w="2040" w:type="dxa"/>
          </w:tcPr>
          <w:p>
            <w:pPr>
              <w:pStyle w:val="11"/>
              <w:spacing w:line="240" w:lineRule="atLeast"/>
              <w:ind w:left="1080" w:leftChars="257" w:hanging="540"/>
              <w:rPr>
                <w:rFonts w:hint="eastAsia" w:ascii="宋体" w:hAnsi="宋体" w:eastAsia="宋体" w:cs="宋体"/>
                <w:color w:val="auto"/>
                <w:szCs w:val="21"/>
                <w:highlight w:val="none"/>
              </w:rPr>
            </w:pPr>
          </w:p>
        </w:tc>
        <w:tc>
          <w:tcPr>
            <w:tcW w:w="2520" w:type="dxa"/>
          </w:tcPr>
          <w:p>
            <w:pPr>
              <w:pStyle w:val="11"/>
              <w:spacing w:line="240" w:lineRule="atLeast"/>
              <w:ind w:left="1080" w:leftChars="257" w:hanging="540"/>
              <w:rPr>
                <w:rFonts w:hint="eastAsia" w:ascii="宋体" w:hAnsi="宋体" w:eastAsia="宋体" w:cs="宋体"/>
                <w:color w:val="auto"/>
                <w:szCs w:val="21"/>
                <w:highlight w:val="none"/>
              </w:rPr>
            </w:pPr>
          </w:p>
        </w:tc>
        <w:tc>
          <w:tcPr>
            <w:tcW w:w="2520" w:type="dxa"/>
          </w:tcPr>
          <w:p>
            <w:pPr>
              <w:pStyle w:val="11"/>
              <w:spacing w:line="240" w:lineRule="atLeast"/>
              <w:ind w:left="1080" w:leftChars="257" w:hanging="540"/>
              <w:rPr>
                <w:rFonts w:hint="eastAsia" w:ascii="宋体" w:hAnsi="宋体" w:eastAsia="宋体" w:cs="宋体"/>
                <w:color w:val="auto"/>
                <w:szCs w:val="21"/>
                <w:highlight w:val="none"/>
              </w:rPr>
            </w:pPr>
          </w:p>
        </w:tc>
        <w:tc>
          <w:tcPr>
            <w:tcW w:w="1014" w:type="dxa"/>
          </w:tcPr>
          <w:p>
            <w:pPr>
              <w:pStyle w:val="11"/>
              <w:spacing w:line="240" w:lineRule="atLeast"/>
              <w:ind w:left="1080" w:leftChars="257" w:hanging="540"/>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1"/>
              <w:spacing w:line="240" w:lineRule="atLeast"/>
              <w:ind w:left="1080" w:leftChars="257" w:hanging="540"/>
              <w:rPr>
                <w:rFonts w:hint="eastAsia" w:ascii="宋体" w:hAnsi="宋体" w:eastAsia="宋体" w:cs="宋体"/>
                <w:color w:val="auto"/>
                <w:szCs w:val="21"/>
                <w:highlight w:val="none"/>
              </w:rPr>
            </w:pPr>
          </w:p>
        </w:tc>
        <w:tc>
          <w:tcPr>
            <w:tcW w:w="2040" w:type="dxa"/>
          </w:tcPr>
          <w:p>
            <w:pPr>
              <w:pStyle w:val="11"/>
              <w:spacing w:line="240" w:lineRule="atLeast"/>
              <w:ind w:left="1080" w:leftChars="257" w:hanging="540"/>
              <w:rPr>
                <w:rFonts w:hint="eastAsia" w:ascii="宋体" w:hAnsi="宋体" w:eastAsia="宋体" w:cs="宋体"/>
                <w:color w:val="auto"/>
                <w:szCs w:val="21"/>
                <w:highlight w:val="none"/>
              </w:rPr>
            </w:pPr>
          </w:p>
        </w:tc>
        <w:tc>
          <w:tcPr>
            <w:tcW w:w="2520" w:type="dxa"/>
          </w:tcPr>
          <w:p>
            <w:pPr>
              <w:pStyle w:val="11"/>
              <w:spacing w:line="240" w:lineRule="atLeast"/>
              <w:ind w:left="1080" w:leftChars="257" w:hanging="540"/>
              <w:rPr>
                <w:rFonts w:hint="eastAsia" w:ascii="宋体" w:hAnsi="宋体" w:eastAsia="宋体" w:cs="宋体"/>
                <w:color w:val="auto"/>
                <w:szCs w:val="21"/>
                <w:highlight w:val="none"/>
              </w:rPr>
            </w:pPr>
          </w:p>
        </w:tc>
        <w:tc>
          <w:tcPr>
            <w:tcW w:w="2520" w:type="dxa"/>
          </w:tcPr>
          <w:p>
            <w:pPr>
              <w:pStyle w:val="11"/>
              <w:spacing w:line="240" w:lineRule="atLeast"/>
              <w:ind w:left="1080" w:leftChars="257" w:hanging="540"/>
              <w:rPr>
                <w:rFonts w:hint="eastAsia" w:ascii="宋体" w:hAnsi="宋体" w:eastAsia="宋体" w:cs="宋体"/>
                <w:color w:val="auto"/>
                <w:szCs w:val="21"/>
                <w:highlight w:val="none"/>
              </w:rPr>
            </w:pPr>
          </w:p>
        </w:tc>
        <w:tc>
          <w:tcPr>
            <w:tcW w:w="1014" w:type="dxa"/>
          </w:tcPr>
          <w:p>
            <w:pPr>
              <w:pStyle w:val="11"/>
              <w:spacing w:line="240" w:lineRule="atLeast"/>
              <w:ind w:left="1080" w:leftChars="257" w:hanging="540"/>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1"/>
              <w:spacing w:line="240" w:lineRule="atLeast"/>
              <w:ind w:left="1080" w:leftChars="257" w:hanging="540"/>
              <w:rPr>
                <w:rFonts w:hint="eastAsia" w:ascii="宋体" w:hAnsi="宋体" w:eastAsia="宋体" w:cs="宋体"/>
                <w:color w:val="auto"/>
                <w:szCs w:val="21"/>
                <w:highlight w:val="none"/>
              </w:rPr>
            </w:pPr>
          </w:p>
        </w:tc>
        <w:tc>
          <w:tcPr>
            <w:tcW w:w="2040" w:type="dxa"/>
          </w:tcPr>
          <w:p>
            <w:pPr>
              <w:pStyle w:val="11"/>
              <w:spacing w:line="240" w:lineRule="atLeast"/>
              <w:ind w:left="1080" w:leftChars="257" w:hanging="540"/>
              <w:rPr>
                <w:rFonts w:hint="eastAsia" w:ascii="宋体" w:hAnsi="宋体" w:eastAsia="宋体" w:cs="宋体"/>
                <w:color w:val="auto"/>
                <w:szCs w:val="21"/>
                <w:highlight w:val="none"/>
              </w:rPr>
            </w:pPr>
          </w:p>
        </w:tc>
        <w:tc>
          <w:tcPr>
            <w:tcW w:w="2520" w:type="dxa"/>
          </w:tcPr>
          <w:p>
            <w:pPr>
              <w:pStyle w:val="11"/>
              <w:spacing w:line="240" w:lineRule="atLeast"/>
              <w:ind w:left="1080" w:leftChars="257" w:hanging="540"/>
              <w:rPr>
                <w:rFonts w:hint="eastAsia" w:ascii="宋体" w:hAnsi="宋体" w:eastAsia="宋体" w:cs="宋体"/>
                <w:color w:val="auto"/>
                <w:szCs w:val="21"/>
                <w:highlight w:val="none"/>
              </w:rPr>
            </w:pPr>
          </w:p>
        </w:tc>
        <w:tc>
          <w:tcPr>
            <w:tcW w:w="2520" w:type="dxa"/>
          </w:tcPr>
          <w:p>
            <w:pPr>
              <w:pStyle w:val="11"/>
              <w:spacing w:line="240" w:lineRule="atLeast"/>
              <w:ind w:left="1080" w:leftChars="257" w:hanging="540"/>
              <w:rPr>
                <w:rFonts w:hint="eastAsia" w:ascii="宋体" w:hAnsi="宋体" w:eastAsia="宋体" w:cs="宋体"/>
                <w:color w:val="auto"/>
                <w:szCs w:val="21"/>
                <w:highlight w:val="none"/>
              </w:rPr>
            </w:pPr>
          </w:p>
        </w:tc>
        <w:tc>
          <w:tcPr>
            <w:tcW w:w="1014" w:type="dxa"/>
          </w:tcPr>
          <w:p>
            <w:pPr>
              <w:pStyle w:val="11"/>
              <w:spacing w:line="240" w:lineRule="atLeast"/>
              <w:ind w:left="1080" w:leftChars="257" w:hanging="540"/>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1"/>
              <w:spacing w:line="240" w:lineRule="atLeast"/>
              <w:ind w:left="1080" w:leftChars="257" w:hanging="540"/>
              <w:rPr>
                <w:rFonts w:hint="eastAsia" w:ascii="宋体" w:hAnsi="宋体" w:eastAsia="宋体" w:cs="宋体"/>
                <w:color w:val="auto"/>
                <w:szCs w:val="21"/>
                <w:highlight w:val="none"/>
              </w:rPr>
            </w:pPr>
          </w:p>
        </w:tc>
        <w:tc>
          <w:tcPr>
            <w:tcW w:w="2040" w:type="dxa"/>
          </w:tcPr>
          <w:p>
            <w:pPr>
              <w:pStyle w:val="11"/>
              <w:spacing w:line="240" w:lineRule="atLeast"/>
              <w:ind w:left="1080" w:leftChars="257" w:hanging="540"/>
              <w:rPr>
                <w:rFonts w:hint="eastAsia" w:ascii="宋体" w:hAnsi="宋体" w:eastAsia="宋体" w:cs="宋体"/>
                <w:color w:val="auto"/>
                <w:szCs w:val="21"/>
                <w:highlight w:val="none"/>
              </w:rPr>
            </w:pPr>
          </w:p>
        </w:tc>
        <w:tc>
          <w:tcPr>
            <w:tcW w:w="2520" w:type="dxa"/>
          </w:tcPr>
          <w:p>
            <w:pPr>
              <w:pStyle w:val="11"/>
              <w:spacing w:line="240" w:lineRule="atLeast"/>
              <w:ind w:left="1080" w:leftChars="257" w:hanging="540"/>
              <w:rPr>
                <w:rFonts w:hint="eastAsia" w:ascii="宋体" w:hAnsi="宋体" w:eastAsia="宋体" w:cs="宋体"/>
                <w:color w:val="auto"/>
                <w:szCs w:val="21"/>
                <w:highlight w:val="none"/>
              </w:rPr>
            </w:pPr>
          </w:p>
        </w:tc>
        <w:tc>
          <w:tcPr>
            <w:tcW w:w="2520" w:type="dxa"/>
          </w:tcPr>
          <w:p>
            <w:pPr>
              <w:pStyle w:val="11"/>
              <w:spacing w:line="240" w:lineRule="atLeast"/>
              <w:ind w:left="1080" w:leftChars="257" w:hanging="540"/>
              <w:rPr>
                <w:rFonts w:hint="eastAsia" w:ascii="宋体" w:hAnsi="宋体" w:eastAsia="宋体" w:cs="宋体"/>
                <w:color w:val="auto"/>
                <w:szCs w:val="21"/>
                <w:highlight w:val="none"/>
              </w:rPr>
            </w:pPr>
          </w:p>
        </w:tc>
        <w:tc>
          <w:tcPr>
            <w:tcW w:w="1014" w:type="dxa"/>
          </w:tcPr>
          <w:p>
            <w:pPr>
              <w:pStyle w:val="11"/>
              <w:spacing w:line="240" w:lineRule="atLeast"/>
              <w:ind w:left="1080" w:leftChars="257" w:hanging="540"/>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1"/>
              <w:spacing w:line="240" w:lineRule="atLeast"/>
              <w:ind w:left="1080" w:leftChars="257" w:hanging="540"/>
              <w:rPr>
                <w:rFonts w:hint="eastAsia" w:ascii="宋体" w:hAnsi="宋体" w:eastAsia="宋体" w:cs="宋体"/>
                <w:color w:val="auto"/>
                <w:szCs w:val="21"/>
                <w:highlight w:val="none"/>
              </w:rPr>
            </w:pPr>
          </w:p>
        </w:tc>
        <w:tc>
          <w:tcPr>
            <w:tcW w:w="2040" w:type="dxa"/>
          </w:tcPr>
          <w:p>
            <w:pPr>
              <w:pStyle w:val="11"/>
              <w:spacing w:line="240" w:lineRule="atLeast"/>
              <w:ind w:left="1080" w:leftChars="257" w:hanging="540"/>
              <w:rPr>
                <w:rFonts w:hint="eastAsia" w:ascii="宋体" w:hAnsi="宋体" w:eastAsia="宋体" w:cs="宋体"/>
                <w:color w:val="auto"/>
                <w:szCs w:val="21"/>
                <w:highlight w:val="none"/>
              </w:rPr>
            </w:pPr>
          </w:p>
        </w:tc>
        <w:tc>
          <w:tcPr>
            <w:tcW w:w="2520" w:type="dxa"/>
          </w:tcPr>
          <w:p>
            <w:pPr>
              <w:pStyle w:val="11"/>
              <w:spacing w:line="240" w:lineRule="atLeast"/>
              <w:ind w:left="1080" w:leftChars="257" w:hanging="540"/>
              <w:rPr>
                <w:rFonts w:hint="eastAsia" w:ascii="宋体" w:hAnsi="宋体" w:eastAsia="宋体" w:cs="宋体"/>
                <w:color w:val="auto"/>
                <w:szCs w:val="21"/>
                <w:highlight w:val="none"/>
              </w:rPr>
            </w:pPr>
          </w:p>
        </w:tc>
        <w:tc>
          <w:tcPr>
            <w:tcW w:w="2520" w:type="dxa"/>
          </w:tcPr>
          <w:p>
            <w:pPr>
              <w:pStyle w:val="11"/>
              <w:spacing w:line="240" w:lineRule="atLeast"/>
              <w:ind w:left="1080" w:leftChars="257" w:hanging="540"/>
              <w:rPr>
                <w:rFonts w:hint="eastAsia" w:ascii="宋体" w:hAnsi="宋体" w:eastAsia="宋体" w:cs="宋体"/>
                <w:color w:val="auto"/>
                <w:szCs w:val="21"/>
                <w:highlight w:val="none"/>
              </w:rPr>
            </w:pPr>
          </w:p>
        </w:tc>
        <w:tc>
          <w:tcPr>
            <w:tcW w:w="1014" w:type="dxa"/>
          </w:tcPr>
          <w:p>
            <w:pPr>
              <w:pStyle w:val="11"/>
              <w:spacing w:line="240" w:lineRule="atLeast"/>
              <w:ind w:left="1080" w:leftChars="257" w:hanging="540"/>
              <w:rPr>
                <w:rFonts w:hint="eastAsia" w:ascii="宋体" w:hAnsi="宋体" w:eastAsia="宋体" w:cs="宋体"/>
                <w:color w:val="auto"/>
                <w:szCs w:val="21"/>
                <w:highlight w:val="none"/>
              </w:rPr>
            </w:pPr>
          </w:p>
        </w:tc>
      </w:tr>
    </w:tbl>
    <w:p>
      <w:pPr>
        <w:pStyle w:val="11"/>
        <w:spacing w:line="240" w:lineRule="atLeast"/>
        <w:ind w:left="1080" w:leftChars="257" w:hanging="540"/>
        <w:rPr>
          <w:rFonts w:hint="eastAsia" w:ascii="宋体" w:hAnsi="宋体" w:eastAsia="宋体" w:cs="宋体"/>
          <w:color w:val="auto"/>
          <w:szCs w:val="21"/>
          <w:highlight w:val="none"/>
        </w:rPr>
      </w:pPr>
    </w:p>
    <w:p>
      <w:pPr>
        <w:pStyle w:val="11"/>
        <w:spacing w:line="240" w:lineRule="atLeast"/>
        <w:ind w:left="1080" w:leftChars="257" w:hanging="540"/>
        <w:rPr>
          <w:rFonts w:hint="eastAsia" w:ascii="宋体" w:hAnsi="宋体" w:eastAsia="宋体" w:cs="宋体"/>
          <w:color w:val="auto"/>
          <w:szCs w:val="21"/>
          <w:highlight w:val="none"/>
        </w:rPr>
      </w:pPr>
    </w:p>
    <w:p>
      <w:pPr>
        <w:pStyle w:val="11"/>
        <w:spacing w:line="240" w:lineRule="atLeast"/>
        <w:ind w:left="1080" w:leftChars="257" w:hanging="540"/>
        <w:rPr>
          <w:rFonts w:hint="eastAsia" w:ascii="宋体" w:hAnsi="宋体" w:eastAsia="宋体" w:cs="宋体"/>
          <w:color w:val="auto"/>
          <w:szCs w:val="21"/>
          <w:highlight w:val="none"/>
        </w:rPr>
      </w:pPr>
      <w:r>
        <w:rPr>
          <w:rFonts w:hint="eastAsia" w:ascii="宋体" w:hAnsi="宋体" w:eastAsia="宋体" w:cs="宋体"/>
          <w:color w:val="auto"/>
          <w:szCs w:val="21"/>
          <w:highlight w:val="none"/>
        </w:rPr>
        <w:t>法定代表人或其委托代理人</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签/章</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single"/>
        </w:rPr>
        <w:tab/>
      </w:r>
      <w:r>
        <w:rPr>
          <w:rFonts w:hint="eastAsia" w:ascii="宋体" w:hAnsi="宋体" w:eastAsia="宋体" w:cs="宋体"/>
          <w:color w:val="auto"/>
          <w:szCs w:val="21"/>
          <w:highlight w:val="none"/>
          <w:u w:val="single"/>
        </w:rPr>
        <w:t xml:space="preserve">                 </w:t>
      </w:r>
    </w:p>
    <w:p>
      <w:pPr>
        <w:pStyle w:val="11"/>
        <w:tabs>
          <w:tab w:val="left" w:pos="5370"/>
        </w:tabs>
        <w:spacing w:line="240" w:lineRule="atLeast"/>
        <w:ind w:left="1080" w:leftChars="257" w:hanging="540"/>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eastAsia="zh-CN"/>
        </w:rPr>
        <w:t>公章</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u w:val="single"/>
        </w:rPr>
        <w:tab/>
      </w:r>
    </w:p>
    <w:p>
      <w:pPr>
        <w:pStyle w:val="11"/>
        <w:spacing w:line="240" w:lineRule="atLeast"/>
        <w:ind w:left="1080" w:leftChars="257" w:hanging="540"/>
        <w:rPr>
          <w:rFonts w:hint="eastAsia" w:ascii="宋体" w:hAnsi="宋体" w:eastAsia="宋体" w:cs="宋体"/>
          <w:color w:val="auto"/>
          <w:szCs w:val="21"/>
          <w:highlight w:val="none"/>
        </w:rPr>
      </w:pPr>
      <w:r>
        <w:rPr>
          <w:rFonts w:hint="eastAsia" w:ascii="宋体" w:hAnsi="宋体" w:eastAsia="宋体" w:cs="宋体"/>
          <w:color w:val="auto"/>
          <w:szCs w:val="21"/>
          <w:highlight w:val="none"/>
          <w:u w:val="single"/>
        </w:rPr>
        <w:br w:type="page"/>
      </w:r>
    </w:p>
    <w:p>
      <w:pPr>
        <w:spacing w:line="240" w:lineRule="atLeast"/>
        <w:ind w:left="1080" w:leftChars="257" w:hanging="540"/>
        <w:jc w:val="center"/>
        <w:rPr>
          <w:rFonts w:hint="eastAsia" w:ascii="宋体" w:hAnsi="宋体" w:eastAsia="宋体" w:cs="宋体"/>
          <w:b/>
          <w:color w:val="auto"/>
          <w:kern w:val="0"/>
          <w:szCs w:val="21"/>
          <w:highlight w:val="none"/>
        </w:rPr>
      </w:pPr>
      <w:bookmarkStart w:id="354" w:name="_Hlt520343000"/>
      <w:bookmarkEnd w:id="354"/>
      <w:bookmarkStart w:id="355" w:name="_Hlt520343392"/>
      <w:bookmarkEnd w:id="355"/>
      <w:bookmarkStart w:id="356" w:name="_Hlt520273973"/>
      <w:bookmarkEnd w:id="356"/>
      <w:bookmarkStart w:id="357" w:name="_Hlt520350918"/>
      <w:bookmarkEnd w:id="357"/>
      <w:bookmarkStart w:id="358" w:name="_Hlt520274911"/>
      <w:bookmarkEnd w:id="358"/>
      <w:bookmarkStart w:id="359" w:name="_Hlt520350957"/>
      <w:bookmarkEnd w:id="359"/>
      <w:bookmarkStart w:id="360" w:name="_Hlt520274393"/>
      <w:bookmarkEnd w:id="360"/>
      <w:bookmarkStart w:id="361" w:name="_Hlt520274065"/>
      <w:bookmarkEnd w:id="361"/>
      <w:bookmarkStart w:id="362" w:name="_Hlt520274407"/>
      <w:bookmarkEnd w:id="362"/>
      <w:bookmarkStart w:id="363" w:name="_Hlt520271212"/>
      <w:bookmarkEnd w:id="363"/>
      <w:bookmarkStart w:id="364" w:name="_Hlt520273711"/>
      <w:bookmarkEnd w:id="364"/>
    </w:p>
    <w:p>
      <w:pPr>
        <w:pStyle w:val="4"/>
        <w:spacing w:before="0" w:line="240" w:lineRule="atLeast"/>
        <w:jc w:val="left"/>
        <w:rPr>
          <w:rFonts w:hint="eastAsia" w:ascii="宋体" w:hAnsi="宋体" w:eastAsia="宋体" w:cs="宋体"/>
          <w:b/>
          <w:bCs/>
          <w:color w:val="auto"/>
          <w:kern w:val="2"/>
          <w:sz w:val="22"/>
          <w:szCs w:val="22"/>
          <w:highlight w:val="none"/>
        </w:rPr>
      </w:pPr>
      <w:bookmarkStart w:id="365" w:name="_Toc515647823"/>
      <w:bookmarkStart w:id="366" w:name="_Toc21312"/>
      <w:bookmarkStart w:id="367" w:name="_Toc17820"/>
      <w:bookmarkStart w:id="368" w:name="_Toc13462"/>
      <w:bookmarkStart w:id="369" w:name="_Toc6881"/>
      <w:bookmarkStart w:id="370" w:name="_Toc16929"/>
      <w:bookmarkStart w:id="371" w:name="_Toc10725"/>
      <w:bookmarkStart w:id="372" w:name="_Toc21482"/>
      <w:bookmarkStart w:id="373" w:name="_Toc18923"/>
      <w:bookmarkStart w:id="374" w:name="_Toc8638"/>
      <w:bookmarkStart w:id="375" w:name="_Toc10079"/>
      <w:bookmarkStart w:id="376" w:name="_Toc4073"/>
      <w:bookmarkStart w:id="377" w:name="_Toc15213"/>
      <w:bookmarkStart w:id="378" w:name="_Toc3844"/>
      <w:bookmarkStart w:id="379" w:name="_Toc10860"/>
      <w:bookmarkStart w:id="380" w:name="_Toc28743"/>
      <w:r>
        <w:rPr>
          <w:rFonts w:hint="eastAsia" w:ascii="宋体" w:hAnsi="宋体" w:eastAsia="宋体" w:cs="宋体"/>
          <w:b/>
          <w:bCs/>
          <w:color w:val="auto"/>
          <w:kern w:val="2"/>
          <w:sz w:val="22"/>
          <w:szCs w:val="22"/>
          <w:highlight w:val="none"/>
        </w:rPr>
        <w:t xml:space="preserve">6-1  </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r>
        <w:rPr>
          <w:rFonts w:hint="eastAsia" w:ascii="宋体" w:hAnsi="宋体" w:eastAsia="宋体" w:cs="宋体"/>
          <w:b/>
          <w:bCs/>
          <w:color w:val="auto"/>
          <w:kern w:val="2"/>
          <w:sz w:val="22"/>
          <w:szCs w:val="22"/>
          <w:highlight w:val="none"/>
        </w:rPr>
        <w:t>中小企业声明函</w:t>
      </w:r>
      <w:bookmarkEnd w:id="379"/>
      <w:bookmarkEnd w:id="380"/>
    </w:p>
    <w:p>
      <w:pPr>
        <w:keepNext w:val="0"/>
        <w:keepLines w:val="0"/>
        <w:pageBreakBefore w:val="0"/>
        <w:widowControl w:val="0"/>
        <w:kinsoku/>
        <w:wordWrap/>
        <w:overflowPunct/>
        <w:topLinePunct w:val="0"/>
        <w:autoSpaceDE/>
        <w:autoSpaceDN/>
        <w:bidi w:val="0"/>
        <w:adjustRightInd/>
        <w:snapToGrid/>
        <w:spacing w:before="162" w:line="520" w:lineRule="exact"/>
        <w:jc w:val="center"/>
        <w:textAlignment w:val="auto"/>
        <w:outlineLvl w:val="9"/>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中小企业声明函（货物）</w:t>
      </w:r>
    </w:p>
    <w:p>
      <w:pPr>
        <w:outlineLvl w:val="9"/>
        <w:rPr>
          <w:rFonts w:hint="eastAsia" w:ascii="宋体" w:hAnsi="宋体" w:eastAsia="宋体" w:cs="宋体"/>
          <w:color w:val="auto"/>
          <w:highlight w:val="none"/>
        </w:rPr>
      </w:pPr>
    </w:p>
    <w:p>
      <w:pPr>
        <w:pStyle w:val="9"/>
        <w:keepNext w:val="0"/>
        <w:keepLines w:val="0"/>
        <w:pageBreakBefore w:val="0"/>
        <w:widowControl w:val="0"/>
        <w:kinsoku/>
        <w:wordWrap/>
        <w:overflowPunct/>
        <w:topLinePunct w:val="0"/>
        <w:autoSpaceDE/>
        <w:autoSpaceDN/>
        <w:bidi w:val="0"/>
        <w:adjustRightInd/>
        <w:snapToGrid/>
        <w:spacing w:before="55" w:line="360" w:lineRule="exact"/>
        <w:ind w:right="414" w:firstLine="500" w:firstLineChars="200"/>
        <w:textAlignment w:val="auto"/>
        <w:rPr>
          <w:rFonts w:hint="eastAsia" w:ascii="宋体" w:hAnsi="宋体" w:eastAsia="宋体" w:cs="宋体"/>
          <w:color w:val="auto"/>
          <w:spacing w:val="11"/>
          <w:w w:val="95"/>
          <w:kern w:val="2"/>
          <w:sz w:val="24"/>
          <w:szCs w:val="24"/>
          <w:highlight w:val="none"/>
          <w:lang w:val="en-US" w:eastAsia="zh-CN" w:bidi="ar-SA"/>
        </w:rPr>
      </w:pPr>
      <w:r>
        <w:rPr>
          <w:rFonts w:hint="eastAsia" w:ascii="宋体" w:hAnsi="宋体" w:eastAsia="宋体" w:cs="宋体"/>
          <w:color w:val="auto"/>
          <w:spacing w:val="11"/>
          <w:w w:val="95"/>
          <w:kern w:val="2"/>
          <w:sz w:val="24"/>
          <w:szCs w:val="24"/>
          <w:highlight w:val="none"/>
          <w:lang w:val="en-US" w:eastAsia="zh-CN" w:bidi="ar-SA"/>
        </w:rPr>
        <w:t>本公司（联合体）郑重声明，根据《政府采购促进中小企业发展管理办法》（财库﹝2020﹞46 号）的规定，本公司（联合体）参加</w:t>
      </w:r>
      <w:r>
        <w:rPr>
          <w:rFonts w:hint="eastAsia" w:ascii="宋体" w:hAnsi="宋体" w:eastAsia="宋体" w:cs="宋体"/>
          <w:color w:val="auto"/>
          <w:spacing w:val="11"/>
          <w:w w:val="95"/>
          <w:kern w:val="2"/>
          <w:sz w:val="24"/>
          <w:szCs w:val="24"/>
          <w:highlight w:val="none"/>
          <w:u w:val="single"/>
          <w:lang w:val="en-US" w:eastAsia="zh-CN" w:bidi="ar-SA"/>
        </w:rPr>
        <w:t>（单位名称）</w:t>
      </w:r>
      <w:r>
        <w:rPr>
          <w:rFonts w:hint="eastAsia" w:ascii="宋体" w:hAnsi="宋体" w:eastAsia="宋体" w:cs="宋体"/>
          <w:color w:val="auto"/>
          <w:spacing w:val="11"/>
          <w:w w:val="95"/>
          <w:kern w:val="2"/>
          <w:sz w:val="24"/>
          <w:szCs w:val="24"/>
          <w:highlight w:val="none"/>
          <w:lang w:val="en-US" w:eastAsia="zh-CN" w:bidi="ar-SA"/>
        </w:rPr>
        <w:t>的</w:t>
      </w:r>
      <w:r>
        <w:rPr>
          <w:rFonts w:hint="eastAsia" w:ascii="宋体" w:hAnsi="宋体" w:eastAsia="宋体" w:cs="宋体"/>
          <w:color w:val="auto"/>
          <w:spacing w:val="11"/>
          <w:w w:val="95"/>
          <w:kern w:val="2"/>
          <w:sz w:val="24"/>
          <w:szCs w:val="24"/>
          <w:highlight w:val="none"/>
          <w:u w:val="single"/>
          <w:lang w:val="en-US" w:eastAsia="zh-CN" w:bidi="ar-SA"/>
        </w:rPr>
        <w:t>（项目名称）</w:t>
      </w:r>
      <w:r>
        <w:rPr>
          <w:rFonts w:hint="eastAsia" w:ascii="宋体" w:hAnsi="宋体" w:eastAsia="宋体" w:cs="宋体"/>
          <w:color w:val="auto"/>
          <w:spacing w:val="11"/>
          <w:w w:val="95"/>
          <w:kern w:val="2"/>
          <w:sz w:val="24"/>
          <w:szCs w:val="24"/>
          <w:highlight w:val="none"/>
          <w:lang w:val="en-US" w:eastAsia="zh-CN" w:bidi="ar-SA"/>
        </w:rPr>
        <w:t>采购活动，提供的货物全部由符合政策要求的中小企业制造。相关企业（含联合体中的中小企业、签订分包意向协议的中小企业） 的具体情况如下：</w:t>
      </w:r>
    </w:p>
    <w:p>
      <w:pPr>
        <w:pStyle w:val="39"/>
        <w:keepNext w:val="0"/>
        <w:keepLines w:val="0"/>
        <w:pageBreakBefore w:val="0"/>
        <w:widowControl w:val="0"/>
        <w:numPr>
          <w:ilvl w:val="0"/>
          <w:numId w:val="0"/>
        </w:numPr>
        <w:tabs>
          <w:tab w:val="left" w:pos="1183"/>
          <w:tab w:val="left" w:pos="1484"/>
          <w:tab w:val="left" w:pos="4662"/>
          <w:tab w:val="left" w:pos="6903"/>
        </w:tabs>
        <w:kinsoku/>
        <w:wordWrap/>
        <w:overflowPunct/>
        <w:topLinePunct w:val="0"/>
        <w:autoSpaceDE/>
        <w:autoSpaceDN/>
        <w:bidi w:val="0"/>
        <w:adjustRightInd/>
        <w:snapToGrid/>
        <w:spacing w:before="0" w:after="0" w:line="360" w:lineRule="exact"/>
        <w:ind w:leftChars="200" w:right="170" w:rightChars="0" w:firstLine="500" w:firstLineChars="200"/>
        <w:jc w:val="left"/>
        <w:textAlignment w:val="auto"/>
        <w:rPr>
          <w:rFonts w:hint="eastAsia" w:ascii="宋体" w:hAnsi="宋体" w:eastAsia="宋体" w:cs="宋体"/>
          <w:color w:val="auto"/>
          <w:spacing w:val="11"/>
          <w:w w:val="95"/>
          <w:kern w:val="2"/>
          <w:sz w:val="24"/>
          <w:szCs w:val="24"/>
          <w:highlight w:val="none"/>
          <w:lang w:val="en-US" w:eastAsia="zh-CN" w:bidi="ar-SA"/>
        </w:rPr>
      </w:pPr>
      <w:r>
        <w:rPr>
          <w:rFonts w:hint="eastAsia" w:ascii="宋体" w:hAnsi="宋体" w:eastAsia="宋体" w:cs="宋体"/>
          <w:color w:val="auto"/>
          <w:spacing w:val="11"/>
          <w:w w:val="95"/>
          <w:kern w:val="2"/>
          <w:sz w:val="24"/>
          <w:szCs w:val="24"/>
          <w:highlight w:val="none"/>
          <w:lang w:val="en-US" w:eastAsia="zh-CN" w:bidi="ar-SA"/>
        </w:rPr>
        <w:t>1.</w:t>
      </w:r>
      <w:r>
        <w:rPr>
          <w:rFonts w:hint="eastAsia" w:ascii="宋体" w:hAnsi="宋体" w:eastAsia="宋体" w:cs="宋体"/>
          <w:color w:val="auto"/>
          <w:spacing w:val="11"/>
          <w:w w:val="95"/>
          <w:kern w:val="2"/>
          <w:sz w:val="24"/>
          <w:szCs w:val="24"/>
          <w:highlight w:val="none"/>
          <w:u w:val="single"/>
          <w:lang w:val="en-US" w:eastAsia="zh-CN" w:bidi="ar-SA"/>
        </w:rPr>
        <w:t>（标的名称）</w:t>
      </w:r>
      <w:r>
        <w:rPr>
          <w:rFonts w:hint="eastAsia" w:ascii="宋体" w:hAnsi="宋体" w:eastAsia="宋体" w:cs="宋体"/>
          <w:color w:val="auto"/>
          <w:spacing w:val="11"/>
          <w:w w:val="95"/>
          <w:kern w:val="2"/>
          <w:sz w:val="24"/>
          <w:szCs w:val="24"/>
          <w:highlight w:val="none"/>
          <w:lang w:val="en-US" w:eastAsia="zh-CN" w:bidi="ar-SA"/>
        </w:rPr>
        <w:t>， 属 于</w:t>
      </w:r>
      <w:r>
        <w:rPr>
          <w:rFonts w:hint="eastAsia" w:ascii="宋体" w:hAnsi="宋体" w:eastAsia="宋体" w:cs="宋体"/>
          <w:color w:val="auto"/>
          <w:spacing w:val="11"/>
          <w:w w:val="95"/>
          <w:kern w:val="2"/>
          <w:sz w:val="24"/>
          <w:szCs w:val="24"/>
          <w:highlight w:val="none"/>
          <w:u w:val="single"/>
          <w:lang w:val="en-US" w:eastAsia="zh-CN" w:bidi="ar-SA"/>
        </w:rPr>
        <w:t>（采购文件中明确的所属行业）行业</w:t>
      </w:r>
      <w:r>
        <w:rPr>
          <w:rFonts w:hint="eastAsia" w:ascii="宋体" w:hAnsi="宋体" w:eastAsia="宋体" w:cs="宋体"/>
          <w:color w:val="auto"/>
          <w:spacing w:val="11"/>
          <w:w w:val="95"/>
          <w:kern w:val="2"/>
          <w:sz w:val="24"/>
          <w:szCs w:val="24"/>
          <w:highlight w:val="none"/>
          <w:lang w:val="en-US" w:eastAsia="zh-CN" w:bidi="ar-SA"/>
        </w:rPr>
        <w:t>；制造商为</w:t>
      </w:r>
      <w:r>
        <w:rPr>
          <w:rFonts w:hint="eastAsia" w:ascii="宋体" w:hAnsi="宋体" w:eastAsia="宋体" w:cs="宋体"/>
          <w:color w:val="auto"/>
          <w:spacing w:val="11"/>
          <w:w w:val="95"/>
          <w:kern w:val="2"/>
          <w:sz w:val="24"/>
          <w:szCs w:val="24"/>
          <w:highlight w:val="none"/>
          <w:u w:val="single"/>
          <w:lang w:val="en-US" w:eastAsia="zh-CN" w:bidi="ar-SA"/>
        </w:rPr>
        <w:t>（企业名称）</w:t>
      </w:r>
      <w:r>
        <w:rPr>
          <w:rFonts w:hint="eastAsia" w:ascii="宋体" w:hAnsi="宋体" w:eastAsia="宋体" w:cs="宋体"/>
          <w:color w:val="auto"/>
          <w:spacing w:val="11"/>
          <w:w w:val="95"/>
          <w:kern w:val="2"/>
          <w:sz w:val="24"/>
          <w:szCs w:val="24"/>
          <w:highlight w:val="none"/>
          <w:lang w:val="en-US" w:eastAsia="zh-CN" w:bidi="ar-SA"/>
        </w:rPr>
        <w:t>，从业人员</w:t>
      </w:r>
      <w:r>
        <w:rPr>
          <w:rFonts w:hint="eastAsia" w:ascii="宋体" w:hAnsi="宋体" w:eastAsia="宋体" w:cs="宋体"/>
          <w:color w:val="auto"/>
          <w:spacing w:val="11"/>
          <w:w w:val="95"/>
          <w:kern w:val="2"/>
          <w:sz w:val="24"/>
          <w:szCs w:val="24"/>
          <w:highlight w:val="none"/>
          <w:u w:val="single"/>
          <w:lang w:val="en-US" w:eastAsia="zh-CN" w:bidi="ar-SA"/>
        </w:rPr>
        <w:t xml:space="preserve">    </w:t>
      </w:r>
      <w:r>
        <w:rPr>
          <w:rFonts w:hint="eastAsia" w:ascii="宋体" w:hAnsi="宋体" w:eastAsia="宋体" w:cs="宋体"/>
          <w:color w:val="auto"/>
          <w:spacing w:val="11"/>
          <w:w w:val="95"/>
          <w:kern w:val="2"/>
          <w:sz w:val="24"/>
          <w:szCs w:val="24"/>
          <w:highlight w:val="none"/>
          <w:lang w:val="en-US" w:eastAsia="zh-CN" w:bidi="ar-SA"/>
        </w:rPr>
        <w:t>人，营业收入为</w:t>
      </w:r>
      <w:r>
        <w:rPr>
          <w:rFonts w:hint="eastAsia" w:ascii="宋体" w:hAnsi="宋体" w:eastAsia="宋体" w:cs="宋体"/>
          <w:color w:val="auto"/>
          <w:spacing w:val="11"/>
          <w:w w:val="95"/>
          <w:kern w:val="2"/>
          <w:sz w:val="24"/>
          <w:szCs w:val="24"/>
          <w:highlight w:val="none"/>
          <w:u w:val="single"/>
          <w:lang w:val="en-US" w:eastAsia="zh-CN" w:bidi="ar-SA"/>
        </w:rPr>
        <w:t xml:space="preserve">    </w:t>
      </w:r>
      <w:r>
        <w:rPr>
          <w:rFonts w:hint="eastAsia" w:ascii="宋体" w:hAnsi="宋体" w:eastAsia="宋体" w:cs="宋体"/>
          <w:color w:val="auto"/>
          <w:spacing w:val="11"/>
          <w:w w:val="95"/>
          <w:kern w:val="2"/>
          <w:sz w:val="24"/>
          <w:szCs w:val="24"/>
          <w:highlight w:val="none"/>
          <w:lang w:val="en-US" w:eastAsia="zh-CN" w:bidi="ar-SA"/>
        </w:rPr>
        <w:t>万元，资产总额为</w:t>
      </w:r>
      <w:r>
        <w:rPr>
          <w:rFonts w:hint="eastAsia" w:ascii="宋体" w:hAnsi="宋体" w:eastAsia="宋体" w:cs="宋体"/>
          <w:color w:val="auto"/>
          <w:spacing w:val="11"/>
          <w:w w:val="95"/>
          <w:kern w:val="2"/>
          <w:sz w:val="24"/>
          <w:szCs w:val="24"/>
          <w:highlight w:val="none"/>
          <w:u w:val="single"/>
          <w:lang w:val="en-US" w:eastAsia="zh-CN" w:bidi="ar-SA"/>
        </w:rPr>
        <w:t xml:space="preserve">    </w:t>
      </w:r>
      <w:r>
        <w:rPr>
          <w:rFonts w:hint="eastAsia" w:ascii="宋体" w:hAnsi="宋体" w:eastAsia="宋体" w:cs="宋体"/>
          <w:color w:val="auto"/>
          <w:spacing w:val="11"/>
          <w:w w:val="95"/>
          <w:kern w:val="2"/>
          <w:sz w:val="24"/>
          <w:szCs w:val="24"/>
          <w:highlight w:val="none"/>
          <w:lang w:val="en-US" w:eastAsia="zh-CN" w:bidi="ar-SA"/>
        </w:rPr>
        <w:t>万元，属于</w:t>
      </w:r>
      <w:r>
        <w:rPr>
          <w:rFonts w:hint="eastAsia" w:ascii="宋体" w:hAnsi="宋体" w:eastAsia="宋体" w:cs="宋体"/>
          <w:color w:val="auto"/>
          <w:spacing w:val="11"/>
          <w:w w:val="95"/>
          <w:kern w:val="2"/>
          <w:sz w:val="24"/>
          <w:szCs w:val="24"/>
          <w:highlight w:val="none"/>
          <w:u w:val="single"/>
          <w:lang w:val="en-US" w:eastAsia="zh-CN" w:bidi="ar-SA"/>
        </w:rPr>
        <w:t>（中型企业、小型企业、微型企业）</w:t>
      </w:r>
      <w:r>
        <w:rPr>
          <w:rFonts w:hint="eastAsia" w:ascii="宋体" w:hAnsi="宋体" w:eastAsia="宋体" w:cs="宋体"/>
          <w:color w:val="auto"/>
          <w:spacing w:val="11"/>
          <w:w w:val="95"/>
          <w:kern w:val="2"/>
          <w:sz w:val="24"/>
          <w:szCs w:val="24"/>
          <w:highlight w:val="none"/>
          <w:lang w:val="en-US" w:eastAsia="zh-CN" w:bidi="ar-SA"/>
        </w:rPr>
        <w:t>；</w:t>
      </w:r>
    </w:p>
    <w:p>
      <w:pPr>
        <w:pStyle w:val="39"/>
        <w:keepNext w:val="0"/>
        <w:keepLines w:val="0"/>
        <w:pageBreakBefore w:val="0"/>
        <w:widowControl w:val="0"/>
        <w:numPr>
          <w:ilvl w:val="0"/>
          <w:numId w:val="0"/>
        </w:numPr>
        <w:tabs>
          <w:tab w:val="left" w:pos="1165"/>
          <w:tab w:val="left" w:pos="1183"/>
          <w:tab w:val="left" w:pos="4362"/>
          <w:tab w:val="left" w:pos="6577"/>
        </w:tabs>
        <w:kinsoku/>
        <w:wordWrap/>
        <w:overflowPunct/>
        <w:topLinePunct w:val="0"/>
        <w:autoSpaceDE/>
        <w:autoSpaceDN/>
        <w:bidi w:val="0"/>
        <w:adjustRightInd/>
        <w:snapToGrid/>
        <w:spacing w:before="0" w:after="0" w:line="360" w:lineRule="exact"/>
        <w:ind w:leftChars="200" w:right="169" w:rightChars="0" w:firstLine="500" w:firstLineChars="200"/>
        <w:jc w:val="left"/>
        <w:textAlignment w:val="auto"/>
        <w:rPr>
          <w:rFonts w:hint="eastAsia" w:ascii="宋体" w:hAnsi="宋体" w:eastAsia="宋体" w:cs="宋体"/>
          <w:color w:val="auto"/>
          <w:spacing w:val="11"/>
          <w:w w:val="95"/>
          <w:kern w:val="2"/>
          <w:sz w:val="24"/>
          <w:szCs w:val="24"/>
          <w:highlight w:val="none"/>
          <w:lang w:val="en-US" w:eastAsia="zh-CN" w:bidi="ar-SA"/>
        </w:rPr>
      </w:pPr>
      <w:r>
        <w:rPr>
          <w:rFonts w:hint="eastAsia" w:ascii="宋体" w:hAnsi="宋体" w:eastAsia="宋体" w:cs="宋体"/>
          <w:color w:val="auto"/>
          <w:spacing w:val="11"/>
          <w:w w:val="95"/>
          <w:kern w:val="2"/>
          <w:sz w:val="24"/>
          <w:szCs w:val="24"/>
          <w:highlight w:val="none"/>
          <w:lang w:val="en-US" w:eastAsia="zh-CN" w:bidi="ar-SA"/>
        </w:rPr>
        <w:t>2.</w:t>
      </w:r>
      <w:r>
        <w:rPr>
          <w:rFonts w:hint="eastAsia" w:ascii="宋体" w:hAnsi="宋体" w:eastAsia="宋体" w:cs="宋体"/>
          <w:color w:val="auto"/>
          <w:spacing w:val="11"/>
          <w:w w:val="95"/>
          <w:kern w:val="2"/>
          <w:sz w:val="24"/>
          <w:szCs w:val="24"/>
          <w:highlight w:val="none"/>
          <w:u w:val="single"/>
          <w:lang w:val="en-US" w:eastAsia="zh-CN" w:bidi="ar-SA"/>
        </w:rPr>
        <w:t>（标的名称）</w:t>
      </w:r>
      <w:r>
        <w:rPr>
          <w:rFonts w:hint="eastAsia" w:ascii="宋体" w:hAnsi="宋体" w:eastAsia="宋体" w:cs="宋体"/>
          <w:color w:val="auto"/>
          <w:spacing w:val="11"/>
          <w:w w:val="95"/>
          <w:kern w:val="2"/>
          <w:sz w:val="24"/>
          <w:szCs w:val="24"/>
          <w:highlight w:val="none"/>
          <w:lang w:val="en-US" w:eastAsia="zh-CN" w:bidi="ar-SA"/>
        </w:rPr>
        <w:t>， 属 于</w:t>
      </w:r>
      <w:r>
        <w:rPr>
          <w:rFonts w:hint="eastAsia" w:ascii="宋体" w:hAnsi="宋体" w:eastAsia="宋体" w:cs="宋体"/>
          <w:color w:val="auto"/>
          <w:spacing w:val="11"/>
          <w:w w:val="95"/>
          <w:kern w:val="2"/>
          <w:sz w:val="24"/>
          <w:szCs w:val="24"/>
          <w:highlight w:val="none"/>
          <w:u w:val="single"/>
          <w:lang w:val="en-US" w:eastAsia="zh-CN" w:bidi="ar-SA"/>
        </w:rPr>
        <w:t>（采购文件中明确的所属行业）行业</w:t>
      </w:r>
      <w:r>
        <w:rPr>
          <w:rFonts w:hint="eastAsia" w:ascii="宋体" w:hAnsi="宋体" w:eastAsia="宋体" w:cs="宋体"/>
          <w:color w:val="auto"/>
          <w:spacing w:val="11"/>
          <w:w w:val="95"/>
          <w:kern w:val="2"/>
          <w:sz w:val="24"/>
          <w:szCs w:val="24"/>
          <w:highlight w:val="none"/>
          <w:lang w:val="en-US" w:eastAsia="zh-CN" w:bidi="ar-SA"/>
        </w:rPr>
        <w:t>；制造商为</w:t>
      </w:r>
      <w:r>
        <w:rPr>
          <w:rFonts w:hint="eastAsia" w:ascii="宋体" w:hAnsi="宋体" w:eastAsia="宋体" w:cs="宋体"/>
          <w:color w:val="auto"/>
          <w:spacing w:val="11"/>
          <w:w w:val="95"/>
          <w:kern w:val="2"/>
          <w:sz w:val="24"/>
          <w:szCs w:val="24"/>
          <w:highlight w:val="none"/>
          <w:u w:val="single"/>
          <w:lang w:val="en-US" w:eastAsia="zh-CN" w:bidi="ar-SA"/>
        </w:rPr>
        <w:t>（企业名称）</w:t>
      </w:r>
      <w:r>
        <w:rPr>
          <w:rFonts w:hint="eastAsia" w:ascii="宋体" w:hAnsi="宋体" w:eastAsia="宋体" w:cs="宋体"/>
          <w:color w:val="auto"/>
          <w:spacing w:val="11"/>
          <w:w w:val="95"/>
          <w:kern w:val="2"/>
          <w:sz w:val="24"/>
          <w:szCs w:val="24"/>
          <w:highlight w:val="none"/>
          <w:lang w:val="en-US" w:eastAsia="zh-CN" w:bidi="ar-SA"/>
        </w:rPr>
        <w:t>，从业人员</w:t>
      </w:r>
      <w:r>
        <w:rPr>
          <w:rFonts w:hint="eastAsia" w:ascii="宋体" w:hAnsi="宋体" w:eastAsia="宋体" w:cs="宋体"/>
          <w:color w:val="auto"/>
          <w:spacing w:val="11"/>
          <w:w w:val="95"/>
          <w:kern w:val="2"/>
          <w:sz w:val="24"/>
          <w:szCs w:val="24"/>
          <w:highlight w:val="none"/>
          <w:u w:val="single"/>
          <w:lang w:val="en-US" w:eastAsia="zh-CN" w:bidi="ar-SA"/>
        </w:rPr>
        <w:t xml:space="preserve">    </w:t>
      </w:r>
      <w:r>
        <w:rPr>
          <w:rFonts w:hint="eastAsia" w:ascii="宋体" w:hAnsi="宋体" w:eastAsia="宋体" w:cs="宋体"/>
          <w:color w:val="auto"/>
          <w:spacing w:val="11"/>
          <w:w w:val="95"/>
          <w:kern w:val="2"/>
          <w:sz w:val="24"/>
          <w:szCs w:val="24"/>
          <w:highlight w:val="none"/>
          <w:lang w:val="en-US" w:eastAsia="zh-CN" w:bidi="ar-SA"/>
        </w:rPr>
        <w:t>人，营业收入为</w:t>
      </w:r>
      <w:r>
        <w:rPr>
          <w:rFonts w:hint="eastAsia" w:ascii="宋体" w:hAnsi="宋体" w:eastAsia="宋体" w:cs="宋体"/>
          <w:color w:val="auto"/>
          <w:spacing w:val="11"/>
          <w:w w:val="95"/>
          <w:kern w:val="2"/>
          <w:sz w:val="24"/>
          <w:szCs w:val="24"/>
          <w:highlight w:val="none"/>
          <w:u w:val="single"/>
          <w:lang w:val="en-US" w:eastAsia="zh-CN" w:bidi="ar-SA"/>
        </w:rPr>
        <w:t xml:space="preserve">    </w:t>
      </w:r>
      <w:r>
        <w:rPr>
          <w:rFonts w:hint="eastAsia" w:ascii="宋体" w:hAnsi="宋体" w:eastAsia="宋体" w:cs="宋体"/>
          <w:color w:val="auto"/>
          <w:spacing w:val="11"/>
          <w:w w:val="95"/>
          <w:kern w:val="2"/>
          <w:sz w:val="24"/>
          <w:szCs w:val="24"/>
          <w:highlight w:val="none"/>
          <w:lang w:val="en-US" w:eastAsia="zh-CN" w:bidi="ar-SA"/>
        </w:rPr>
        <w:t>万元，资产总额为</w:t>
      </w:r>
      <w:r>
        <w:rPr>
          <w:rFonts w:hint="eastAsia" w:ascii="宋体" w:hAnsi="宋体" w:eastAsia="宋体" w:cs="宋体"/>
          <w:color w:val="auto"/>
          <w:spacing w:val="11"/>
          <w:w w:val="95"/>
          <w:kern w:val="2"/>
          <w:sz w:val="24"/>
          <w:szCs w:val="24"/>
          <w:highlight w:val="none"/>
          <w:u w:val="single"/>
          <w:lang w:val="en-US" w:eastAsia="zh-CN" w:bidi="ar-SA"/>
        </w:rPr>
        <w:t xml:space="preserve">    </w:t>
      </w:r>
      <w:r>
        <w:rPr>
          <w:rFonts w:hint="eastAsia" w:ascii="宋体" w:hAnsi="宋体" w:eastAsia="宋体" w:cs="宋体"/>
          <w:color w:val="auto"/>
          <w:spacing w:val="11"/>
          <w:w w:val="95"/>
          <w:kern w:val="2"/>
          <w:sz w:val="24"/>
          <w:szCs w:val="24"/>
          <w:highlight w:val="none"/>
          <w:lang w:val="en-US" w:eastAsia="zh-CN" w:bidi="ar-SA"/>
        </w:rPr>
        <w:t>万元，属于</w:t>
      </w:r>
      <w:r>
        <w:rPr>
          <w:rFonts w:hint="eastAsia" w:ascii="宋体" w:hAnsi="宋体" w:eastAsia="宋体" w:cs="宋体"/>
          <w:color w:val="auto"/>
          <w:spacing w:val="11"/>
          <w:w w:val="95"/>
          <w:kern w:val="2"/>
          <w:sz w:val="24"/>
          <w:szCs w:val="24"/>
          <w:highlight w:val="none"/>
          <w:u w:val="single"/>
          <w:lang w:val="en-US" w:eastAsia="zh-CN" w:bidi="ar-SA"/>
        </w:rPr>
        <w:t>（中型企业、小型企业、微型企业）</w:t>
      </w:r>
      <w:r>
        <w:rPr>
          <w:rFonts w:hint="eastAsia" w:ascii="宋体" w:hAnsi="宋体" w:eastAsia="宋体" w:cs="宋体"/>
          <w:color w:val="auto"/>
          <w:spacing w:val="11"/>
          <w:w w:val="95"/>
          <w:kern w:val="2"/>
          <w:sz w:val="24"/>
          <w:szCs w:val="24"/>
          <w:highlight w:val="none"/>
          <w:lang w:val="en-US" w:eastAsia="zh-CN" w:bidi="ar-SA"/>
        </w:rPr>
        <w:t>；</w:t>
      </w:r>
    </w:p>
    <w:p>
      <w:pPr>
        <w:pStyle w:val="9"/>
        <w:keepNext w:val="0"/>
        <w:keepLines w:val="0"/>
        <w:pageBreakBefore w:val="0"/>
        <w:widowControl w:val="0"/>
        <w:kinsoku/>
        <w:wordWrap/>
        <w:overflowPunct/>
        <w:topLinePunct w:val="0"/>
        <w:autoSpaceDE/>
        <w:autoSpaceDN/>
        <w:bidi w:val="0"/>
        <w:adjustRightInd/>
        <w:snapToGrid/>
        <w:spacing w:line="360" w:lineRule="exact"/>
        <w:ind w:left="860" w:firstLine="500" w:firstLineChars="200"/>
        <w:textAlignment w:val="auto"/>
        <w:rPr>
          <w:rFonts w:hint="eastAsia" w:ascii="宋体" w:hAnsi="宋体" w:eastAsia="宋体" w:cs="宋体"/>
          <w:color w:val="auto"/>
          <w:spacing w:val="11"/>
          <w:w w:val="95"/>
          <w:kern w:val="2"/>
          <w:sz w:val="24"/>
          <w:szCs w:val="24"/>
          <w:highlight w:val="none"/>
          <w:lang w:val="en-US" w:eastAsia="zh-CN" w:bidi="ar-SA"/>
        </w:rPr>
      </w:pPr>
      <w:r>
        <w:rPr>
          <w:rFonts w:hint="eastAsia" w:ascii="宋体" w:hAnsi="宋体" w:eastAsia="宋体" w:cs="宋体"/>
          <w:color w:val="auto"/>
          <w:spacing w:val="11"/>
          <w:w w:val="95"/>
          <w:kern w:val="2"/>
          <w:sz w:val="24"/>
          <w:szCs w:val="24"/>
          <w:highlight w:val="none"/>
          <w:lang w:val="en-US" w:eastAsia="zh-CN" w:bidi="ar-SA"/>
        </w:rPr>
        <w:t>……</w:t>
      </w:r>
    </w:p>
    <w:p>
      <w:pPr>
        <w:pStyle w:val="9"/>
        <w:keepNext w:val="0"/>
        <w:keepLines w:val="0"/>
        <w:pageBreakBefore w:val="0"/>
        <w:widowControl w:val="0"/>
        <w:kinsoku/>
        <w:wordWrap/>
        <w:overflowPunct/>
        <w:topLinePunct w:val="0"/>
        <w:autoSpaceDE/>
        <w:autoSpaceDN/>
        <w:bidi w:val="0"/>
        <w:adjustRightInd/>
        <w:snapToGrid/>
        <w:spacing w:before="105" w:line="360" w:lineRule="exact"/>
        <w:ind w:right="417" w:firstLine="500" w:firstLineChars="200"/>
        <w:jc w:val="both"/>
        <w:textAlignment w:val="auto"/>
        <w:rPr>
          <w:rFonts w:hint="eastAsia" w:ascii="宋体" w:hAnsi="宋体" w:eastAsia="宋体" w:cs="宋体"/>
          <w:color w:val="auto"/>
          <w:spacing w:val="11"/>
          <w:w w:val="95"/>
          <w:kern w:val="2"/>
          <w:sz w:val="24"/>
          <w:szCs w:val="24"/>
          <w:highlight w:val="none"/>
          <w:lang w:val="en-US" w:eastAsia="zh-CN" w:bidi="ar-SA"/>
        </w:rPr>
      </w:pPr>
      <w:r>
        <w:rPr>
          <w:rFonts w:hint="eastAsia" w:ascii="宋体" w:hAnsi="宋体" w:eastAsia="宋体" w:cs="宋体"/>
          <w:color w:val="auto"/>
          <w:spacing w:val="11"/>
          <w:w w:val="95"/>
          <w:kern w:val="2"/>
          <w:sz w:val="24"/>
          <w:szCs w:val="24"/>
          <w:highlight w:val="none"/>
          <w:lang w:val="en-US" w:eastAsia="zh-CN" w:bidi="ar-SA"/>
        </w:rPr>
        <w:t>以上企业，不属于大企业的分支机构，不存在控股股东为大企业的情形，也不存在与大企业的负责人为同一人的情形。</w:t>
      </w:r>
    </w:p>
    <w:p>
      <w:pPr>
        <w:pStyle w:val="9"/>
        <w:keepNext w:val="0"/>
        <w:keepLines w:val="0"/>
        <w:pageBreakBefore w:val="0"/>
        <w:widowControl w:val="0"/>
        <w:kinsoku/>
        <w:wordWrap/>
        <w:overflowPunct/>
        <w:topLinePunct w:val="0"/>
        <w:autoSpaceDE/>
        <w:autoSpaceDN/>
        <w:bidi w:val="0"/>
        <w:adjustRightInd/>
        <w:snapToGrid/>
        <w:spacing w:line="360" w:lineRule="exact"/>
        <w:ind w:right="372" w:firstLine="500" w:firstLineChars="200"/>
        <w:textAlignment w:val="auto"/>
        <w:rPr>
          <w:rFonts w:hint="eastAsia" w:ascii="宋体" w:hAnsi="宋体" w:eastAsia="宋体" w:cs="宋体"/>
          <w:color w:val="auto"/>
          <w:spacing w:val="11"/>
          <w:w w:val="95"/>
          <w:kern w:val="2"/>
          <w:sz w:val="24"/>
          <w:szCs w:val="24"/>
          <w:highlight w:val="none"/>
          <w:lang w:val="en-US" w:eastAsia="zh-CN" w:bidi="ar-SA"/>
        </w:rPr>
      </w:pPr>
      <w:r>
        <w:rPr>
          <w:rFonts w:hint="eastAsia" w:ascii="宋体" w:hAnsi="宋体" w:eastAsia="宋体" w:cs="宋体"/>
          <w:color w:val="auto"/>
          <w:spacing w:val="11"/>
          <w:w w:val="95"/>
          <w:kern w:val="2"/>
          <w:sz w:val="24"/>
          <w:szCs w:val="24"/>
          <w:highlight w:val="none"/>
          <w:lang w:val="en-US" w:eastAsia="zh-CN" w:bidi="ar-SA"/>
        </w:rPr>
        <w:t>本企业对上述声明内容的真实性负责。如有虚假，将依法承担相应责任。</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color w:val="auto"/>
          <w:highlight w:val="none"/>
          <w:lang w:val="en-US" w:eastAsia="zh-CN"/>
        </w:rPr>
      </w:pPr>
    </w:p>
    <w:p>
      <w:pPr>
        <w:pStyle w:val="9"/>
        <w:keepNext w:val="0"/>
        <w:keepLines w:val="0"/>
        <w:pageBreakBefore w:val="0"/>
        <w:widowControl w:val="0"/>
        <w:kinsoku/>
        <w:wordWrap/>
        <w:overflowPunct/>
        <w:topLinePunct w:val="0"/>
        <w:autoSpaceDE/>
        <w:autoSpaceDN/>
        <w:bidi w:val="0"/>
        <w:adjustRightInd/>
        <w:snapToGrid/>
        <w:spacing w:line="360" w:lineRule="exact"/>
        <w:ind w:right="372" w:firstLine="3000" w:firstLineChars="1200"/>
        <w:textAlignment w:val="auto"/>
        <w:rPr>
          <w:rFonts w:hint="eastAsia" w:ascii="宋体" w:hAnsi="宋体" w:eastAsia="宋体" w:cs="宋体"/>
          <w:color w:val="auto"/>
          <w:spacing w:val="11"/>
          <w:w w:val="95"/>
          <w:kern w:val="2"/>
          <w:sz w:val="24"/>
          <w:szCs w:val="24"/>
          <w:highlight w:val="none"/>
          <w:lang w:val="en-US" w:eastAsia="zh-CN" w:bidi="ar-SA"/>
        </w:rPr>
      </w:pPr>
      <w:r>
        <w:rPr>
          <w:rFonts w:hint="eastAsia" w:ascii="宋体" w:hAnsi="宋体" w:eastAsia="宋体" w:cs="宋体"/>
          <w:color w:val="auto"/>
          <w:spacing w:val="11"/>
          <w:w w:val="95"/>
          <w:kern w:val="2"/>
          <w:sz w:val="24"/>
          <w:szCs w:val="24"/>
          <w:highlight w:val="none"/>
          <w:lang w:val="en-US" w:eastAsia="zh-CN" w:bidi="ar-SA"/>
        </w:rPr>
        <w:t>企业名称（盖章）：</w:t>
      </w:r>
      <w:r>
        <w:rPr>
          <w:rFonts w:hint="eastAsia" w:ascii="宋体" w:hAnsi="宋体" w:eastAsia="宋体" w:cs="宋体"/>
          <w:color w:val="auto"/>
          <w:spacing w:val="11"/>
          <w:w w:val="95"/>
          <w:kern w:val="2"/>
          <w:sz w:val="24"/>
          <w:szCs w:val="24"/>
          <w:highlight w:val="none"/>
          <w:u w:val="single"/>
          <w:lang w:val="en-US" w:eastAsia="zh-CN" w:bidi="ar-SA"/>
        </w:rPr>
        <w:t xml:space="preserve">                  </w:t>
      </w:r>
    </w:p>
    <w:p>
      <w:pPr>
        <w:pStyle w:val="9"/>
        <w:keepNext w:val="0"/>
        <w:keepLines w:val="0"/>
        <w:pageBreakBefore w:val="0"/>
        <w:widowControl w:val="0"/>
        <w:kinsoku/>
        <w:wordWrap/>
        <w:overflowPunct/>
        <w:topLinePunct w:val="0"/>
        <w:autoSpaceDE/>
        <w:autoSpaceDN/>
        <w:bidi w:val="0"/>
        <w:adjustRightInd/>
        <w:snapToGrid/>
        <w:spacing w:line="360" w:lineRule="exact"/>
        <w:ind w:right="372" w:firstLine="3000" w:firstLineChars="1200"/>
        <w:textAlignment w:val="auto"/>
        <w:rPr>
          <w:rFonts w:hint="eastAsia" w:ascii="宋体" w:hAnsi="宋体" w:eastAsia="宋体" w:cs="宋体"/>
          <w:color w:val="auto"/>
          <w:spacing w:val="11"/>
          <w:w w:val="95"/>
          <w:kern w:val="2"/>
          <w:sz w:val="24"/>
          <w:szCs w:val="24"/>
          <w:highlight w:val="none"/>
          <w:lang w:val="en-US" w:eastAsia="zh-CN" w:bidi="ar-SA"/>
        </w:rPr>
      </w:pPr>
      <w:r>
        <w:rPr>
          <w:rFonts w:hint="eastAsia" w:ascii="宋体" w:hAnsi="宋体" w:eastAsia="宋体" w:cs="宋体"/>
          <w:color w:val="auto"/>
          <w:spacing w:val="11"/>
          <w:w w:val="95"/>
          <w:kern w:val="2"/>
          <w:sz w:val="24"/>
          <w:szCs w:val="24"/>
          <w:highlight w:val="none"/>
          <w:lang w:val="en-US" w:eastAsia="zh-CN" w:bidi="ar-SA"/>
        </w:rPr>
        <w:t>日期：</w:t>
      </w:r>
      <w:r>
        <w:rPr>
          <w:rFonts w:hint="eastAsia" w:ascii="宋体" w:hAnsi="宋体" w:eastAsia="宋体" w:cs="宋体"/>
          <w:color w:val="auto"/>
          <w:spacing w:val="11"/>
          <w:w w:val="95"/>
          <w:kern w:val="2"/>
          <w:sz w:val="24"/>
          <w:szCs w:val="24"/>
          <w:highlight w:val="none"/>
          <w:u w:val="single"/>
          <w:lang w:val="en-US" w:eastAsia="zh-CN" w:bidi="ar-SA"/>
        </w:rPr>
        <w:t xml:space="preserve">                     </w:t>
      </w:r>
    </w:p>
    <w:p>
      <w:pPr>
        <w:rPr>
          <w:rFonts w:hint="eastAsia" w:ascii="宋体" w:hAnsi="宋体" w:eastAsia="宋体" w:cs="宋体"/>
          <w:color w:val="auto"/>
          <w:highlight w:val="none"/>
          <w:lang w:val="en-US" w:eastAsia="zh-CN"/>
        </w:rPr>
      </w:pPr>
    </w:p>
    <w:p>
      <w:pPr>
        <w:pStyle w:val="9"/>
        <w:keepNext w:val="0"/>
        <w:keepLines w:val="0"/>
        <w:pageBreakBefore w:val="0"/>
        <w:widowControl w:val="0"/>
        <w:kinsoku/>
        <w:wordWrap/>
        <w:overflowPunct/>
        <w:topLinePunct w:val="0"/>
        <w:autoSpaceDE/>
        <w:autoSpaceDN/>
        <w:bidi w:val="0"/>
        <w:adjustRightInd/>
        <w:snapToGrid/>
        <w:spacing w:line="520" w:lineRule="exact"/>
        <w:ind w:right="372"/>
        <w:textAlignment w:val="auto"/>
        <w:rPr>
          <w:rFonts w:hint="eastAsia" w:ascii="宋体" w:hAnsi="宋体" w:eastAsia="宋体" w:cs="宋体"/>
          <w:color w:val="auto"/>
          <w:spacing w:val="11"/>
          <w:w w:val="95"/>
          <w:kern w:val="2"/>
          <w:sz w:val="21"/>
          <w:szCs w:val="21"/>
          <w:highlight w:val="none"/>
          <w:lang w:val="en-US" w:eastAsia="zh-CN" w:bidi="ar-SA"/>
        </w:rPr>
      </w:pPr>
    </w:p>
    <w:p>
      <w:pPr>
        <w:pStyle w:val="9"/>
        <w:keepNext w:val="0"/>
        <w:keepLines w:val="0"/>
        <w:pageBreakBefore w:val="0"/>
        <w:widowControl w:val="0"/>
        <w:kinsoku/>
        <w:wordWrap/>
        <w:overflowPunct/>
        <w:topLinePunct w:val="0"/>
        <w:autoSpaceDE/>
        <w:autoSpaceDN/>
        <w:bidi w:val="0"/>
        <w:adjustRightInd/>
        <w:snapToGrid/>
        <w:spacing w:line="520" w:lineRule="exact"/>
        <w:ind w:right="372"/>
        <w:textAlignment w:val="auto"/>
        <w:rPr>
          <w:rFonts w:hint="eastAsia" w:ascii="宋体" w:hAnsi="宋体" w:eastAsia="宋体" w:cs="宋体"/>
          <w:b/>
          <w:bCs/>
          <w:color w:val="auto"/>
          <w:spacing w:val="11"/>
          <w:w w:val="95"/>
          <w:kern w:val="2"/>
          <w:sz w:val="21"/>
          <w:szCs w:val="21"/>
          <w:highlight w:val="none"/>
          <w:lang w:val="en-US" w:eastAsia="zh-CN" w:bidi="ar-SA"/>
        </w:rPr>
      </w:pPr>
      <w:r>
        <w:rPr>
          <w:rFonts w:hint="eastAsia" w:ascii="宋体" w:hAnsi="宋体" w:eastAsia="宋体" w:cs="宋体"/>
          <w:b/>
          <w:bCs/>
          <w:color w:val="auto"/>
          <w:spacing w:val="11"/>
          <w:w w:val="95"/>
          <w:kern w:val="2"/>
          <w:sz w:val="21"/>
          <w:szCs w:val="21"/>
          <w:highlight w:val="none"/>
          <w:lang w:val="en-US" w:eastAsia="zh-CN" w:bidi="ar-SA"/>
        </w:rPr>
        <w:t>注：从业人员、营业收入、资产总额填报上一年度数据，无上一年度数据的新成立企业可不填报。</w:t>
      </w:r>
    </w:p>
    <w:p>
      <w:pPr>
        <w:rPr>
          <w:rFonts w:hint="eastAsia" w:ascii="宋体" w:hAnsi="宋体" w:eastAsia="宋体" w:cs="宋体"/>
          <w:color w:val="auto"/>
          <w:sz w:val="22"/>
          <w:szCs w:val="22"/>
          <w:highlight w:val="none"/>
        </w:rPr>
      </w:pPr>
    </w:p>
    <w:p>
      <w:pPr>
        <w:widowControl/>
        <w:spacing w:before="100" w:beforeAutospacing="1" w:after="100" w:afterAutospacing="1" w:line="330" w:lineRule="atLeast"/>
        <w:ind w:firstLine="2730" w:firstLineChars="1300"/>
        <w:jc w:val="righ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 xml:space="preserve">                  </w:t>
      </w:r>
    </w:p>
    <w:p>
      <w:pPr>
        <w:widowControl/>
        <w:spacing w:before="100" w:beforeAutospacing="1" w:after="100" w:afterAutospacing="1" w:line="330" w:lineRule="atLeast"/>
        <w:ind w:firstLine="420"/>
        <w:jc w:val="left"/>
        <w:rPr>
          <w:rFonts w:hint="eastAsia" w:ascii="宋体" w:hAnsi="宋体" w:eastAsia="宋体" w:cs="宋体"/>
          <w:color w:val="auto"/>
          <w:kern w:val="2"/>
          <w:sz w:val="21"/>
          <w:szCs w:val="21"/>
          <w:highlight w:val="none"/>
          <w:lang w:val="en-US" w:eastAsia="zh-CN" w:bidi="ar-SA"/>
        </w:rPr>
      </w:pPr>
    </w:p>
    <w:p>
      <w:pPr>
        <w:spacing w:line="240" w:lineRule="atLeast"/>
        <w:ind w:left="1080" w:leftChars="257" w:hanging="540"/>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　</w:t>
      </w:r>
    </w:p>
    <w:p>
      <w:pPr>
        <w:pStyle w:val="4"/>
        <w:spacing w:before="0" w:line="240" w:lineRule="atLeast"/>
        <w:jc w:val="both"/>
        <w:rPr>
          <w:rFonts w:hint="eastAsia" w:ascii="宋体" w:hAnsi="宋体" w:eastAsia="宋体" w:cs="宋体"/>
          <w:b/>
          <w:bCs/>
          <w:color w:val="auto"/>
          <w:kern w:val="2"/>
          <w:sz w:val="22"/>
          <w:szCs w:val="22"/>
          <w:highlight w:val="none"/>
        </w:rPr>
      </w:pPr>
      <w:r>
        <w:rPr>
          <w:rFonts w:hint="eastAsia" w:ascii="宋体" w:hAnsi="宋体" w:eastAsia="宋体" w:cs="宋体"/>
          <w:color w:val="auto"/>
          <w:kern w:val="2"/>
          <w:sz w:val="21"/>
          <w:szCs w:val="21"/>
          <w:highlight w:val="none"/>
          <w:lang w:val="en-US" w:eastAsia="zh-CN" w:bidi="ar-SA"/>
        </w:rPr>
        <w:br w:type="page"/>
      </w:r>
      <w:bookmarkStart w:id="381" w:name="_Toc28055"/>
      <w:bookmarkStart w:id="382" w:name="_Toc12692"/>
      <w:bookmarkStart w:id="383" w:name="_Toc12060"/>
      <w:bookmarkStart w:id="384" w:name="_Toc5609"/>
      <w:bookmarkStart w:id="385" w:name="_Toc7018"/>
      <w:bookmarkStart w:id="386" w:name="_Toc10977"/>
      <w:bookmarkStart w:id="387" w:name="_Toc752"/>
      <w:bookmarkStart w:id="388" w:name="_Toc4543"/>
      <w:bookmarkStart w:id="389" w:name="_Toc11803"/>
      <w:bookmarkStart w:id="390" w:name="_Toc515647824"/>
      <w:bookmarkStart w:id="391" w:name="_Toc2709"/>
      <w:bookmarkStart w:id="392" w:name="_Toc18860"/>
      <w:bookmarkStart w:id="393" w:name="_Toc29115"/>
      <w:bookmarkStart w:id="394" w:name="_Toc26643"/>
      <w:bookmarkStart w:id="395" w:name="_Toc22307"/>
      <w:bookmarkStart w:id="396" w:name="_Toc22442"/>
      <w:r>
        <w:rPr>
          <w:rFonts w:hint="eastAsia" w:ascii="宋体" w:hAnsi="宋体" w:eastAsia="宋体" w:cs="宋体"/>
          <w:b/>
          <w:bCs/>
          <w:color w:val="auto"/>
          <w:kern w:val="2"/>
          <w:sz w:val="22"/>
          <w:szCs w:val="22"/>
          <w:highlight w:val="none"/>
        </w:rPr>
        <w:t xml:space="preserve">6-2   </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Start w:id="397" w:name="_Toc24860"/>
      <w:bookmarkStart w:id="398" w:name="_Toc30849"/>
      <w:bookmarkStart w:id="399" w:name="_Toc14454"/>
      <w:bookmarkStart w:id="400" w:name="_Toc732"/>
      <w:bookmarkStart w:id="401" w:name="_Toc23068"/>
      <w:bookmarkStart w:id="402" w:name="_Toc15294"/>
      <w:bookmarkStart w:id="403" w:name="_Toc13947"/>
      <w:bookmarkStart w:id="404" w:name="_Toc4244"/>
      <w:bookmarkStart w:id="405" w:name="_Toc2621"/>
      <w:bookmarkStart w:id="406" w:name="_Toc515647825"/>
      <w:bookmarkStart w:id="407" w:name="_Toc26931"/>
      <w:bookmarkStart w:id="408" w:name="_Toc19284"/>
      <w:bookmarkStart w:id="409" w:name="_Toc3420"/>
      <w:bookmarkStart w:id="410" w:name="_Toc32586"/>
      <w:bookmarkStart w:id="411" w:name="OLE_LINK13"/>
      <w:bookmarkStart w:id="412" w:name="OLE_LINK14"/>
      <w:r>
        <w:rPr>
          <w:rFonts w:hint="eastAsia" w:ascii="宋体" w:hAnsi="宋体" w:eastAsia="宋体" w:cs="宋体"/>
          <w:b/>
          <w:bCs/>
          <w:color w:val="auto"/>
          <w:kern w:val="2"/>
          <w:sz w:val="22"/>
          <w:szCs w:val="22"/>
          <w:highlight w:val="none"/>
        </w:rPr>
        <w:t>残疾人福利性单位声明函</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bookmarkEnd w:id="411"/>
    <w:bookmarkEnd w:id="412"/>
    <w:p>
      <w:pPr>
        <w:spacing w:line="240" w:lineRule="atLeast"/>
        <w:ind w:left="1080" w:leftChars="257" w:hanging="540"/>
        <w:jc w:val="center"/>
        <w:rPr>
          <w:rFonts w:hint="eastAsia" w:ascii="宋体" w:hAnsi="宋体" w:eastAsia="宋体" w:cs="宋体"/>
          <w:color w:val="auto"/>
          <w:sz w:val="24"/>
          <w:szCs w:val="24"/>
          <w:highlight w:val="none"/>
        </w:rPr>
      </w:pPr>
    </w:p>
    <w:p>
      <w:pPr>
        <w:spacing w:line="240" w:lineRule="atLeast"/>
        <w:ind w:firstLine="567"/>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或者提供其他残疾人福利性单位制造的货物（不包括使用非残疾人福利性单位注册商标的货物）。</w:t>
      </w:r>
    </w:p>
    <w:p>
      <w:pPr>
        <w:spacing w:line="240" w:lineRule="atLeast"/>
        <w:ind w:left="1080" w:leftChars="257" w:hanging="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本单位对上述声明的真实性负责。如有虚假，将依法承担相应责任。</w:t>
      </w:r>
    </w:p>
    <w:p>
      <w:pPr>
        <w:spacing w:line="240" w:lineRule="atLeast"/>
        <w:ind w:left="1080" w:leftChars="257" w:hanging="540"/>
        <w:jc w:val="center"/>
        <w:rPr>
          <w:rFonts w:hint="eastAsia" w:ascii="宋体" w:hAnsi="宋体" w:eastAsia="宋体" w:cs="宋体"/>
          <w:color w:val="auto"/>
          <w:sz w:val="24"/>
          <w:szCs w:val="24"/>
          <w:highlight w:val="none"/>
        </w:rPr>
      </w:pPr>
    </w:p>
    <w:p>
      <w:pPr>
        <w:spacing w:line="240" w:lineRule="atLeast"/>
        <w:ind w:left="1080" w:leftChars="257" w:hanging="540"/>
        <w:jc w:val="center"/>
        <w:rPr>
          <w:rFonts w:hint="eastAsia" w:ascii="宋体" w:hAnsi="宋体" w:eastAsia="宋体" w:cs="宋体"/>
          <w:color w:val="auto"/>
          <w:sz w:val="24"/>
          <w:szCs w:val="24"/>
          <w:highlight w:val="none"/>
        </w:rPr>
      </w:pPr>
    </w:p>
    <w:p>
      <w:pPr>
        <w:spacing w:line="240" w:lineRule="atLeast"/>
        <w:ind w:left="1080" w:leftChars="257" w:hanging="540"/>
        <w:jc w:val="center"/>
        <w:rPr>
          <w:rFonts w:hint="eastAsia" w:ascii="宋体" w:hAnsi="宋体" w:eastAsia="宋体" w:cs="宋体"/>
          <w:color w:val="auto"/>
          <w:sz w:val="24"/>
          <w:szCs w:val="24"/>
          <w:highlight w:val="none"/>
          <w:u w:val="single"/>
          <w:lang w:val="en-US" w:eastAsia="zh-CN"/>
        </w:rPr>
      </w:pPr>
      <w:r>
        <w:rPr>
          <w:rFonts w:hint="eastAsia" w:ascii="宋体" w:hAnsi="宋体" w:eastAsia="宋体" w:cs="宋体"/>
          <w:color w:val="auto"/>
          <w:sz w:val="24"/>
          <w:szCs w:val="24"/>
          <w:highlight w:val="none"/>
        </w:rPr>
        <w:t xml:space="preserve">              残疾人福利性单位名称（公章）：</w:t>
      </w:r>
      <w:r>
        <w:rPr>
          <w:rFonts w:hint="eastAsia" w:ascii="宋体" w:hAnsi="宋体" w:eastAsia="宋体" w:cs="宋体"/>
          <w:color w:val="auto"/>
          <w:sz w:val="24"/>
          <w:szCs w:val="24"/>
          <w:highlight w:val="none"/>
          <w:u w:val="single"/>
          <w:lang w:val="en-US" w:eastAsia="zh-CN"/>
        </w:rPr>
        <w:t xml:space="preserve">               </w:t>
      </w:r>
    </w:p>
    <w:p>
      <w:pPr>
        <w:spacing w:line="240" w:lineRule="atLeast"/>
        <w:ind w:left="1080" w:leftChars="257" w:hanging="540"/>
        <w:jc w:val="center"/>
        <w:rPr>
          <w:rFonts w:hint="eastAsia" w:ascii="宋体" w:hAnsi="宋体" w:eastAsia="宋体" w:cs="宋体"/>
          <w:color w:val="auto"/>
          <w:sz w:val="24"/>
          <w:szCs w:val="24"/>
          <w:highlight w:val="none"/>
          <w:u w:val="single"/>
          <w:lang w:val="en-US" w:eastAsia="zh-CN"/>
        </w:rPr>
      </w:pPr>
      <w:r>
        <w:rPr>
          <w:rFonts w:hint="eastAsia" w:ascii="宋体" w:hAnsi="宋体" w:eastAsia="宋体" w:cs="宋体"/>
          <w:color w:val="auto"/>
          <w:sz w:val="24"/>
          <w:szCs w:val="24"/>
          <w:highlight w:val="none"/>
        </w:rPr>
        <w:t xml:space="preserve">         日  期：</w:t>
      </w:r>
      <w:r>
        <w:rPr>
          <w:rFonts w:hint="eastAsia" w:ascii="宋体" w:hAnsi="宋体" w:eastAsia="宋体" w:cs="宋体"/>
          <w:color w:val="auto"/>
          <w:sz w:val="24"/>
          <w:szCs w:val="24"/>
          <w:highlight w:val="none"/>
          <w:u w:val="single"/>
          <w:lang w:val="en-US" w:eastAsia="zh-CN"/>
        </w:rPr>
        <w:t xml:space="preserve">                </w:t>
      </w:r>
    </w:p>
    <w:p>
      <w:pPr>
        <w:spacing w:line="240" w:lineRule="atLeast"/>
        <w:ind w:left="1080" w:leftChars="257" w:hanging="540"/>
        <w:jc w:val="center"/>
        <w:rPr>
          <w:rFonts w:hint="eastAsia" w:ascii="宋体" w:hAnsi="宋体" w:eastAsia="宋体" w:cs="宋体"/>
          <w:color w:val="auto"/>
          <w:sz w:val="24"/>
          <w:szCs w:val="24"/>
          <w:highlight w:val="none"/>
        </w:rPr>
      </w:pPr>
    </w:p>
    <w:p>
      <w:pPr>
        <w:spacing w:line="240" w:lineRule="atLeast"/>
        <w:ind w:left="1080" w:leftChars="257" w:hanging="540"/>
        <w:jc w:val="center"/>
        <w:rPr>
          <w:rFonts w:hint="eastAsia" w:ascii="宋体" w:hAnsi="宋体" w:eastAsia="宋体" w:cs="宋体"/>
          <w:color w:val="auto"/>
          <w:sz w:val="24"/>
          <w:szCs w:val="24"/>
          <w:highlight w:val="none"/>
        </w:rPr>
      </w:pPr>
    </w:p>
    <w:p>
      <w:pPr>
        <w:pStyle w:val="6"/>
        <w:rPr>
          <w:rFonts w:hint="eastAsia" w:ascii="宋体" w:hAnsi="宋体" w:eastAsia="宋体" w:cs="宋体"/>
          <w:color w:val="auto"/>
          <w:kern w:val="2"/>
          <w:highlight w:val="none"/>
        </w:rPr>
      </w:pPr>
    </w:p>
    <w:p>
      <w:pPr>
        <w:spacing w:line="240" w:lineRule="atLeast"/>
        <w:ind w:left="1080" w:leftChars="257" w:hanging="540"/>
        <w:jc w:val="center"/>
        <w:rPr>
          <w:rFonts w:hint="eastAsia" w:ascii="宋体" w:hAnsi="宋体" w:eastAsia="宋体" w:cs="宋体"/>
          <w:color w:val="auto"/>
          <w:sz w:val="24"/>
          <w:szCs w:val="24"/>
          <w:highlight w:val="none"/>
        </w:rPr>
      </w:pPr>
    </w:p>
    <w:p>
      <w:pPr>
        <w:pStyle w:val="4"/>
        <w:spacing w:before="0" w:line="240" w:lineRule="atLeast"/>
        <w:ind w:left="1080" w:leftChars="257" w:hanging="540"/>
        <w:jc w:val="left"/>
        <w:rPr>
          <w:rFonts w:hint="eastAsia" w:ascii="宋体" w:hAnsi="宋体" w:eastAsia="宋体" w:cs="宋体"/>
          <w:b/>
          <w:bCs/>
          <w:color w:val="auto"/>
          <w:kern w:val="2"/>
          <w:sz w:val="24"/>
          <w:szCs w:val="24"/>
          <w:highlight w:val="none"/>
        </w:rPr>
      </w:pPr>
      <w:bookmarkStart w:id="413" w:name="_Toc2304"/>
      <w:bookmarkStart w:id="414" w:name="_Toc19223"/>
      <w:bookmarkStart w:id="415" w:name="_Toc22378"/>
      <w:bookmarkStart w:id="416" w:name="_Toc5527"/>
      <w:bookmarkStart w:id="417" w:name="_Toc6004"/>
      <w:bookmarkStart w:id="418" w:name="_Toc30795"/>
      <w:bookmarkStart w:id="419" w:name="_Toc5568"/>
      <w:bookmarkStart w:id="420" w:name="_Toc11868"/>
      <w:bookmarkStart w:id="421" w:name="_Toc26133"/>
      <w:bookmarkStart w:id="422" w:name="_Toc22561"/>
      <w:bookmarkStart w:id="423" w:name="_Toc28099"/>
      <w:bookmarkStart w:id="424" w:name="_Toc6009"/>
      <w:bookmarkStart w:id="425" w:name="_Toc515647827"/>
      <w:bookmarkStart w:id="426" w:name="_Toc30946"/>
      <w:bookmarkStart w:id="427" w:name="_Toc5813"/>
      <w:bookmarkStart w:id="428" w:name="_Toc5720"/>
      <w:r>
        <w:rPr>
          <w:rFonts w:hint="eastAsia" w:ascii="宋体" w:hAnsi="宋体" w:eastAsia="宋体" w:cs="宋体"/>
          <w:b/>
          <w:bCs/>
          <w:color w:val="auto"/>
          <w:kern w:val="2"/>
          <w:sz w:val="24"/>
          <w:szCs w:val="24"/>
          <w:highlight w:val="none"/>
        </w:rPr>
        <w:t>7</w:t>
      </w:r>
      <w:r>
        <w:rPr>
          <w:rFonts w:hint="eastAsia" w:ascii="宋体" w:hAnsi="宋体" w:eastAsia="宋体" w:cs="宋体"/>
          <w:b/>
          <w:bCs/>
          <w:color w:val="auto"/>
          <w:kern w:val="2"/>
          <w:sz w:val="24"/>
          <w:szCs w:val="24"/>
          <w:highlight w:val="none"/>
          <w:lang w:val="en-US" w:eastAsia="zh-CN"/>
        </w:rPr>
        <w:t>.</w:t>
      </w:r>
      <w:r>
        <w:rPr>
          <w:rFonts w:hint="eastAsia" w:ascii="宋体" w:hAnsi="宋体" w:eastAsia="宋体" w:cs="宋体"/>
          <w:b/>
          <w:bCs/>
          <w:color w:val="auto"/>
          <w:kern w:val="2"/>
          <w:sz w:val="24"/>
          <w:szCs w:val="24"/>
          <w:highlight w:val="none"/>
        </w:rPr>
        <w:t>供应商关联单位的说明</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pPr>
        <w:pStyle w:val="6"/>
        <w:jc w:val="center"/>
        <w:rPr>
          <w:rFonts w:hint="eastAsia" w:ascii="宋体" w:hAnsi="宋体" w:eastAsia="宋体" w:cs="宋体"/>
          <w:color w:val="auto"/>
          <w:kern w:val="2"/>
          <w:highlight w:val="none"/>
        </w:rPr>
      </w:pPr>
    </w:p>
    <w:p>
      <w:pPr>
        <w:pStyle w:val="6"/>
        <w:ind w:firstLine="480" w:firstLineChars="200"/>
        <w:rPr>
          <w:rFonts w:hint="eastAsia" w:ascii="宋体" w:hAnsi="宋体" w:eastAsia="宋体" w:cs="宋体"/>
          <w:color w:val="auto"/>
          <w:kern w:val="2"/>
          <w:highlight w:val="none"/>
        </w:rPr>
      </w:pPr>
      <w:r>
        <w:rPr>
          <w:rFonts w:hint="eastAsia" w:ascii="宋体" w:hAnsi="宋体" w:eastAsia="宋体" w:cs="宋体"/>
          <w:color w:val="auto"/>
          <w:kern w:val="2"/>
          <w:highlight w:val="none"/>
        </w:rPr>
        <w:t>说明：供应商应当如实披露与本单位存在下列关联关系的单位名称：</w:t>
      </w:r>
    </w:p>
    <w:p>
      <w:pPr>
        <w:pStyle w:val="6"/>
        <w:ind w:firstLine="480" w:firstLineChars="200"/>
        <w:rPr>
          <w:rFonts w:hint="eastAsia" w:ascii="宋体" w:hAnsi="宋体" w:eastAsia="宋体" w:cs="宋体"/>
          <w:color w:val="auto"/>
          <w:kern w:val="2"/>
          <w:highlight w:val="none"/>
          <w:lang w:eastAsia="zh-CN"/>
        </w:rPr>
      </w:pPr>
      <w:r>
        <w:rPr>
          <w:rFonts w:hint="eastAsia" w:ascii="宋体" w:hAnsi="宋体" w:eastAsia="宋体" w:cs="宋体"/>
          <w:color w:val="auto"/>
          <w:kern w:val="2"/>
          <w:highlight w:val="none"/>
        </w:rPr>
        <w:t>（1）与供应商单位负责人为同一人的其他单位；</w:t>
      </w:r>
    </w:p>
    <w:p>
      <w:pPr>
        <w:pStyle w:val="6"/>
        <w:ind w:firstLine="480" w:firstLineChars="200"/>
        <w:rPr>
          <w:rFonts w:hint="eastAsia" w:ascii="宋体" w:hAnsi="宋体" w:eastAsia="宋体" w:cs="宋体"/>
          <w:color w:val="auto"/>
          <w:kern w:val="2"/>
          <w:highlight w:val="none"/>
        </w:rPr>
      </w:pPr>
      <w:r>
        <w:rPr>
          <w:rFonts w:hint="eastAsia" w:ascii="宋体" w:hAnsi="宋体" w:eastAsia="宋体" w:cs="宋体"/>
          <w:color w:val="auto"/>
          <w:kern w:val="2"/>
          <w:highlight w:val="none"/>
        </w:rPr>
        <w:t xml:space="preserve">    （2）与供应商存在直接控股、管理关系的其他单位。</w:t>
      </w:r>
    </w:p>
    <w:p>
      <w:pPr>
        <w:pStyle w:val="6"/>
        <w:ind w:firstLineChars="200"/>
        <w:rPr>
          <w:rFonts w:hint="eastAsia" w:ascii="宋体" w:hAnsi="宋体" w:eastAsia="宋体" w:cs="宋体"/>
          <w:color w:val="auto"/>
          <w:kern w:val="2"/>
          <w:sz w:val="21"/>
          <w:szCs w:val="21"/>
          <w:highlight w:val="none"/>
          <w:lang w:val="en-US" w:eastAsia="zh-CN" w:bidi="ar-SA"/>
        </w:rPr>
      </w:pPr>
    </w:p>
    <w:p>
      <w:pPr>
        <w:pStyle w:val="6"/>
        <w:rPr>
          <w:rFonts w:hint="eastAsia" w:ascii="宋体" w:hAnsi="宋体" w:eastAsia="宋体" w:cs="宋体"/>
          <w:color w:val="auto"/>
          <w:kern w:val="2"/>
          <w:sz w:val="21"/>
          <w:szCs w:val="21"/>
          <w:highlight w:val="none"/>
          <w:lang w:val="en-US" w:eastAsia="zh-CN" w:bidi="ar-SA"/>
        </w:rPr>
      </w:pPr>
    </w:p>
    <w:p>
      <w:pPr>
        <w:pStyle w:val="6"/>
        <w:rPr>
          <w:rFonts w:hint="eastAsia" w:ascii="宋体" w:hAnsi="宋体" w:eastAsia="宋体" w:cs="宋体"/>
          <w:color w:val="auto"/>
          <w:kern w:val="2"/>
          <w:sz w:val="21"/>
          <w:szCs w:val="21"/>
          <w:highlight w:val="none"/>
          <w:lang w:val="en-US" w:eastAsia="zh-CN" w:bidi="ar-SA"/>
        </w:rPr>
      </w:pPr>
    </w:p>
    <w:p>
      <w:pPr>
        <w:pStyle w:val="6"/>
        <w:rPr>
          <w:rFonts w:hint="eastAsia" w:ascii="宋体" w:hAnsi="宋体" w:eastAsia="宋体" w:cs="宋体"/>
          <w:color w:val="auto"/>
          <w:kern w:val="2"/>
          <w:sz w:val="21"/>
          <w:szCs w:val="21"/>
          <w:highlight w:val="none"/>
          <w:lang w:val="en-US" w:eastAsia="zh-CN" w:bidi="ar-SA"/>
        </w:rPr>
      </w:pPr>
    </w:p>
    <w:p>
      <w:pPr>
        <w:spacing w:before="0" w:line="240" w:lineRule="atLeast"/>
        <w:ind w:left="1080" w:leftChars="257" w:hanging="540"/>
        <w:jc w:val="left"/>
        <w:outlineLvl w:val="9"/>
        <w:rPr>
          <w:rFonts w:hint="eastAsia" w:ascii="宋体" w:hAnsi="宋体" w:eastAsia="宋体" w:cs="宋体"/>
          <w:b/>
          <w:bCs/>
          <w:color w:val="auto"/>
          <w:kern w:val="2"/>
          <w:sz w:val="24"/>
          <w:szCs w:val="24"/>
          <w:highlight w:val="none"/>
          <w:lang w:val="en-US" w:eastAsia="zh-CN"/>
        </w:rPr>
      </w:pPr>
    </w:p>
    <w:p>
      <w:pPr>
        <w:pStyle w:val="4"/>
        <w:spacing w:before="0" w:line="240" w:lineRule="atLeast"/>
        <w:ind w:left="1080" w:leftChars="257" w:hanging="540"/>
        <w:jc w:val="left"/>
        <w:rPr>
          <w:rFonts w:hint="eastAsia" w:ascii="宋体" w:hAnsi="宋体" w:eastAsia="宋体" w:cs="宋体"/>
          <w:b/>
          <w:bCs/>
          <w:color w:val="auto"/>
          <w:kern w:val="2"/>
          <w:sz w:val="24"/>
          <w:szCs w:val="24"/>
          <w:highlight w:val="none"/>
          <w:lang w:val="en-US" w:eastAsia="zh-CN"/>
        </w:rPr>
      </w:pPr>
      <w:bookmarkStart w:id="429" w:name="_Toc29367"/>
      <w:bookmarkStart w:id="430" w:name="_Toc7414"/>
      <w:bookmarkStart w:id="431" w:name="_Toc515647828"/>
      <w:bookmarkStart w:id="432" w:name="_Toc17333"/>
      <w:bookmarkStart w:id="433" w:name="_Toc10352"/>
      <w:bookmarkStart w:id="434" w:name="_Toc20015"/>
      <w:bookmarkStart w:id="435" w:name="_Toc25126"/>
      <w:bookmarkStart w:id="436" w:name="_Toc6932"/>
      <w:bookmarkStart w:id="437" w:name="_Toc7966"/>
      <w:bookmarkStart w:id="438" w:name="_Toc31226"/>
      <w:bookmarkStart w:id="439" w:name="_Toc23897"/>
      <w:bookmarkStart w:id="440" w:name="_Toc15535"/>
      <w:bookmarkStart w:id="441" w:name="_Toc17843"/>
      <w:bookmarkStart w:id="442" w:name="_Toc8658"/>
      <w:bookmarkStart w:id="443" w:name="_Toc8903"/>
      <w:bookmarkStart w:id="444" w:name="_Toc12486"/>
      <w:bookmarkStart w:id="445" w:name="_Toc18110"/>
      <w:r>
        <w:rPr>
          <w:rFonts w:hint="eastAsia" w:ascii="宋体" w:hAnsi="宋体" w:eastAsia="宋体" w:cs="宋体"/>
          <w:b/>
          <w:bCs/>
          <w:color w:val="auto"/>
          <w:kern w:val="2"/>
          <w:sz w:val="24"/>
          <w:szCs w:val="24"/>
          <w:highlight w:val="none"/>
          <w:lang w:val="en-US" w:eastAsia="zh-CN"/>
        </w:rPr>
        <w:t>8</w:t>
      </w:r>
      <w:bookmarkEnd w:id="429"/>
      <w:bookmarkEnd w:id="430"/>
      <w:bookmarkEnd w:id="431"/>
      <w:bookmarkEnd w:id="432"/>
      <w:bookmarkEnd w:id="433"/>
      <w:bookmarkStart w:id="446" w:name="_Toc27058"/>
      <w:r>
        <w:rPr>
          <w:rFonts w:hint="eastAsia" w:ascii="宋体" w:hAnsi="宋体" w:eastAsia="宋体" w:cs="宋体"/>
          <w:b/>
          <w:bCs/>
          <w:color w:val="auto"/>
          <w:kern w:val="2"/>
          <w:sz w:val="24"/>
          <w:szCs w:val="24"/>
          <w:highlight w:val="none"/>
          <w:lang w:val="en-US" w:eastAsia="zh-CN"/>
        </w:rPr>
        <w:t>.供应商可提供有利于投标的其他资格证明材料</w:t>
      </w:r>
      <w:bookmarkEnd w:id="434"/>
      <w:bookmarkEnd w:id="435"/>
      <w:bookmarkEnd w:id="436"/>
      <w:bookmarkEnd w:id="437"/>
      <w:bookmarkEnd w:id="438"/>
      <w:bookmarkEnd w:id="439"/>
      <w:bookmarkEnd w:id="440"/>
      <w:bookmarkEnd w:id="441"/>
      <w:bookmarkEnd w:id="442"/>
      <w:bookmarkEnd w:id="443"/>
      <w:bookmarkEnd w:id="444"/>
      <w:bookmarkEnd w:id="445"/>
      <w:bookmarkEnd w:id="446"/>
    </w:p>
    <w:p>
      <w:pPr>
        <w:spacing w:line="240" w:lineRule="atLeast"/>
        <w:jc w:val="left"/>
        <w:rPr>
          <w:rFonts w:hint="eastAsia" w:ascii="宋体" w:hAnsi="宋体" w:eastAsia="宋体" w:cs="宋体"/>
          <w:color w:val="auto"/>
          <w:sz w:val="24"/>
          <w:szCs w:val="24"/>
          <w:highlight w:val="none"/>
        </w:rPr>
      </w:pPr>
    </w:p>
    <w:p>
      <w:pPr>
        <w:pStyle w:val="6"/>
        <w:rPr>
          <w:rFonts w:hint="eastAsia" w:ascii="宋体" w:hAnsi="宋体" w:eastAsia="宋体" w:cs="宋体"/>
          <w:color w:val="auto"/>
          <w:highlight w:val="none"/>
        </w:rPr>
      </w:pPr>
    </w:p>
    <w:p>
      <w:pPr>
        <w:pStyle w:val="26"/>
        <w:rPr>
          <w:rFonts w:hint="eastAsia" w:ascii="宋体" w:hAnsi="宋体" w:eastAsia="宋体" w:cs="宋体"/>
          <w:color w:val="auto"/>
          <w:highlight w:val="none"/>
        </w:rPr>
      </w:pPr>
    </w:p>
    <w:p>
      <w:pPr>
        <w:pStyle w:val="26"/>
        <w:rPr>
          <w:rFonts w:hint="eastAsia" w:ascii="宋体" w:hAnsi="宋体" w:eastAsia="宋体" w:cs="宋体"/>
          <w:color w:val="auto"/>
          <w:highlight w:val="none"/>
        </w:rPr>
      </w:pPr>
    </w:p>
    <w:p>
      <w:pPr>
        <w:pStyle w:val="26"/>
        <w:rPr>
          <w:rFonts w:hint="eastAsia" w:ascii="宋体" w:hAnsi="宋体" w:eastAsia="宋体" w:cs="宋体"/>
          <w:color w:val="auto"/>
          <w:highlight w:val="none"/>
        </w:rPr>
      </w:pPr>
    </w:p>
    <w:p>
      <w:pPr>
        <w:pStyle w:val="26"/>
        <w:rPr>
          <w:rFonts w:hint="eastAsia" w:ascii="宋体" w:hAnsi="宋体" w:eastAsia="宋体" w:cs="宋体"/>
          <w:color w:val="auto"/>
          <w:highlight w:val="none"/>
        </w:rPr>
      </w:pPr>
    </w:p>
    <w:p>
      <w:pPr>
        <w:pStyle w:val="26"/>
        <w:rPr>
          <w:rFonts w:hint="eastAsia" w:ascii="宋体" w:hAnsi="宋体" w:eastAsia="宋体" w:cs="宋体"/>
          <w:color w:val="auto"/>
          <w:highlight w:val="none"/>
        </w:rPr>
      </w:pPr>
    </w:p>
    <w:p>
      <w:pPr>
        <w:pStyle w:val="26"/>
        <w:rPr>
          <w:rFonts w:hint="eastAsia" w:ascii="宋体" w:hAnsi="宋体" w:eastAsia="宋体" w:cs="宋体"/>
          <w:color w:val="auto"/>
          <w:highlight w:val="none"/>
        </w:rPr>
      </w:pPr>
    </w:p>
    <w:p>
      <w:pPr>
        <w:pStyle w:val="26"/>
        <w:rPr>
          <w:rFonts w:hint="eastAsia" w:ascii="宋体" w:hAnsi="宋体" w:eastAsia="宋体" w:cs="宋体"/>
          <w:color w:val="auto"/>
          <w:highlight w:val="none"/>
        </w:rPr>
      </w:pPr>
    </w:p>
    <w:p>
      <w:pPr>
        <w:pStyle w:val="26"/>
        <w:rPr>
          <w:rFonts w:hint="eastAsia" w:ascii="宋体" w:hAnsi="宋体" w:eastAsia="宋体" w:cs="宋体"/>
          <w:color w:val="auto"/>
          <w:highlight w:val="none"/>
        </w:rPr>
      </w:pPr>
    </w:p>
    <w:p>
      <w:pPr>
        <w:pStyle w:val="26"/>
        <w:rPr>
          <w:rFonts w:hint="eastAsia" w:ascii="宋体" w:hAnsi="宋体" w:eastAsia="宋体" w:cs="宋体"/>
          <w:color w:val="auto"/>
          <w:highlight w:val="none"/>
        </w:rPr>
      </w:pPr>
    </w:p>
    <w:p>
      <w:pPr>
        <w:pStyle w:val="26"/>
        <w:rPr>
          <w:rFonts w:hint="eastAsia" w:ascii="宋体" w:hAnsi="宋体" w:eastAsia="宋体" w:cs="宋体"/>
          <w:color w:val="auto"/>
          <w:highlight w:val="none"/>
        </w:rPr>
      </w:pPr>
    </w:p>
    <w:p>
      <w:pPr>
        <w:pStyle w:val="26"/>
        <w:rPr>
          <w:rFonts w:hint="eastAsia" w:ascii="宋体" w:hAnsi="宋体" w:eastAsia="宋体" w:cs="宋体"/>
          <w:color w:val="auto"/>
          <w:highlight w:val="none"/>
        </w:rPr>
      </w:pPr>
    </w:p>
    <w:p>
      <w:pPr>
        <w:pStyle w:val="26"/>
        <w:rPr>
          <w:rFonts w:hint="eastAsia" w:ascii="宋体" w:hAnsi="宋体" w:eastAsia="宋体" w:cs="宋体"/>
          <w:color w:val="auto"/>
          <w:highlight w:val="none"/>
        </w:rPr>
      </w:pPr>
    </w:p>
    <w:p>
      <w:pPr>
        <w:pStyle w:val="26"/>
        <w:rPr>
          <w:rFonts w:hint="eastAsia" w:ascii="宋体" w:hAnsi="宋体" w:eastAsia="宋体" w:cs="宋体"/>
          <w:color w:val="auto"/>
          <w:highlight w:val="none"/>
        </w:rPr>
      </w:pPr>
    </w:p>
    <w:p>
      <w:pPr>
        <w:pStyle w:val="26"/>
        <w:rPr>
          <w:rFonts w:hint="eastAsia" w:ascii="宋体" w:hAnsi="宋体" w:eastAsia="宋体" w:cs="宋体"/>
          <w:color w:val="auto"/>
          <w:highlight w:val="none"/>
        </w:rPr>
      </w:pPr>
    </w:p>
    <w:p>
      <w:pPr>
        <w:rPr>
          <w:rFonts w:hint="eastAsia" w:ascii="宋体" w:hAnsi="宋体" w:eastAsia="宋体" w:cs="宋体"/>
          <w:color w:val="auto"/>
          <w:highlight w:val="none"/>
        </w:rPr>
      </w:pPr>
      <w:r>
        <w:rPr>
          <w:rFonts w:hint="eastAsia" w:ascii="宋体" w:hAnsi="宋体" w:eastAsia="宋体" w:cs="宋体"/>
          <w:color w:val="auto"/>
          <w:highlight w:val="none"/>
        </w:rPr>
        <w:br w:type="page"/>
      </w:r>
    </w:p>
    <w:p>
      <w:pPr>
        <w:spacing w:line="240" w:lineRule="atLeast"/>
        <w:ind w:left="1080" w:leftChars="257" w:hanging="540"/>
        <w:outlineLvl w:val="1"/>
        <w:rPr>
          <w:rFonts w:hint="eastAsia" w:ascii="宋体" w:hAnsi="宋体" w:eastAsia="宋体" w:cs="宋体"/>
          <w:b/>
          <w:color w:val="auto"/>
          <w:kern w:val="0"/>
          <w:sz w:val="24"/>
          <w:szCs w:val="20"/>
          <w:highlight w:val="none"/>
        </w:rPr>
      </w:pPr>
      <w:bookmarkStart w:id="447" w:name="_Toc17701"/>
      <w:bookmarkStart w:id="448" w:name="_Toc31381"/>
      <w:bookmarkStart w:id="449" w:name="_Toc5533"/>
      <w:bookmarkStart w:id="450" w:name="_Toc16628"/>
      <w:bookmarkStart w:id="451" w:name="_Toc25807"/>
      <w:bookmarkStart w:id="452" w:name="_Toc16684"/>
      <w:bookmarkStart w:id="453" w:name="_Toc23424"/>
      <w:bookmarkStart w:id="454" w:name="_Toc19009"/>
      <w:bookmarkStart w:id="455" w:name="_Toc2969"/>
      <w:bookmarkStart w:id="456" w:name="_Toc20337"/>
      <w:r>
        <w:rPr>
          <w:rFonts w:hint="eastAsia" w:ascii="宋体" w:hAnsi="宋体" w:eastAsia="宋体" w:cs="宋体"/>
          <w:b/>
          <w:color w:val="auto"/>
          <w:kern w:val="0"/>
          <w:sz w:val="24"/>
          <w:szCs w:val="20"/>
          <w:highlight w:val="none"/>
          <w:lang w:val="en-US" w:eastAsia="zh-CN"/>
        </w:rPr>
        <w:t>9.</w:t>
      </w:r>
      <w:r>
        <w:rPr>
          <w:rFonts w:hint="eastAsia" w:ascii="宋体" w:hAnsi="宋体" w:eastAsia="宋体" w:cs="宋体"/>
          <w:b/>
          <w:color w:val="auto"/>
          <w:kern w:val="0"/>
          <w:sz w:val="24"/>
          <w:szCs w:val="20"/>
          <w:highlight w:val="none"/>
        </w:rPr>
        <w:t>投标文件格式范本</w:t>
      </w:r>
      <w:bookmarkEnd w:id="447"/>
      <w:bookmarkEnd w:id="448"/>
      <w:bookmarkEnd w:id="449"/>
      <w:bookmarkEnd w:id="450"/>
      <w:bookmarkEnd w:id="451"/>
      <w:bookmarkEnd w:id="452"/>
      <w:bookmarkEnd w:id="453"/>
      <w:bookmarkEnd w:id="454"/>
      <w:bookmarkEnd w:id="455"/>
      <w:bookmarkEnd w:id="456"/>
    </w:p>
    <w:tbl>
      <w:tblPr>
        <w:tblStyle w:val="20"/>
        <w:tblpPr w:leftFromText="180" w:rightFromText="180" w:vertAnchor="text" w:horzAnchor="page" w:tblpX="1380" w:tblpY="440"/>
        <w:tblOverlap w:val="never"/>
        <w:tblW w:w="9520" w:type="dxa"/>
        <w:tblInd w:w="0" w:type="dxa"/>
        <w:tblBorders>
          <w:top w:val="double" w:color="666699" w:sz="4" w:space="0"/>
          <w:left w:val="double" w:color="666699" w:sz="4" w:space="0"/>
          <w:bottom w:val="double" w:color="666699" w:sz="4" w:space="0"/>
          <w:right w:val="double" w:color="666699" w:sz="4" w:space="0"/>
          <w:insideH w:val="double" w:color="666699" w:sz="4" w:space="0"/>
          <w:insideV w:val="double" w:color="666699" w:sz="4" w:space="0"/>
        </w:tblBorders>
        <w:shd w:val="clear" w:color="auto" w:fill="FCFEEA"/>
        <w:tblLayout w:type="fixed"/>
        <w:tblCellMar>
          <w:top w:w="0" w:type="dxa"/>
          <w:left w:w="108" w:type="dxa"/>
          <w:bottom w:w="0" w:type="dxa"/>
          <w:right w:w="108" w:type="dxa"/>
        </w:tblCellMar>
      </w:tblPr>
      <w:tblGrid>
        <w:gridCol w:w="9520"/>
      </w:tblGrid>
      <w:tr>
        <w:tblPrEx>
          <w:tblBorders>
            <w:top w:val="double" w:color="666699" w:sz="4" w:space="0"/>
            <w:left w:val="double" w:color="666699" w:sz="4" w:space="0"/>
            <w:bottom w:val="double" w:color="666699" w:sz="4" w:space="0"/>
            <w:right w:val="double" w:color="666699" w:sz="4" w:space="0"/>
            <w:insideH w:val="double" w:color="666699" w:sz="4" w:space="0"/>
            <w:insideV w:val="double" w:color="666699" w:sz="4" w:space="0"/>
          </w:tblBorders>
          <w:shd w:val="clear" w:color="auto" w:fill="FCFEEA"/>
          <w:tblCellMar>
            <w:top w:w="0" w:type="dxa"/>
            <w:left w:w="108" w:type="dxa"/>
            <w:bottom w:w="0" w:type="dxa"/>
            <w:right w:w="108" w:type="dxa"/>
          </w:tblCellMar>
        </w:tblPrEx>
        <w:trPr>
          <w:trHeight w:val="12335" w:hRule="atLeast"/>
        </w:trPr>
        <w:tc>
          <w:tcPr>
            <w:tcW w:w="9520" w:type="dxa"/>
            <w:shd w:val="clear" w:color="auto" w:fill="FCFEEA"/>
          </w:tcPr>
          <w:p>
            <w:pPr>
              <w:pStyle w:val="9"/>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 xml:space="preserve">                                                （正本</w:t>
            </w:r>
            <w:r>
              <w:rPr>
                <w:rFonts w:hint="eastAsia" w:cs="宋体"/>
                <w:b/>
                <w:bCs/>
                <w:color w:val="auto"/>
                <w:sz w:val="28"/>
                <w:szCs w:val="28"/>
                <w:highlight w:val="none"/>
                <w:lang w:val="en-US" w:eastAsia="zh-CN"/>
              </w:rPr>
              <w:t>和</w:t>
            </w:r>
            <w:r>
              <w:rPr>
                <w:rFonts w:hint="eastAsia" w:ascii="宋体" w:hAnsi="宋体" w:eastAsia="宋体" w:cs="宋体"/>
                <w:b/>
                <w:bCs/>
                <w:color w:val="auto"/>
                <w:sz w:val="28"/>
                <w:szCs w:val="28"/>
                <w:highlight w:val="none"/>
              </w:rPr>
              <w:t>副本）</w:t>
            </w:r>
          </w:p>
          <w:p>
            <w:pPr>
              <w:pStyle w:val="9"/>
              <w:ind w:firstLine="4216" w:firstLineChars="1500"/>
              <w:rPr>
                <w:rFonts w:hint="eastAsia" w:ascii="宋体" w:hAnsi="宋体" w:eastAsia="宋体" w:cs="宋体"/>
                <w:b/>
                <w:bCs/>
                <w:color w:val="auto"/>
                <w:sz w:val="28"/>
                <w:szCs w:val="28"/>
                <w:highlight w:val="none"/>
              </w:rPr>
            </w:pPr>
          </w:p>
          <w:p>
            <w:pPr>
              <w:pStyle w:val="9"/>
              <w:ind w:firstLine="4216" w:firstLineChars="1500"/>
              <w:rPr>
                <w:rFonts w:hint="eastAsia" w:ascii="宋体" w:hAnsi="宋体" w:eastAsia="宋体" w:cs="宋体"/>
                <w:b/>
                <w:bCs/>
                <w:color w:val="auto"/>
                <w:sz w:val="28"/>
                <w:szCs w:val="28"/>
                <w:highlight w:val="none"/>
              </w:rPr>
            </w:pPr>
          </w:p>
          <w:p>
            <w:pPr>
              <w:pStyle w:val="9"/>
              <w:rPr>
                <w:rFonts w:hint="eastAsia" w:ascii="宋体" w:hAnsi="宋体" w:eastAsia="宋体" w:cs="宋体"/>
                <w:b/>
                <w:bCs/>
                <w:color w:val="auto"/>
                <w:sz w:val="28"/>
                <w:szCs w:val="28"/>
                <w:highlight w:val="none"/>
              </w:rPr>
            </w:pPr>
          </w:p>
          <w:p>
            <w:pPr>
              <w:pStyle w:val="9"/>
              <w:ind w:firstLine="1897" w:firstLineChars="900"/>
              <w:rPr>
                <w:rFonts w:hint="eastAsia" w:ascii="宋体" w:hAnsi="宋体" w:eastAsia="宋体" w:cs="宋体"/>
                <w:b/>
                <w:bCs/>
                <w:color w:val="auto"/>
                <w:sz w:val="28"/>
                <w:szCs w:val="28"/>
                <w:highlight w:val="none"/>
              </w:rPr>
            </w:pPr>
            <w:r>
              <w:rPr>
                <w:rFonts w:hint="eastAsia" w:ascii="宋体" w:hAnsi="宋体" w:eastAsia="宋体" w:cs="宋体"/>
                <w:b/>
                <w:bCs/>
                <w:color w:val="auto"/>
                <w:sz w:val="21"/>
                <w:szCs w:val="21"/>
                <w:highlight w:val="none"/>
              </w:rPr>
              <w:t>＊＊＊＊＊＊＊＊＊＊＊＊＊＊＊＊＊＊＊＊＊＊＊＊</w:t>
            </w:r>
            <w:r>
              <w:rPr>
                <w:rFonts w:hint="eastAsia" w:ascii="宋体" w:hAnsi="宋体" w:eastAsia="宋体" w:cs="宋体"/>
                <w:b/>
                <w:bCs/>
                <w:color w:val="auto"/>
                <w:sz w:val="28"/>
                <w:szCs w:val="28"/>
                <w:highlight w:val="none"/>
              </w:rPr>
              <w:t xml:space="preserve">   项目</w:t>
            </w:r>
          </w:p>
          <w:p>
            <w:pPr>
              <w:pStyle w:val="9"/>
              <w:jc w:val="center"/>
              <w:rPr>
                <w:rFonts w:hint="eastAsia" w:ascii="宋体" w:hAnsi="宋体" w:eastAsia="宋体" w:cs="宋体"/>
                <w:b/>
                <w:bCs/>
                <w:color w:val="auto"/>
                <w:sz w:val="21"/>
                <w:szCs w:val="21"/>
                <w:highlight w:val="none"/>
              </w:rPr>
            </w:pPr>
          </w:p>
          <w:p>
            <w:pPr>
              <w:pStyle w:val="9"/>
              <w:ind w:firstLine="3162" w:firstLineChars="15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编号＊＊＊＊＊＊   包号＊＊＊＊＊</w:t>
            </w:r>
          </w:p>
          <w:p>
            <w:pPr>
              <w:pStyle w:val="9"/>
              <w:jc w:val="center"/>
              <w:rPr>
                <w:rFonts w:hint="eastAsia" w:ascii="宋体" w:hAnsi="宋体" w:eastAsia="宋体" w:cs="宋体"/>
                <w:b/>
                <w:bCs/>
                <w:color w:val="auto"/>
                <w:sz w:val="48"/>
                <w:highlight w:val="none"/>
              </w:rPr>
            </w:pPr>
          </w:p>
          <w:p>
            <w:pPr>
              <w:pStyle w:val="9"/>
              <w:jc w:val="center"/>
              <w:rPr>
                <w:rFonts w:hint="eastAsia" w:ascii="宋体" w:hAnsi="宋体" w:eastAsia="宋体" w:cs="宋体"/>
                <w:b/>
                <w:bCs/>
                <w:color w:val="auto"/>
                <w:sz w:val="48"/>
                <w:highlight w:val="none"/>
              </w:rPr>
            </w:pPr>
            <w:r>
              <w:rPr>
                <w:rFonts w:hint="eastAsia" w:ascii="宋体" w:hAnsi="宋体" w:eastAsia="宋体" w:cs="宋体"/>
                <w:b/>
                <w:bCs/>
                <w:color w:val="auto"/>
                <w:sz w:val="48"/>
                <w:highlight w:val="none"/>
              </w:rPr>
              <w:t>投 标 文 件</w:t>
            </w:r>
          </w:p>
          <w:p>
            <w:pPr>
              <w:jc w:val="center"/>
              <w:rPr>
                <w:rFonts w:hint="eastAsia" w:ascii="宋体" w:hAnsi="宋体" w:eastAsia="宋体" w:cs="宋体"/>
                <w:b/>
                <w:color w:val="auto"/>
                <w:sz w:val="32"/>
                <w:highlight w:val="none"/>
              </w:rPr>
            </w:pPr>
          </w:p>
          <w:p>
            <w:pPr>
              <w:pStyle w:val="6"/>
              <w:rPr>
                <w:rFonts w:hint="eastAsia" w:ascii="宋体" w:hAnsi="宋体" w:eastAsia="宋体" w:cs="宋体"/>
                <w:b/>
                <w:color w:val="auto"/>
                <w:sz w:val="32"/>
                <w:highlight w:val="none"/>
              </w:rPr>
            </w:pPr>
          </w:p>
          <w:p>
            <w:pPr>
              <w:pStyle w:val="6"/>
              <w:rPr>
                <w:rFonts w:hint="eastAsia" w:ascii="宋体" w:hAnsi="宋体" w:eastAsia="宋体" w:cs="宋体"/>
                <w:b/>
                <w:color w:val="auto"/>
                <w:sz w:val="32"/>
                <w:highlight w:val="none"/>
              </w:rPr>
            </w:pPr>
          </w:p>
          <w:p>
            <w:pPr>
              <w:spacing w:line="360" w:lineRule="auto"/>
              <w:ind w:left="176" w:leftChars="84" w:firstLine="840" w:firstLineChars="4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 标 单位：</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（公章）</w:t>
            </w:r>
          </w:p>
          <w:p>
            <w:pPr>
              <w:spacing w:line="360" w:lineRule="auto"/>
              <w:ind w:left="176" w:leftChars="84" w:firstLine="840" w:firstLineChars="400"/>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项目名称：</w:t>
            </w:r>
            <w:r>
              <w:rPr>
                <w:rFonts w:hint="eastAsia" w:ascii="宋体" w:hAnsi="宋体" w:eastAsia="宋体" w:cs="宋体"/>
                <w:color w:val="auto"/>
                <w:szCs w:val="21"/>
                <w:highlight w:val="none"/>
                <w:u w:val="single"/>
              </w:rPr>
              <w:t xml:space="preserve">                                          </w:t>
            </w:r>
          </w:p>
          <w:p>
            <w:pPr>
              <w:spacing w:line="360" w:lineRule="auto"/>
              <w:ind w:left="176" w:leftChars="84" w:firstLine="840" w:firstLineChars="400"/>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项目编号：</w:t>
            </w:r>
            <w:r>
              <w:rPr>
                <w:rFonts w:hint="eastAsia" w:ascii="宋体" w:hAnsi="宋体" w:eastAsia="宋体" w:cs="宋体"/>
                <w:color w:val="auto"/>
                <w:szCs w:val="21"/>
                <w:highlight w:val="none"/>
                <w:u w:val="single"/>
              </w:rPr>
              <w:t xml:space="preserve">                                        </w:t>
            </w:r>
          </w:p>
          <w:p>
            <w:pPr>
              <w:spacing w:line="360" w:lineRule="auto"/>
              <w:ind w:left="176" w:leftChars="84" w:firstLine="840" w:firstLineChars="400"/>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联 系 人：</w:t>
            </w:r>
            <w:r>
              <w:rPr>
                <w:rFonts w:hint="eastAsia" w:ascii="宋体" w:hAnsi="宋体" w:eastAsia="宋体" w:cs="宋体"/>
                <w:color w:val="auto"/>
                <w:szCs w:val="21"/>
                <w:highlight w:val="none"/>
                <w:u w:val="single"/>
              </w:rPr>
              <w:t xml:space="preserve">                                        </w:t>
            </w:r>
          </w:p>
          <w:p>
            <w:pPr>
              <w:spacing w:line="360" w:lineRule="auto"/>
              <w:ind w:left="176" w:leftChars="84" w:firstLine="840" w:firstLineChars="400"/>
              <w:rPr>
                <w:rFonts w:hint="eastAsia" w:ascii="宋体" w:hAnsi="宋体" w:eastAsia="宋体" w:cs="宋体"/>
                <w:color w:val="auto"/>
                <w:szCs w:val="21"/>
                <w:highlight w:val="none"/>
              </w:rPr>
            </w:pPr>
            <w:r>
              <w:rPr>
                <w:rFonts w:hint="eastAsia" w:ascii="宋体" w:hAnsi="宋体" w:eastAsia="宋体" w:cs="宋体"/>
                <w:color w:val="auto"/>
                <w:szCs w:val="21"/>
                <w:highlight w:val="none"/>
              </w:rPr>
              <w:t>电    话：</w:t>
            </w:r>
            <w:r>
              <w:rPr>
                <w:rFonts w:hint="eastAsia" w:ascii="宋体" w:hAnsi="宋体" w:eastAsia="宋体" w:cs="宋体"/>
                <w:color w:val="auto"/>
                <w:szCs w:val="21"/>
                <w:highlight w:val="none"/>
                <w:u w:val="single"/>
              </w:rPr>
              <w:t xml:space="preserve">                                        </w:t>
            </w:r>
          </w:p>
          <w:p>
            <w:pPr>
              <w:spacing w:line="360" w:lineRule="auto"/>
              <w:ind w:left="176" w:leftChars="84" w:firstLine="840" w:firstLineChars="400"/>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 xml:space="preserve">地    址  ： </w:t>
            </w:r>
            <w:r>
              <w:rPr>
                <w:rFonts w:hint="eastAsia" w:ascii="宋体" w:hAnsi="宋体" w:eastAsia="宋体" w:cs="宋体"/>
                <w:color w:val="auto"/>
                <w:szCs w:val="21"/>
                <w:highlight w:val="none"/>
                <w:u w:val="single"/>
              </w:rPr>
              <w:t xml:space="preserve">                                    </w:t>
            </w:r>
          </w:p>
          <w:p>
            <w:pPr>
              <w:spacing w:line="360" w:lineRule="auto"/>
              <w:ind w:left="176" w:leftChars="84" w:firstLine="960" w:firstLineChars="400"/>
              <w:rPr>
                <w:rFonts w:hint="eastAsia" w:ascii="宋体" w:hAnsi="宋体" w:eastAsia="宋体" w:cs="宋体"/>
                <w:color w:val="auto"/>
                <w:sz w:val="24"/>
                <w:highlight w:val="none"/>
              </w:rPr>
            </w:pPr>
          </w:p>
          <w:p>
            <w:pPr>
              <w:jc w:val="center"/>
              <w:rPr>
                <w:rFonts w:hint="eastAsia" w:ascii="宋体" w:hAnsi="宋体" w:eastAsia="宋体" w:cs="宋体"/>
                <w:b/>
                <w:bCs/>
                <w:color w:val="auto"/>
                <w:highlight w:val="none"/>
              </w:rPr>
            </w:pPr>
          </w:p>
          <w:p>
            <w:pPr>
              <w:jc w:val="center"/>
              <w:rPr>
                <w:rFonts w:hint="eastAsia" w:ascii="宋体" w:hAnsi="宋体" w:eastAsia="宋体" w:cs="宋体"/>
                <w:b/>
                <w:bCs/>
                <w:color w:val="auto"/>
                <w:highlight w:val="none"/>
              </w:rPr>
            </w:pPr>
          </w:p>
          <w:p>
            <w:pPr>
              <w:jc w:val="center"/>
              <w:rPr>
                <w:rFonts w:hint="eastAsia" w:ascii="宋体" w:hAnsi="宋体" w:eastAsia="宋体" w:cs="宋体"/>
                <w:b/>
                <w:bCs/>
                <w:color w:val="auto"/>
                <w:highlight w:val="none"/>
              </w:rPr>
            </w:pPr>
            <w:r>
              <w:rPr>
                <w:rFonts w:hint="eastAsia" w:ascii="宋体" w:hAnsi="宋体" w:eastAsia="宋体" w:cs="宋体"/>
                <w:b/>
                <w:bCs/>
                <w:color w:val="auto"/>
                <w:highlight w:val="none"/>
              </w:rPr>
              <w:t>注：   在202</w:t>
            </w:r>
            <w:r>
              <w:rPr>
                <w:rFonts w:hint="eastAsia" w:ascii="宋体" w:hAnsi="宋体" w:eastAsia="宋体" w:cs="宋体"/>
                <w:b/>
                <w:bCs/>
                <w:color w:val="auto"/>
                <w:highlight w:val="none"/>
                <w:lang w:val="en-US" w:eastAsia="zh-CN"/>
              </w:rPr>
              <w:t>2</w:t>
            </w:r>
            <w:r>
              <w:rPr>
                <w:rFonts w:hint="eastAsia" w:ascii="宋体" w:hAnsi="宋体" w:eastAsia="宋体" w:cs="宋体"/>
                <w:b/>
                <w:bCs/>
                <w:color w:val="auto"/>
                <w:highlight w:val="none"/>
              </w:rPr>
              <w:t>年</w:t>
            </w:r>
            <w:r>
              <w:rPr>
                <w:rFonts w:hint="eastAsia" w:ascii="宋体" w:hAnsi="宋体" w:eastAsia="宋体" w:cs="宋体"/>
                <w:b/>
                <w:bCs/>
                <w:color w:val="auto"/>
                <w:sz w:val="21"/>
                <w:szCs w:val="21"/>
                <w:highlight w:val="none"/>
              </w:rPr>
              <w:t xml:space="preserve">＊ </w:t>
            </w:r>
            <w:r>
              <w:rPr>
                <w:rFonts w:hint="eastAsia" w:ascii="宋体" w:hAnsi="宋体" w:eastAsia="宋体" w:cs="宋体"/>
                <w:b/>
                <w:bCs/>
                <w:color w:val="auto"/>
                <w:highlight w:val="none"/>
              </w:rPr>
              <w:t>月</w:t>
            </w:r>
            <w:r>
              <w:rPr>
                <w:rFonts w:hint="eastAsia" w:ascii="宋体" w:hAnsi="宋体" w:eastAsia="宋体" w:cs="宋体"/>
                <w:b/>
                <w:bCs/>
                <w:color w:val="auto"/>
                <w:sz w:val="21"/>
                <w:szCs w:val="21"/>
                <w:highlight w:val="none"/>
              </w:rPr>
              <w:t xml:space="preserve">＊ </w:t>
            </w:r>
            <w:r>
              <w:rPr>
                <w:rFonts w:hint="eastAsia" w:ascii="宋体" w:hAnsi="宋体" w:eastAsia="宋体" w:cs="宋体"/>
                <w:b/>
                <w:bCs/>
                <w:color w:val="auto"/>
                <w:highlight w:val="none"/>
              </w:rPr>
              <w:t xml:space="preserve">日 </w:t>
            </w:r>
            <w:r>
              <w:rPr>
                <w:rFonts w:hint="eastAsia" w:ascii="宋体" w:hAnsi="宋体" w:eastAsia="宋体" w:cs="宋体"/>
                <w:b/>
                <w:bCs/>
                <w:color w:val="auto"/>
                <w:sz w:val="21"/>
                <w:szCs w:val="21"/>
                <w:highlight w:val="none"/>
              </w:rPr>
              <w:t xml:space="preserve">＊ </w:t>
            </w:r>
            <w:r>
              <w:rPr>
                <w:rFonts w:hint="eastAsia" w:ascii="宋体" w:hAnsi="宋体" w:eastAsia="宋体" w:cs="宋体"/>
                <w:b/>
                <w:bCs/>
                <w:color w:val="auto"/>
                <w:highlight w:val="none"/>
              </w:rPr>
              <w:t>午</w:t>
            </w:r>
            <w:r>
              <w:rPr>
                <w:rFonts w:hint="eastAsia" w:ascii="宋体" w:hAnsi="宋体" w:eastAsia="宋体" w:cs="宋体"/>
                <w:b/>
                <w:bCs/>
                <w:color w:val="auto"/>
                <w:sz w:val="21"/>
                <w:szCs w:val="21"/>
                <w:highlight w:val="none"/>
              </w:rPr>
              <w:t xml:space="preserve">＊ </w:t>
            </w:r>
            <w:r>
              <w:rPr>
                <w:rFonts w:hint="eastAsia" w:ascii="宋体" w:hAnsi="宋体" w:cs="宋体"/>
                <w:b/>
                <w:bCs/>
                <w:color w:val="auto"/>
                <w:highlight w:val="none"/>
                <w:lang w:eastAsia="zh-CN"/>
              </w:rPr>
              <w:t>点</w:t>
            </w:r>
            <w:r>
              <w:rPr>
                <w:rFonts w:hint="eastAsia" w:ascii="宋体" w:hAnsi="宋体" w:eastAsia="宋体" w:cs="宋体"/>
                <w:b/>
                <w:bCs/>
                <w:color w:val="auto"/>
                <w:sz w:val="21"/>
                <w:szCs w:val="21"/>
                <w:highlight w:val="none"/>
              </w:rPr>
              <w:t xml:space="preserve">＊ </w:t>
            </w:r>
            <w:r>
              <w:rPr>
                <w:rFonts w:hint="eastAsia" w:ascii="宋体" w:hAnsi="宋体" w:cs="宋体"/>
                <w:b/>
                <w:bCs/>
                <w:color w:val="auto"/>
                <w:highlight w:val="none"/>
                <w:lang w:eastAsia="zh-CN"/>
              </w:rPr>
              <w:t>分</w:t>
            </w:r>
            <w:r>
              <w:rPr>
                <w:rFonts w:hint="eastAsia" w:ascii="宋体" w:hAnsi="宋体" w:eastAsia="宋体" w:cs="宋体"/>
                <w:b/>
                <w:bCs/>
                <w:color w:val="auto"/>
                <w:highlight w:val="none"/>
              </w:rPr>
              <w:t>之前不得启封</w:t>
            </w:r>
          </w:p>
          <w:p>
            <w:pPr>
              <w:jc w:val="center"/>
              <w:rPr>
                <w:rFonts w:hint="eastAsia" w:ascii="宋体" w:hAnsi="宋体" w:eastAsia="宋体" w:cs="宋体"/>
                <w:b/>
                <w:bCs/>
                <w:color w:val="auto"/>
                <w:highlight w:val="none"/>
              </w:rPr>
            </w:pPr>
          </w:p>
        </w:tc>
      </w:tr>
    </w:tbl>
    <w:p>
      <w:pPr>
        <w:spacing w:line="240" w:lineRule="atLeast"/>
        <w:rPr>
          <w:rFonts w:hint="eastAsia" w:ascii="宋体" w:hAnsi="宋体" w:eastAsia="宋体" w:cs="宋体"/>
          <w:b/>
          <w:color w:val="auto"/>
          <w:sz w:val="30"/>
          <w:szCs w:val="30"/>
          <w:highlight w:val="none"/>
        </w:rPr>
      </w:pPr>
      <w:r>
        <w:rPr>
          <w:rFonts w:hint="eastAsia" w:ascii="宋体" w:hAnsi="宋体" w:eastAsia="宋体" w:cs="宋体"/>
          <w:color w:val="auto"/>
          <w:sz w:val="24"/>
          <w:highlight w:val="none"/>
        </w:rPr>
        <w:br w:type="page"/>
      </w:r>
    </w:p>
    <w:p>
      <w:pPr>
        <w:spacing w:line="240" w:lineRule="atLeast"/>
        <w:jc w:val="center"/>
        <w:rPr>
          <w:rFonts w:hint="eastAsia" w:ascii="宋体" w:hAnsi="宋体" w:eastAsia="宋体" w:cs="宋体"/>
          <w:b/>
          <w:color w:val="auto"/>
          <w:sz w:val="32"/>
          <w:highlight w:val="none"/>
        </w:rPr>
      </w:pPr>
    </w:p>
    <w:p>
      <w:pPr>
        <w:spacing w:line="240" w:lineRule="atLeast"/>
        <w:jc w:val="center"/>
        <w:rPr>
          <w:rFonts w:hint="eastAsia" w:ascii="宋体" w:hAnsi="宋体" w:eastAsia="宋体" w:cs="宋体"/>
          <w:b/>
          <w:color w:val="auto"/>
          <w:sz w:val="32"/>
          <w:highlight w:val="none"/>
        </w:rPr>
      </w:pPr>
    </w:p>
    <w:p>
      <w:pPr>
        <w:spacing w:line="240" w:lineRule="atLeast"/>
        <w:jc w:val="center"/>
        <w:rPr>
          <w:rFonts w:hint="eastAsia" w:ascii="宋体" w:hAnsi="宋体" w:eastAsia="宋体" w:cs="宋体"/>
          <w:b/>
          <w:color w:val="auto"/>
          <w:sz w:val="44"/>
          <w:szCs w:val="44"/>
          <w:highlight w:val="none"/>
        </w:rPr>
      </w:pPr>
    </w:p>
    <w:p>
      <w:pPr>
        <w:spacing w:line="240" w:lineRule="atLeast"/>
        <w:jc w:val="center"/>
        <w:rPr>
          <w:rFonts w:hint="eastAsia" w:ascii="宋体" w:hAnsi="宋体" w:eastAsia="宋体" w:cs="宋体"/>
          <w:b/>
          <w:color w:val="auto"/>
          <w:sz w:val="44"/>
          <w:szCs w:val="44"/>
          <w:highlight w:val="none"/>
        </w:rPr>
      </w:pPr>
    </w:p>
    <w:p>
      <w:pPr>
        <w:pStyle w:val="6"/>
        <w:rPr>
          <w:rFonts w:hint="eastAsia" w:ascii="宋体" w:hAnsi="宋体" w:eastAsia="宋体" w:cs="宋体"/>
          <w:color w:val="auto"/>
          <w:highlight w:val="none"/>
        </w:rPr>
      </w:pPr>
    </w:p>
    <w:p>
      <w:pPr>
        <w:spacing w:line="240" w:lineRule="atLeast"/>
        <w:rPr>
          <w:rFonts w:hint="eastAsia" w:ascii="宋体" w:hAnsi="宋体" w:eastAsia="宋体" w:cs="宋体"/>
          <w:b/>
          <w:color w:val="auto"/>
          <w:sz w:val="44"/>
          <w:szCs w:val="44"/>
          <w:highlight w:val="none"/>
        </w:rPr>
      </w:pPr>
    </w:p>
    <w:p>
      <w:pPr>
        <w:spacing w:line="240" w:lineRule="atLeast"/>
        <w:jc w:val="center"/>
        <w:rPr>
          <w:rFonts w:hint="eastAsia" w:ascii="宋体" w:hAnsi="宋体" w:eastAsia="宋体" w:cs="宋体"/>
          <w:b/>
          <w:color w:val="auto"/>
          <w:sz w:val="44"/>
          <w:szCs w:val="44"/>
          <w:highlight w:val="none"/>
        </w:rPr>
      </w:pPr>
    </w:p>
    <w:p>
      <w:pPr>
        <w:spacing w:line="240" w:lineRule="atLeast"/>
        <w:jc w:val="center"/>
        <w:rPr>
          <w:rFonts w:hint="eastAsia" w:ascii="宋体" w:hAnsi="宋体" w:eastAsia="宋体" w:cs="宋体"/>
          <w:b/>
          <w:color w:val="auto"/>
          <w:sz w:val="44"/>
          <w:szCs w:val="44"/>
          <w:highlight w:val="none"/>
        </w:rPr>
      </w:pPr>
      <w:r>
        <w:rPr>
          <w:rFonts w:hint="eastAsia" w:ascii="宋体" w:hAnsi="宋体" w:eastAsia="宋体" w:cs="宋体"/>
          <w:b/>
          <w:color w:val="auto"/>
          <w:sz w:val="44"/>
          <w:szCs w:val="44"/>
          <w:highlight w:val="none"/>
        </w:rPr>
        <w:t>招 标 文 件</w:t>
      </w:r>
    </w:p>
    <w:p>
      <w:pPr>
        <w:spacing w:line="240" w:lineRule="atLeast"/>
        <w:jc w:val="center"/>
        <w:rPr>
          <w:rFonts w:hint="eastAsia" w:ascii="宋体" w:hAnsi="宋体" w:eastAsia="宋体" w:cs="宋体"/>
          <w:b/>
          <w:color w:val="auto"/>
          <w:sz w:val="40"/>
          <w:szCs w:val="40"/>
          <w:highlight w:val="none"/>
        </w:rPr>
      </w:pPr>
    </w:p>
    <w:p>
      <w:pPr>
        <w:spacing w:line="240" w:lineRule="atLeast"/>
        <w:jc w:val="center"/>
        <w:rPr>
          <w:rFonts w:hint="eastAsia" w:ascii="宋体" w:hAnsi="宋体" w:eastAsia="宋体" w:cs="宋体"/>
          <w:b/>
          <w:color w:val="auto"/>
          <w:sz w:val="32"/>
          <w:highlight w:val="none"/>
          <w:lang w:eastAsia="zh-CN"/>
        </w:rPr>
      </w:pPr>
      <w:r>
        <w:rPr>
          <w:rFonts w:hint="eastAsia" w:ascii="宋体" w:hAnsi="宋体" w:eastAsia="宋体" w:cs="宋体"/>
          <w:b/>
          <w:color w:val="auto"/>
          <w:sz w:val="40"/>
          <w:szCs w:val="40"/>
          <w:highlight w:val="none"/>
        </w:rPr>
        <w:t>项目编号：</w:t>
      </w:r>
      <w:r>
        <w:rPr>
          <w:rFonts w:hint="eastAsia" w:ascii="宋体" w:hAnsi="宋体" w:cs="宋体"/>
          <w:b/>
          <w:color w:val="auto"/>
          <w:sz w:val="40"/>
          <w:szCs w:val="40"/>
          <w:highlight w:val="none"/>
          <w:lang w:eastAsia="zh-CN"/>
        </w:rPr>
        <w:t>ZPDL(2022)022</w:t>
      </w:r>
    </w:p>
    <w:p>
      <w:pPr>
        <w:spacing w:line="240" w:lineRule="atLeast"/>
        <w:jc w:val="center"/>
        <w:rPr>
          <w:rFonts w:hint="eastAsia" w:ascii="宋体" w:hAnsi="宋体" w:eastAsia="宋体" w:cs="宋体"/>
          <w:b/>
          <w:color w:val="auto"/>
          <w:sz w:val="32"/>
          <w:highlight w:val="none"/>
        </w:rPr>
      </w:pPr>
    </w:p>
    <w:p>
      <w:pPr>
        <w:spacing w:line="240" w:lineRule="atLeast"/>
        <w:jc w:val="center"/>
        <w:rPr>
          <w:rFonts w:hint="eastAsia" w:ascii="宋体" w:hAnsi="宋体" w:eastAsia="宋体" w:cs="宋体"/>
          <w:b/>
          <w:color w:val="auto"/>
          <w:sz w:val="44"/>
          <w:szCs w:val="36"/>
          <w:highlight w:val="none"/>
        </w:rPr>
      </w:pPr>
      <w:r>
        <w:rPr>
          <w:rFonts w:hint="eastAsia" w:ascii="宋体" w:hAnsi="宋体" w:eastAsia="宋体" w:cs="宋体"/>
          <w:b/>
          <w:color w:val="auto"/>
          <w:sz w:val="44"/>
          <w:szCs w:val="36"/>
          <w:highlight w:val="none"/>
        </w:rPr>
        <w:t>第 二 册</w:t>
      </w:r>
    </w:p>
    <w:p>
      <w:pPr>
        <w:spacing w:line="240" w:lineRule="atLeast"/>
        <w:jc w:val="center"/>
        <w:rPr>
          <w:rFonts w:hint="eastAsia" w:ascii="宋体" w:hAnsi="宋体" w:eastAsia="宋体" w:cs="宋体"/>
          <w:b/>
          <w:color w:val="auto"/>
          <w:sz w:val="32"/>
          <w:highlight w:val="none"/>
        </w:rPr>
      </w:pPr>
    </w:p>
    <w:p>
      <w:pPr>
        <w:spacing w:line="240" w:lineRule="atLeast"/>
        <w:jc w:val="center"/>
        <w:rPr>
          <w:rFonts w:hint="eastAsia" w:ascii="宋体" w:hAnsi="宋体" w:eastAsia="宋体" w:cs="宋体"/>
          <w:b/>
          <w:color w:val="auto"/>
          <w:sz w:val="32"/>
          <w:highlight w:val="none"/>
        </w:rPr>
      </w:pPr>
      <w:r>
        <w:rPr>
          <w:rFonts w:hint="eastAsia" w:ascii="宋体" w:hAnsi="宋体" w:eastAsia="宋体" w:cs="宋体"/>
          <w:b/>
          <w:color w:val="auto"/>
          <w:sz w:val="32"/>
          <w:highlight w:val="none"/>
        </w:rPr>
        <w:t xml:space="preserve">  </w:t>
      </w:r>
    </w:p>
    <w:p>
      <w:pPr>
        <w:spacing w:line="240" w:lineRule="atLeast"/>
        <w:ind w:left="1080" w:leftChars="257" w:hanging="540"/>
        <w:rPr>
          <w:rFonts w:hint="eastAsia" w:ascii="宋体" w:hAnsi="宋体" w:eastAsia="宋体" w:cs="宋体"/>
          <w:b/>
          <w:color w:val="auto"/>
          <w:sz w:val="28"/>
          <w:highlight w:val="none"/>
        </w:rPr>
      </w:pPr>
    </w:p>
    <w:p>
      <w:pPr>
        <w:spacing w:line="240" w:lineRule="atLeast"/>
        <w:ind w:left="1080" w:leftChars="257" w:hanging="540"/>
        <w:rPr>
          <w:rFonts w:hint="eastAsia" w:ascii="宋体" w:hAnsi="宋体" w:eastAsia="宋体" w:cs="宋体"/>
          <w:b/>
          <w:color w:val="auto"/>
          <w:sz w:val="28"/>
          <w:highlight w:val="none"/>
        </w:rPr>
      </w:pPr>
    </w:p>
    <w:p>
      <w:pPr>
        <w:spacing w:line="240" w:lineRule="atLeast"/>
        <w:ind w:left="1080" w:leftChars="257" w:hanging="540"/>
        <w:rPr>
          <w:rFonts w:hint="eastAsia" w:ascii="宋体" w:hAnsi="宋体" w:eastAsia="宋体" w:cs="宋体"/>
          <w:b/>
          <w:color w:val="auto"/>
          <w:sz w:val="28"/>
          <w:highlight w:val="none"/>
        </w:rPr>
      </w:pPr>
    </w:p>
    <w:p>
      <w:pPr>
        <w:spacing w:line="240" w:lineRule="atLeast"/>
        <w:ind w:left="1080" w:leftChars="257" w:hanging="540"/>
        <w:jc w:val="center"/>
        <w:rPr>
          <w:rFonts w:hint="eastAsia" w:ascii="宋体" w:hAnsi="宋体" w:eastAsia="宋体" w:cs="宋体"/>
          <w:b/>
          <w:color w:val="auto"/>
          <w:sz w:val="52"/>
          <w:highlight w:val="none"/>
        </w:rPr>
      </w:pPr>
    </w:p>
    <w:p>
      <w:pPr>
        <w:spacing w:line="240" w:lineRule="atLeast"/>
        <w:ind w:left="1080" w:leftChars="257" w:hanging="540"/>
        <w:jc w:val="center"/>
        <w:rPr>
          <w:rFonts w:hint="eastAsia" w:ascii="宋体" w:hAnsi="宋体" w:eastAsia="宋体" w:cs="宋体"/>
          <w:b/>
          <w:color w:val="auto"/>
          <w:sz w:val="52"/>
          <w:highlight w:val="none"/>
        </w:rPr>
      </w:pPr>
    </w:p>
    <w:p>
      <w:pPr>
        <w:spacing w:line="240" w:lineRule="atLeast"/>
        <w:ind w:left="1080" w:leftChars="257" w:hanging="540"/>
        <w:jc w:val="center"/>
        <w:rPr>
          <w:rFonts w:hint="eastAsia" w:ascii="宋体" w:hAnsi="宋体" w:eastAsia="宋体" w:cs="宋体"/>
          <w:b/>
          <w:color w:val="auto"/>
          <w:sz w:val="52"/>
          <w:highlight w:val="none"/>
        </w:rPr>
      </w:pPr>
    </w:p>
    <w:p>
      <w:pPr>
        <w:pStyle w:val="3"/>
        <w:jc w:val="both"/>
        <w:rPr>
          <w:rFonts w:hint="eastAsia" w:ascii="宋体" w:hAnsi="宋体" w:eastAsia="宋体" w:cs="宋体"/>
          <w:color w:val="auto"/>
          <w:highlight w:val="none"/>
        </w:rPr>
        <w:sectPr>
          <w:pgSz w:w="11906" w:h="16838"/>
          <w:pgMar w:top="1440" w:right="1797" w:bottom="1440" w:left="1797" w:header="851" w:footer="992" w:gutter="0"/>
          <w:pgNumType w:fmt="decimal"/>
          <w:cols w:space="720" w:num="1"/>
          <w:docGrid w:linePitch="312" w:charSpace="0"/>
        </w:sectPr>
      </w:pPr>
    </w:p>
    <w:p>
      <w:pPr>
        <w:pStyle w:val="3"/>
        <w:tabs>
          <w:tab w:val="left" w:pos="0"/>
        </w:tabs>
        <w:spacing w:before="0" w:after="0" w:line="240" w:lineRule="atLeast"/>
        <w:jc w:val="center"/>
        <w:rPr>
          <w:rFonts w:hint="eastAsia" w:ascii="宋体" w:hAnsi="宋体" w:eastAsia="宋体" w:cs="宋体"/>
          <w:color w:val="auto"/>
          <w:highlight w:val="none"/>
        </w:rPr>
      </w:pPr>
      <w:bookmarkStart w:id="457" w:name="_Toc216582822"/>
      <w:bookmarkStart w:id="458" w:name="_Toc28765"/>
      <w:bookmarkStart w:id="459" w:name="_Toc218935350"/>
      <w:bookmarkStart w:id="460" w:name="_Toc16370"/>
      <w:bookmarkStart w:id="461" w:name="_Toc219175634"/>
      <w:bookmarkStart w:id="462" w:name="_Toc515647829"/>
      <w:bookmarkStart w:id="463" w:name="_Toc29715"/>
      <w:bookmarkStart w:id="464" w:name="_Toc507399902"/>
      <w:bookmarkStart w:id="465" w:name="_Toc2581"/>
      <w:r>
        <w:rPr>
          <w:rFonts w:hint="eastAsia" w:hAnsi="宋体" w:cs="宋体"/>
          <w:color w:val="auto"/>
          <w:highlight w:val="none"/>
          <w:lang w:val="en-US" w:eastAsia="zh-CN"/>
        </w:rPr>
        <w:t>第3章</w:t>
      </w:r>
      <w:r>
        <w:rPr>
          <w:rFonts w:hint="eastAsia" w:ascii="宋体" w:hAnsi="宋体" w:eastAsia="宋体" w:cs="宋体"/>
          <w:color w:val="auto"/>
          <w:highlight w:val="none"/>
        </w:rPr>
        <w:t xml:space="preserve"> 投标邀请</w:t>
      </w:r>
      <w:bookmarkEnd w:id="457"/>
      <w:bookmarkEnd w:id="458"/>
      <w:bookmarkEnd w:id="459"/>
      <w:bookmarkEnd w:id="460"/>
      <w:bookmarkEnd w:id="461"/>
      <w:bookmarkEnd w:id="462"/>
      <w:bookmarkEnd w:id="463"/>
      <w:bookmarkEnd w:id="464"/>
      <w:bookmarkEnd w:id="465"/>
      <w:bookmarkStart w:id="466" w:name="_Toc507399903"/>
      <w:bookmarkStart w:id="467" w:name="_Toc216582823"/>
      <w:bookmarkStart w:id="468" w:name="_Toc31583"/>
      <w:bookmarkStart w:id="469" w:name="_Toc515647830"/>
      <w:bookmarkStart w:id="470" w:name="_Toc512937850"/>
      <w:bookmarkStart w:id="471" w:name="_Toc5272"/>
      <w:bookmarkStart w:id="472" w:name="_Toc10488"/>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b/>
          <w:color w:val="auto"/>
          <w:kern w:val="44"/>
          <w:sz w:val="32"/>
          <w:szCs w:val="32"/>
          <w:highlight w:val="none"/>
          <w:lang w:eastAsia="zh-CN"/>
        </w:rPr>
      </w:pPr>
      <w:bookmarkStart w:id="473" w:name="_Toc803"/>
      <w:r>
        <w:rPr>
          <w:rFonts w:hint="eastAsia" w:ascii="宋体" w:hAnsi="宋体" w:cs="宋体"/>
          <w:b/>
          <w:color w:val="auto"/>
          <w:kern w:val="44"/>
          <w:sz w:val="32"/>
          <w:szCs w:val="32"/>
          <w:highlight w:val="none"/>
          <w:lang w:eastAsia="zh-CN"/>
        </w:rPr>
        <w:t>泽普县人民医院购置64排螺旋CT项目</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color w:val="auto"/>
          <w:kern w:val="44"/>
          <w:sz w:val="32"/>
          <w:szCs w:val="32"/>
          <w:highlight w:val="none"/>
        </w:rPr>
      </w:pPr>
      <w:r>
        <w:rPr>
          <w:rFonts w:hint="eastAsia" w:ascii="宋体" w:hAnsi="宋体" w:eastAsia="宋体" w:cs="宋体"/>
          <w:b/>
          <w:color w:val="auto"/>
          <w:kern w:val="44"/>
          <w:sz w:val="32"/>
          <w:szCs w:val="32"/>
          <w:highlight w:val="none"/>
        </w:rPr>
        <w:t>公开招标公告</w:t>
      </w:r>
      <w:bookmarkEnd w:id="473"/>
    </w:p>
    <w:tbl>
      <w:tblPr>
        <w:tblStyle w:val="2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ageBreakBefore w:val="0"/>
              <w:widowControl w:val="0"/>
              <w:kinsoku/>
              <w:wordWrap/>
              <w:overflowPunct/>
              <w:topLinePunct w:val="0"/>
              <w:bidi w:val="0"/>
              <w:snapToGrid/>
              <w:spacing w:line="360" w:lineRule="exact"/>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项目概况</w:t>
            </w:r>
          </w:p>
          <w:p>
            <w:pPr>
              <w:pageBreakBefore w:val="0"/>
              <w:widowControl w:val="0"/>
              <w:kinsoku/>
              <w:wordWrap/>
              <w:overflowPunct/>
              <w:topLinePunct w:val="0"/>
              <w:bidi w:val="0"/>
              <w:snapToGrid/>
              <w:spacing w:line="360" w:lineRule="exact"/>
              <w:ind w:left="0" w:leftChars="0" w:firstLine="480" w:firstLineChars="200"/>
              <w:textAlignment w:val="auto"/>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u w:val="single"/>
                <w:lang w:eastAsia="zh-CN"/>
              </w:rPr>
              <w:t>泽普县人民医院购置64排螺旋CT项目</w:t>
            </w:r>
            <w:r>
              <w:rPr>
                <w:rFonts w:hint="eastAsia" w:ascii="宋体" w:hAnsi="宋体" w:eastAsia="宋体" w:cs="宋体"/>
                <w:color w:val="auto"/>
                <w:sz w:val="24"/>
                <w:szCs w:val="24"/>
                <w:highlight w:val="none"/>
              </w:rPr>
              <w:t>的潜在</w:t>
            </w:r>
            <w:r>
              <w:rPr>
                <w:rFonts w:hint="eastAsia" w:ascii="宋体" w:hAnsi="宋体" w:eastAsia="宋体" w:cs="宋体"/>
                <w:color w:val="auto"/>
                <w:sz w:val="24"/>
                <w:szCs w:val="24"/>
                <w:highlight w:val="none"/>
                <w:lang w:val="en-US" w:eastAsia="zh-Hans"/>
              </w:rPr>
              <w:t>供应商应在</w:t>
            </w:r>
            <w:r>
              <w:rPr>
                <w:rFonts w:hint="eastAsia" w:ascii="宋体" w:hAnsi="宋体" w:eastAsia="宋体" w:cs="宋体"/>
                <w:color w:val="auto"/>
                <w:sz w:val="24"/>
                <w:szCs w:val="24"/>
                <w:highlight w:val="none"/>
                <w:u w:val="single"/>
                <w:lang w:val="en-US" w:eastAsia="zh-Hans"/>
              </w:rPr>
              <w:t>政采云平台</w:t>
            </w:r>
            <w:r>
              <w:rPr>
                <w:rFonts w:hint="eastAsia" w:ascii="宋体" w:hAnsi="宋体" w:eastAsia="宋体" w:cs="宋体"/>
                <w:color w:val="auto"/>
                <w:sz w:val="24"/>
                <w:szCs w:val="24"/>
                <w:highlight w:val="none"/>
                <w:lang w:val="en-US" w:eastAsia="zh-Hans"/>
              </w:rPr>
              <w:t>线上下载（供应商登陆政采云平台http://www.zcygov.cn/，在线申请获取采购文件（登录政府采购云平台 → 项目采购 → 获取采购文件 → 申请，审核通过后可下载招标文件，如有操作性问题，可与政采云在线客服进行咨询，咨询电话：400-881-7190））获取招标文件</w:t>
            </w:r>
            <w:r>
              <w:rPr>
                <w:rFonts w:hint="eastAsia" w:ascii="宋体" w:hAnsi="宋体" w:eastAsia="宋体" w:cs="宋体"/>
                <w:color w:val="auto"/>
                <w:sz w:val="24"/>
                <w:szCs w:val="24"/>
                <w:highlight w:val="none"/>
              </w:rPr>
              <w:t>，并于</w:t>
            </w:r>
            <w:r>
              <w:rPr>
                <w:rFonts w:hint="eastAsia" w:ascii="宋体" w:hAnsi="宋体" w:cs="宋体"/>
                <w:bCs/>
                <w:color w:val="auto"/>
                <w:sz w:val="24"/>
                <w:szCs w:val="24"/>
                <w:highlight w:val="none"/>
                <w:u w:val="single"/>
                <w:lang w:eastAsia="zh-CN"/>
              </w:rPr>
              <w:t>2022年7月8日11点00分</w:t>
            </w:r>
            <w:r>
              <w:rPr>
                <w:rFonts w:hint="eastAsia" w:ascii="宋体" w:hAnsi="宋体" w:eastAsia="宋体" w:cs="宋体"/>
                <w:bCs/>
                <w:color w:val="auto"/>
                <w:sz w:val="24"/>
                <w:szCs w:val="24"/>
                <w:highlight w:val="none"/>
                <w:u w:val="single"/>
              </w:rPr>
              <w:t>（北京时间）</w:t>
            </w:r>
            <w:r>
              <w:rPr>
                <w:rFonts w:hint="eastAsia" w:ascii="宋体" w:hAnsi="宋体" w:eastAsia="宋体" w:cs="宋体"/>
                <w:bCs/>
                <w:color w:val="auto"/>
                <w:sz w:val="24"/>
                <w:szCs w:val="24"/>
                <w:highlight w:val="none"/>
              </w:rPr>
              <w:t>前递交投标文件</w:t>
            </w:r>
            <w:r>
              <w:rPr>
                <w:rFonts w:hint="eastAsia" w:ascii="宋体" w:hAnsi="宋体" w:eastAsia="宋体" w:cs="宋体"/>
                <w:color w:val="auto"/>
                <w:sz w:val="24"/>
                <w:szCs w:val="24"/>
                <w:highlight w:val="none"/>
              </w:rPr>
              <w:t>。</w:t>
            </w:r>
          </w:p>
        </w:tc>
      </w:tr>
    </w:tbl>
    <w:p>
      <w:pPr>
        <w:pageBreakBefore w:val="0"/>
        <w:widowControl w:val="0"/>
        <w:kinsoku/>
        <w:wordWrap/>
        <w:overflowPunct/>
        <w:topLinePunct w:val="0"/>
        <w:bidi w:val="0"/>
        <w:snapToGrid/>
        <w:spacing w:line="360" w:lineRule="exact"/>
        <w:ind w:left="0" w:leftChars="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一、项目基本情况</w:t>
      </w:r>
    </w:p>
    <w:p>
      <w:pPr>
        <w:pageBreakBefore w:val="0"/>
        <w:widowControl w:val="0"/>
        <w:kinsoku/>
        <w:wordWrap/>
        <w:overflowPunct/>
        <w:topLinePunct w:val="0"/>
        <w:bidi w:val="0"/>
        <w:snapToGrid/>
        <w:spacing w:line="360" w:lineRule="exact"/>
        <w:ind w:left="1919" w:leftChars="228" w:hanging="1440" w:hangingChars="6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项目编号：</w:t>
      </w:r>
      <w:r>
        <w:rPr>
          <w:rFonts w:hint="eastAsia" w:ascii="宋体" w:hAnsi="宋体" w:eastAsia="宋体" w:cs="宋体"/>
          <w:color w:val="auto"/>
          <w:sz w:val="24"/>
          <w:szCs w:val="24"/>
          <w:highlight w:val="none"/>
          <w:lang w:val="en-US" w:eastAsia="zh-CN"/>
        </w:rPr>
        <w:t>ZPDL(2022)022</w:t>
      </w:r>
    </w:p>
    <w:p>
      <w:pPr>
        <w:pageBreakBefore w:val="0"/>
        <w:widowControl w:val="0"/>
        <w:kinsoku/>
        <w:wordWrap/>
        <w:overflowPunct/>
        <w:topLinePunct w:val="0"/>
        <w:bidi w:val="0"/>
        <w:snapToGrid/>
        <w:spacing w:line="360" w:lineRule="exact"/>
        <w:ind w:left="1919" w:leftChars="228" w:hanging="1440" w:hangingChars="6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项目名称：</w:t>
      </w:r>
      <w:r>
        <w:rPr>
          <w:rFonts w:hint="eastAsia" w:ascii="宋体" w:hAnsi="宋体" w:eastAsia="宋体" w:cs="宋体"/>
          <w:color w:val="auto"/>
          <w:sz w:val="24"/>
          <w:szCs w:val="24"/>
          <w:highlight w:val="none"/>
          <w:lang w:eastAsia="zh-CN"/>
        </w:rPr>
        <w:t>泽普县人民医院购置64排螺旋CT项目</w:t>
      </w:r>
    </w:p>
    <w:p>
      <w:pPr>
        <w:pageBreakBefore w:val="0"/>
        <w:widowControl w:val="0"/>
        <w:kinsoku/>
        <w:wordWrap/>
        <w:overflowPunct/>
        <w:topLinePunct w:val="0"/>
        <w:bidi w:val="0"/>
        <w:snapToGrid/>
        <w:spacing w:line="360" w:lineRule="exact"/>
        <w:ind w:left="0" w:leftChars="0"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3.采购方式：公开招标</w:t>
      </w:r>
    </w:p>
    <w:p>
      <w:pPr>
        <w:pageBreakBefore w:val="0"/>
        <w:widowControl w:val="0"/>
        <w:tabs>
          <w:tab w:val="center" w:pos="4153"/>
        </w:tabs>
        <w:kinsoku/>
        <w:wordWrap/>
        <w:overflowPunct/>
        <w:topLinePunct w:val="0"/>
        <w:bidi w:val="0"/>
        <w:snapToGrid/>
        <w:spacing w:line="360" w:lineRule="exact"/>
        <w:ind w:left="0" w:leftChars="0" w:firstLine="480" w:firstLineChars="200"/>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val="en-US" w:eastAsia="zh-CN"/>
        </w:rPr>
        <w:t>4.</w:t>
      </w:r>
      <w:r>
        <w:rPr>
          <w:rFonts w:hint="eastAsia" w:ascii="宋体" w:hAnsi="宋体" w:eastAsia="宋体" w:cs="宋体"/>
          <w:b w:val="0"/>
          <w:bCs w:val="0"/>
          <w:color w:val="auto"/>
          <w:sz w:val="24"/>
          <w:szCs w:val="24"/>
          <w:highlight w:val="none"/>
        </w:rPr>
        <w:t>预算金额：</w:t>
      </w:r>
      <w:r>
        <w:rPr>
          <w:rFonts w:hint="eastAsia" w:ascii="宋体" w:hAnsi="宋体" w:eastAsia="宋体" w:cs="宋体"/>
          <w:b w:val="0"/>
          <w:bCs w:val="0"/>
          <w:color w:val="auto"/>
          <w:sz w:val="24"/>
          <w:szCs w:val="24"/>
          <w:highlight w:val="none"/>
          <w:lang w:val="en-US" w:eastAsia="zh-CN"/>
        </w:rPr>
        <w:t>700万</w:t>
      </w:r>
      <w:r>
        <w:rPr>
          <w:rFonts w:hint="eastAsia" w:ascii="宋体" w:hAnsi="宋体" w:eastAsia="宋体" w:cs="宋体"/>
          <w:b w:val="0"/>
          <w:bCs w:val="0"/>
          <w:color w:val="auto"/>
          <w:sz w:val="24"/>
          <w:szCs w:val="24"/>
          <w:highlight w:val="none"/>
        </w:rPr>
        <w:t>元</w:t>
      </w:r>
      <w:r>
        <w:rPr>
          <w:rFonts w:hint="eastAsia" w:ascii="宋体" w:hAnsi="宋体" w:eastAsia="宋体" w:cs="宋体"/>
          <w:b w:val="0"/>
          <w:bCs w:val="0"/>
          <w:color w:val="auto"/>
          <w:sz w:val="24"/>
          <w:szCs w:val="24"/>
          <w:highlight w:val="none"/>
          <w:lang w:eastAsia="zh-CN"/>
        </w:rPr>
        <w:tab/>
      </w:r>
    </w:p>
    <w:p>
      <w:pPr>
        <w:pageBreakBefore w:val="0"/>
        <w:widowControl w:val="0"/>
        <w:kinsoku/>
        <w:wordWrap/>
        <w:overflowPunct/>
        <w:topLinePunct w:val="0"/>
        <w:bidi w:val="0"/>
        <w:snapToGrid/>
        <w:spacing w:line="360" w:lineRule="exact"/>
        <w:ind w:left="0" w:lef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采购需求：64排螺旋CT</w:t>
      </w:r>
      <w:r>
        <w:rPr>
          <w:rFonts w:hint="eastAsia" w:ascii="宋体" w:hAnsi="宋体" w:eastAsia="宋体" w:cs="宋体"/>
          <w:color w:val="auto"/>
          <w:sz w:val="24"/>
          <w:szCs w:val="24"/>
          <w:highlight w:val="none"/>
          <w:lang w:val="en-US" w:eastAsia="zh-CN"/>
        </w:rPr>
        <w:t>(国产)。（具体详细参数详见招标文件）</w:t>
      </w:r>
    </w:p>
    <w:p>
      <w:pPr>
        <w:pageBreakBefore w:val="0"/>
        <w:widowControl w:val="0"/>
        <w:kinsoku/>
        <w:wordWrap/>
        <w:overflowPunct/>
        <w:topLinePunct w:val="0"/>
        <w:bidi w:val="0"/>
        <w:snapToGrid/>
        <w:spacing w:line="360" w:lineRule="exact"/>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本项目不接受联合体投标。</w:t>
      </w:r>
    </w:p>
    <w:p>
      <w:pPr>
        <w:pageBreakBefore w:val="0"/>
        <w:widowControl w:val="0"/>
        <w:kinsoku/>
        <w:wordWrap/>
        <w:overflowPunct/>
        <w:topLinePunct w:val="0"/>
        <w:bidi w:val="0"/>
        <w:snapToGrid/>
        <w:spacing w:line="360" w:lineRule="exact"/>
        <w:ind w:left="0" w:leftChars="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二、申请人资格要求</w:t>
      </w:r>
    </w:p>
    <w:p>
      <w:pPr>
        <w:pageBreakBefore w:val="0"/>
        <w:widowControl w:val="0"/>
        <w:kinsoku/>
        <w:wordWrap/>
        <w:overflowPunct/>
        <w:topLinePunct w:val="0"/>
        <w:bidi w:val="0"/>
        <w:snapToGrid/>
        <w:spacing w:line="360" w:lineRule="exact"/>
        <w:ind w:left="0" w:leftChars="0" w:firstLine="480" w:firstLineChars="200"/>
        <w:textAlignment w:val="auto"/>
        <w:rPr>
          <w:rFonts w:hint="eastAsia" w:ascii="宋体" w:hAnsi="宋体" w:eastAsia="宋体" w:cs="宋体"/>
          <w:b w:val="0"/>
          <w:bCs w:val="0"/>
          <w:color w:val="auto"/>
          <w:sz w:val="24"/>
          <w:szCs w:val="24"/>
          <w:highlight w:val="none"/>
          <w:lang w:val="en-US" w:eastAsia="zh-CN"/>
        </w:rPr>
      </w:pPr>
      <w:bookmarkStart w:id="474" w:name="_Toc28359008"/>
      <w:bookmarkStart w:id="475" w:name="_Toc35393627"/>
      <w:bookmarkStart w:id="476" w:name="_Toc28359085"/>
      <w:bookmarkStart w:id="477" w:name="_Toc35393796"/>
      <w:r>
        <w:rPr>
          <w:rFonts w:hint="eastAsia" w:ascii="宋体" w:hAnsi="宋体" w:eastAsia="宋体" w:cs="宋体"/>
          <w:b w:val="0"/>
          <w:bCs w:val="0"/>
          <w:color w:val="auto"/>
          <w:sz w:val="24"/>
          <w:szCs w:val="24"/>
          <w:highlight w:val="none"/>
          <w:lang w:val="en-US" w:eastAsia="zh-CN"/>
        </w:rPr>
        <w:t>1.满足《中华人民共和国政府采购法》第二十二条规定；</w:t>
      </w:r>
    </w:p>
    <w:p>
      <w:pPr>
        <w:pageBreakBefore w:val="0"/>
        <w:widowControl w:val="0"/>
        <w:kinsoku/>
        <w:wordWrap/>
        <w:overflowPunct/>
        <w:topLinePunct w:val="0"/>
        <w:bidi w:val="0"/>
        <w:snapToGrid/>
        <w:spacing w:line="360" w:lineRule="exact"/>
        <w:ind w:left="0" w:leftChars="0"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2.具有有效的独立法人营业执照；</w:t>
      </w:r>
    </w:p>
    <w:p>
      <w:pPr>
        <w:pageBreakBefore w:val="0"/>
        <w:widowControl w:val="0"/>
        <w:kinsoku/>
        <w:wordWrap/>
        <w:overflowPunct/>
        <w:topLinePunct w:val="0"/>
        <w:bidi w:val="0"/>
        <w:snapToGrid/>
        <w:spacing w:line="360" w:lineRule="exact"/>
        <w:ind w:left="0" w:leftChars="0"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3.提供有效的《医疗器械生产许可证》及《医疗器械经营许可证》（二类医疗器械须提供医疗器械备案凭证及医疗器械注册证）；</w:t>
      </w:r>
    </w:p>
    <w:p>
      <w:pPr>
        <w:pageBreakBefore w:val="0"/>
        <w:widowControl w:val="0"/>
        <w:kinsoku/>
        <w:wordWrap/>
        <w:overflowPunct/>
        <w:topLinePunct w:val="0"/>
        <w:bidi w:val="0"/>
        <w:snapToGrid/>
        <w:spacing w:line="360" w:lineRule="exact"/>
        <w:ind w:left="0" w:leftChars="0"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4.法人代表身份证明及授权书、被授权人身份证；(法人投标需提供法人身份证复印件)；</w:t>
      </w:r>
    </w:p>
    <w:p>
      <w:pPr>
        <w:pageBreakBefore w:val="0"/>
        <w:widowControl w:val="0"/>
        <w:kinsoku/>
        <w:wordWrap/>
        <w:overflowPunct/>
        <w:topLinePunct w:val="0"/>
        <w:bidi w:val="0"/>
        <w:snapToGrid/>
        <w:spacing w:line="360" w:lineRule="exact"/>
        <w:ind w:left="0" w:leftChars="0"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5.</w:t>
      </w:r>
      <w:bookmarkEnd w:id="474"/>
      <w:bookmarkEnd w:id="475"/>
      <w:bookmarkEnd w:id="476"/>
      <w:bookmarkEnd w:id="477"/>
      <w:r>
        <w:rPr>
          <w:rFonts w:hint="eastAsia" w:ascii="宋体" w:hAnsi="宋体" w:eastAsia="宋体" w:cs="宋体"/>
          <w:b w:val="0"/>
          <w:bCs w:val="0"/>
          <w:color w:val="auto"/>
          <w:sz w:val="24"/>
          <w:szCs w:val="24"/>
          <w:highlight w:val="none"/>
          <w:lang w:val="en-US" w:eastAsia="zh-CN"/>
        </w:rPr>
        <w:t>依法缴纳最近6个月中任意1个月的社会保险的凭据；</w:t>
      </w:r>
    </w:p>
    <w:p>
      <w:pPr>
        <w:pageBreakBefore w:val="0"/>
        <w:widowControl w:val="0"/>
        <w:kinsoku/>
        <w:wordWrap/>
        <w:overflowPunct/>
        <w:topLinePunct w:val="0"/>
        <w:bidi w:val="0"/>
        <w:snapToGrid/>
        <w:spacing w:line="360" w:lineRule="exact"/>
        <w:ind w:left="0" w:leftChars="0"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 xml:space="preserve">6.税务部门出具的最近6个月中任意1个月的完税证明； </w:t>
      </w:r>
    </w:p>
    <w:p>
      <w:pPr>
        <w:pageBreakBefore w:val="0"/>
        <w:widowControl w:val="0"/>
        <w:kinsoku/>
        <w:wordWrap/>
        <w:overflowPunct/>
        <w:topLinePunct w:val="0"/>
        <w:bidi w:val="0"/>
        <w:snapToGrid/>
        <w:spacing w:line="360" w:lineRule="exact"/>
        <w:ind w:left="0" w:leftChars="0"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7.近两年任意一年的财务审计报告；</w:t>
      </w:r>
    </w:p>
    <w:p>
      <w:pPr>
        <w:pageBreakBefore w:val="0"/>
        <w:widowControl w:val="0"/>
        <w:kinsoku/>
        <w:wordWrap/>
        <w:overflowPunct/>
        <w:topLinePunct w:val="0"/>
        <w:bidi w:val="0"/>
        <w:snapToGrid/>
        <w:spacing w:line="360" w:lineRule="exact"/>
        <w:ind w:left="0" w:leftChars="0"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8.根据《财政部关于在政府采购活动中查询及使用信用记录有关问题的通知》（财库﹝2016﹞125号）的要求，凡拟参加本次招标项目的供应商，如在“信用中国”网站（ www.creditchina.gov.cn） 被列入失信被执行人、重大税收违法案件当事人名单(信用服务-失信惩戒对象查询-搜索栏输入单位全称-截图)、中国政府采购网（http://www.ccgp.gov.cn/search/cr/）严重违法失信行为记录名单的（尚在处罚期内的），“国家企业信用信息公示系统（http://www.gsxt.gov.cn）”列入严重违法失信企业名单（黑名单）信息及企业信用信息公示报告；将拒绝其参加本次招标活动；（以招标代理或采购人查询为准）</w:t>
      </w:r>
    </w:p>
    <w:p>
      <w:pPr>
        <w:pageBreakBefore w:val="0"/>
        <w:widowControl w:val="0"/>
        <w:kinsoku/>
        <w:wordWrap/>
        <w:overflowPunct/>
        <w:topLinePunct w:val="0"/>
        <w:bidi w:val="0"/>
        <w:snapToGrid/>
        <w:spacing w:line="360" w:lineRule="exact"/>
        <w:ind w:left="0" w:leftChars="0"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9.参与政府采购活动前3年内未被列入失信、重大税收违法案件、财政部门禁止参加政府采购活动的承诺书；</w:t>
      </w:r>
    </w:p>
    <w:p>
      <w:pPr>
        <w:pageBreakBefore w:val="0"/>
        <w:widowControl w:val="0"/>
        <w:kinsoku/>
        <w:wordWrap/>
        <w:overflowPunct/>
        <w:topLinePunct w:val="0"/>
        <w:bidi w:val="0"/>
        <w:snapToGrid/>
        <w:spacing w:line="360" w:lineRule="exact"/>
        <w:ind w:left="0" w:leftChars="0"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10.提供针对本次项目《反商业贿赂承诺书》。</w:t>
      </w:r>
    </w:p>
    <w:p>
      <w:pPr>
        <w:pageBreakBefore w:val="0"/>
        <w:widowControl w:val="0"/>
        <w:kinsoku/>
        <w:wordWrap/>
        <w:overflowPunct/>
        <w:topLinePunct w:val="0"/>
        <w:bidi w:val="0"/>
        <w:snapToGrid/>
        <w:spacing w:line="360" w:lineRule="exact"/>
        <w:ind w:left="0" w:leftChars="0"/>
        <w:textAlignment w:val="auto"/>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rPr>
        <w:t>三、获取</w:t>
      </w:r>
      <w:r>
        <w:rPr>
          <w:rFonts w:hint="eastAsia" w:ascii="宋体" w:hAnsi="宋体" w:cs="宋体"/>
          <w:b/>
          <w:bCs/>
          <w:color w:val="auto"/>
          <w:sz w:val="24"/>
          <w:szCs w:val="24"/>
          <w:highlight w:val="none"/>
          <w:lang w:val="en-US" w:eastAsia="zh-CN"/>
        </w:rPr>
        <w:t>招标文件</w:t>
      </w:r>
    </w:p>
    <w:p>
      <w:pPr>
        <w:pageBreakBefore w:val="0"/>
        <w:widowControl w:val="0"/>
        <w:kinsoku/>
        <w:wordWrap/>
        <w:overflowPunct/>
        <w:topLinePunct w:val="0"/>
        <w:bidi w:val="0"/>
        <w:snapToGrid/>
        <w:spacing w:line="360" w:lineRule="exact"/>
        <w:ind w:firstLine="480" w:firstLineChars="200"/>
        <w:textAlignment w:val="auto"/>
        <w:rPr>
          <w:rFonts w:hint="eastAsia" w:ascii="宋体" w:hAnsi="宋体" w:eastAsia="宋体" w:cs="宋体"/>
          <w:color w:val="auto"/>
          <w:sz w:val="24"/>
          <w:szCs w:val="24"/>
          <w:highlight w:val="none"/>
        </w:rPr>
      </w:pPr>
      <w:bookmarkStart w:id="478" w:name="_Toc22090"/>
      <w:r>
        <w:rPr>
          <w:rFonts w:hint="eastAsia" w:ascii="宋体" w:hAnsi="宋体" w:cs="宋体"/>
          <w:color w:val="auto"/>
          <w:sz w:val="24"/>
          <w:szCs w:val="24"/>
          <w:highlight w:val="none"/>
          <w:lang w:val="en-US" w:eastAsia="zh-CN"/>
        </w:rPr>
        <w:t>获取</w:t>
      </w:r>
      <w:r>
        <w:rPr>
          <w:rFonts w:hint="eastAsia" w:ascii="宋体" w:hAnsi="宋体" w:eastAsia="宋体" w:cs="宋体"/>
          <w:color w:val="auto"/>
          <w:sz w:val="24"/>
          <w:szCs w:val="24"/>
          <w:highlight w:val="none"/>
          <w:lang w:val="en-US" w:eastAsia="zh-CN"/>
        </w:rPr>
        <w:t>时间：2022年6月</w:t>
      </w:r>
      <w:r>
        <w:rPr>
          <w:rFonts w:hint="eastAsia" w:ascii="宋体" w:hAnsi="宋体" w:cs="宋体"/>
          <w:color w:val="auto"/>
          <w:sz w:val="24"/>
          <w:szCs w:val="24"/>
          <w:highlight w:val="none"/>
          <w:lang w:val="en-US" w:eastAsia="zh-CN"/>
        </w:rPr>
        <w:t>18</w:t>
      </w:r>
      <w:r>
        <w:rPr>
          <w:rFonts w:hint="eastAsia" w:ascii="宋体" w:hAnsi="宋体" w:eastAsia="宋体" w:cs="宋体"/>
          <w:color w:val="auto"/>
          <w:sz w:val="24"/>
          <w:szCs w:val="24"/>
          <w:highlight w:val="none"/>
          <w:lang w:val="en-US" w:eastAsia="zh-CN"/>
        </w:rPr>
        <w:t>日至2022年6月</w:t>
      </w:r>
      <w:r>
        <w:rPr>
          <w:rFonts w:hint="eastAsia" w:ascii="宋体" w:hAnsi="宋体" w:cs="宋体"/>
          <w:color w:val="auto"/>
          <w:sz w:val="24"/>
          <w:szCs w:val="24"/>
          <w:highlight w:val="none"/>
          <w:lang w:val="en-US" w:eastAsia="zh-CN"/>
        </w:rPr>
        <w:t>25</w:t>
      </w:r>
      <w:r>
        <w:rPr>
          <w:rFonts w:hint="eastAsia" w:ascii="宋体" w:hAnsi="宋体" w:eastAsia="宋体" w:cs="宋体"/>
          <w:color w:val="auto"/>
          <w:sz w:val="24"/>
          <w:szCs w:val="24"/>
          <w:highlight w:val="none"/>
          <w:lang w:val="en-US" w:eastAsia="zh-CN"/>
        </w:rPr>
        <w:t>日，每天上午10:00至14:00，下午16:00</w:t>
      </w:r>
      <w:r>
        <w:rPr>
          <w:rFonts w:hint="eastAsia" w:ascii="宋体" w:hAnsi="宋体" w:eastAsia="宋体" w:cs="宋体"/>
          <w:color w:val="auto"/>
          <w:sz w:val="24"/>
          <w:szCs w:val="24"/>
          <w:highlight w:val="none"/>
        </w:rPr>
        <w:t>至</w:t>
      </w:r>
      <w:r>
        <w:rPr>
          <w:rFonts w:hint="eastAsia" w:ascii="宋体" w:hAnsi="宋体" w:eastAsia="宋体" w:cs="宋体"/>
          <w:color w:val="auto"/>
          <w:sz w:val="24"/>
          <w:szCs w:val="24"/>
          <w:highlight w:val="none"/>
          <w:lang w:val="en-US" w:eastAsia="zh-CN"/>
        </w:rPr>
        <w:t>20</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00</w:t>
      </w:r>
      <w:r>
        <w:rPr>
          <w:rFonts w:hint="eastAsia" w:ascii="宋体" w:hAnsi="宋体" w:eastAsia="宋体" w:cs="宋体"/>
          <w:color w:val="auto"/>
          <w:sz w:val="24"/>
          <w:szCs w:val="24"/>
          <w:highlight w:val="none"/>
        </w:rPr>
        <w:t>（北京时间，法定节假日除外）</w:t>
      </w:r>
    </w:p>
    <w:p>
      <w:pPr>
        <w:pageBreakBefore w:val="0"/>
        <w:widowControl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获取方式：供应商登陆政采云平台http://www.zcygov.cn/，在线申请获取采购文件（登录政府采购云平台 → 项目采购 → 获取采购文件 → 申请，审核通过后可下载招标文件，如有操作性问题，可与政采云在线客服进行咨询，咨询电话：400-881-7190）</w:t>
      </w:r>
    </w:p>
    <w:p>
      <w:pPr>
        <w:pageBreakBefore w:val="0"/>
        <w:widowControl w:val="0"/>
        <w:kinsoku/>
        <w:wordWrap/>
        <w:overflowPunct/>
        <w:topLinePunct w:val="0"/>
        <w:bidi w:val="0"/>
        <w:snapToGrid/>
        <w:spacing w:line="36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bidi="ar-SA"/>
        </w:rPr>
        <w:t xml:space="preserve">获取地点：政采云平台（https://login.zcygov.cn/user-login/#/login） </w:t>
      </w:r>
      <w:r>
        <w:rPr>
          <w:rFonts w:hint="eastAsia" w:ascii="宋体" w:hAnsi="宋体" w:eastAsia="宋体" w:cs="宋体"/>
          <w:color w:val="auto"/>
          <w:sz w:val="24"/>
          <w:szCs w:val="24"/>
          <w:highlight w:val="none"/>
          <w:lang w:val="en-US" w:eastAsia="zh-CN"/>
        </w:rPr>
        <w:t xml:space="preserve"> </w:t>
      </w:r>
    </w:p>
    <w:p>
      <w:pPr>
        <w:keepNext/>
        <w:keepLines/>
        <w:pageBreakBefore w:val="0"/>
        <w:widowControl w:val="0"/>
        <w:kinsoku/>
        <w:wordWrap/>
        <w:overflowPunct/>
        <w:topLinePunct w:val="0"/>
        <w:autoSpaceDE w:val="0"/>
        <w:autoSpaceDN w:val="0"/>
        <w:bidi w:val="0"/>
        <w:adjustRightInd w:val="0"/>
        <w:snapToGrid/>
        <w:spacing w:line="360" w:lineRule="exact"/>
        <w:ind w:left="0" w:leftChars="0"/>
        <w:textAlignment w:val="auto"/>
        <w:outlineLvl w:val="1"/>
        <w:rPr>
          <w:rFonts w:hint="eastAsia" w:ascii="宋体" w:hAnsi="宋体" w:eastAsia="宋体" w:cs="宋体"/>
          <w:b/>
          <w:bCs/>
          <w:color w:val="auto"/>
          <w:kern w:val="0"/>
          <w:sz w:val="24"/>
          <w:szCs w:val="24"/>
          <w:highlight w:val="none"/>
        </w:rPr>
      </w:pPr>
      <w:bookmarkStart w:id="479" w:name="_Toc14916"/>
      <w:bookmarkStart w:id="480" w:name="_Toc2551"/>
      <w:bookmarkStart w:id="481" w:name="_Toc15808"/>
      <w:bookmarkStart w:id="482" w:name="_Toc24023"/>
      <w:bookmarkStart w:id="483" w:name="_Toc18774"/>
      <w:bookmarkStart w:id="484" w:name="_Toc13469"/>
      <w:r>
        <w:rPr>
          <w:rFonts w:hint="eastAsia" w:ascii="宋体" w:hAnsi="宋体" w:eastAsia="宋体" w:cs="宋体"/>
          <w:b/>
          <w:bCs/>
          <w:color w:val="auto"/>
          <w:kern w:val="0"/>
          <w:sz w:val="24"/>
          <w:szCs w:val="24"/>
          <w:highlight w:val="none"/>
        </w:rPr>
        <w:t>四、</w:t>
      </w:r>
      <w:bookmarkStart w:id="485" w:name="_Toc28359093"/>
      <w:bookmarkStart w:id="486" w:name="_Toc28359016"/>
      <w:bookmarkStart w:id="487" w:name="_Toc35393802"/>
      <w:bookmarkStart w:id="488" w:name="_Toc35393633"/>
      <w:r>
        <w:rPr>
          <w:rFonts w:hint="eastAsia" w:ascii="宋体" w:hAnsi="宋体" w:eastAsia="宋体" w:cs="宋体"/>
          <w:b/>
          <w:bCs/>
          <w:color w:val="auto"/>
          <w:kern w:val="0"/>
          <w:sz w:val="24"/>
          <w:szCs w:val="24"/>
          <w:highlight w:val="none"/>
        </w:rPr>
        <w:t>提交投标文件截止时间、开标时间和地点</w:t>
      </w:r>
      <w:bookmarkEnd w:id="478"/>
      <w:bookmarkEnd w:id="479"/>
      <w:bookmarkEnd w:id="480"/>
      <w:bookmarkEnd w:id="481"/>
      <w:bookmarkEnd w:id="482"/>
      <w:bookmarkEnd w:id="483"/>
      <w:bookmarkEnd w:id="484"/>
    </w:p>
    <w:p>
      <w:pPr>
        <w:pageBreakBefore w:val="0"/>
        <w:widowControl w:val="0"/>
        <w:kinsoku/>
        <w:wordWrap/>
        <w:overflowPunct/>
        <w:topLinePunct w:val="0"/>
        <w:bidi w:val="0"/>
        <w:snapToGrid/>
        <w:spacing w:line="360" w:lineRule="exact"/>
        <w:ind w:left="0" w:leftChars="0" w:firstLine="54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时间：</w:t>
      </w:r>
      <w:r>
        <w:rPr>
          <w:rFonts w:hint="eastAsia" w:ascii="宋体" w:hAnsi="宋体" w:cs="宋体"/>
          <w:color w:val="auto"/>
          <w:sz w:val="24"/>
          <w:szCs w:val="24"/>
          <w:highlight w:val="none"/>
          <w:lang w:eastAsia="zh-CN"/>
        </w:rPr>
        <w:t>2022年7月8日11点00分</w:t>
      </w:r>
      <w:r>
        <w:rPr>
          <w:rFonts w:hint="eastAsia" w:ascii="宋体" w:hAnsi="宋体" w:eastAsia="宋体" w:cs="宋体"/>
          <w:color w:val="auto"/>
          <w:sz w:val="24"/>
          <w:szCs w:val="24"/>
          <w:highlight w:val="none"/>
        </w:rPr>
        <w:t>（北京时间）</w:t>
      </w:r>
    </w:p>
    <w:p>
      <w:pPr>
        <w:pageBreakBefore w:val="0"/>
        <w:widowControl w:val="0"/>
        <w:kinsoku/>
        <w:wordWrap/>
        <w:overflowPunct/>
        <w:topLinePunct w:val="0"/>
        <w:bidi w:val="0"/>
        <w:snapToGrid/>
        <w:spacing w:line="360" w:lineRule="exact"/>
        <w:ind w:left="0" w:leftChars="0" w:firstLine="480" w:firstLineChars="200"/>
        <w:textAlignment w:val="auto"/>
        <w:rPr>
          <w:rFonts w:hint="eastAsia" w:ascii="宋体" w:hAnsi="宋体" w:eastAsia="宋体" w:cs="宋体"/>
          <w:color w:val="auto"/>
          <w:sz w:val="24"/>
          <w:szCs w:val="24"/>
          <w:highlight w:val="none"/>
        </w:rPr>
      </w:pPr>
      <w:bookmarkStart w:id="489" w:name="_Toc3737"/>
      <w:bookmarkStart w:id="490" w:name="_Toc22266"/>
      <w:bookmarkStart w:id="491" w:name="_Toc27810"/>
      <w:bookmarkStart w:id="492" w:name="_Toc26431"/>
      <w:r>
        <w:rPr>
          <w:rFonts w:hint="eastAsia" w:ascii="宋体" w:hAnsi="宋体" w:eastAsia="宋体" w:cs="宋体"/>
          <w:color w:val="auto"/>
          <w:sz w:val="24"/>
          <w:szCs w:val="24"/>
          <w:highlight w:val="none"/>
        </w:rPr>
        <w:t>地点：</w:t>
      </w:r>
      <w:bookmarkEnd w:id="489"/>
      <w:bookmarkEnd w:id="490"/>
      <w:bookmarkEnd w:id="491"/>
      <w:bookmarkEnd w:id="492"/>
      <w:r>
        <w:rPr>
          <w:rFonts w:hint="eastAsia" w:ascii="宋体" w:hAnsi="宋体" w:eastAsia="宋体" w:cs="宋体"/>
          <w:b w:val="0"/>
          <w:bCs w:val="0"/>
          <w:color w:val="auto"/>
          <w:kern w:val="2"/>
          <w:sz w:val="24"/>
          <w:szCs w:val="24"/>
          <w:highlight w:val="none"/>
          <w:lang w:val="en-US" w:eastAsia="zh-CN" w:bidi="ar-SA"/>
        </w:rPr>
        <w:t xml:space="preserve">喀什经济开发区深圳城3号楼12层1204 </w:t>
      </w:r>
    </w:p>
    <w:p>
      <w:pPr>
        <w:pageBreakBefore w:val="0"/>
        <w:widowControl w:val="0"/>
        <w:kinsoku/>
        <w:wordWrap/>
        <w:overflowPunct/>
        <w:topLinePunct w:val="0"/>
        <w:bidi w:val="0"/>
        <w:snapToGrid/>
        <w:spacing w:line="360" w:lineRule="exact"/>
        <w:ind w:left="0" w:leftChars="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五、</w:t>
      </w:r>
      <w:bookmarkEnd w:id="485"/>
      <w:bookmarkEnd w:id="486"/>
      <w:bookmarkEnd w:id="487"/>
      <w:bookmarkEnd w:id="488"/>
      <w:bookmarkStart w:id="493" w:name="_Toc35393634"/>
      <w:bookmarkStart w:id="494" w:name="_Toc28359017"/>
      <w:bookmarkStart w:id="495" w:name="_Toc28359094"/>
      <w:bookmarkStart w:id="496" w:name="_Toc35393803"/>
      <w:r>
        <w:rPr>
          <w:rFonts w:hint="eastAsia" w:ascii="宋体" w:hAnsi="宋体" w:eastAsia="宋体" w:cs="宋体"/>
          <w:b/>
          <w:bCs/>
          <w:color w:val="auto"/>
          <w:sz w:val="24"/>
          <w:szCs w:val="24"/>
          <w:highlight w:val="none"/>
        </w:rPr>
        <w:t>公告期限</w:t>
      </w:r>
      <w:bookmarkEnd w:id="493"/>
      <w:bookmarkEnd w:id="494"/>
      <w:bookmarkEnd w:id="495"/>
      <w:bookmarkEnd w:id="496"/>
    </w:p>
    <w:p>
      <w:pPr>
        <w:pageBreakBefore w:val="0"/>
        <w:widowControl w:val="0"/>
        <w:kinsoku/>
        <w:wordWrap/>
        <w:overflowPunct/>
        <w:topLinePunct w:val="0"/>
        <w:bidi w:val="0"/>
        <w:snapToGrid/>
        <w:spacing w:line="360" w:lineRule="exact"/>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自本公告发布之日起5个工作日。</w:t>
      </w:r>
    </w:p>
    <w:p>
      <w:pPr>
        <w:pageBreakBefore w:val="0"/>
        <w:widowControl w:val="0"/>
        <w:kinsoku/>
        <w:wordWrap/>
        <w:overflowPunct/>
        <w:topLinePunct w:val="0"/>
        <w:bidi w:val="0"/>
        <w:snapToGrid/>
        <w:spacing w:line="360" w:lineRule="exact"/>
        <w:ind w:left="0" w:leftChars="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六、</w:t>
      </w:r>
      <w:r>
        <w:rPr>
          <w:rFonts w:hint="eastAsia" w:ascii="宋体" w:hAnsi="宋体" w:eastAsia="宋体" w:cs="宋体"/>
          <w:b/>
          <w:bCs/>
          <w:color w:val="auto"/>
          <w:sz w:val="24"/>
          <w:szCs w:val="24"/>
          <w:highlight w:val="none"/>
        </w:rPr>
        <w:t>对本次招标提出询问，请按以下方式联系</w:t>
      </w:r>
    </w:p>
    <w:p>
      <w:pPr>
        <w:pageBreakBefore w:val="0"/>
        <w:widowControl w:val="0"/>
        <w:kinsoku/>
        <w:wordWrap/>
        <w:overflowPunct/>
        <w:topLinePunct w:val="0"/>
        <w:bidi w:val="0"/>
        <w:snapToGrid/>
        <w:spacing w:line="360" w:lineRule="exact"/>
        <w:ind w:left="0" w:leftChars="0" w:firstLine="480" w:firstLineChars="200"/>
        <w:textAlignment w:val="auto"/>
        <w:rPr>
          <w:rFonts w:hint="eastAsia" w:ascii="宋体" w:hAnsi="宋体" w:eastAsia="宋体" w:cs="宋体"/>
          <w:color w:val="auto"/>
          <w:sz w:val="24"/>
          <w:szCs w:val="24"/>
          <w:highlight w:val="none"/>
        </w:rPr>
      </w:pPr>
      <w:bookmarkStart w:id="497" w:name="_Toc28359019"/>
      <w:bookmarkStart w:id="498" w:name="_Toc28359096"/>
      <w:bookmarkStart w:id="499" w:name="_Toc35393637"/>
      <w:bookmarkStart w:id="500" w:name="_Toc35393806"/>
      <w:bookmarkStart w:id="501" w:name="_Toc28359020"/>
      <w:bookmarkStart w:id="502" w:name="_Toc35393807"/>
      <w:bookmarkStart w:id="503" w:name="_Toc28359097"/>
      <w:bookmarkStart w:id="504" w:name="_Toc35393638"/>
      <w:bookmarkStart w:id="505" w:name="_Toc28359087"/>
      <w:bookmarkStart w:id="506" w:name="_Toc28359010"/>
      <w:r>
        <w:rPr>
          <w:rFonts w:hint="eastAsia" w:ascii="宋体" w:hAnsi="宋体" w:eastAsia="宋体" w:cs="宋体"/>
          <w:color w:val="auto"/>
          <w:sz w:val="24"/>
          <w:szCs w:val="24"/>
          <w:highlight w:val="none"/>
        </w:rPr>
        <w:t>1.采购人信息</w:t>
      </w:r>
      <w:bookmarkEnd w:id="497"/>
      <w:bookmarkEnd w:id="498"/>
      <w:bookmarkEnd w:id="499"/>
      <w:bookmarkEnd w:id="500"/>
    </w:p>
    <w:p>
      <w:pPr>
        <w:pageBreakBefore w:val="0"/>
        <w:widowControl w:val="0"/>
        <w:kinsoku/>
        <w:wordWrap/>
        <w:overflowPunct/>
        <w:topLinePunct w:val="0"/>
        <w:bidi w:val="0"/>
        <w:snapToGrid/>
        <w:spacing w:line="360" w:lineRule="exact"/>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名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称：泽普县人民医院</w:t>
      </w:r>
    </w:p>
    <w:p>
      <w:pPr>
        <w:pageBreakBefore w:val="0"/>
        <w:widowControl w:val="0"/>
        <w:kinsoku/>
        <w:wordWrap/>
        <w:overflowPunct/>
        <w:topLinePunct w:val="0"/>
        <w:bidi w:val="0"/>
        <w:snapToGrid/>
        <w:spacing w:line="360" w:lineRule="exact"/>
        <w:ind w:left="0" w:lef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地    址：</w:t>
      </w:r>
      <w:r>
        <w:rPr>
          <w:rFonts w:hint="eastAsia" w:ascii="宋体" w:hAnsi="宋体" w:eastAsia="宋体" w:cs="宋体"/>
          <w:color w:val="auto"/>
          <w:sz w:val="24"/>
          <w:szCs w:val="24"/>
          <w:highlight w:val="none"/>
        </w:rPr>
        <w:t>泽普县团结西路13号</w:t>
      </w:r>
    </w:p>
    <w:p>
      <w:pPr>
        <w:pageBreakBefore w:val="0"/>
        <w:widowControl w:val="0"/>
        <w:kinsoku/>
        <w:wordWrap/>
        <w:overflowPunct/>
        <w:topLinePunct w:val="0"/>
        <w:bidi w:val="0"/>
        <w:snapToGrid/>
        <w:spacing w:line="360" w:lineRule="exact"/>
        <w:ind w:left="0" w:lef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联</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系</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人：</w:t>
      </w:r>
      <w:r>
        <w:rPr>
          <w:rFonts w:hint="eastAsia" w:ascii="宋体" w:hAnsi="宋体" w:eastAsia="宋体" w:cs="宋体"/>
          <w:color w:val="auto"/>
          <w:sz w:val="24"/>
          <w:szCs w:val="24"/>
          <w:highlight w:val="none"/>
          <w:u w:val="none"/>
          <w:lang w:val="en-US" w:eastAsia="zh-CN"/>
        </w:rPr>
        <w:t>西仁阿依</w:t>
      </w:r>
    </w:p>
    <w:p>
      <w:pPr>
        <w:pageBreakBefore w:val="0"/>
        <w:widowControl w:val="0"/>
        <w:kinsoku/>
        <w:wordWrap/>
        <w:overflowPunct/>
        <w:topLinePunct w:val="0"/>
        <w:bidi w:val="0"/>
        <w:snapToGrid/>
        <w:spacing w:line="360" w:lineRule="exact"/>
        <w:ind w:left="0" w:lef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联系</w:t>
      </w:r>
      <w:r>
        <w:rPr>
          <w:rFonts w:hint="eastAsia" w:ascii="宋体" w:hAnsi="宋体" w:eastAsia="宋体" w:cs="宋体"/>
          <w:color w:val="auto"/>
          <w:sz w:val="24"/>
          <w:szCs w:val="24"/>
          <w:highlight w:val="none"/>
          <w:lang w:val="en-US" w:eastAsia="zh-CN"/>
        </w:rPr>
        <w:t>电话</w:t>
      </w:r>
      <w:r>
        <w:rPr>
          <w:rFonts w:hint="eastAsia" w:ascii="宋体" w:hAnsi="宋体" w:eastAsia="宋体" w:cs="宋体"/>
          <w:color w:val="auto"/>
          <w:sz w:val="24"/>
          <w:szCs w:val="24"/>
          <w:highlight w:val="none"/>
        </w:rPr>
        <w:t>：</w:t>
      </w:r>
      <w:bookmarkEnd w:id="501"/>
      <w:bookmarkEnd w:id="502"/>
      <w:bookmarkEnd w:id="503"/>
      <w:bookmarkEnd w:id="504"/>
      <w:r>
        <w:rPr>
          <w:rFonts w:hint="eastAsia" w:ascii="宋体" w:hAnsi="宋体" w:eastAsia="宋体" w:cs="宋体"/>
          <w:color w:val="auto"/>
          <w:kern w:val="2"/>
          <w:sz w:val="24"/>
          <w:szCs w:val="24"/>
          <w:highlight w:val="none"/>
          <w:u w:val="none"/>
          <w:lang w:val="en-US" w:eastAsia="zh-CN"/>
        </w:rPr>
        <w:t>18699875091</w:t>
      </w:r>
    </w:p>
    <w:p>
      <w:pPr>
        <w:pageBreakBefore w:val="0"/>
        <w:widowControl w:val="0"/>
        <w:kinsoku/>
        <w:wordWrap/>
        <w:overflowPunct/>
        <w:topLinePunct w:val="0"/>
        <w:bidi w:val="0"/>
        <w:snapToGrid/>
        <w:spacing w:line="360" w:lineRule="exact"/>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2.采购代理机构信息</w:t>
      </w:r>
    </w:p>
    <w:p>
      <w:pPr>
        <w:pageBreakBefore w:val="0"/>
        <w:widowControl w:val="0"/>
        <w:kinsoku/>
        <w:wordWrap/>
        <w:overflowPunct/>
        <w:topLinePunct w:val="0"/>
        <w:bidi w:val="0"/>
        <w:snapToGrid/>
        <w:spacing w:line="360" w:lineRule="exact"/>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名    称：中经国际招标集团有限公司　</w:t>
      </w:r>
    </w:p>
    <w:p>
      <w:pPr>
        <w:pageBreakBefore w:val="0"/>
        <w:widowControl w:val="0"/>
        <w:kinsoku/>
        <w:wordWrap/>
        <w:overflowPunct/>
        <w:topLinePunct w:val="0"/>
        <w:bidi w:val="0"/>
        <w:snapToGrid/>
        <w:spacing w:line="360" w:lineRule="exact"/>
        <w:ind w:left="0" w:lef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地    址：</w:t>
      </w:r>
      <w:r>
        <w:rPr>
          <w:rFonts w:hint="eastAsia" w:ascii="宋体" w:hAnsi="宋体" w:eastAsia="宋体" w:cs="宋体"/>
          <w:b w:val="0"/>
          <w:bCs w:val="0"/>
          <w:color w:val="auto"/>
          <w:kern w:val="2"/>
          <w:sz w:val="24"/>
          <w:szCs w:val="24"/>
          <w:highlight w:val="none"/>
          <w:lang w:val="en-US" w:eastAsia="zh-CN" w:bidi="ar-SA"/>
        </w:rPr>
        <w:t xml:space="preserve">喀什经济开发区深圳城3号楼12层1204 </w:t>
      </w:r>
      <w:r>
        <w:rPr>
          <w:rFonts w:hint="eastAsia" w:ascii="宋体" w:hAnsi="宋体" w:eastAsia="宋体" w:cs="宋体"/>
          <w:color w:val="auto"/>
          <w:sz w:val="24"/>
          <w:szCs w:val="24"/>
          <w:highlight w:val="none"/>
          <w:lang w:val="en-US" w:eastAsia="zh-CN"/>
        </w:rPr>
        <w:t xml:space="preserve"> </w:t>
      </w:r>
    </w:p>
    <w:p>
      <w:pPr>
        <w:pageBreakBefore w:val="0"/>
        <w:widowControl w:val="0"/>
        <w:kinsoku/>
        <w:wordWrap/>
        <w:overflowPunct/>
        <w:topLinePunct w:val="0"/>
        <w:bidi w:val="0"/>
        <w:snapToGrid/>
        <w:spacing w:line="360" w:lineRule="exact"/>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联 系 人：王丽娟        </w:t>
      </w:r>
    </w:p>
    <w:p>
      <w:pPr>
        <w:pageBreakBefore w:val="0"/>
        <w:widowControl w:val="0"/>
        <w:kinsoku/>
        <w:wordWrap/>
        <w:overflowPunct/>
        <w:topLinePunct w:val="0"/>
        <w:bidi w:val="0"/>
        <w:snapToGrid/>
        <w:spacing w:line="360" w:lineRule="exact"/>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联系电话：15099650569 </w:t>
      </w:r>
      <w:bookmarkEnd w:id="505"/>
      <w:bookmarkEnd w:id="506"/>
    </w:p>
    <w:p>
      <w:pPr>
        <w:pageBreakBefore w:val="0"/>
        <w:widowControl w:val="0"/>
        <w:kinsoku/>
        <w:wordWrap/>
        <w:overflowPunct/>
        <w:topLinePunct w:val="0"/>
        <w:bidi w:val="0"/>
        <w:snapToGrid/>
        <w:spacing w:line="360" w:lineRule="exact"/>
        <w:ind w:left="0" w:leftChars="0" w:firstLine="480" w:firstLineChars="200"/>
        <w:jc w:val="right"/>
        <w:textAlignment w:val="auto"/>
        <w:rPr>
          <w:rFonts w:hint="eastAsia" w:ascii="宋体" w:hAnsi="宋体" w:eastAsia="宋体" w:cs="宋体"/>
          <w:color w:val="auto"/>
          <w:sz w:val="24"/>
          <w:szCs w:val="24"/>
          <w:highlight w:val="none"/>
        </w:rPr>
      </w:pPr>
    </w:p>
    <w:p>
      <w:pPr>
        <w:pageBreakBefore w:val="0"/>
        <w:widowControl w:val="0"/>
        <w:kinsoku/>
        <w:wordWrap/>
        <w:overflowPunct/>
        <w:topLinePunct w:val="0"/>
        <w:bidi w:val="0"/>
        <w:snapToGrid/>
        <w:spacing w:line="360" w:lineRule="exact"/>
        <w:ind w:left="0" w:leftChars="0" w:firstLine="480" w:firstLineChars="200"/>
        <w:jc w:val="right"/>
        <w:textAlignment w:val="auto"/>
        <w:rPr>
          <w:rFonts w:hint="eastAsia" w:ascii="宋体" w:hAnsi="宋体" w:eastAsia="宋体" w:cs="宋体"/>
          <w:color w:val="auto"/>
          <w:sz w:val="24"/>
          <w:szCs w:val="24"/>
          <w:highlight w:val="none"/>
        </w:rPr>
      </w:pPr>
    </w:p>
    <w:p>
      <w:pPr>
        <w:pageBreakBefore w:val="0"/>
        <w:widowControl w:val="0"/>
        <w:kinsoku/>
        <w:wordWrap/>
        <w:overflowPunct/>
        <w:topLinePunct w:val="0"/>
        <w:bidi w:val="0"/>
        <w:snapToGrid/>
        <w:spacing w:line="360" w:lineRule="exact"/>
        <w:ind w:left="0" w:leftChars="0" w:firstLine="480" w:firstLineChars="200"/>
        <w:jc w:val="right"/>
        <w:textAlignment w:val="auto"/>
        <w:rPr>
          <w:rFonts w:hint="eastAsia" w:ascii="宋体" w:hAnsi="宋体" w:eastAsia="宋体" w:cs="宋体"/>
          <w:color w:val="auto"/>
          <w:sz w:val="24"/>
          <w:szCs w:val="24"/>
          <w:highlight w:val="none"/>
        </w:rPr>
      </w:pPr>
    </w:p>
    <w:p>
      <w:pPr>
        <w:pageBreakBefore w:val="0"/>
        <w:widowControl w:val="0"/>
        <w:kinsoku/>
        <w:wordWrap/>
        <w:overflowPunct/>
        <w:topLinePunct w:val="0"/>
        <w:bidi w:val="0"/>
        <w:snapToGrid/>
        <w:spacing w:line="360" w:lineRule="exact"/>
        <w:jc w:val="right"/>
        <w:textAlignment w:val="auto"/>
        <w:rPr>
          <w:rFonts w:hint="eastAsia" w:eastAsia="宋体"/>
          <w:color w:val="auto"/>
          <w:highlight w:val="none"/>
          <w:lang w:eastAsia="zh-CN"/>
        </w:rPr>
      </w:pPr>
      <w:r>
        <w:rPr>
          <w:rFonts w:hint="eastAsia" w:ascii="宋体" w:hAnsi="宋体" w:eastAsia="宋体" w:cs="宋体"/>
          <w:color w:val="auto"/>
          <w:sz w:val="24"/>
          <w:szCs w:val="24"/>
          <w:highlight w:val="none"/>
        </w:rPr>
        <w:t xml:space="preserve">中经国际招标集团有限公司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lang w:eastAsia="zh-CN"/>
        </w:rPr>
        <w:t>2022年6月</w:t>
      </w:r>
      <w:r>
        <w:rPr>
          <w:rFonts w:hint="eastAsia" w:ascii="宋体" w:hAnsi="宋体" w:cs="宋体"/>
          <w:color w:val="auto"/>
          <w:sz w:val="24"/>
          <w:szCs w:val="24"/>
          <w:highlight w:val="none"/>
          <w:lang w:val="en-US" w:eastAsia="zh-CN"/>
        </w:rPr>
        <w:t>18</w:t>
      </w:r>
      <w:r>
        <w:rPr>
          <w:rFonts w:hint="eastAsia" w:ascii="宋体" w:hAnsi="宋体" w:eastAsia="宋体" w:cs="宋体"/>
          <w:color w:val="auto"/>
          <w:sz w:val="24"/>
          <w:szCs w:val="24"/>
          <w:highlight w:val="none"/>
          <w:lang w:eastAsia="zh-CN"/>
        </w:rPr>
        <w:t>日</w:t>
      </w:r>
    </w:p>
    <w:p>
      <w:pPr>
        <w:pStyle w:val="6"/>
        <w:pageBreakBefore w:val="0"/>
        <w:kinsoku/>
        <w:wordWrap/>
        <w:overflowPunct/>
        <w:topLinePunct w:val="0"/>
        <w:bidi w:val="0"/>
        <w:snapToGrid/>
        <w:spacing w:line="400" w:lineRule="exact"/>
        <w:jc w:val="right"/>
        <w:textAlignment w:val="auto"/>
        <w:rPr>
          <w:rFonts w:hint="eastAsia" w:ascii="宋体" w:hAnsi="宋体" w:eastAsia="宋体" w:cs="宋体"/>
          <w:color w:val="auto"/>
          <w:sz w:val="24"/>
          <w:szCs w:val="24"/>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bidi w:val="0"/>
        <w:outlineLvl w:val="9"/>
        <w:rPr>
          <w:rFonts w:hint="eastAsia" w:ascii="宋体" w:hAnsi="宋体" w:eastAsia="宋体" w:cs="宋体"/>
          <w:color w:val="auto"/>
          <w:highlight w:val="none"/>
        </w:rPr>
      </w:pPr>
    </w:p>
    <w:p>
      <w:pPr>
        <w:outlineLvl w:val="9"/>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p>
      <w:pPr>
        <w:bidi w:val="0"/>
        <w:rPr>
          <w:rFonts w:hint="eastAsia" w:ascii="宋体" w:hAnsi="宋体" w:eastAsia="宋体" w:cs="宋体"/>
          <w:b/>
          <w:bCs/>
          <w:color w:val="auto"/>
          <w:sz w:val="24"/>
          <w:szCs w:val="32"/>
          <w:highlight w:val="none"/>
          <w:lang w:val="en-US" w:eastAsia="zh-CN"/>
        </w:rPr>
      </w:pPr>
    </w:p>
    <w:p>
      <w:pPr>
        <w:bidi w:val="0"/>
        <w:rPr>
          <w:rFonts w:hint="eastAsia" w:ascii="宋体" w:hAnsi="宋体" w:eastAsia="宋体" w:cs="宋体"/>
          <w:b/>
          <w:bCs/>
          <w:color w:val="auto"/>
          <w:sz w:val="24"/>
          <w:szCs w:val="32"/>
          <w:highlight w:val="none"/>
          <w:lang w:val="en-US" w:eastAsia="zh-CN"/>
        </w:rPr>
      </w:pPr>
      <w:r>
        <w:rPr>
          <w:rFonts w:hint="eastAsia" w:ascii="宋体" w:hAnsi="宋体" w:eastAsia="宋体" w:cs="宋体"/>
          <w:b/>
          <w:bCs/>
          <w:color w:val="auto"/>
          <w:sz w:val="24"/>
          <w:szCs w:val="32"/>
          <w:highlight w:val="none"/>
          <w:lang w:val="en-US" w:eastAsia="zh-CN"/>
        </w:rPr>
        <w:t>公告截图</w:t>
      </w:r>
    </w:p>
    <w:p>
      <w:pPr>
        <w:rPr>
          <w:rFonts w:hint="eastAsia" w:ascii="宋体" w:hAnsi="宋体" w:eastAsia="宋体" w:cs="宋体"/>
          <w:color w:val="auto"/>
          <w:highlight w:val="none"/>
        </w:rPr>
      </w:pPr>
      <w:r>
        <w:rPr>
          <w:rFonts w:hint="eastAsia" w:ascii="宋体" w:hAnsi="宋体" w:eastAsia="宋体" w:cs="宋体"/>
          <w:color w:val="auto"/>
          <w:highlight w:val="none"/>
        </w:rPr>
        <w:drawing>
          <wp:anchor distT="0" distB="0" distL="114300" distR="114300" simplePos="0" relativeHeight="251665408" behindDoc="0" locked="0" layoutInCell="1" allowOverlap="1">
            <wp:simplePos x="0" y="0"/>
            <wp:positionH relativeFrom="column">
              <wp:posOffset>0</wp:posOffset>
            </wp:positionH>
            <wp:positionV relativeFrom="paragraph">
              <wp:posOffset>3810</wp:posOffset>
            </wp:positionV>
            <wp:extent cx="5516880" cy="8110220"/>
            <wp:effectExtent l="0" t="0" r="7620" b="5080"/>
            <wp:wrapNone/>
            <wp:docPr id="8" name="图片 8" descr="8c11d100c1a55f455878867df682b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8c11d100c1a55f455878867df682b4a"/>
                    <pic:cNvPicPr>
                      <a:picLocks noChangeAspect="1"/>
                    </pic:cNvPicPr>
                  </pic:nvPicPr>
                  <pic:blipFill>
                    <a:blip r:embed="rId13"/>
                    <a:stretch>
                      <a:fillRect/>
                    </a:stretch>
                  </pic:blipFill>
                  <pic:spPr>
                    <a:xfrm>
                      <a:off x="0" y="0"/>
                      <a:ext cx="5516880" cy="8110220"/>
                    </a:xfrm>
                    <a:prstGeom prst="rect">
                      <a:avLst/>
                    </a:prstGeom>
                  </pic:spPr>
                </pic:pic>
              </a:graphicData>
            </a:graphic>
          </wp:anchor>
        </w:drawing>
      </w:r>
      <w:r>
        <w:rPr>
          <w:rFonts w:hint="eastAsia" w:ascii="宋体" w:hAnsi="宋体" w:eastAsia="宋体" w:cs="宋体"/>
          <w:color w:val="auto"/>
          <w:highlight w:val="none"/>
        </w:rPr>
        <w:br w:type="page"/>
      </w:r>
    </w:p>
    <w:bookmarkEnd w:id="466"/>
    <w:bookmarkEnd w:id="467"/>
    <w:bookmarkEnd w:id="468"/>
    <w:bookmarkEnd w:id="469"/>
    <w:bookmarkEnd w:id="470"/>
    <w:bookmarkEnd w:id="471"/>
    <w:bookmarkEnd w:id="472"/>
    <w:p>
      <w:pPr>
        <w:pStyle w:val="3"/>
        <w:tabs>
          <w:tab w:val="left" w:pos="0"/>
        </w:tabs>
        <w:spacing w:before="0" w:after="0" w:line="240" w:lineRule="atLeast"/>
        <w:jc w:val="center"/>
        <w:rPr>
          <w:rFonts w:hint="eastAsia" w:ascii="宋体" w:hAnsi="宋体" w:eastAsia="宋体" w:cs="宋体"/>
          <w:color w:val="auto"/>
          <w:highlight w:val="none"/>
        </w:rPr>
      </w:pPr>
      <w:bookmarkStart w:id="507" w:name="_Toc23447"/>
      <w:bookmarkStart w:id="508" w:name="_Toc23395"/>
      <w:bookmarkStart w:id="509" w:name="_Toc13655"/>
      <w:bookmarkStart w:id="510" w:name="_Toc21806"/>
      <w:bookmarkStart w:id="511" w:name="_Toc28539"/>
      <w:bookmarkStart w:id="512" w:name="_Toc13846"/>
      <w:bookmarkStart w:id="513" w:name="_Toc16036"/>
      <w:bookmarkStart w:id="514" w:name="_Toc22216"/>
      <w:bookmarkStart w:id="515" w:name="_Toc28803"/>
      <w:bookmarkStart w:id="516" w:name="_Toc25737"/>
      <w:bookmarkStart w:id="517" w:name="_Toc26226"/>
      <w:bookmarkStart w:id="518" w:name="_Toc219175639"/>
      <w:bookmarkStart w:id="519" w:name="_Toc507399907"/>
      <w:bookmarkStart w:id="520" w:name="_Toc216582826"/>
      <w:bookmarkStart w:id="521" w:name="_Toc515647832"/>
      <w:bookmarkStart w:id="522" w:name="_Toc32647"/>
      <w:bookmarkStart w:id="523" w:name="_Toc218935355"/>
      <w:bookmarkStart w:id="524" w:name="_Toc7971"/>
      <w:r>
        <w:rPr>
          <w:rFonts w:hint="eastAsia" w:hAnsi="宋体" w:cs="宋体"/>
          <w:color w:val="auto"/>
          <w:highlight w:val="none"/>
          <w:lang w:val="en-US" w:eastAsia="zh-CN"/>
        </w:rPr>
        <w:t xml:space="preserve">第4章 </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须知资料表</w:t>
      </w:r>
      <w:bookmarkEnd w:id="507"/>
    </w:p>
    <w:p>
      <w:pPr>
        <w:spacing w:line="240" w:lineRule="atLeast"/>
        <w:ind w:firstLine="360" w:firstLineChars="15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本表是本招标项目的具体资料，是对</w:t>
      </w:r>
      <w:r>
        <w:rPr>
          <w:rFonts w:hint="eastAsia" w:ascii="宋体" w:hAnsi="宋体" w:eastAsia="宋体" w:cs="宋体"/>
          <w:color w:val="auto"/>
          <w:sz w:val="24"/>
          <w:highlight w:val="none"/>
          <w:lang w:eastAsia="zh-CN"/>
        </w:rPr>
        <w:t>供应商</w:t>
      </w:r>
      <w:r>
        <w:rPr>
          <w:rFonts w:hint="eastAsia" w:ascii="宋体" w:hAnsi="宋体" w:eastAsia="宋体" w:cs="宋体"/>
          <w:color w:val="auto"/>
          <w:sz w:val="24"/>
          <w:highlight w:val="none"/>
        </w:rPr>
        <w:t>须知的具体补充和修改，如有矛盾，应以本资料表为准。</w:t>
      </w:r>
    </w:p>
    <w:tbl>
      <w:tblPr>
        <w:tblStyle w:val="20"/>
        <w:tblW w:w="9367" w:type="dxa"/>
        <w:tblInd w:w="-299"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67"/>
        <w:gridCol w:w="85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867" w:type="dxa"/>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条款号</w:t>
            </w:r>
          </w:p>
        </w:tc>
        <w:tc>
          <w:tcPr>
            <w:tcW w:w="8500" w:type="dxa"/>
            <w:vAlign w:val="center"/>
          </w:tcPr>
          <w:p>
            <w:pPr>
              <w:spacing w:line="360" w:lineRule="auto"/>
              <w:ind w:left="1080" w:leftChars="257" w:hanging="54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内      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13" w:hRule="atLeast"/>
        </w:trPr>
        <w:tc>
          <w:tcPr>
            <w:tcW w:w="867"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1.1</w:t>
            </w:r>
          </w:p>
        </w:tc>
        <w:tc>
          <w:tcPr>
            <w:tcW w:w="8500"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采购人：</w:t>
            </w:r>
            <w:r>
              <w:rPr>
                <w:rFonts w:hint="eastAsia" w:ascii="宋体" w:hAnsi="宋体" w:eastAsia="宋体" w:cs="宋体"/>
                <w:color w:val="auto"/>
                <w:sz w:val="24"/>
                <w:highlight w:val="none"/>
                <w:u w:val="single"/>
                <w:lang w:val="en-US" w:eastAsia="zh-CN"/>
              </w:rPr>
              <w:t>泽普县人民医院</w:t>
            </w:r>
            <w:r>
              <w:rPr>
                <w:rFonts w:hint="eastAsia" w:ascii="宋体" w:hAnsi="宋体" w:eastAsia="宋体" w:cs="宋体"/>
                <w:color w:val="auto"/>
                <w:sz w:val="24"/>
                <w:highlight w:val="none"/>
                <w:lang w:val="en-US" w:eastAsia="zh-CN"/>
              </w:rPr>
              <w:t>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联系人：</w:t>
            </w:r>
            <w:r>
              <w:rPr>
                <w:rFonts w:hint="eastAsia" w:ascii="宋体" w:hAnsi="宋体" w:eastAsia="宋体" w:cs="宋体"/>
                <w:color w:val="auto"/>
                <w:sz w:val="24"/>
                <w:highlight w:val="none"/>
                <w:u w:val="single"/>
                <w:lang w:val="en-US" w:eastAsia="zh-CN"/>
              </w:rPr>
              <w:t xml:space="preserve">西仁阿依  </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 xml:space="preserve">  联系电话：</w:t>
            </w:r>
            <w:r>
              <w:rPr>
                <w:rFonts w:hint="eastAsia" w:ascii="宋体" w:hAnsi="宋体" w:eastAsia="宋体" w:cs="宋体"/>
                <w:color w:val="auto"/>
                <w:sz w:val="24"/>
                <w:highlight w:val="none"/>
                <w:u w:val="single"/>
              </w:rPr>
              <w:t>18699875091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116" w:hRule="atLeast"/>
        </w:trPr>
        <w:tc>
          <w:tcPr>
            <w:tcW w:w="867"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1.2</w:t>
            </w:r>
          </w:p>
        </w:tc>
        <w:tc>
          <w:tcPr>
            <w:tcW w:w="8500"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采购代理机构：</w:t>
            </w:r>
            <w:r>
              <w:rPr>
                <w:rFonts w:hint="eastAsia" w:ascii="宋体" w:hAnsi="宋体" w:eastAsia="宋体" w:cs="宋体"/>
                <w:color w:val="auto"/>
                <w:sz w:val="24"/>
                <w:highlight w:val="none"/>
                <w:u w:val="single"/>
              </w:rPr>
              <w:t>中经国际招标集团有限公司</w:t>
            </w:r>
            <w:r>
              <w:rPr>
                <w:rFonts w:hint="eastAsia" w:ascii="宋体" w:hAnsi="宋体" w:eastAsia="宋体" w:cs="宋体"/>
                <w:color w:val="auto"/>
                <w:sz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地址：</w:t>
            </w:r>
            <w:r>
              <w:rPr>
                <w:rFonts w:hint="eastAsia" w:ascii="宋体" w:hAnsi="宋体" w:eastAsia="宋体" w:cs="宋体"/>
                <w:b w:val="0"/>
                <w:bCs w:val="0"/>
                <w:color w:val="auto"/>
                <w:kern w:val="2"/>
                <w:sz w:val="24"/>
                <w:szCs w:val="24"/>
                <w:highlight w:val="none"/>
                <w:u w:val="single"/>
                <w:lang w:val="en-US" w:eastAsia="zh-CN" w:bidi="ar-SA"/>
              </w:rPr>
              <w:t>喀什经济开发区深圳城3号楼12层1204</w:t>
            </w:r>
            <w:r>
              <w:rPr>
                <w:rFonts w:hint="eastAsia" w:ascii="宋体" w:hAnsi="宋体" w:eastAsia="宋体" w:cs="宋体"/>
                <w:color w:val="auto"/>
                <w:sz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业务联系人：</w:t>
            </w:r>
            <w:r>
              <w:rPr>
                <w:rFonts w:hint="eastAsia" w:ascii="宋体" w:hAnsi="宋体" w:eastAsia="宋体" w:cs="宋体"/>
                <w:color w:val="auto"/>
                <w:sz w:val="24"/>
                <w:highlight w:val="none"/>
                <w:u w:val="single"/>
                <w:lang w:eastAsia="zh-CN"/>
              </w:rPr>
              <w:t>王丽娟</w:t>
            </w:r>
            <w:r>
              <w:rPr>
                <w:rFonts w:hint="eastAsia" w:ascii="宋体" w:hAnsi="宋体" w:eastAsia="宋体" w:cs="宋体"/>
                <w:color w:val="auto"/>
                <w:sz w:val="24"/>
                <w:highlight w:val="none"/>
                <w:u w:val="single"/>
              </w:rPr>
              <w:t>　</w:t>
            </w:r>
            <w:r>
              <w:rPr>
                <w:rFonts w:hint="eastAsia" w:ascii="宋体" w:hAnsi="宋体" w:eastAsia="宋体" w:cs="宋体"/>
                <w:color w:val="auto"/>
                <w:sz w:val="24"/>
                <w:highlight w:val="none"/>
              </w:rPr>
              <w:t xml:space="preserve">   联系电话： </w:t>
            </w:r>
            <w:r>
              <w:rPr>
                <w:rFonts w:hint="eastAsia" w:ascii="宋体" w:hAnsi="宋体" w:eastAsia="宋体" w:cs="宋体"/>
                <w:color w:val="auto"/>
                <w:sz w:val="24"/>
                <w:highlight w:val="none"/>
                <w:u w:val="single"/>
              </w:rPr>
              <w:t>15099650569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74" w:hRule="atLeast"/>
        </w:trPr>
        <w:tc>
          <w:tcPr>
            <w:tcW w:w="867" w:type="dxa"/>
            <w:vAlign w:val="center"/>
          </w:tcPr>
          <w:p>
            <w:pPr>
              <w:keepNext w:val="0"/>
              <w:keepLines w:val="0"/>
              <w:pageBreakBefore w:val="0"/>
              <w:widowControl w:val="0"/>
              <w:kinsoku/>
              <w:wordWrap/>
              <w:overflowPunct/>
              <w:topLinePunct w:val="0"/>
              <w:bidi w:val="0"/>
              <w:snapToGrid/>
              <w:spacing w:line="400" w:lineRule="exac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1.3.4</w:t>
            </w:r>
          </w:p>
        </w:tc>
        <w:tc>
          <w:tcPr>
            <w:tcW w:w="8500" w:type="dxa"/>
            <w:vAlign w:val="center"/>
          </w:tcPr>
          <w:p>
            <w:pPr>
              <w:spacing w:line="400" w:lineRule="exact"/>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合格供应商的其他资格要求（开标现场须携带</w:t>
            </w:r>
            <w:r>
              <w:rPr>
                <w:rFonts w:hint="eastAsia" w:ascii="宋体" w:hAnsi="宋体" w:eastAsia="宋体" w:cs="宋体"/>
                <w:b/>
                <w:bCs/>
                <w:color w:val="auto"/>
                <w:kern w:val="0"/>
                <w:sz w:val="24"/>
                <w:szCs w:val="24"/>
                <w:highlight w:val="none"/>
                <w:lang w:val="en-US" w:eastAsia="zh-CN"/>
              </w:rPr>
              <w:t>以下资料证明原件或加盖公章的复印件，复印件必须清晰</w:t>
            </w:r>
            <w:r>
              <w:rPr>
                <w:rFonts w:hint="eastAsia" w:ascii="宋体" w:hAnsi="宋体" w:eastAsia="宋体" w:cs="宋体"/>
                <w:b/>
                <w:bCs/>
                <w:color w:val="auto"/>
                <w:kern w:val="0"/>
                <w:sz w:val="24"/>
                <w:szCs w:val="24"/>
                <w:highlight w:val="none"/>
              </w:rPr>
              <w:t>）：</w:t>
            </w:r>
          </w:p>
          <w:p>
            <w:pPr>
              <w:widowControl/>
              <w:snapToGrid w:val="0"/>
              <w:spacing w:line="360" w:lineRule="exact"/>
              <w:jc w:val="left"/>
              <w:textAlignment w:val="baseline"/>
              <w:rPr>
                <w:rFonts w:hint="eastAsia" w:ascii="宋体" w:hAnsi="宋体" w:eastAsia="宋体" w:cs="宋体"/>
                <w:b/>
                <w:bCs/>
                <w:color w:val="auto"/>
                <w:kern w:val="2"/>
                <w:sz w:val="24"/>
                <w:szCs w:val="24"/>
                <w:highlight w:val="none"/>
                <w:lang w:val="en-US" w:eastAsia="zh-CN" w:bidi="ar-SA"/>
              </w:rPr>
            </w:pPr>
            <w:r>
              <w:rPr>
                <w:rFonts w:hint="eastAsia" w:ascii="宋体" w:hAnsi="宋体" w:cs="宋体"/>
                <w:b/>
                <w:bCs/>
                <w:color w:val="auto"/>
                <w:kern w:val="2"/>
                <w:sz w:val="24"/>
                <w:szCs w:val="24"/>
                <w:highlight w:val="none"/>
                <w:lang w:val="en-US" w:eastAsia="zh-CN" w:bidi="ar-SA"/>
              </w:rPr>
              <w:t>1</w:t>
            </w:r>
            <w:r>
              <w:rPr>
                <w:rFonts w:hint="eastAsia" w:ascii="宋体" w:hAnsi="宋体" w:eastAsia="宋体" w:cs="宋体"/>
                <w:b/>
                <w:bCs/>
                <w:color w:val="auto"/>
                <w:kern w:val="2"/>
                <w:sz w:val="24"/>
                <w:szCs w:val="24"/>
                <w:highlight w:val="none"/>
                <w:lang w:val="en-US" w:eastAsia="zh-CN" w:bidi="ar-SA"/>
              </w:rPr>
              <w:t>.具有有效的独立法人营业执照；</w:t>
            </w:r>
          </w:p>
          <w:p>
            <w:pPr>
              <w:widowControl/>
              <w:snapToGrid w:val="0"/>
              <w:spacing w:line="360" w:lineRule="exact"/>
              <w:jc w:val="left"/>
              <w:textAlignment w:val="baseline"/>
              <w:rPr>
                <w:rFonts w:hint="eastAsia" w:ascii="宋体" w:hAnsi="宋体" w:eastAsia="宋体" w:cs="宋体"/>
                <w:b/>
                <w:bCs/>
                <w:color w:val="auto"/>
                <w:kern w:val="2"/>
                <w:sz w:val="24"/>
                <w:szCs w:val="24"/>
                <w:highlight w:val="none"/>
                <w:lang w:val="en-US" w:eastAsia="zh-CN" w:bidi="ar-SA"/>
              </w:rPr>
            </w:pPr>
            <w:r>
              <w:rPr>
                <w:rFonts w:hint="eastAsia" w:ascii="宋体" w:hAnsi="宋体" w:cs="宋体"/>
                <w:b/>
                <w:bCs/>
                <w:color w:val="auto"/>
                <w:kern w:val="2"/>
                <w:sz w:val="24"/>
                <w:szCs w:val="24"/>
                <w:highlight w:val="none"/>
                <w:lang w:val="en-US" w:eastAsia="zh-CN" w:bidi="ar-SA"/>
              </w:rPr>
              <w:t>2</w:t>
            </w:r>
            <w:r>
              <w:rPr>
                <w:rFonts w:hint="eastAsia" w:ascii="宋体" w:hAnsi="宋体" w:eastAsia="宋体" w:cs="宋体"/>
                <w:b/>
                <w:bCs/>
                <w:color w:val="auto"/>
                <w:kern w:val="2"/>
                <w:sz w:val="24"/>
                <w:szCs w:val="24"/>
                <w:highlight w:val="none"/>
                <w:lang w:val="en-US" w:eastAsia="zh-CN" w:bidi="ar-SA"/>
              </w:rPr>
              <w:t>.提供有效的《医疗器械生产许可证》</w:t>
            </w:r>
            <w:r>
              <w:rPr>
                <w:rFonts w:hint="eastAsia" w:ascii="宋体" w:hAnsi="宋体" w:cs="宋体"/>
                <w:b/>
                <w:bCs/>
                <w:color w:val="auto"/>
                <w:kern w:val="2"/>
                <w:sz w:val="24"/>
                <w:szCs w:val="24"/>
                <w:highlight w:val="none"/>
                <w:lang w:val="en-US" w:eastAsia="zh-CN" w:bidi="ar-SA"/>
              </w:rPr>
              <w:t>及</w:t>
            </w:r>
            <w:r>
              <w:rPr>
                <w:rFonts w:hint="eastAsia" w:ascii="宋体" w:hAnsi="宋体" w:eastAsia="宋体" w:cs="宋体"/>
                <w:b/>
                <w:bCs/>
                <w:color w:val="auto"/>
                <w:kern w:val="2"/>
                <w:sz w:val="24"/>
                <w:szCs w:val="24"/>
                <w:highlight w:val="none"/>
                <w:lang w:val="en-US" w:eastAsia="zh-CN" w:bidi="ar-SA"/>
              </w:rPr>
              <w:t>《医疗器械经营许可证》（二类医疗器械须提供医疗器械备案凭证</w:t>
            </w:r>
            <w:r>
              <w:rPr>
                <w:rFonts w:hint="eastAsia" w:ascii="宋体" w:hAnsi="宋体" w:cs="宋体"/>
                <w:b/>
                <w:bCs/>
                <w:color w:val="auto"/>
                <w:kern w:val="2"/>
                <w:sz w:val="24"/>
                <w:szCs w:val="24"/>
                <w:highlight w:val="none"/>
                <w:lang w:val="en-US" w:eastAsia="zh-CN" w:bidi="ar-SA"/>
              </w:rPr>
              <w:t>及医疗器械注册证</w:t>
            </w:r>
            <w:r>
              <w:rPr>
                <w:rFonts w:hint="eastAsia" w:ascii="宋体" w:hAnsi="宋体" w:eastAsia="宋体" w:cs="宋体"/>
                <w:b/>
                <w:bCs/>
                <w:color w:val="auto"/>
                <w:kern w:val="2"/>
                <w:sz w:val="24"/>
                <w:szCs w:val="24"/>
                <w:highlight w:val="none"/>
                <w:lang w:val="en-US" w:eastAsia="zh-CN" w:bidi="ar-SA"/>
              </w:rPr>
              <w:t>）；</w:t>
            </w:r>
          </w:p>
          <w:p>
            <w:pPr>
              <w:widowControl/>
              <w:snapToGrid w:val="0"/>
              <w:spacing w:line="360" w:lineRule="exact"/>
              <w:jc w:val="left"/>
              <w:textAlignment w:val="baseline"/>
              <w:rPr>
                <w:rFonts w:hint="eastAsia" w:ascii="宋体" w:hAnsi="宋体" w:eastAsia="宋体" w:cs="宋体"/>
                <w:b/>
                <w:bCs/>
                <w:color w:val="auto"/>
                <w:kern w:val="2"/>
                <w:sz w:val="24"/>
                <w:szCs w:val="24"/>
                <w:highlight w:val="none"/>
                <w:lang w:val="en-US" w:eastAsia="zh-CN" w:bidi="ar-SA"/>
              </w:rPr>
            </w:pPr>
            <w:r>
              <w:rPr>
                <w:rFonts w:hint="eastAsia" w:ascii="宋体" w:hAnsi="宋体" w:cs="宋体"/>
                <w:b/>
                <w:bCs/>
                <w:color w:val="auto"/>
                <w:kern w:val="2"/>
                <w:sz w:val="24"/>
                <w:szCs w:val="24"/>
                <w:highlight w:val="none"/>
                <w:lang w:val="en-US" w:eastAsia="zh-CN" w:bidi="ar-SA"/>
              </w:rPr>
              <w:t>3</w:t>
            </w:r>
            <w:r>
              <w:rPr>
                <w:rFonts w:hint="eastAsia" w:ascii="宋体" w:hAnsi="宋体" w:eastAsia="宋体" w:cs="宋体"/>
                <w:b/>
                <w:bCs/>
                <w:color w:val="auto"/>
                <w:kern w:val="2"/>
                <w:sz w:val="24"/>
                <w:szCs w:val="24"/>
                <w:highlight w:val="none"/>
                <w:lang w:val="en-US" w:eastAsia="zh-CN" w:bidi="ar-SA"/>
              </w:rPr>
              <w:t>.法人代表身份证明及授权书、被授权人身份证；(法人投标需提供法人身份证复印件)；</w:t>
            </w:r>
          </w:p>
          <w:p>
            <w:pPr>
              <w:widowControl/>
              <w:snapToGrid w:val="0"/>
              <w:spacing w:line="360" w:lineRule="exact"/>
              <w:jc w:val="left"/>
              <w:textAlignment w:val="baseline"/>
              <w:rPr>
                <w:rFonts w:hint="eastAsia" w:ascii="宋体" w:hAnsi="宋体" w:eastAsia="宋体" w:cs="宋体"/>
                <w:b/>
                <w:bCs/>
                <w:color w:val="auto"/>
                <w:kern w:val="2"/>
                <w:sz w:val="24"/>
                <w:szCs w:val="24"/>
                <w:highlight w:val="none"/>
                <w:lang w:val="en-US" w:eastAsia="zh-CN" w:bidi="ar-SA"/>
              </w:rPr>
            </w:pPr>
            <w:r>
              <w:rPr>
                <w:rFonts w:hint="eastAsia" w:ascii="宋体" w:hAnsi="宋体" w:cs="宋体"/>
                <w:b/>
                <w:bCs/>
                <w:color w:val="auto"/>
                <w:kern w:val="2"/>
                <w:sz w:val="24"/>
                <w:szCs w:val="24"/>
                <w:highlight w:val="none"/>
                <w:lang w:val="en-US" w:eastAsia="zh-CN" w:bidi="ar-SA"/>
              </w:rPr>
              <w:t>4</w:t>
            </w:r>
            <w:r>
              <w:rPr>
                <w:rFonts w:hint="eastAsia" w:ascii="宋体" w:hAnsi="宋体" w:eastAsia="宋体" w:cs="宋体"/>
                <w:b/>
                <w:bCs/>
                <w:color w:val="auto"/>
                <w:kern w:val="2"/>
                <w:sz w:val="24"/>
                <w:szCs w:val="24"/>
                <w:highlight w:val="none"/>
                <w:lang w:val="en-US" w:eastAsia="zh-CN" w:bidi="ar-SA"/>
              </w:rPr>
              <w:t>.依法缴纳最近6个月中任意1个月的社会保险的凭据；</w:t>
            </w:r>
          </w:p>
          <w:p>
            <w:pPr>
              <w:widowControl/>
              <w:snapToGrid w:val="0"/>
              <w:spacing w:line="360" w:lineRule="exact"/>
              <w:jc w:val="left"/>
              <w:textAlignment w:val="baseline"/>
              <w:rPr>
                <w:rFonts w:hint="eastAsia" w:ascii="宋体" w:hAnsi="宋体" w:eastAsia="宋体" w:cs="宋体"/>
                <w:b/>
                <w:bCs/>
                <w:color w:val="auto"/>
                <w:kern w:val="2"/>
                <w:sz w:val="24"/>
                <w:szCs w:val="24"/>
                <w:highlight w:val="none"/>
                <w:lang w:val="en-US" w:eastAsia="zh-CN" w:bidi="ar-SA"/>
              </w:rPr>
            </w:pPr>
            <w:r>
              <w:rPr>
                <w:rFonts w:hint="eastAsia" w:ascii="宋体" w:hAnsi="宋体" w:cs="宋体"/>
                <w:b/>
                <w:bCs/>
                <w:color w:val="auto"/>
                <w:kern w:val="2"/>
                <w:sz w:val="24"/>
                <w:szCs w:val="24"/>
                <w:highlight w:val="none"/>
                <w:lang w:val="en-US" w:eastAsia="zh-CN" w:bidi="ar-SA"/>
              </w:rPr>
              <w:t>5</w:t>
            </w:r>
            <w:r>
              <w:rPr>
                <w:rFonts w:hint="eastAsia" w:ascii="宋体" w:hAnsi="宋体" w:eastAsia="宋体" w:cs="宋体"/>
                <w:b/>
                <w:bCs/>
                <w:color w:val="auto"/>
                <w:kern w:val="2"/>
                <w:sz w:val="24"/>
                <w:szCs w:val="24"/>
                <w:highlight w:val="none"/>
                <w:lang w:val="en-US" w:eastAsia="zh-CN" w:bidi="ar-SA"/>
              </w:rPr>
              <w:t xml:space="preserve">.税务部门出具的最近6个月中任意1个月的完税证明； </w:t>
            </w:r>
          </w:p>
          <w:p>
            <w:pPr>
              <w:widowControl/>
              <w:snapToGrid w:val="0"/>
              <w:spacing w:line="360" w:lineRule="exact"/>
              <w:jc w:val="left"/>
              <w:textAlignment w:val="baseline"/>
              <w:rPr>
                <w:rFonts w:hint="eastAsia" w:ascii="宋体" w:hAnsi="宋体" w:eastAsia="宋体" w:cs="宋体"/>
                <w:b/>
                <w:bCs/>
                <w:color w:val="auto"/>
                <w:kern w:val="2"/>
                <w:sz w:val="24"/>
                <w:szCs w:val="24"/>
                <w:highlight w:val="none"/>
                <w:lang w:val="en-US" w:eastAsia="zh-CN" w:bidi="ar-SA"/>
              </w:rPr>
            </w:pPr>
            <w:r>
              <w:rPr>
                <w:rFonts w:hint="eastAsia" w:ascii="宋体" w:hAnsi="宋体" w:cs="宋体"/>
                <w:b/>
                <w:bCs/>
                <w:color w:val="auto"/>
                <w:kern w:val="2"/>
                <w:sz w:val="24"/>
                <w:szCs w:val="24"/>
                <w:highlight w:val="none"/>
                <w:lang w:val="en-US" w:eastAsia="zh-CN" w:bidi="ar-SA"/>
              </w:rPr>
              <w:t>6</w:t>
            </w:r>
            <w:r>
              <w:rPr>
                <w:rFonts w:hint="eastAsia" w:ascii="宋体" w:hAnsi="宋体" w:eastAsia="宋体" w:cs="宋体"/>
                <w:b/>
                <w:bCs/>
                <w:color w:val="auto"/>
                <w:kern w:val="2"/>
                <w:sz w:val="24"/>
                <w:szCs w:val="24"/>
                <w:highlight w:val="none"/>
                <w:lang w:val="en-US" w:eastAsia="zh-CN" w:bidi="ar-SA"/>
              </w:rPr>
              <w:t>.近两年任意一年的财务审计报告；</w:t>
            </w:r>
          </w:p>
          <w:p>
            <w:pPr>
              <w:widowControl/>
              <w:snapToGrid w:val="0"/>
              <w:spacing w:line="360" w:lineRule="exact"/>
              <w:jc w:val="left"/>
              <w:textAlignment w:val="baseline"/>
              <w:rPr>
                <w:rFonts w:hint="eastAsia" w:ascii="宋体" w:hAnsi="宋体" w:eastAsia="宋体" w:cs="宋体"/>
                <w:b/>
                <w:bCs/>
                <w:color w:val="auto"/>
                <w:kern w:val="2"/>
                <w:sz w:val="24"/>
                <w:szCs w:val="24"/>
                <w:highlight w:val="none"/>
                <w:lang w:val="en-US" w:eastAsia="zh-CN" w:bidi="ar-SA"/>
              </w:rPr>
            </w:pPr>
            <w:r>
              <w:rPr>
                <w:rFonts w:hint="eastAsia" w:ascii="宋体" w:hAnsi="宋体" w:cs="宋体"/>
                <w:b/>
                <w:bCs/>
                <w:color w:val="auto"/>
                <w:kern w:val="2"/>
                <w:sz w:val="24"/>
                <w:szCs w:val="24"/>
                <w:highlight w:val="none"/>
                <w:lang w:val="en-US" w:eastAsia="zh-CN" w:bidi="ar-SA"/>
              </w:rPr>
              <w:t>7</w:t>
            </w:r>
            <w:r>
              <w:rPr>
                <w:rFonts w:hint="eastAsia" w:ascii="宋体" w:hAnsi="宋体" w:eastAsia="宋体" w:cs="宋体"/>
                <w:b/>
                <w:bCs/>
                <w:color w:val="auto"/>
                <w:kern w:val="2"/>
                <w:sz w:val="24"/>
                <w:szCs w:val="24"/>
                <w:highlight w:val="none"/>
                <w:lang w:val="en-US" w:eastAsia="zh-CN" w:bidi="ar-SA"/>
              </w:rPr>
              <w:t>.根据《财政部关于在政府采购活动中查询及使用信用记录有关问题的通知》（财库﹝2016﹞125号）的要求，凡拟参加本次招标项目的供应商，如在“信用中国”网站（ www.creditchina.gov.cn） 被列入失信被执行人、重大税收违法案件当事人名单(信用服务-失信惩戒对象查询-搜索栏输入单位全称-截图)、中国政府采购网（http://www.ccgp.gov.cn/search/cr/）严重违法失信行为记录名单的（尚在处罚期内的），“国家企业信用信息公示系统（http://www.gsxt.gov.cn）”列入严重违法失信企业名单（黑名单）信息及企业信用信息公示报告；将拒绝其参加本次招标活动；（以招标代理或</w:t>
            </w:r>
            <w:r>
              <w:rPr>
                <w:rFonts w:hint="eastAsia" w:ascii="宋体" w:hAnsi="宋体" w:cs="宋体"/>
                <w:b/>
                <w:bCs/>
                <w:color w:val="auto"/>
                <w:kern w:val="2"/>
                <w:sz w:val="24"/>
                <w:szCs w:val="24"/>
                <w:highlight w:val="none"/>
                <w:lang w:val="en-US" w:eastAsia="zh-CN" w:bidi="ar-SA"/>
              </w:rPr>
              <w:t>采购人</w:t>
            </w:r>
            <w:r>
              <w:rPr>
                <w:rFonts w:hint="eastAsia" w:ascii="宋体" w:hAnsi="宋体" w:eastAsia="宋体" w:cs="宋体"/>
                <w:b/>
                <w:bCs/>
                <w:color w:val="auto"/>
                <w:kern w:val="2"/>
                <w:sz w:val="24"/>
                <w:szCs w:val="24"/>
                <w:highlight w:val="none"/>
                <w:lang w:val="en-US" w:eastAsia="zh-CN" w:bidi="ar-SA"/>
              </w:rPr>
              <w:t>查询为准）</w:t>
            </w:r>
          </w:p>
          <w:p>
            <w:pPr>
              <w:widowControl/>
              <w:snapToGrid w:val="0"/>
              <w:spacing w:line="360" w:lineRule="exact"/>
              <w:jc w:val="left"/>
              <w:textAlignment w:val="baseline"/>
              <w:rPr>
                <w:rFonts w:hint="eastAsia" w:ascii="宋体" w:hAnsi="宋体" w:eastAsia="宋体" w:cs="宋体"/>
                <w:b/>
                <w:bCs/>
                <w:color w:val="auto"/>
                <w:kern w:val="2"/>
                <w:sz w:val="24"/>
                <w:szCs w:val="24"/>
                <w:highlight w:val="none"/>
                <w:lang w:val="en-US" w:eastAsia="zh-CN" w:bidi="ar-SA"/>
              </w:rPr>
            </w:pPr>
            <w:r>
              <w:rPr>
                <w:rFonts w:hint="eastAsia" w:ascii="宋体" w:hAnsi="宋体" w:cs="宋体"/>
                <w:b/>
                <w:bCs/>
                <w:color w:val="auto"/>
                <w:kern w:val="2"/>
                <w:sz w:val="24"/>
                <w:szCs w:val="24"/>
                <w:highlight w:val="none"/>
                <w:lang w:val="en-US" w:eastAsia="zh-CN" w:bidi="ar-SA"/>
              </w:rPr>
              <w:t>8</w:t>
            </w:r>
            <w:r>
              <w:rPr>
                <w:rFonts w:hint="eastAsia" w:ascii="宋体" w:hAnsi="宋体" w:eastAsia="宋体" w:cs="宋体"/>
                <w:b/>
                <w:bCs/>
                <w:color w:val="auto"/>
                <w:kern w:val="2"/>
                <w:sz w:val="24"/>
                <w:szCs w:val="24"/>
                <w:highlight w:val="none"/>
                <w:lang w:val="en-US" w:eastAsia="zh-CN" w:bidi="ar-SA"/>
              </w:rPr>
              <w:t>.参与政府采购活动前3年内未被列入失信、重大税收违法案件、财政部门禁止参加政府采购活动的承诺书；</w:t>
            </w:r>
          </w:p>
          <w:p>
            <w:pPr>
              <w:pStyle w:val="6"/>
              <w:keepNext w:val="0"/>
              <w:keepLines w:val="0"/>
              <w:pageBreakBefore w:val="0"/>
              <w:widowControl w:val="0"/>
              <w:kinsoku/>
              <w:wordWrap/>
              <w:overflowPunct/>
              <w:topLinePunct w:val="0"/>
              <w:bidi w:val="0"/>
              <w:snapToGrid/>
              <w:spacing w:line="400" w:lineRule="exact"/>
              <w:ind w:firstLine="0"/>
              <w:textAlignment w:val="auto"/>
              <w:rPr>
                <w:rFonts w:hint="eastAsia" w:ascii="宋体" w:hAnsi="宋体" w:eastAsia="宋体" w:cs="宋体"/>
                <w:b/>
                <w:bCs/>
                <w:color w:val="auto"/>
                <w:kern w:val="2"/>
                <w:sz w:val="24"/>
                <w:szCs w:val="24"/>
                <w:highlight w:val="none"/>
                <w:lang w:val="en-US" w:eastAsia="zh-CN" w:bidi="ar-SA"/>
              </w:rPr>
            </w:pPr>
            <w:r>
              <w:rPr>
                <w:rFonts w:hint="eastAsia" w:ascii="宋体" w:hAnsi="宋体" w:cs="宋体"/>
                <w:b/>
                <w:bCs/>
                <w:color w:val="auto"/>
                <w:kern w:val="2"/>
                <w:sz w:val="24"/>
                <w:szCs w:val="24"/>
                <w:highlight w:val="none"/>
                <w:lang w:val="en-US" w:eastAsia="zh-CN" w:bidi="ar-SA"/>
              </w:rPr>
              <w:t>9</w:t>
            </w:r>
            <w:r>
              <w:rPr>
                <w:rFonts w:hint="eastAsia" w:ascii="宋体" w:hAnsi="宋体" w:eastAsia="宋体" w:cs="宋体"/>
                <w:b/>
                <w:bCs/>
                <w:color w:val="auto"/>
                <w:kern w:val="2"/>
                <w:sz w:val="24"/>
                <w:szCs w:val="24"/>
                <w:highlight w:val="none"/>
                <w:lang w:val="en-US" w:eastAsia="zh-CN" w:bidi="ar-SA"/>
              </w:rPr>
              <w:t>.提供针对本次项目《反商业贿赂承诺书》</w:t>
            </w:r>
            <w:r>
              <w:rPr>
                <w:rFonts w:hint="eastAsia" w:hAnsi="宋体" w:cs="宋体"/>
                <w:b/>
                <w:bCs/>
                <w:color w:val="auto"/>
                <w:kern w:val="2"/>
                <w:sz w:val="24"/>
                <w:szCs w:val="24"/>
                <w:highlight w:val="none"/>
                <w:lang w:val="en-US" w:eastAsia="zh-CN" w:bidi="ar-SA"/>
              </w:rPr>
              <w:t>；</w:t>
            </w:r>
          </w:p>
          <w:p>
            <w:pPr>
              <w:pStyle w:val="6"/>
              <w:keepNext w:val="0"/>
              <w:keepLines w:val="0"/>
              <w:pageBreakBefore w:val="0"/>
              <w:widowControl w:val="0"/>
              <w:kinsoku/>
              <w:wordWrap/>
              <w:overflowPunct/>
              <w:topLinePunct w:val="0"/>
              <w:bidi w:val="0"/>
              <w:snapToGrid/>
              <w:spacing w:line="400" w:lineRule="exact"/>
              <w:ind w:firstLine="0"/>
              <w:textAlignment w:val="auto"/>
              <w:rPr>
                <w:rFonts w:hint="eastAsia" w:ascii="宋体" w:hAnsi="宋体" w:eastAsia="宋体" w:cs="宋体"/>
                <w:b/>
                <w:bCs/>
                <w:color w:val="auto"/>
                <w:kern w:val="2"/>
                <w:szCs w:val="24"/>
                <w:highlight w:val="none"/>
                <w:lang w:val="en-US" w:eastAsia="zh-CN"/>
              </w:rPr>
            </w:pPr>
            <w:r>
              <w:rPr>
                <w:rFonts w:hint="eastAsia" w:ascii="宋体" w:hAnsi="宋体" w:eastAsia="宋体" w:cs="宋体"/>
                <w:b/>
                <w:bCs/>
                <w:color w:val="auto"/>
                <w:kern w:val="2"/>
                <w:szCs w:val="24"/>
                <w:highlight w:val="none"/>
                <w:lang w:val="en-US" w:eastAsia="zh-CN"/>
              </w:rPr>
              <w:t>10.</w:t>
            </w:r>
            <w:r>
              <w:rPr>
                <w:rFonts w:hint="eastAsia" w:hAnsi="宋体" w:cs="宋体"/>
                <w:b/>
                <w:bCs/>
                <w:color w:val="auto"/>
                <w:kern w:val="2"/>
                <w:szCs w:val="24"/>
                <w:highlight w:val="none"/>
                <w:lang w:val="en-US" w:eastAsia="zh-CN"/>
              </w:rPr>
              <w:t>提供缴纳投标保证金的银行转账回执单</w:t>
            </w:r>
            <w:r>
              <w:rPr>
                <w:rFonts w:hint="eastAsia" w:ascii="宋体" w:hAnsi="宋体" w:eastAsia="宋体" w:cs="宋体"/>
                <w:b/>
                <w:bCs/>
                <w:color w:val="auto"/>
                <w:kern w:val="2"/>
                <w:szCs w:val="24"/>
                <w:highlight w:val="none"/>
                <w:lang w:val="en-US" w:eastAsia="zh-CN"/>
              </w:rPr>
              <w:t>。</w:t>
            </w:r>
          </w:p>
          <w:p>
            <w:pPr>
              <w:widowControl/>
              <w:snapToGrid w:val="0"/>
              <w:spacing w:line="440" w:lineRule="exact"/>
              <w:textAlignment w:val="baseline"/>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各供应商应注意以下事项：</w:t>
            </w:r>
          </w:p>
          <w:p>
            <w:pPr>
              <w:widowControl/>
              <w:snapToGrid w:val="0"/>
              <w:spacing w:line="440" w:lineRule="exact"/>
              <w:textAlignment w:val="baseline"/>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A：本项目要求各投标供应商</w:t>
            </w:r>
            <w:r>
              <w:rPr>
                <w:rFonts w:hint="eastAsia" w:ascii="宋体" w:hAnsi="宋体" w:eastAsia="宋体" w:cs="宋体"/>
                <w:b/>
                <w:bCs/>
                <w:color w:val="auto"/>
                <w:sz w:val="24"/>
                <w:szCs w:val="24"/>
                <w:highlight w:val="none"/>
                <w:lang w:eastAsia="zh-CN"/>
              </w:rPr>
              <w:t>“税务部门出具的最近6个月中任意1个月的完税证明”</w:t>
            </w:r>
            <w:r>
              <w:rPr>
                <w:rFonts w:hint="eastAsia" w:ascii="宋体" w:hAnsi="宋体" w:eastAsia="宋体" w:cs="宋体"/>
                <w:b/>
                <w:bCs/>
                <w:color w:val="auto"/>
                <w:sz w:val="24"/>
                <w:szCs w:val="24"/>
                <w:highlight w:val="none"/>
              </w:rPr>
              <w:t>，若供应商某月税收为零申报，须提供加盖税务局公章的无欠税证明或申报成功网页截图（供应商可自主登录“国家税务总局电子税务局”12366.chinatax.gov.cn/bsfw/onlinetaxation/main——税费申报及缴纳——申报结果查询）。</w:t>
            </w:r>
          </w:p>
          <w:p>
            <w:pPr>
              <w:widowControl/>
              <w:snapToGrid w:val="0"/>
              <w:spacing w:line="440" w:lineRule="exact"/>
              <w:textAlignment w:val="baseline"/>
              <w:rPr>
                <w:rFonts w:hint="eastAsia" w:ascii="宋体" w:hAnsi="宋体" w:eastAsia="宋体" w:cs="宋体"/>
                <w:color w:val="auto"/>
                <w:szCs w:val="24"/>
                <w:highlight w:val="none"/>
              </w:rPr>
            </w:pPr>
            <w:r>
              <w:rPr>
                <w:rFonts w:hint="eastAsia" w:ascii="宋体" w:hAnsi="宋体" w:eastAsia="宋体" w:cs="宋体"/>
                <w:b/>
                <w:bCs/>
                <w:color w:val="auto"/>
                <w:sz w:val="24"/>
                <w:szCs w:val="24"/>
                <w:highlight w:val="none"/>
              </w:rPr>
              <w:t>B：税务局代收的社保缴费证明不可作为本项目的完税证明（“税种”不可为养老保险、医疗保险、失业保险、工伤保险和生育保险）。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867"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1.3.5   </w:t>
            </w:r>
          </w:p>
        </w:tc>
        <w:tc>
          <w:tcPr>
            <w:tcW w:w="8500"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4"/>
                <w:highlight w:val="none"/>
                <w:lang w:eastAsia="zh-CN"/>
              </w:rPr>
            </w:pPr>
            <w:r>
              <w:rPr>
                <w:rFonts w:hint="eastAsia" w:ascii="宋体" w:hAnsi="宋体" w:eastAsia="宋体" w:cs="宋体"/>
                <w:b/>
                <w:bCs/>
                <w:color w:val="auto"/>
                <w:sz w:val="24"/>
                <w:highlight w:val="none"/>
              </w:rPr>
              <w:t>是否允许采购进口产品：</w:t>
            </w:r>
            <w:r>
              <w:rPr>
                <w:rFonts w:hint="eastAsia" w:ascii="宋体" w:hAnsi="宋体" w:eastAsia="宋体" w:cs="宋体"/>
                <w:b/>
                <w:bCs/>
                <w:color w:val="auto"/>
                <w:sz w:val="24"/>
                <w:highlight w:val="none"/>
                <w:u w:val="single"/>
              </w:rPr>
              <w:t xml:space="preserve"> </w:t>
            </w:r>
            <w:r>
              <w:rPr>
                <w:rFonts w:hint="eastAsia" w:ascii="宋体" w:hAnsi="宋体" w:cs="宋体"/>
                <w:b/>
                <w:bCs/>
                <w:color w:val="auto"/>
                <w:sz w:val="24"/>
                <w:highlight w:val="none"/>
                <w:u w:val="single"/>
                <w:lang w:val="en-US" w:eastAsia="zh-CN"/>
              </w:rPr>
              <w:t>否</w:t>
            </w:r>
            <w:r>
              <w:rPr>
                <w:rFonts w:hint="eastAsia" w:ascii="宋体" w:hAnsi="宋体" w:eastAsia="宋体" w:cs="宋体"/>
                <w:b/>
                <w:bCs/>
                <w:color w:val="auto"/>
                <w:sz w:val="24"/>
                <w:highlight w:val="none"/>
                <w:u w:val="single"/>
              </w:rPr>
              <w:t xml:space="preserve"> </w:t>
            </w:r>
            <w:r>
              <w:rPr>
                <w:rFonts w:hint="eastAsia" w:ascii="宋体" w:hAnsi="宋体" w:eastAsia="宋体" w:cs="宋体"/>
                <w:b/>
                <w:bCs/>
                <w:color w:val="auto"/>
                <w:sz w:val="24"/>
                <w:highlight w:val="none"/>
              </w:rPr>
              <w:t>（是、否）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9" w:hRule="atLeast"/>
        </w:trPr>
        <w:tc>
          <w:tcPr>
            <w:tcW w:w="867"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1.3.6</w:t>
            </w:r>
          </w:p>
        </w:tc>
        <w:tc>
          <w:tcPr>
            <w:tcW w:w="8500"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是否为专门面向中小企业采购：</w:t>
            </w:r>
            <w:r>
              <w:rPr>
                <w:rFonts w:hint="eastAsia" w:ascii="宋体" w:hAnsi="宋体" w:eastAsia="宋体" w:cs="宋体"/>
                <w:color w:val="auto"/>
                <w:sz w:val="24"/>
                <w:highlight w:val="none"/>
                <w:u w:val="single"/>
              </w:rPr>
              <w:t xml:space="preserve">  否  </w:t>
            </w:r>
            <w:r>
              <w:rPr>
                <w:rFonts w:hint="eastAsia" w:ascii="宋体" w:hAnsi="宋体" w:eastAsia="宋体" w:cs="宋体"/>
                <w:i/>
                <w:color w:val="auto"/>
                <w:sz w:val="24"/>
                <w:highlight w:val="none"/>
              </w:rPr>
              <w:t>（是、否）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867"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1.4</w:t>
            </w:r>
          </w:p>
        </w:tc>
        <w:tc>
          <w:tcPr>
            <w:tcW w:w="8500"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是否允许联合体投标：</w:t>
            </w:r>
            <w:r>
              <w:rPr>
                <w:rFonts w:hint="eastAsia" w:ascii="宋体" w:hAnsi="宋体" w:eastAsia="宋体" w:cs="宋体"/>
                <w:color w:val="auto"/>
                <w:sz w:val="24"/>
                <w:highlight w:val="none"/>
                <w:u w:val="single"/>
              </w:rPr>
              <w:t xml:space="preserve">  否  </w:t>
            </w:r>
            <w:r>
              <w:rPr>
                <w:rFonts w:hint="eastAsia" w:ascii="宋体" w:hAnsi="宋体" w:eastAsia="宋体" w:cs="宋体"/>
                <w:i/>
                <w:color w:val="auto"/>
                <w:sz w:val="24"/>
                <w:highlight w:val="none"/>
              </w:rPr>
              <w:t>（是、否）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92" w:hRule="atLeast"/>
        </w:trPr>
        <w:tc>
          <w:tcPr>
            <w:tcW w:w="867"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1.4.8</w:t>
            </w:r>
          </w:p>
        </w:tc>
        <w:tc>
          <w:tcPr>
            <w:tcW w:w="8500"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联合体的其他资格要求：无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67" w:type="dxa"/>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2.2</w:t>
            </w:r>
          </w:p>
        </w:tc>
        <w:tc>
          <w:tcPr>
            <w:tcW w:w="8500"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highlight w:val="none"/>
                <w:lang w:val="en-US"/>
              </w:rPr>
            </w:pPr>
            <w:r>
              <w:rPr>
                <w:rFonts w:hint="eastAsia" w:ascii="宋体" w:hAnsi="宋体" w:eastAsia="宋体" w:cs="宋体"/>
                <w:b/>
                <w:bCs/>
                <w:color w:val="auto"/>
                <w:sz w:val="24"/>
                <w:highlight w:val="none"/>
                <w:lang w:val="en-US" w:eastAsia="zh-CN"/>
              </w:rPr>
              <w:t>项目总预算金额：</w:t>
            </w:r>
            <w:r>
              <w:rPr>
                <w:rFonts w:hint="eastAsia" w:ascii="宋体" w:hAnsi="宋体" w:cs="宋体"/>
                <w:b/>
                <w:bCs/>
                <w:color w:val="auto"/>
                <w:sz w:val="24"/>
                <w:highlight w:val="none"/>
                <w:lang w:val="en-US" w:eastAsia="zh-CN"/>
              </w:rPr>
              <w:t>700</w:t>
            </w:r>
            <w:r>
              <w:rPr>
                <w:rFonts w:hint="eastAsia" w:ascii="宋体" w:hAnsi="宋体" w:eastAsia="宋体" w:cs="宋体"/>
                <w:b/>
                <w:bCs/>
                <w:color w:val="auto"/>
                <w:sz w:val="24"/>
                <w:highlight w:val="none"/>
                <w:lang w:val="en-US" w:eastAsia="zh-CN"/>
              </w:rPr>
              <w:t>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448" w:hRule="atLeast"/>
        </w:trPr>
        <w:tc>
          <w:tcPr>
            <w:tcW w:w="867" w:type="dxa"/>
            <w:vAlign w:val="center"/>
          </w:tcPr>
          <w:p>
            <w:pPr>
              <w:spacing w:line="4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12.1</w:t>
            </w:r>
          </w:p>
        </w:tc>
        <w:tc>
          <w:tcPr>
            <w:tcW w:w="8500" w:type="dxa"/>
            <w:vAlign w:val="center"/>
          </w:tcPr>
          <w:p>
            <w:pPr>
              <w:spacing w:line="40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投标保证金形式：</w:t>
            </w:r>
            <w:r>
              <w:rPr>
                <w:rFonts w:hint="eastAsia" w:ascii="宋体" w:hAnsi="宋体" w:cs="宋体"/>
                <w:color w:val="auto"/>
                <w:sz w:val="24"/>
                <w:highlight w:val="none"/>
                <w:lang w:eastAsia="zh-CN"/>
              </w:rPr>
              <w:sym w:font="Wingdings 2" w:char="0052"/>
            </w:r>
            <w:r>
              <w:rPr>
                <w:rFonts w:hint="eastAsia" w:ascii="宋体" w:hAnsi="宋体" w:eastAsia="宋体" w:cs="宋体"/>
                <w:color w:val="auto"/>
                <w:sz w:val="24"/>
                <w:highlight w:val="none"/>
              </w:rPr>
              <w:t xml:space="preserve">保函  </w:t>
            </w:r>
            <w:r>
              <w:rPr>
                <w:rFonts w:hint="eastAsia" w:ascii="宋体" w:hAnsi="宋体" w:cs="宋体"/>
                <w:color w:val="auto"/>
                <w:sz w:val="24"/>
                <w:highlight w:val="none"/>
                <w:lang w:eastAsia="zh-CN"/>
              </w:rPr>
              <w:sym w:font="Wingdings 2" w:char="0052"/>
            </w:r>
            <w:r>
              <w:rPr>
                <w:rFonts w:hint="eastAsia" w:ascii="宋体" w:hAnsi="宋体" w:eastAsia="宋体" w:cs="宋体"/>
                <w:color w:val="auto"/>
                <w:sz w:val="24"/>
                <w:highlight w:val="none"/>
              </w:rPr>
              <w:t xml:space="preserve">电汇  □支票   ☑对公转账   </w:t>
            </w:r>
          </w:p>
          <w:p>
            <w:pPr>
              <w:spacing w:line="400" w:lineRule="exact"/>
              <w:jc w:val="left"/>
              <w:rPr>
                <w:rFonts w:hint="eastAsia" w:ascii="宋体" w:hAnsi="宋体" w:eastAsia="宋体" w:cs="宋体"/>
                <w:color w:val="auto"/>
                <w:sz w:val="24"/>
                <w:highlight w:val="none"/>
              </w:rPr>
            </w:pPr>
            <w:r>
              <w:rPr>
                <w:rFonts w:hint="eastAsia" w:ascii="宋体" w:hAnsi="宋体" w:eastAsia="宋体" w:cs="宋体"/>
                <w:b/>
                <w:bCs/>
                <w:color w:val="auto"/>
                <w:sz w:val="24"/>
                <w:highlight w:val="none"/>
                <w:lang w:val="en-US" w:eastAsia="zh-CN"/>
              </w:rPr>
              <w:t>投标</w:t>
            </w:r>
            <w:r>
              <w:rPr>
                <w:rFonts w:hint="eastAsia" w:ascii="宋体" w:hAnsi="宋体" w:eastAsia="宋体" w:cs="宋体"/>
                <w:b/>
                <w:bCs/>
                <w:color w:val="auto"/>
                <w:sz w:val="24"/>
                <w:highlight w:val="none"/>
              </w:rPr>
              <w:t>保证金金额：小写：¥</w:t>
            </w:r>
            <w:r>
              <w:rPr>
                <w:rFonts w:hint="eastAsia" w:ascii="宋体" w:hAnsi="宋体" w:cs="宋体"/>
                <w:b/>
                <w:bCs/>
                <w:color w:val="auto"/>
                <w:sz w:val="24"/>
                <w:highlight w:val="none"/>
                <w:lang w:val="en-US" w:eastAsia="zh-CN"/>
              </w:rPr>
              <w:t>140000</w:t>
            </w:r>
            <w:r>
              <w:rPr>
                <w:rFonts w:hint="eastAsia" w:ascii="宋体" w:hAnsi="宋体" w:eastAsia="宋体" w:cs="宋体"/>
                <w:b/>
                <w:bCs/>
                <w:color w:val="auto"/>
                <w:sz w:val="24"/>
                <w:highlight w:val="none"/>
              </w:rPr>
              <w:t>元（人民币</w:t>
            </w:r>
            <w:r>
              <w:rPr>
                <w:rFonts w:hint="eastAsia" w:ascii="宋体" w:hAnsi="宋体" w:cs="宋体"/>
                <w:b/>
                <w:bCs/>
                <w:color w:val="auto"/>
                <w:sz w:val="24"/>
                <w:highlight w:val="none"/>
                <w:lang w:val="en-US" w:eastAsia="zh-CN"/>
              </w:rPr>
              <w:t>壹拾肆万</w:t>
            </w:r>
            <w:r>
              <w:rPr>
                <w:rFonts w:hint="eastAsia" w:ascii="宋体" w:hAnsi="宋体" w:eastAsia="宋体" w:cs="宋体"/>
                <w:b/>
                <w:bCs/>
                <w:color w:val="auto"/>
                <w:sz w:val="24"/>
                <w:highlight w:val="none"/>
                <w:lang w:val="en-US" w:eastAsia="zh-CN"/>
              </w:rPr>
              <w:t>元整）</w:t>
            </w:r>
            <w:r>
              <w:rPr>
                <w:rFonts w:hint="eastAsia" w:ascii="宋体" w:hAnsi="宋体" w:eastAsia="宋体" w:cs="宋体"/>
                <w:b/>
                <w:bCs/>
                <w:color w:val="auto"/>
                <w:sz w:val="24"/>
                <w:highlight w:val="none"/>
                <w:lang w:eastAsia="zh-CN"/>
              </w:rPr>
              <w:t>；</w:t>
            </w:r>
            <w:r>
              <w:rPr>
                <w:rFonts w:hint="eastAsia" w:ascii="宋体" w:hAnsi="宋体" w:eastAsia="宋体" w:cs="宋体"/>
                <w:color w:val="auto"/>
                <w:sz w:val="24"/>
                <w:highlight w:val="none"/>
              </w:rPr>
              <w:t>（按照控制金额2%以内的整数计算）</w:t>
            </w:r>
          </w:p>
          <w:p>
            <w:pPr>
              <w:spacing w:line="40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保证金收款人：</w:t>
            </w:r>
          </w:p>
          <w:p>
            <w:pPr>
              <w:spacing w:line="400" w:lineRule="exact"/>
              <w:jc w:val="lef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单位名称：中经国际招标集团有限公司喀什分公司</w:t>
            </w:r>
          </w:p>
          <w:p>
            <w:pPr>
              <w:spacing w:line="400" w:lineRule="exact"/>
              <w:jc w:val="lef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开 户 行：乌鲁木齐银行喀什分行营业部</w:t>
            </w:r>
          </w:p>
          <w:p>
            <w:pPr>
              <w:spacing w:line="400" w:lineRule="exact"/>
              <w:jc w:val="lef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账    号：0000020070110051349823</w:t>
            </w:r>
            <w:r>
              <w:rPr>
                <w:rFonts w:hint="eastAsia" w:ascii="宋体" w:hAnsi="宋体" w:eastAsia="宋体" w:cs="宋体"/>
                <w:b/>
                <w:bCs/>
                <w:color w:val="auto"/>
                <w:sz w:val="24"/>
                <w:szCs w:val="24"/>
                <w:highlight w:val="none"/>
              </w:rPr>
              <w:t>（电汇时请在汇款备注栏注明项目名称及包号（如有），并注明是投标保证金，否则视为无效投标保证金。）  </w:t>
            </w:r>
            <w:r>
              <w:rPr>
                <w:rFonts w:hint="eastAsia" w:ascii="宋体" w:hAnsi="宋体" w:eastAsia="宋体" w:cs="宋体"/>
                <w:b/>
                <w:bCs/>
                <w:color w:val="auto"/>
                <w:sz w:val="24"/>
                <w:highlight w:val="none"/>
              </w:rPr>
              <w:t>  </w:t>
            </w:r>
          </w:p>
          <w:p>
            <w:pPr>
              <w:spacing w:line="400" w:lineRule="exact"/>
              <w:jc w:val="lef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行     号：313894000405</w:t>
            </w:r>
          </w:p>
          <w:p>
            <w:pPr>
              <w:spacing w:line="400" w:lineRule="exact"/>
              <w:jc w:val="lef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财务室联系人及联系方式：15099650569</w:t>
            </w:r>
          </w:p>
          <w:p>
            <w:pPr>
              <w:spacing w:line="400" w:lineRule="exac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A:缴纳保证金要求：供应商向银行办理保证金汇（转）款时，应在用途栏（备注栏）注明项目名称及包号（如有），并注明是投标保证金字样，如填写字数有要求可简写项目名称与包号（如有），由于未按要求注明信息而导致的一切后果由供应商自行承担。</w:t>
            </w:r>
          </w:p>
          <w:p>
            <w:pPr>
              <w:spacing w:line="400" w:lineRule="exact"/>
              <w:jc w:val="left"/>
              <w:rPr>
                <w:rFonts w:hint="eastAsia" w:ascii="宋体" w:hAnsi="宋体" w:eastAsia="宋体" w:cs="宋体"/>
                <w:color w:val="auto"/>
                <w:sz w:val="24"/>
                <w:highlight w:val="none"/>
              </w:rPr>
            </w:pPr>
            <w:r>
              <w:rPr>
                <w:rFonts w:hint="eastAsia" w:ascii="宋体" w:hAnsi="宋体" w:eastAsia="宋体" w:cs="宋体"/>
                <w:b/>
                <w:bCs/>
                <w:color w:val="auto"/>
                <w:sz w:val="24"/>
                <w:szCs w:val="24"/>
                <w:highlight w:val="none"/>
              </w:rPr>
              <w:t>B：退保证金：（1）开评标结束后，未中标供应商的保证金将在5个工作日内退回原账户，供应商不需办理任何手续。（2）中标供应商的保证金在与采购人签订合同后，把合同扫描件发送至邮箱2783389030@qq.com后，当日或次日原账户退回。</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60" w:hRule="atLeast"/>
        </w:trPr>
        <w:tc>
          <w:tcPr>
            <w:tcW w:w="867" w:type="dxa"/>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13.1</w:t>
            </w:r>
          </w:p>
        </w:tc>
        <w:tc>
          <w:tcPr>
            <w:tcW w:w="8500" w:type="dxa"/>
            <w:vAlign w:val="center"/>
          </w:tcPr>
          <w:p>
            <w:pPr>
              <w:spacing w:line="400" w:lineRule="exact"/>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投标有效期：</w:t>
            </w:r>
            <w:r>
              <w:rPr>
                <w:rFonts w:hint="eastAsia" w:ascii="宋体" w:hAnsi="宋体" w:eastAsia="宋体" w:cs="宋体"/>
                <w:color w:val="auto"/>
                <w:sz w:val="24"/>
                <w:highlight w:val="none"/>
                <w:u w:val="single"/>
              </w:rPr>
              <w:t>　60　</w:t>
            </w:r>
            <w:r>
              <w:rPr>
                <w:rFonts w:hint="eastAsia" w:ascii="宋体" w:hAnsi="宋体" w:eastAsia="宋体" w:cs="宋体"/>
                <w:color w:val="auto"/>
                <w:sz w:val="24"/>
                <w:highlight w:val="none"/>
              </w:rPr>
              <w:t>日历日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1" w:hRule="atLeast"/>
        </w:trPr>
        <w:tc>
          <w:tcPr>
            <w:tcW w:w="867" w:type="dxa"/>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14.1</w:t>
            </w:r>
          </w:p>
        </w:tc>
        <w:tc>
          <w:tcPr>
            <w:tcW w:w="8500" w:type="dxa"/>
            <w:vAlign w:val="center"/>
          </w:tcPr>
          <w:p>
            <w:pPr>
              <w:spacing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投标文件包括“开标一览表及资格证明文件”和“商务及技术文件”两部分，两部分合订成一册密封递交。</w:t>
            </w:r>
          </w:p>
          <w:p>
            <w:pPr>
              <w:spacing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投标文件：正本：壹份、副本：</w:t>
            </w:r>
            <w:r>
              <w:rPr>
                <w:rFonts w:hint="eastAsia" w:ascii="宋体" w:hAnsi="宋体" w:eastAsia="宋体" w:cs="宋体"/>
                <w:color w:val="auto"/>
                <w:sz w:val="24"/>
                <w:szCs w:val="24"/>
                <w:highlight w:val="none"/>
                <w:lang w:val="en-US" w:eastAsia="zh-CN"/>
              </w:rPr>
              <w:t>肆</w:t>
            </w:r>
            <w:r>
              <w:rPr>
                <w:rFonts w:hint="eastAsia" w:ascii="宋体" w:hAnsi="宋体" w:eastAsia="宋体" w:cs="宋体"/>
                <w:color w:val="auto"/>
                <w:sz w:val="24"/>
                <w:szCs w:val="24"/>
                <w:highlight w:val="none"/>
              </w:rPr>
              <w:t>份；（正、副本密封在同一个密封袋中提交，密封袋封面右上角标明“正本和副本”字样）</w:t>
            </w:r>
          </w:p>
          <w:p>
            <w:pPr>
              <w:spacing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供应商必须制作“开标一览表”并单独密封提交，并在密封袋上标明“开标一览表”的字样。不按要求标注或不单独提交开标一览表，其投标将被拒绝。</w:t>
            </w:r>
          </w:p>
          <w:p>
            <w:pPr>
              <w:spacing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除上述文件外，还须密封递交投标文件电子文档1份。供应商必须制作“电子版U盘”并单独密封提交。电子版U盘必须是正本扫描件，并制作成与正本完全一致PDF格式文本及Word文档两个格式。并在密封袋上标明“电子版U盘”字样。不按要求提交电子版U盘，其投标无效。</w:t>
            </w:r>
          </w:p>
          <w:p>
            <w:pPr>
              <w:spacing w:line="3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投标文件使用A4，胶装，每册装订应牢固、不易拆散和换页，不得采用活页装订。</w:t>
            </w:r>
          </w:p>
          <w:p>
            <w:pPr>
              <w:pStyle w:val="5"/>
              <w:spacing w:before="0" w:after="0" w:line="360" w:lineRule="exact"/>
              <w:jc w:val="both"/>
              <w:rPr>
                <w:rFonts w:hint="eastAsia" w:ascii="宋体" w:hAnsi="宋体" w:eastAsia="宋体" w:cs="宋体"/>
                <w:color w:val="auto"/>
                <w:highlight w:val="none"/>
                <w:u w:val="none"/>
              </w:rPr>
            </w:pPr>
            <w:r>
              <w:rPr>
                <w:rFonts w:hint="eastAsia" w:ascii="宋体" w:hAnsi="宋体" w:eastAsia="宋体" w:cs="宋体"/>
                <w:color w:val="auto"/>
                <w:highlight w:val="none"/>
                <w:u w:val="none"/>
              </w:rPr>
              <w:t>投标文件的签署及规定：</w:t>
            </w:r>
          </w:p>
          <w:p>
            <w:pPr>
              <w:spacing w:line="35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供应商应按供应商须知资料表中的规定，准备和递交投标文件正本、副本、开标一览表和电子U盘，</w:t>
            </w:r>
            <w:r>
              <w:rPr>
                <w:rFonts w:hint="eastAsia" w:ascii="宋体" w:hAnsi="宋体" w:eastAsia="宋体" w:cs="宋体"/>
                <w:b/>
                <w:bCs/>
                <w:color w:val="auto"/>
                <w:sz w:val="24"/>
                <w:szCs w:val="24"/>
                <w:highlight w:val="none"/>
              </w:rPr>
              <w:t>每份投标文件封皮须清楚地标明“正本”或“副本”</w:t>
            </w:r>
            <w:r>
              <w:rPr>
                <w:rFonts w:hint="eastAsia" w:ascii="宋体" w:hAnsi="宋体" w:eastAsia="宋体" w:cs="宋体"/>
                <w:color w:val="auto"/>
                <w:sz w:val="24"/>
                <w:szCs w:val="24"/>
                <w:highlight w:val="none"/>
              </w:rPr>
              <w:t>。若正本和副本不符，以正本为准。</w:t>
            </w:r>
          </w:p>
          <w:p>
            <w:pPr>
              <w:spacing w:line="35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投标文件的正本需打印或用不褪色墨水书写，并由供应商的法定代表人或经其正式委托代理人按招标文件规定在投标文件上签字或盖章</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并加盖单位</w:t>
            </w:r>
            <w:r>
              <w:rPr>
                <w:rFonts w:hint="eastAsia" w:ascii="宋体" w:hAnsi="宋体" w:eastAsia="宋体" w:cs="宋体"/>
                <w:color w:val="auto"/>
                <w:sz w:val="24"/>
                <w:szCs w:val="24"/>
                <w:highlight w:val="none"/>
                <w:lang w:val="en-US" w:eastAsia="zh-CN"/>
              </w:rPr>
              <w:t>鲜</w:t>
            </w:r>
            <w:r>
              <w:rPr>
                <w:rFonts w:hint="eastAsia" w:ascii="宋体" w:hAnsi="宋体" w:eastAsia="宋体" w:cs="宋体"/>
                <w:color w:val="auto"/>
                <w:sz w:val="24"/>
                <w:szCs w:val="24"/>
                <w:highlight w:val="none"/>
              </w:rPr>
              <w:t>印章。委托代理人须持有书面的“法定代表人授权委托书”，并将其附在投标文件中。如对投标文件进行了修改，则应由供应商的法定代表人或其委托代理人在每一修改处签字。投标文件的副本可采用正本的复印件。</w:t>
            </w:r>
          </w:p>
          <w:p>
            <w:pPr>
              <w:spacing w:line="350" w:lineRule="exac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所有包装封皮和信封上均应：</w:t>
            </w:r>
          </w:p>
          <w:p>
            <w:pPr>
              <w:spacing w:line="35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注明招标公告或投标邀请书中指明的项目名称、项目编号、供应商名称和“在（开标时间）之前不得启封”的字样。</w:t>
            </w:r>
          </w:p>
          <w:p>
            <w:pPr>
              <w:pStyle w:val="6"/>
              <w:rPr>
                <w:rFonts w:hint="eastAsia" w:ascii="宋体" w:hAnsi="宋体" w:eastAsia="宋体" w:cs="宋体"/>
                <w:color w:val="auto"/>
                <w:highlight w:val="none"/>
                <w:lang w:eastAsia="zh-CN"/>
              </w:rPr>
            </w:pPr>
            <w:r>
              <w:rPr>
                <w:rFonts w:hint="eastAsia" w:ascii="宋体" w:hAnsi="宋体" w:eastAsia="宋体" w:cs="宋体"/>
                <w:color w:val="auto"/>
                <w:highlight w:val="none"/>
              </w:rPr>
              <w:t>在封口处加盖供应商单位章。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87" w:hRule="atLeast"/>
        </w:trPr>
        <w:tc>
          <w:tcPr>
            <w:tcW w:w="867" w:type="dxa"/>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16.1</w:t>
            </w:r>
          </w:p>
        </w:tc>
        <w:tc>
          <w:tcPr>
            <w:tcW w:w="8500" w:type="dxa"/>
            <w:vAlign w:val="center"/>
          </w:tcPr>
          <w:p>
            <w:pPr>
              <w:spacing w:line="36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投标截止时间：</w:t>
            </w:r>
            <w:r>
              <w:rPr>
                <w:rFonts w:hint="eastAsia" w:ascii="宋体" w:hAnsi="宋体" w:cs="宋体"/>
                <w:color w:val="auto"/>
                <w:sz w:val="24"/>
                <w:szCs w:val="24"/>
                <w:highlight w:val="none"/>
                <w:u w:val="single"/>
                <w:lang w:eastAsia="zh-CN"/>
              </w:rPr>
              <w:t>2022年7月8日11点00分</w:t>
            </w:r>
            <w:r>
              <w:rPr>
                <w:rFonts w:hint="eastAsia" w:ascii="宋体" w:hAnsi="宋体" w:eastAsia="宋体" w:cs="宋体"/>
                <w:color w:val="auto"/>
                <w:sz w:val="24"/>
                <w:szCs w:val="24"/>
                <w:highlight w:val="none"/>
                <w:u w:val="single"/>
              </w:rPr>
              <w:t>（北京时间）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34" w:hRule="atLeast"/>
        </w:trPr>
        <w:tc>
          <w:tcPr>
            <w:tcW w:w="867" w:type="dxa"/>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18.1</w:t>
            </w:r>
          </w:p>
        </w:tc>
        <w:tc>
          <w:tcPr>
            <w:tcW w:w="8500" w:type="dxa"/>
            <w:vAlign w:val="center"/>
          </w:tcPr>
          <w:p>
            <w:pPr>
              <w:spacing w:line="360" w:lineRule="exact"/>
              <w:rPr>
                <w:rFonts w:hint="eastAsia" w:ascii="宋体" w:hAnsi="宋体" w:eastAsia="宋体" w:cs="宋体"/>
                <w:color w:val="auto"/>
                <w:sz w:val="24"/>
                <w:highlight w:val="none"/>
                <w:u w:val="single"/>
                <w:lang w:eastAsia="zh-CN"/>
              </w:rPr>
            </w:pPr>
            <w:r>
              <w:rPr>
                <w:rFonts w:hint="eastAsia" w:ascii="宋体" w:hAnsi="宋体" w:eastAsia="宋体" w:cs="宋体"/>
                <w:color w:val="auto"/>
                <w:sz w:val="24"/>
                <w:highlight w:val="none"/>
              </w:rPr>
              <w:t>开标时间：</w:t>
            </w:r>
            <w:r>
              <w:rPr>
                <w:rFonts w:hint="eastAsia" w:ascii="宋体" w:hAnsi="宋体" w:cs="宋体"/>
                <w:color w:val="auto"/>
                <w:sz w:val="24"/>
                <w:szCs w:val="24"/>
                <w:highlight w:val="none"/>
                <w:u w:val="single"/>
                <w:lang w:eastAsia="zh-CN"/>
              </w:rPr>
              <w:t>2022年7月8日11点00分</w:t>
            </w:r>
            <w:r>
              <w:rPr>
                <w:rFonts w:hint="eastAsia" w:ascii="宋体" w:hAnsi="宋体" w:eastAsia="宋体" w:cs="宋体"/>
                <w:color w:val="auto"/>
                <w:sz w:val="24"/>
                <w:szCs w:val="24"/>
                <w:highlight w:val="none"/>
                <w:u w:val="single"/>
              </w:rPr>
              <w:t>（北京时间）</w:t>
            </w:r>
          </w:p>
          <w:p>
            <w:pPr>
              <w:spacing w:line="36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开标地点：</w:t>
            </w:r>
            <w:r>
              <w:rPr>
                <w:rFonts w:hint="eastAsia" w:ascii="宋体" w:hAnsi="宋体" w:eastAsia="宋体" w:cs="宋体"/>
                <w:b w:val="0"/>
                <w:bCs w:val="0"/>
                <w:color w:val="auto"/>
                <w:kern w:val="2"/>
                <w:sz w:val="24"/>
                <w:szCs w:val="24"/>
                <w:highlight w:val="none"/>
                <w:u w:val="single"/>
                <w:lang w:val="en-US" w:eastAsia="zh-CN" w:bidi="ar-SA"/>
              </w:rPr>
              <w:t>喀什经济开发区深圳城3号楼12层1204</w:t>
            </w:r>
            <w:r>
              <w:rPr>
                <w:rFonts w:hint="eastAsia" w:ascii="宋体" w:hAnsi="宋体" w:eastAsia="宋体" w:cs="宋体"/>
                <w:b w:val="0"/>
                <w:bCs w:val="0"/>
                <w:color w:val="auto"/>
                <w:kern w:val="2"/>
                <w:sz w:val="24"/>
                <w:szCs w:val="24"/>
                <w:highlight w:val="none"/>
                <w:lang w:val="en-US" w:eastAsia="zh-CN" w:bidi="ar-SA"/>
              </w:rPr>
              <w:t xml:space="preserve"> </w:t>
            </w:r>
            <w:r>
              <w:rPr>
                <w:rFonts w:hint="eastAsia" w:ascii="宋体" w:hAnsi="宋体" w:cs="宋体"/>
                <w:color w:val="auto"/>
                <w:sz w:val="24"/>
                <w:szCs w:val="24"/>
                <w:highlight w:val="none"/>
                <w:lang w:val="en-US"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87" w:hRule="atLeast"/>
        </w:trPr>
        <w:tc>
          <w:tcPr>
            <w:tcW w:w="867" w:type="dxa"/>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23.2</w:t>
            </w:r>
          </w:p>
        </w:tc>
        <w:tc>
          <w:tcPr>
            <w:tcW w:w="8500" w:type="dxa"/>
            <w:vAlign w:val="center"/>
          </w:tcPr>
          <w:p>
            <w:pPr>
              <w:spacing w:line="360" w:lineRule="auto"/>
              <w:rPr>
                <w:rFonts w:hint="eastAsia" w:ascii="宋体" w:hAnsi="宋体" w:eastAsia="宋体" w:cs="宋体"/>
                <w:i/>
                <w:color w:val="auto"/>
                <w:sz w:val="24"/>
                <w:highlight w:val="none"/>
              </w:rPr>
            </w:pPr>
            <w:r>
              <w:rPr>
                <w:rFonts w:hint="eastAsia" w:ascii="宋体" w:hAnsi="宋体" w:eastAsia="宋体" w:cs="宋体"/>
                <w:color w:val="auto"/>
                <w:sz w:val="24"/>
                <w:highlight w:val="none"/>
              </w:rPr>
              <w:t>评标方法：适用</w:t>
            </w:r>
            <w:r>
              <w:rPr>
                <w:rFonts w:hint="eastAsia" w:ascii="宋体" w:hAnsi="宋体" w:eastAsia="宋体" w:cs="宋体"/>
                <w:color w:val="auto"/>
                <w:sz w:val="24"/>
                <w:highlight w:val="none"/>
                <w:u w:val="single"/>
              </w:rPr>
              <w:t>　综合评分法　</w:t>
            </w:r>
            <w:r>
              <w:rPr>
                <w:rFonts w:hint="eastAsia" w:ascii="宋体" w:hAnsi="宋体" w:eastAsia="宋体" w:cs="宋体"/>
                <w:color w:val="auto"/>
                <w:sz w:val="24"/>
                <w:highlight w:val="none"/>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87" w:hRule="atLeast"/>
        </w:trPr>
        <w:tc>
          <w:tcPr>
            <w:tcW w:w="867" w:type="dxa"/>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27</w:t>
            </w:r>
          </w:p>
        </w:tc>
        <w:tc>
          <w:tcPr>
            <w:tcW w:w="8500" w:type="dxa"/>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推荐中标候选供应商的数量：</w:t>
            </w:r>
            <w:r>
              <w:rPr>
                <w:rFonts w:hint="eastAsia" w:ascii="宋体" w:hAnsi="宋体" w:eastAsia="宋体" w:cs="宋体"/>
                <w:color w:val="auto"/>
                <w:sz w:val="24"/>
                <w:highlight w:val="none"/>
                <w:u w:val="single"/>
              </w:rPr>
              <w:t>　  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87" w:hRule="atLeast"/>
        </w:trPr>
        <w:tc>
          <w:tcPr>
            <w:tcW w:w="867" w:type="dxa"/>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27</w:t>
            </w:r>
          </w:p>
        </w:tc>
        <w:tc>
          <w:tcPr>
            <w:tcW w:w="8500" w:type="dxa"/>
            <w:vAlign w:val="center"/>
          </w:tcPr>
          <w:p>
            <w:pPr>
              <w:spacing w:line="360" w:lineRule="auto"/>
              <w:rPr>
                <w:rFonts w:hint="eastAsia" w:ascii="宋体" w:hAnsi="宋体" w:eastAsia="宋体" w:cs="宋体"/>
                <w:color w:val="auto"/>
                <w:sz w:val="24"/>
                <w:highlight w:val="none"/>
              </w:rPr>
            </w:pPr>
            <w:r>
              <w:rPr>
                <w:rFonts w:hint="eastAsia" w:ascii="宋体" w:hAnsi="宋体" w:cs="宋体"/>
                <w:color w:val="auto"/>
                <w:sz w:val="24"/>
                <w:highlight w:val="none"/>
                <w:lang w:eastAsia="zh-CN"/>
              </w:rPr>
              <w:t>采购人</w:t>
            </w:r>
            <w:r>
              <w:rPr>
                <w:rFonts w:hint="eastAsia" w:ascii="宋体" w:hAnsi="宋体" w:eastAsia="宋体" w:cs="宋体"/>
                <w:color w:val="auto"/>
                <w:sz w:val="24"/>
                <w:highlight w:val="none"/>
              </w:rPr>
              <w:t>是否委托评标委员会直接确定中标人：</w:t>
            </w:r>
            <w:r>
              <w:rPr>
                <w:rFonts w:hint="eastAsia" w:ascii="宋体" w:hAnsi="宋体" w:eastAsia="宋体" w:cs="宋体"/>
                <w:color w:val="auto"/>
                <w:sz w:val="24"/>
                <w:highlight w:val="none"/>
                <w:u w:val="single"/>
              </w:rPr>
              <w:t xml:space="preserve"> </w:t>
            </w:r>
            <w:r>
              <w:rPr>
                <w:rFonts w:hint="eastAsia" w:ascii="宋体" w:hAnsi="宋体" w:cs="宋体"/>
                <w:color w:val="auto"/>
                <w:sz w:val="24"/>
                <w:highlight w:val="none"/>
                <w:u w:val="single"/>
                <w:lang w:val="en-US" w:eastAsia="zh-CN"/>
              </w:rPr>
              <w:t>否</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xml:space="preserve"> </w:t>
            </w:r>
            <w:r>
              <w:rPr>
                <w:rFonts w:hint="eastAsia" w:ascii="宋体" w:hAnsi="宋体" w:eastAsia="宋体" w:cs="宋体"/>
                <w:i/>
                <w:color w:val="auto"/>
                <w:sz w:val="24"/>
                <w:highlight w:val="none"/>
              </w:rPr>
              <w:t>（是、否）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108" w:hRule="atLeast"/>
        </w:trPr>
        <w:tc>
          <w:tcPr>
            <w:tcW w:w="867" w:type="dxa"/>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31.1</w:t>
            </w:r>
          </w:p>
        </w:tc>
        <w:tc>
          <w:tcPr>
            <w:tcW w:w="8500" w:type="dxa"/>
            <w:vAlign w:val="center"/>
          </w:tcPr>
          <w:p>
            <w:pPr>
              <w:spacing w:line="360" w:lineRule="auto"/>
              <w:rPr>
                <w:rFonts w:hint="eastAsia" w:ascii="宋体" w:hAnsi="宋体" w:eastAsia="宋体" w:cs="宋体"/>
                <w:i/>
                <w:color w:val="auto"/>
                <w:sz w:val="24"/>
                <w:highlight w:val="none"/>
              </w:rPr>
            </w:pPr>
            <w:r>
              <w:rPr>
                <w:rFonts w:hint="eastAsia" w:ascii="宋体" w:hAnsi="宋体" w:eastAsia="宋体" w:cs="宋体"/>
                <w:color w:val="auto"/>
                <w:sz w:val="24"/>
                <w:highlight w:val="none"/>
              </w:rPr>
              <w:t>履约保证金金额：合同总价的</w:t>
            </w:r>
            <w:r>
              <w:rPr>
                <w:rFonts w:hint="eastAsia" w:ascii="宋体" w:hAnsi="宋体" w:eastAsia="宋体" w:cs="宋体"/>
                <w:color w:val="auto"/>
                <w:sz w:val="24"/>
                <w:highlight w:val="none"/>
                <w:u w:val="single"/>
              </w:rPr>
              <w:t>　</w:t>
            </w:r>
            <w:r>
              <w:rPr>
                <w:rFonts w:hint="eastAsia" w:ascii="宋体" w:hAnsi="宋体" w:eastAsia="宋体" w:cs="宋体"/>
                <w:color w:val="auto"/>
                <w:sz w:val="24"/>
                <w:highlight w:val="none"/>
                <w:u w:val="single"/>
                <w:lang w:val="en-US" w:eastAsia="zh-CN"/>
              </w:rPr>
              <w:t>5</w:t>
            </w:r>
            <w:r>
              <w:rPr>
                <w:rFonts w:hint="eastAsia" w:ascii="宋体" w:hAnsi="宋体" w:eastAsia="宋体" w:cs="宋体"/>
                <w:color w:val="auto"/>
                <w:sz w:val="24"/>
                <w:highlight w:val="none"/>
                <w:u w:val="single"/>
              </w:rPr>
              <w:t>%　</w:t>
            </w:r>
            <w:r>
              <w:rPr>
                <w:rFonts w:hint="eastAsia" w:ascii="宋体" w:hAnsi="宋体" w:eastAsia="宋体" w:cs="宋体"/>
                <w:i/>
                <w:color w:val="auto"/>
                <w:sz w:val="24"/>
                <w:highlight w:val="none"/>
              </w:rPr>
              <w:t>（不得超过政府采购合同金额的10%）</w:t>
            </w:r>
          </w:p>
          <w:p>
            <w:pPr>
              <w:spacing w:line="360" w:lineRule="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履约保证金形式：☑保函  ☑电汇  □支票   ☑对公转账</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szCs w:val="24"/>
                <w:highlight w:val="none"/>
              </w:rPr>
              <w:t xml:space="preserve">提交履约保证金的时间：签订合同前 </w:t>
            </w:r>
            <w:r>
              <w:rPr>
                <w:rFonts w:hint="eastAsia" w:ascii="宋体" w:hAnsi="宋体" w:eastAsia="宋体" w:cs="宋体"/>
                <w:color w:val="auto"/>
                <w:sz w:val="24"/>
                <w:szCs w:val="24"/>
                <w:highlight w:val="none"/>
                <w:u w:val="single"/>
              </w:rPr>
              <w:t xml:space="preserve">  5  </w:t>
            </w:r>
            <w:r>
              <w:rPr>
                <w:rFonts w:hint="eastAsia" w:ascii="宋体" w:hAnsi="宋体" w:eastAsia="宋体" w:cs="宋体"/>
                <w:color w:val="auto"/>
                <w:sz w:val="24"/>
                <w:szCs w:val="24"/>
                <w:highlight w:val="none"/>
              </w:rPr>
              <w:t>日历日打入甲方指定账户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07" w:hRule="atLeast"/>
        </w:trPr>
        <w:tc>
          <w:tcPr>
            <w:tcW w:w="867" w:type="dxa"/>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32</w:t>
            </w:r>
          </w:p>
        </w:tc>
        <w:tc>
          <w:tcPr>
            <w:tcW w:w="8500" w:type="dxa"/>
            <w:vAlign w:val="center"/>
          </w:tcPr>
          <w:p>
            <w:pPr>
              <w:ind w:left="900" w:hanging="900" w:hangingChars="375"/>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中标服务费：根据发改价格[2015]299</w:t>
            </w:r>
            <w:r>
              <w:rPr>
                <w:rFonts w:hint="eastAsia" w:ascii="宋体" w:hAnsi="宋体" w:cs="宋体"/>
                <w:color w:val="auto"/>
                <w:sz w:val="24"/>
                <w:szCs w:val="24"/>
                <w:highlight w:val="none"/>
                <w:lang w:eastAsia="zh-CN"/>
              </w:rPr>
              <w:t>号文</w:t>
            </w:r>
            <w:r>
              <w:rPr>
                <w:rFonts w:hint="eastAsia" w:ascii="宋体" w:hAnsi="宋体" w:eastAsia="宋体" w:cs="宋体"/>
                <w:color w:val="auto"/>
                <w:sz w:val="24"/>
                <w:szCs w:val="24"/>
                <w:highlight w:val="none"/>
              </w:rPr>
              <w:t>：确定代理服务费按照中标价的1.5%收取。（由中标供应商支付）</w:t>
            </w:r>
            <w:r>
              <w:rPr>
                <w:rFonts w:hint="eastAsia" w:ascii="宋体" w:hAnsi="宋体" w:cs="宋体"/>
                <w:color w:val="auto"/>
                <w:sz w:val="24"/>
                <w:szCs w:val="24"/>
                <w:highlight w:val="none"/>
                <w:lang w:val="en-US" w:eastAsia="zh-CN"/>
              </w:rPr>
              <w:t xml:space="preserve">                                                                                 </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支付形式：</w:t>
            </w:r>
            <w:r>
              <w:rPr>
                <w:rFonts w:hint="eastAsia" w:ascii="宋体" w:hAnsi="宋体" w:eastAsia="宋体" w:cs="宋体"/>
                <w:color w:val="auto"/>
                <w:sz w:val="24"/>
                <w:szCs w:val="24"/>
                <w:highlight w:val="none"/>
                <w:u w:val="single"/>
              </w:rPr>
              <w:t xml:space="preserve">  对公转账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szCs w:val="24"/>
                <w:highlight w:val="none"/>
              </w:rPr>
              <w:t>支付时间：</w:t>
            </w:r>
            <w:r>
              <w:rPr>
                <w:rFonts w:hint="eastAsia" w:ascii="宋体" w:hAnsi="宋体" w:eastAsia="宋体" w:cs="宋体"/>
                <w:color w:val="auto"/>
                <w:sz w:val="24"/>
                <w:szCs w:val="24"/>
                <w:highlight w:val="none"/>
                <w:u w:val="single"/>
              </w:rPr>
              <w:t xml:space="preserve">  领取中标通知书时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87" w:hRule="atLeast"/>
        </w:trPr>
        <w:tc>
          <w:tcPr>
            <w:tcW w:w="867" w:type="dxa"/>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33.1</w:t>
            </w:r>
          </w:p>
        </w:tc>
        <w:tc>
          <w:tcPr>
            <w:tcW w:w="8500" w:type="dxa"/>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本项目是否属于信用担保试点范围：</w:t>
            </w:r>
            <w:r>
              <w:rPr>
                <w:rFonts w:hint="eastAsia" w:ascii="宋体" w:hAnsi="宋体" w:eastAsia="宋体" w:cs="宋体"/>
                <w:color w:val="auto"/>
                <w:sz w:val="24"/>
                <w:highlight w:val="none"/>
                <w:u w:val="single"/>
              </w:rPr>
              <w:t xml:space="preserve">  否  </w:t>
            </w:r>
            <w:r>
              <w:rPr>
                <w:rFonts w:hint="eastAsia" w:ascii="宋体" w:hAnsi="宋体" w:eastAsia="宋体" w:cs="宋体"/>
                <w:color w:val="auto"/>
                <w:sz w:val="24"/>
                <w:highlight w:val="none"/>
              </w:rPr>
              <w:t xml:space="preserve"> </w:t>
            </w:r>
            <w:r>
              <w:rPr>
                <w:rFonts w:hint="eastAsia" w:ascii="宋体" w:hAnsi="宋体" w:eastAsia="宋体" w:cs="宋体"/>
                <w:i/>
                <w:color w:val="auto"/>
                <w:sz w:val="24"/>
                <w:highlight w:val="none"/>
              </w:rPr>
              <w:t>（是、否）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00" w:hRule="atLeast"/>
        </w:trPr>
        <w:tc>
          <w:tcPr>
            <w:tcW w:w="9367" w:type="dxa"/>
            <w:gridSpan w:val="2"/>
            <w:tcBorders>
              <w:top w:val="single" w:color="auto" w:sz="12" w:space="0"/>
              <w:left w:val="single" w:color="auto" w:sz="12" w:space="0"/>
              <w:bottom w:val="single" w:color="auto" w:sz="12" w:space="0"/>
              <w:right w:val="single" w:color="auto" w:sz="12" w:space="0"/>
            </w:tcBorders>
            <w:vAlign w:val="center"/>
          </w:tcPr>
          <w:p>
            <w:pPr>
              <w:spacing w:line="360" w:lineRule="auto"/>
              <w:ind w:left="1080" w:leftChars="257" w:hanging="540"/>
              <w:rPr>
                <w:rFonts w:hint="eastAsia" w:ascii="宋体" w:hAnsi="宋体" w:eastAsia="宋体" w:cs="宋体"/>
                <w:color w:val="auto"/>
                <w:sz w:val="24"/>
                <w:highlight w:val="none"/>
              </w:rPr>
            </w:pPr>
            <w:r>
              <w:rPr>
                <w:rFonts w:hint="eastAsia" w:ascii="宋体" w:hAnsi="宋体" w:eastAsia="宋体" w:cs="宋体"/>
                <w:color w:val="auto"/>
                <w:sz w:val="24"/>
                <w:highlight w:val="none"/>
              </w:rPr>
              <w:t>适用于本</w:t>
            </w:r>
            <w:r>
              <w:rPr>
                <w:rFonts w:hint="eastAsia" w:ascii="宋体" w:hAnsi="宋体" w:eastAsia="宋体" w:cs="宋体"/>
                <w:color w:val="auto"/>
                <w:sz w:val="24"/>
                <w:highlight w:val="none"/>
                <w:lang w:eastAsia="zh-CN"/>
              </w:rPr>
              <w:t>供应商</w:t>
            </w:r>
            <w:r>
              <w:rPr>
                <w:rFonts w:hint="eastAsia" w:ascii="宋体" w:hAnsi="宋体" w:eastAsia="宋体" w:cs="宋体"/>
                <w:color w:val="auto"/>
                <w:sz w:val="24"/>
                <w:highlight w:val="none"/>
              </w:rPr>
              <w:t>须知的额外增加的变动：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22" w:hRule="atLeast"/>
        </w:trPr>
        <w:tc>
          <w:tcPr>
            <w:tcW w:w="867" w:type="dxa"/>
          </w:tcPr>
          <w:p>
            <w:pPr>
              <w:spacing w:line="360" w:lineRule="auto"/>
              <w:ind w:left="1080" w:leftChars="257" w:hanging="54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1</w:t>
            </w:r>
          </w:p>
        </w:tc>
        <w:tc>
          <w:tcPr>
            <w:tcW w:w="8500" w:type="dxa"/>
            <w:vAlign w:val="center"/>
          </w:tcPr>
          <w:p>
            <w:pPr>
              <w:spacing w:line="360" w:lineRule="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进口产品制造商授权等是否作为资格要求：</w:t>
            </w:r>
            <w:r>
              <w:rPr>
                <w:rFonts w:hint="eastAsia" w:ascii="宋体" w:hAnsi="宋体" w:eastAsia="宋体" w:cs="宋体"/>
                <w:b/>
                <w:bCs/>
                <w:color w:val="auto"/>
                <w:sz w:val="24"/>
                <w:highlight w:val="none"/>
                <w:u w:val="single"/>
              </w:rPr>
              <w:t xml:space="preserve"> 否   </w:t>
            </w:r>
            <w:r>
              <w:rPr>
                <w:rFonts w:hint="eastAsia" w:ascii="宋体" w:hAnsi="宋体" w:eastAsia="宋体" w:cs="宋体"/>
                <w:b/>
                <w:bCs/>
                <w:i/>
                <w:color w:val="auto"/>
                <w:sz w:val="24"/>
                <w:highlight w:val="none"/>
              </w:rPr>
              <w:t>（是、否）</w:t>
            </w:r>
          </w:p>
        </w:tc>
      </w:tr>
    </w:tbl>
    <w:p>
      <w:pPr>
        <w:pStyle w:val="6"/>
        <w:keepNext w:val="0"/>
        <w:keepLines w:val="0"/>
        <w:pageBreakBefore w:val="0"/>
        <w:widowControl w:val="0"/>
        <w:kinsoku/>
        <w:wordWrap/>
        <w:overflowPunct/>
        <w:topLinePunct w:val="0"/>
        <w:autoSpaceDE w:val="0"/>
        <w:autoSpaceDN w:val="0"/>
        <w:bidi w:val="0"/>
        <w:adjustRightInd w:val="0"/>
        <w:snapToGrid/>
        <w:spacing w:line="240" w:lineRule="exact"/>
        <w:ind w:firstLine="0"/>
        <w:textAlignment w:val="auto"/>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8"/>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8"/>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8"/>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8"/>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8"/>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8"/>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8"/>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8"/>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8"/>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8"/>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8"/>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8"/>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8"/>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8"/>
        <w:rPr>
          <w:rFonts w:hint="eastAsia" w:ascii="宋体" w:hAnsi="宋体" w:eastAsia="宋体" w:cs="宋体"/>
          <w:color w:val="auto"/>
          <w:highlight w:val="none"/>
        </w:rPr>
      </w:pPr>
    </w:p>
    <w:p>
      <w:pPr>
        <w:rPr>
          <w:rFonts w:hint="eastAsia" w:ascii="宋体" w:hAnsi="宋体" w:eastAsia="宋体" w:cs="宋体"/>
          <w:color w:val="auto"/>
          <w:highlight w:val="none"/>
        </w:rPr>
      </w:pPr>
    </w:p>
    <w:p>
      <w:pPr>
        <w:spacing w:line="400" w:lineRule="exact"/>
        <w:rPr>
          <w:rFonts w:hint="eastAsia" w:ascii="宋体" w:hAnsi="宋体" w:eastAsia="宋体" w:cs="宋体"/>
          <w:color w:val="auto"/>
          <w:sz w:val="13"/>
          <w:szCs w:val="13"/>
          <w:highlight w:val="none"/>
        </w:rPr>
        <w:sectPr>
          <w:pgSz w:w="11905" w:h="16838"/>
          <w:pgMar w:top="1440" w:right="1797" w:bottom="1440" w:left="1797" w:header="851" w:footer="992" w:gutter="0"/>
          <w:pgNumType w:fmt="decimal"/>
          <w:cols w:space="0" w:num="1"/>
          <w:docGrid w:linePitch="312" w:charSpace="0"/>
        </w:sectPr>
      </w:pPr>
      <w:bookmarkStart w:id="525" w:name="_Toc216582811"/>
      <w:bookmarkStart w:id="526" w:name="_Toc219175635"/>
      <w:bookmarkStart w:id="527" w:name="_Toc218935351"/>
      <w:bookmarkStart w:id="528" w:name="_Toc216513787"/>
    </w:p>
    <w:tbl>
      <w:tblPr>
        <w:tblStyle w:val="20"/>
        <w:tblpPr w:leftFromText="180" w:rightFromText="180" w:vertAnchor="text" w:horzAnchor="page" w:tblpX="690" w:tblpY="491"/>
        <w:tblOverlap w:val="never"/>
        <w:tblW w:w="15577" w:type="dxa"/>
        <w:tblInd w:w="0" w:type="dxa"/>
        <w:tblLayout w:type="fixed"/>
        <w:tblCellMar>
          <w:top w:w="0" w:type="dxa"/>
          <w:left w:w="108" w:type="dxa"/>
          <w:bottom w:w="0" w:type="dxa"/>
          <w:right w:w="108" w:type="dxa"/>
        </w:tblCellMar>
      </w:tblPr>
      <w:tblGrid>
        <w:gridCol w:w="542"/>
        <w:gridCol w:w="742"/>
        <w:gridCol w:w="963"/>
        <w:gridCol w:w="994"/>
        <w:gridCol w:w="1131"/>
        <w:gridCol w:w="929"/>
        <w:gridCol w:w="851"/>
        <w:gridCol w:w="4382"/>
        <w:gridCol w:w="1128"/>
        <w:gridCol w:w="938"/>
        <w:gridCol w:w="1060"/>
        <w:gridCol w:w="1007"/>
        <w:gridCol w:w="910"/>
      </w:tblGrid>
      <w:tr>
        <w:tblPrEx>
          <w:tblCellMar>
            <w:top w:w="0" w:type="dxa"/>
            <w:left w:w="108" w:type="dxa"/>
            <w:bottom w:w="0" w:type="dxa"/>
            <w:right w:w="108" w:type="dxa"/>
          </w:tblCellMar>
        </w:tblPrEx>
        <w:trPr>
          <w:trHeight w:val="794" w:hRule="atLeast"/>
        </w:trPr>
        <w:tc>
          <w:tcPr>
            <w:tcW w:w="542"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color w:val="auto"/>
                <w:sz w:val="13"/>
                <w:szCs w:val="13"/>
                <w:highlight w:val="none"/>
              </w:rPr>
            </w:pPr>
            <w:r>
              <w:rPr>
                <w:rFonts w:hint="eastAsia" w:ascii="宋体" w:hAnsi="宋体" w:eastAsia="宋体" w:cs="宋体"/>
                <w:color w:val="auto"/>
                <w:sz w:val="13"/>
                <w:szCs w:val="13"/>
                <w:highlight w:val="none"/>
              </w:rPr>
              <w:t>供应商名称</w:t>
            </w:r>
          </w:p>
        </w:tc>
        <w:tc>
          <w:tcPr>
            <w:tcW w:w="13118" w:type="dxa"/>
            <w:gridSpan w:val="10"/>
            <w:tcBorders>
              <w:top w:val="single" w:color="auto" w:sz="4" w:space="0"/>
              <w:left w:val="nil"/>
              <w:bottom w:val="single" w:color="auto" w:sz="4" w:space="0"/>
              <w:right w:val="single" w:color="auto" w:sz="4" w:space="0"/>
            </w:tcBorders>
            <w:vAlign w:val="center"/>
          </w:tcPr>
          <w:p>
            <w:pPr>
              <w:widowControl/>
              <w:snapToGrid w:val="0"/>
              <w:spacing w:line="470" w:lineRule="exact"/>
              <w:jc w:val="center"/>
              <w:textAlignment w:val="baseline"/>
              <w:rPr>
                <w:rFonts w:hint="eastAsia" w:ascii="宋体" w:hAnsi="宋体" w:eastAsia="宋体" w:cs="宋体"/>
                <w:color w:val="auto"/>
                <w:sz w:val="13"/>
                <w:szCs w:val="13"/>
                <w:highlight w:val="none"/>
              </w:rPr>
            </w:pPr>
            <w:r>
              <w:rPr>
                <w:rFonts w:hint="eastAsia" w:ascii="宋体" w:hAnsi="宋体" w:eastAsia="宋体" w:cs="宋体"/>
                <w:color w:val="auto"/>
                <w:sz w:val="13"/>
                <w:szCs w:val="13"/>
                <w:highlight w:val="none"/>
              </w:rPr>
              <w:t>审查项目</w:t>
            </w:r>
          </w:p>
        </w:tc>
        <w:tc>
          <w:tcPr>
            <w:tcW w:w="1007"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13"/>
                <w:szCs w:val="13"/>
                <w:highlight w:val="none"/>
              </w:rPr>
            </w:pPr>
            <w:r>
              <w:rPr>
                <w:rFonts w:hint="eastAsia" w:ascii="宋体" w:hAnsi="宋体" w:eastAsia="宋体" w:cs="宋体"/>
                <w:color w:val="auto"/>
                <w:sz w:val="13"/>
                <w:szCs w:val="13"/>
                <w:highlight w:val="none"/>
              </w:rPr>
              <w:t>结论</w:t>
            </w:r>
          </w:p>
        </w:tc>
        <w:tc>
          <w:tcPr>
            <w:tcW w:w="910"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13"/>
                <w:szCs w:val="13"/>
                <w:highlight w:val="none"/>
                <w:lang w:val="en-US" w:eastAsia="zh-CN"/>
              </w:rPr>
            </w:pPr>
            <w:r>
              <w:rPr>
                <w:rFonts w:hint="eastAsia" w:ascii="宋体" w:hAnsi="宋体" w:eastAsia="宋体" w:cs="宋体"/>
                <w:color w:val="auto"/>
                <w:sz w:val="13"/>
                <w:szCs w:val="13"/>
                <w:highlight w:val="none"/>
                <w:lang w:val="en-US" w:eastAsia="zh-CN"/>
              </w:rPr>
              <w:t>供应商代表签字</w:t>
            </w:r>
          </w:p>
        </w:tc>
      </w:tr>
      <w:tr>
        <w:tblPrEx>
          <w:tblCellMar>
            <w:top w:w="0" w:type="dxa"/>
            <w:left w:w="108" w:type="dxa"/>
            <w:bottom w:w="0" w:type="dxa"/>
            <w:right w:w="108" w:type="dxa"/>
          </w:tblCellMar>
        </w:tblPrEx>
        <w:trPr>
          <w:trHeight w:val="3586" w:hRule="atLeast"/>
        </w:trPr>
        <w:tc>
          <w:tcPr>
            <w:tcW w:w="542"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color w:val="auto"/>
                <w:sz w:val="13"/>
                <w:szCs w:val="13"/>
                <w:highlight w:val="none"/>
              </w:rPr>
            </w:pPr>
          </w:p>
        </w:tc>
        <w:tc>
          <w:tcPr>
            <w:tcW w:w="742" w:type="dxa"/>
            <w:tcBorders>
              <w:top w:val="nil"/>
              <w:left w:val="nil"/>
              <w:bottom w:val="single" w:color="auto" w:sz="4" w:space="0"/>
              <w:right w:val="single" w:color="auto" w:sz="4" w:space="0"/>
            </w:tcBorders>
            <w:vAlign w:val="center"/>
          </w:tcPr>
          <w:p>
            <w:pPr>
              <w:spacing w:line="400" w:lineRule="exact"/>
              <w:rPr>
                <w:rFonts w:hint="eastAsia" w:ascii="宋体" w:hAnsi="宋体" w:eastAsia="宋体" w:cs="宋体"/>
                <w:color w:val="auto"/>
                <w:sz w:val="13"/>
                <w:szCs w:val="13"/>
                <w:highlight w:val="none"/>
              </w:rPr>
            </w:pPr>
            <w:r>
              <w:rPr>
                <w:rFonts w:hint="eastAsia" w:ascii="宋体" w:hAnsi="宋体" w:eastAsia="宋体" w:cs="宋体"/>
                <w:color w:val="auto"/>
                <w:sz w:val="13"/>
                <w:szCs w:val="13"/>
                <w:highlight w:val="none"/>
              </w:rPr>
              <w:t>具有有效的独立法人营业执照；</w:t>
            </w:r>
          </w:p>
        </w:tc>
        <w:tc>
          <w:tcPr>
            <w:tcW w:w="963" w:type="dxa"/>
            <w:tcBorders>
              <w:top w:val="nil"/>
              <w:left w:val="nil"/>
              <w:bottom w:val="single" w:color="auto" w:sz="4" w:space="0"/>
              <w:right w:val="single" w:color="auto" w:sz="4" w:space="0"/>
            </w:tcBorders>
            <w:vAlign w:val="center"/>
          </w:tcPr>
          <w:p>
            <w:pPr>
              <w:spacing w:line="400" w:lineRule="exact"/>
              <w:rPr>
                <w:rFonts w:hint="eastAsia" w:ascii="宋体" w:hAnsi="宋体" w:eastAsia="宋体" w:cs="宋体"/>
                <w:color w:val="auto"/>
                <w:sz w:val="13"/>
                <w:szCs w:val="13"/>
                <w:highlight w:val="none"/>
              </w:rPr>
            </w:pPr>
            <w:r>
              <w:rPr>
                <w:rFonts w:hint="eastAsia" w:ascii="宋体" w:hAnsi="宋体" w:cs="宋体"/>
                <w:color w:val="auto"/>
                <w:sz w:val="13"/>
                <w:szCs w:val="13"/>
                <w:highlight w:val="none"/>
                <w:lang w:eastAsia="zh-CN"/>
              </w:rPr>
              <w:t>提供有效的《医疗器械生产许可证》及《医疗器械经营许可证》（二类医疗器械须提供医疗器械备案凭证及医疗器械注册证）</w:t>
            </w:r>
            <w:r>
              <w:rPr>
                <w:rFonts w:hint="eastAsia" w:ascii="宋体" w:hAnsi="宋体" w:eastAsia="宋体" w:cs="宋体"/>
                <w:color w:val="auto"/>
                <w:sz w:val="13"/>
                <w:szCs w:val="13"/>
                <w:highlight w:val="none"/>
              </w:rPr>
              <w:t>；</w:t>
            </w:r>
          </w:p>
        </w:tc>
        <w:tc>
          <w:tcPr>
            <w:tcW w:w="994" w:type="dxa"/>
            <w:tcBorders>
              <w:top w:val="nil"/>
              <w:left w:val="nil"/>
              <w:bottom w:val="single" w:color="auto" w:sz="4" w:space="0"/>
              <w:right w:val="single" w:color="auto" w:sz="4" w:space="0"/>
            </w:tcBorders>
            <w:vAlign w:val="center"/>
          </w:tcPr>
          <w:p>
            <w:pPr>
              <w:spacing w:line="400" w:lineRule="exact"/>
              <w:rPr>
                <w:rFonts w:hint="eastAsia" w:ascii="宋体" w:hAnsi="宋体" w:eastAsia="宋体" w:cs="宋体"/>
                <w:color w:val="auto"/>
                <w:sz w:val="13"/>
                <w:szCs w:val="13"/>
                <w:highlight w:val="none"/>
              </w:rPr>
            </w:pPr>
            <w:r>
              <w:rPr>
                <w:rFonts w:hint="eastAsia" w:ascii="宋体" w:hAnsi="宋体" w:eastAsia="宋体" w:cs="宋体"/>
                <w:color w:val="auto"/>
                <w:sz w:val="13"/>
                <w:szCs w:val="13"/>
                <w:highlight w:val="none"/>
              </w:rPr>
              <w:t>法人代表身份证明及授权书、被授权人身份证；(法人投标需提供法人身份证复印件)；</w:t>
            </w:r>
          </w:p>
        </w:tc>
        <w:tc>
          <w:tcPr>
            <w:tcW w:w="1131" w:type="dxa"/>
            <w:tcBorders>
              <w:top w:val="nil"/>
              <w:left w:val="nil"/>
              <w:bottom w:val="single" w:color="auto" w:sz="4" w:space="0"/>
              <w:right w:val="single" w:color="auto" w:sz="4" w:space="0"/>
            </w:tcBorders>
            <w:vAlign w:val="center"/>
          </w:tcPr>
          <w:p>
            <w:pPr>
              <w:spacing w:line="400" w:lineRule="exact"/>
              <w:rPr>
                <w:rFonts w:hint="eastAsia" w:ascii="宋体" w:hAnsi="宋体" w:eastAsia="宋体" w:cs="宋体"/>
                <w:color w:val="auto"/>
                <w:sz w:val="13"/>
                <w:szCs w:val="13"/>
                <w:highlight w:val="none"/>
              </w:rPr>
            </w:pPr>
            <w:r>
              <w:rPr>
                <w:rFonts w:hint="eastAsia" w:ascii="宋体" w:hAnsi="宋体" w:eastAsia="宋体" w:cs="宋体"/>
                <w:color w:val="auto"/>
                <w:sz w:val="13"/>
                <w:szCs w:val="13"/>
                <w:highlight w:val="none"/>
              </w:rPr>
              <w:t>依法缴纳最近6个月中任意1个月的社会保险的凭据；</w:t>
            </w:r>
          </w:p>
        </w:tc>
        <w:tc>
          <w:tcPr>
            <w:tcW w:w="929" w:type="dxa"/>
            <w:tcBorders>
              <w:top w:val="nil"/>
              <w:left w:val="nil"/>
              <w:bottom w:val="single" w:color="auto" w:sz="4" w:space="0"/>
              <w:right w:val="single" w:color="auto" w:sz="4" w:space="0"/>
            </w:tcBorders>
            <w:vAlign w:val="center"/>
          </w:tcPr>
          <w:p>
            <w:pPr>
              <w:spacing w:line="400" w:lineRule="exact"/>
              <w:rPr>
                <w:rFonts w:hint="eastAsia" w:ascii="宋体" w:hAnsi="宋体" w:eastAsia="宋体" w:cs="宋体"/>
                <w:color w:val="auto"/>
                <w:sz w:val="13"/>
                <w:szCs w:val="13"/>
                <w:highlight w:val="none"/>
              </w:rPr>
            </w:pPr>
            <w:r>
              <w:rPr>
                <w:rFonts w:hint="eastAsia" w:ascii="宋体" w:hAnsi="宋体" w:eastAsia="宋体" w:cs="宋体"/>
                <w:color w:val="auto"/>
                <w:sz w:val="13"/>
                <w:szCs w:val="13"/>
                <w:highlight w:val="none"/>
              </w:rPr>
              <w:t xml:space="preserve">税务部门出具的最近6个月中任意1个月的完税证明； </w:t>
            </w:r>
          </w:p>
        </w:tc>
        <w:tc>
          <w:tcPr>
            <w:tcW w:w="851"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color w:val="auto"/>
                <w:sz w:val="13"/>
                <w:szCs w:val="13"/>
                <w:highlight w:val="none"/>
              </w:rPr>
            </w:pPr>
            <w:r>
              <w:rPr>
                <w:rFonts w:hint="eastAsia" w:ascii="宋体" w:hAnsi="宋体" w:eastAsia="宋体" w:cs="宋体"/>
                <w:color w:val="auto"/>
                <w:sz w:val="13"/>
                <w:szCs w:val="13"/>
                <w:highlight w:val="none"/>
              </w:rPr>
              <w:t>近两年任意一年的财务审计报告；</w:t>
            </w:r>
          </w:p>
        </w:tc>
        <w:tc>
          <w:tcPr>
            <w:tcW w:w="4382"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color w:val="auto"/>
                <w:sz w:val="13"/>
                <w:szCs w:val="13"/>
                <w:highlight w:val="none"/>
              </w:rPr>
            </w:pPr>
            <w:r>
              <w:rPr>
                <w:rFonts w:hint="eastAsia" w:ascii="宋体" w:hAnsi="宋体" w:eastAsia="宋体" w:cs="宋体"/>
                <w:color w:val="auto"/>
                <w:sz w:val="13"/>
                <w:szCs w:val="13"/>
                <w:highlight w:val="none"/>
              </w:rPr>
              <w:t>根据《财政部关于在政府采购活动中查询及使用信用记录有关问题的通知》（财库﹝2016﹞125号）的要求，凡拟参加本次招标项目的供应商，如在“信用中国”网站（ www.creditchina.gov.cn） 被列入失信被执行人、重大税收违法案件当事人名单(信用服务-失信惩戒对象查询-搜索栏输入单位全称-截图)、中国政府采购网（http://www.ccgp.gov.cn/search/cr/）严重违法失信行为记录名单的（尚在处罚期内的），“国家企业信用信息公示系统（http://www.gsxt.gov.cn）”列入严重违法失信企业名单（黑名单）信息及企业信用信息公示报告；将拒绝其参加本次招标活动；（以招标代理或</w:t>
            </w:r>
            <w:r>
              <w:rPr>
                <w:rFonts w:hint="eastAsia" w:ascii="宋体" w:hAnsi="宋体" w:cs="宋体"/>
                <w:color w:val="auto"/>
                <w:sz w:val="13"/>
                <w:szCs w:val="13"/>
                <w:highlight w:val="none"/>
                <w:lang w:eastAsia="zh-CN"/>
              </w:rPr>
              <w:t>采购人</w:t>
            </w:r>
            <w:r>
              <w:rPr>
                <w:rFonts w:hint="eastAsia" w:ascii="宋体" w:hAnsi="宋体" w:eastAsia="宋体" w:cs="宋体"/>
                <w:color w:val="auto"/>
                <w:sz w:val="13"/>
                <w:szCs w:val="13"/>
                <w:highlight w:val="none"/>
              </w:rPr>
              <w:t>查询为准）</w:t>
            </w:r>
          </w:p>
        </w:tc>
        <w:tc>
          <w:tcPr>
            <w:tcW w:w="1128"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color w:val="auto"/>
                <w:sz w:val="13"/>
                <w:szCs w:val="13"/>
                <w:highlight w:val="none"/>
              </w:rPr>
            </w:pPr>
            <w:r>
              <w:rPr>
                <w:rFonts w:hint="eastAsia" w:ascii="宋体" w:hAnsi="宋体" w:eastAsia="宋体" w:cs="宋体"/>
                <w:color w:val="auto"/>
                <w:sz w:val="13"/>
                <w:szCs w:val="13"/>
                <w:highlight w:val="none"/>
              </w:rPr>
              <w:t>参与政府采购活动前3年内未被列入失信、重大税收违法案件、财政部门禁止参加政府采购活动的承诺书；</w:t>
            </w:r>
          </w:p>
        </w:tc>
        <w:tc>
          <w:tcPr>
            <w:tcW w:w="938"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color w:val="auto"/>
                <w:sz w:val="13"/>
                <w:szCs w:val="13"/>
                <w:highlight w:val="none"/>
                <w:lang w:eastAsia="zh-CN"/>
              </w:rPr>
            </w:pPr>
            <w:r>
              <w:rPr>
                <w:rFonts w:hint="eastAsia" w:ascii="宋体" w:hAnsi="宋体" w:eastAsia="宋体" w:cs="宋体"/>
                <w:color w:val="auto"/>
                <w:sz w:val="13"/>
                <w:szCs w:val="13"/>
                <w:highlight w:val="none"/>
                <w:lang w:eastAsia="zh-CN"/>
              </w:rPr>
              <w:t>提供针对本次项目《反商业贿赂承诺书》；</w:t>
            </w:r>
          </w:p>
        </w:tc>
        <w:tc>
          <w:tcPr>
            <w:tcW w:w="1060"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color w:val="auto"/>
                <w:sz w:val="13"/>
                <w:szCs w:val="13"/>
                <w:highlight w:val="none"/>
                <w:lang w:eastAsia="zh-CN"/>
              </w:rPr>
            </w:pPr>
            <w:r>
              <w:rPr>
                <w:rFonts w:hint="eastAsia" w:ascii="宋体" w:hAnsi="宋体" w:cs="宋体"/>
                <w:color w:val="auto"/>
                <w:sz w:val="13"/>
                <w:szCs w:val="13"/>
                <w:highlight w:val="none"/>
                <w:lang w:eastAsia="zh-CN"/>
              </w:rPr>
              <w:t>提供缴纳投标保证金的银行转账回执单。</w:t>
            </w:r>
          </w:p>
        </w:tc>
        <w:tc>
          <w:tcPr>
            <w:tcW w:w="1007"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color w:val="auto"/>
                <w:sz w:val="13"/>
                <w:szCs w:val="13"/>
                <w:highlight w:val="none"/>
              </w:rPr>
            </w:pPr>
          </w:p>
        </w:tc>
        <w:tc>
          <w:tcPr>
            <w:tcW w:w="910"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color w:val="auto"/>
                <w:sz w:val="13"/>
                <w:szCs w:val="13"/>
                <w:highlight w:val="none"/>
              </w:rPr>
            </w:pPr>
          </w:p>
        </w:tc>
      </w:tr>
      <w:tr>
        <w:tblPrEx>
          <w:tblCellMar>
            <w:top w:w="0" w:type="dxa"/>
            <w:left w:w="108" w:type="dxa"/>
            <w:bottom w:w="0" w:type="dxa"/>
            <w:right w:w="108" w:type="dxa"/>
          </w:tblCellMar>
        </w:tblPrEx>
        <w:trPr>
          <w:trHeight w:val="865" w:hRule="atLeast"/>
        </w:trPr>
        <w:tc>
          <w:tcPr>
            <w:tcW w:w="542" w:type="dxa"/>
            <w:tcBorders>
              <w:top w:val="nil"/>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color w:val="auto"/>
                <w:sz w:val="13"/>
                <w:szCs w:val="13"/>
                <w:highlight w:val="none"/>
              </w:rPr>
            </w:pPr>
            <w:r>
              <w:rPr>
                <w:rFonts w:hint="eastAsia" w:ascii="宋体" w:hAnsi="宋体" w:eastAsia="宋体" w:cs="宋体"/>
                <w:color w:val="auto"/>
                <w:sz w:val="13"/>
                <w:szCs w:val="13"/>
                <w:highlight w:val="none"/>
              </w:rPr>
              <w:t>　</w:t>
            </w:r>
          </w:p>
        </w:tc>
        <w:tc>
          <w:tcPr>
            <w:tcW w:w="742" w:type="dxa"/>
            <w:tcBorders>
              <w:top w:val="nil"/>
              <w:left w:val="nil"/>
              <w:bottom w:val="single" w:color="auto" w:sz="4" w:space="0"/>
              <w:right w:val="single" w:color="auto" w:sz="4" w:space="0"/>
            </w:tcBorders>
            <w:vAlign w:val="center"/>
          </w:tcPr>
          <w:p>
            <w:pPr>
              <w:spacing w:line="400" w:lineRule="exact"/>
              <w:rPr>
                <w:rFonts w:hint="eastAsia" w:ascii="宋体" w:hAnsi="宋体" w:eastAsia="宋体" w:cs="宋体"/>
                <w:color w:val="auto"/>
                <w:sz w:val="13"/>
                <w:szCs w:val="13"/>
                <w:highlight w:val="none"/>
              </w:rPr>
            </w:pPr>
            <w:r>
              <w:rPr>
                <w:rFonts w:hint="eastAsia" w:ascii="宋体" w:hAnsi="宋体" w:eastAsia="宋体" w:cs="宋体"/>
                <w:color w:val="auto"/>
                <w:sz w:val="13"/>
                <w:szCs w:val="13"/>
                <w:highlight w:val="none"/>
              </w:rPr>
              <w:t>　</w:t>
            </w:r>
          </w:p>
        </w:tc>
        <w:tc>
          <w:tcPr>
            <w:tcW w:w="963" w:type="dxa"/>
            <w:tcBorders>
              <w:top w:val="nil"/>
              <w:left w:val="nil"/>
              <w:bottom w:val="single" w:color="auto" w:sz="4" w:space="0"/>
              <w:right w:val="single" w:color="auto" w:sz="4" w:space="0"/>
            </w:tcBorders>
            <w:vAlign w:val="center"/>
          </w:tcPr>
          <w:p>
            <w:pPr>
              <w:spacing w:line="400" w:lineRule="exact"/>
              <w:rPr>
                <w:rFonts w:hint="eastAsia" w:ascii="宋体" w:hAnsi="宋体" w:eastAsia="宋体" w:cs="宋体"/>
                <w:color w:val="auto"/>
                <w:sz w:val="13"/>
                <w:szCs w:val="13"/>
                <w:highlight w:val="none"/>
              </w:rPr>
            </w:pPr>
            <w:r>
              <w:rPr>
                <w:rFonts w:hint="eastAsia" w:ascii="宋体" w:hAnsi="宋体" w:eastAsia="宋体" w:cs="宋体"/>
                <w:color w:val="auto"/>
                <w:sz w:val="13"/>
                <w:szCs w:val="13"/>
                <w:highlight w:val="none"/>
              </w:rPr>
              <w:t>　</w:t>
            </w:r>
          </w:p>
        </w:tc>
        <w:tc>
          <w:tcPr>
            <w:tcW w:w="994" w:type="dxa"/>
            <w:tcBorders>
              <w:top w:val="nil"/>
              <w:left w:val="nil"/>
              <w:bottom w:val="single" w:color="auto" w:sz="4" w:space="0"/>
              <w:right w:val="single" w:color="auto" w:sz="4" w:space="0"/>
            </w:tcBorders>
            <w:vAlign w:val="center"/>
          </w:tcPr>
          <w:p>
            <w:pPr>
              <w:spacing w:line="400" w:lineRule="exact"/>
              <w:rPr>
                <w:rFonts w:hint="eastAsia" w:ascii="宋体" w:hAnsi="宋体" w:eastAsia="宋体" w:cs="宋体"/>
                <w:color w:val="auto"/>
                <w:sz w:val="13"/>
                <w:szCs w:val="13"/>
                <w:highlight w:val="none"/>
              </w:rPr>
            </w:pPr>
          </w:p>
        </w:tc>
        <w:tc>
          <w:tcPr>
            <w:tcW w:w="1131" w:type="dxa"/>
            <w:tcBorders>
              <w:top w:val="nil"/>
              <w:left w:val="nil"/>
              <w:bottom w:val="single" w:color="auto" w:sz="4" w:space="0"/>
              <w:right w:val="single" w:color="auto" w:sz="4" w:space="0"/>
            </w:tcBorders>
            <w:vAlign w:val="center"/>
          </w:tcPr>
          <w:p>
            <w:pPr>
              <w:spacing w:line="400" w:lineRule="exact"/>
              <w:rPr>
                <w:rFonts w:hint="eastAsia" w:ascii="宋体" w:hAnsi="宋体" w:eastAsia="宋体" w:cs="宋体"/>
                <w:color w:val="auto"/>
                <w:sz w:val="13"/>
                <w:szCs w:val="13"/>
                <w:highlight w:val="none"/>
              </w:rPr>
            </w:pPr>
            <w:r>
              <w:rPr>
                <w:rFonts w:hint="eastAsia" w:ascii="宋体" w:hAnsi="宋体" w:eastAsia="宋体" w:cs="宋体"/>
                <w:color w:val="auto"/>
                <w:sz w:val="13"/>
                <w:szCs w:val="13"/>
                <w:highlight w:val="none"/>
              </w:rPr>
              <w:t>　</w:t>
            </w:r>
          </w:p>
          <w:p>
            <w:pPr>
              <w:spacing w:line="400" w:lineRule="exact"/>
              <w:rPr>
                <w:rFonts w:hint="eastAsia" w:ascii="宋体" w:hAnsi="宋体" w:eastAsia="宋体" w:cs="宋体"/>
                <w:color w:val="auto"/>
                <w:sz w:val="13"/>
                <w:szCs w:val="13"/>
                <w:highlight w:val="none"/>
              </w:rPr>
            </w:pPr>
            <w:r>
              <w:rPr>
                <w:rFonts w:hint="eastAsia" w:ascii="宋体" w:hAnsi="宋体" w:eastAsia="宋体" w:cs="宋体"/>
                <w:color w:val="auto"/>
                <w:sz w:val="13"/>
                <w:szCs w:val="13"/>
                <w:highlight w:val="none"/>
              </w:rPr>
              <w:t>　</w:t>
            </w:r>
          </w:p>
        </w:tc>
        <w:tc>
          <w:tcPr>
            <w:tcW w:w="929" w:type="dxa"/>
            <w:tcBorders>
              <w:top w:val="nil"/>
              <w:left w:val="nil"/>
              <w:bottom w:val="single" w:color="auto" w:sz="4" w:space="0"/>
              <w:right w:val="single" w:color="auto" w:sz="4" w:space="0"/>
            </w:tcBorders>
            <w:vAlign w:val="center"/>
          </w:tcPr>
          <w:p>
            <w:pPr>
              <w:spacing w:line="400" w:lineRule="exact"/>
              <w:rPr>
                <w:rFonts w:hint="eastAsia" w:ascii="宋体" w:hAnsi="宋体" w:eastAsia="宋体" w:cs="宋体"/>
                <w:color w:val="auto"/>
                <w:sz w:val="13"/>
                <w:szCs w:val="13"/>
                <w:highlight w:val="none"/>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color w:val="auto"/>
                <w:sz w:val="13"/>
                <w:szCs w:val="13"/>
                <w:highlight w:val="none"/>
              </w:rPr>
            </w:pPr>
          </w:p>
        </w:tc>
        <w:tc>
          <w:tcPr>
            <w:tcW w:w="4382"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color w:val="auto"/>
                <w:sz w:val="13"/>
                <w:szCs w:val="13"/>
                <w:highlight w:val="none"/>
              </w:rPr>
            </w:pPr>
          </w:p>
        </w:tc>
        <w:tc>
          <w:tcPr>
            <w:tcW w:w="1128"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color w:val="auto"/>
                <w:sz w:val="13"/>
                <w:szCs w:val="13"/>
                <w:highlight w:val="none"/>
              </w:rPr>
            </w:pPr>
          </w:p>
        </w:tc>
        <w:tc>
          <w:tcPr>
            <w:tcW w:w="938"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color w:val="auto"/>
                <w:sz w:val="13"/>
                <w:szCs w:val="13"/>
                <w:highlight w:val="none"/>
              </w:rPr>
            </w:pPr>
          </w:p>
        </w:tc>
        <w:tc>
          <w:tcPr>
            <w:tcW w:w="1060"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color w:val="auto"/>
                <w:sz w:val="13"/>
                <w:szCs w:val="13"/>
                <w:highlight w:val="none"/>
              </w:rPr>
            </w:pPr>
          </w:p>
        </w:tc>
        <w:tc>
          <w:tcPr>
            <w:tcW w:w="1007"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color w:val="auto"/>
                <w:sz w:val="13"/>
                <w:szCs w:val="13"/>
                <w:highlight w:val="none"/>
              </w:rPr>
            </w:pPr>
          </w:p>
        </w:tc>
        <w:tc>
          <w:tcPr>
            <w:tcW w:w="910"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color w:val="auto"/>
                <w:sz w:val="13"/>
                <w:szCs w:val="13"/>
                <w:highlight w:val="none"/>
              </w:rPr>
            </w:pPr>
          </w:p>
        </w:tc>
      </w:tr>
      <w:tr>
        <w:tblPrEx>
          <w:tblCellMar>
            <w:top w:w="0" w:type="dxa"/>
            <w:left w:w="108" w:type="dxa"/>
            <w:bottom w:w="0" w:type="dxa"/>
            <w:right w:w="108" w:type="dxa"/>
          </w:tblCellMar>
        </w:tblPrEx>
        <w:trPr>
          <w:trHeight w:val="650" w:hRule="atLeast"/>
        </w:trPr>
        <w:tc>
          <w:tcPr>
            <w:tcW w:w="542"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color w:val="auto"/>
                <w:sz w:val="13"/>
                <w:szCs w:val="13"/>
                <w:highlight w:val="none"/>
              </w:rPr>
            </w:pPr>
          </w:p>
        </w:tc>
        <w:tc>
          <w:tcPr>
            <w:tcW w:w="742"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color w:val="auto"/>
                <w:sz w:val="13"/>
                <w:szCs w:val="13"/>
                <w:highlight w:val="none"/>
              </w:rPr>
            </w:pPr>
          </w:p>
        </w:tc>
        <w:tc>
          <w:tcPr>
            <w:tcW w:w="963"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color w:val="auto"/>
                <w:sz w:val="13"/>
                <w:szCs w:val="13"/>
                <w:highlight w:val="none"/>
              </w:rPr>
            </w:pPr>
          </w:p>
        </w:tc>
        <w:tc>
          <w:tcPr>
            <w:tcW w:w="994"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color w:val="auto"/>
                <w:sz w:val="13"/>
                <w:szCs w:val="13"/>
                <w:highlight w:val="none"/>
              </w:rPr>
            </w:pPr>
          </w:p>
        </w:tc>
        <w:tc>
          <w:tcPr>
            <w:tcW w:w="1131"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color w:val="auto"/>
                <w:sz w:val="13"/>
                <w:szCs w:val="13"/>
                <w:highlight w:val="none"/>
              </w:rPr>
            </w:pPr>
          </w:p>
        </w:tc>
        <w:tc>
          <w:tcPr>
            <w:tcW w:w="929"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color w:val="auto"/>
                <w:sz w:val="13"/>
                <w:szCs w:val="13"/>
                <w:highlight w:val="none"/>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color w:val="auto"/>
                <w:sz w:val="13"/>
                <w:szCs w:val="13"/>
                <w:highlight w:val="none"/>
              </w:rPr>
            </w:pPr>
          </w:p>
        </w:tc>
        <w:tc>
          <w:tcPr>
            <w:tcW w:w="4382"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color w:val="auto"/>
                <w:sz w:val="13"/>
                <w:szCs w:val="13"/>
                <w:highlight w:val="none"/>
              </w:rPr>
            </w:pPr>
          </w:p>
        </w:tc>
        <w:tc>
          <w:tcPr>
            <w:tcW w:w="1128"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color w:val="auto"/>
                <w:sz w:val="13"/>
                <w:szCs w:val="13"/>
                <w:highlight w:val="none"/>
              </w:rPr>
            </w:pPr>
          </w:p>
        </w:tc>
        <w:tc>
          <w:tcPr>
            <w:tcW w:w="938"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color w:val="auto"/>
                <w:sz w:val="13"/>
                <w:szCs w:val="13"/>
                <w:highlight w:val="none"/>
              </w:rPr>
            </w:pPr>
          </w:p>
        </w:tc>
        <w:tc>
          <w:tcPr>
            <w:tcW w:w="1060"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color w:val="auto"/>
                <w:sz w:val="13"/>
                <w:szCs w:val="13"/>
                <w:highlight w:val="none"/>
              </w:rPr>
            </w:pPr>
          </w:p>
        </w:tc>
        <w:tc>
          <w:tcPr>
            <w:tcW w:w="1007"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color w:val="auto"/>
                <w:sz w:val="13"/>
                <w:szCs w:val="13"/>
                <w:highlight w:val="none"/>
              </w:rPr>
            </w:pPr>
          </w:p>
        </w:tc>
        <w:tc>
          <w:tcPr>
            <w:tcW w:w="910"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color w:val="auto"/>
                <w:sz w:val="13"/>
                <w:szCs w:val="13"/>
                <w:highlight w:val="none"/>
              </w:rPr>
            </w:pPr>
          </w:p>
        </w:tc>
      </w:tr>
      <w:bookmarkEnd w:id="525"/>
      <w:bookmarkEnd w:id="526"/>
      <w:bookmarkEnd w:id="527"/>
      <w:bookmarkEnd w:id="528"/>
    </w:tbl>
    <w:p>
      <w:pPr>
        <w:pStyle w:val="8"/>
        <w:jc w:val="center"/>
        <w:rPr>
          <w:rFonts w:hint="eastAsia" w:ascii="宋体" w:hAnsi="宋体" w:eastAsia="宋体" w:cs="宋体"/>
          <w:color w:val="auto"/>
          <w:highlight w:val="none"/>
        </w:rPr>
      </w:pPr>
      <w:r>
        <w:rPr>
          <w:rFonts w:hint="eastAsia" w:ascii="宋体" w:hAnsi="宋体" w:eastAsia="宋体" w:cs="宋体"/>
          <w:b/>
          <w:bCs/>
          <w:color w:val="auto"/>
          <w:sz w:val="24"/>
          <w:szCs w:val="24"/>
          <w:highlight w:val="none"/>
        </w:rPr>
        <w:t>资格审查表</w:t>
      </w:r>
    </w:p>
    <w:p>
      <w:pPr>
        <w:rPr>
          <w:rFonts w:hint="eastAsia" w:ascii="宋体" w:hAnsi="宋体" w:eastAsia="宋体" w:cs="宋体"/>
          <w:color w:val="auto"/>
          <w:highlight w:val="none"/>
        </w:rPr>
      </w:pPr>
    </w:p>
    <w:p>
      <w:pPr>
        <w:pStyle w:val="8"/>
        <w:rPr>
          <w:rFonts w:hint="eastAsia" w:ascii="宋体" w:hAnsi="宋体" w:eastAsia="宋体" w:cs="宋体"/>
          <w:color w:val="auto"/>
          <w:highlight w:val="none"/>
        </w:rPr>
      </w:pPr>
    </w:p>
    <w:p>
      <w:pPr>
        <w:rPr>
          <w:rFonts w:hint="eastAsia" w:ascii="宋体" w:hAnsi="宋体" w:eastAsia="宋体" w:cs="宋体"/>
          <w:color w:val="auto"/>
          <w:highlight w:val="none"/>
        </w:rPr>
        <w:sectPr>
          <w:pgSz w:w="16838" w:h="11905" w:orient="landscape"/>
          <w:pgMar w:top="1797" w:right="1440" w:bottom="1797" w:left="1440" w:header="851" w:footer="992" w:gutter="0"/>
          <w:pgNumType w:fmt="decimal"/>
          <w:cols w:space="0" w:num="1"/>
          <w:rtlGutter w:val="0"/>
          <w:docGrid w:linePitch="312" w:charSpace="0"/>
        </w:sectPr>
      </w:pPr>
    </w:p>
    <w:p>
      <w:pPr>
        <w:pStyle w:val="3"/>
        <w:tabs>
          <w:tab w:val="left" w:pos="0"/>
        </w:tabs>
        <w:spacing w:before="0" w:after="0" w:line="240" w:lineRule="atLeast"/>
        <w:jc w:val="center"/>
        <w:rPr>
          <w:rFonts w:hint="eastAsia" w:ascii="宋体" w:hAnsi="宋体" w:cs="宋体"/>
          <w:b/>
          <w:color w:val="auto"/>
          <w:sz w:val="32"/>
          <w:szCs w:val="32"/>
          <w:highlight w:val="none"/>
          <w:lang w:val="en-US" w:eastAsia="zh-CN"/>
        </w:rPr>
      </w:pPr>
      <w:bookmarkStart w:id="529" w:name="_Toc4388"/>
      <w:r>
        <w:rPr>
          <w:rFonts w:hint="eastAsia" w:ascii="宋体" w:hAnsi="宋体" w:cs="宋体"/>
          <w:b/>
          <w:color w:val="auto"/>
          <w:sz w:val="32"/>
          <w:szCs w:val="32"/>
          <w:highlight w:val="none"/>
          <w:lang w:val="en-US" w:eastAsia="zh-CN"/>
        </w:rPr>
        <w:t>第5章</w:t>
      </w:r>
      <w:r>
        <w:rPr>
          <w:rFonts w:hint="eastAsia" w:hAnsi="宋体" w:cs="宋体"/>
          <w:b/>
          <w:color w:val="auto"/>
          <w:sz w:val="32"/>
          <w:szCs w:val="32"/>
          <w:highlight w:val="none"/>
          <w:lang w:val="en-US" w:eastAsia="zh-CN"/>
        </w:rPr>
        <w:t xml:space="preserve"> </w:t>
      </w:r>
      <w:r>
        <w:rPr>
          <w:rFonts w:hint="eastAsia" w:ascii="宋体" w:hAnsi="宋体" w:eastAsia="宋体" w:cs="宋体"/>
          <w:color w:val="auto"/>
          <w:highlight w:val="none"/>
          <w:lang w:val="en-US" w:eastAsia="zh-CN"/>
        </w:rPr>
        <w:t>货物需求一览表及</w:t>
      </w:r>
      <w:r>
        <w:rPr>
          <w:rFonts w:hint="eastAsia" w:hAnsi="宋体" w:cs="宋体"/>
          <w:color w:val="auto"/>
          <w:highlight w:val="none"/>
          <w:lang w:val="en-US" w:eastAsia="zh-CN"/>
        </w:rPr>
        <w:t>项目要求</w:t>
      </w:r>
      <w:bookmarkEnd w:id="529"/>
    </w:p>
    <w:p>
      <w:pPr>
        <w:keepNext w:val="0"/>
        <w:keepLines w:val="0"/>
        <w:pageBreakBefore w:val="0"/>
        <w:kinsoku/>
        <w:wordWrap/>
        <w:overflowPunct/>
        <w:topLinePunct w:val="0"/>
        <w:autoSpaceDE/>
        <w:autoSpaceDN/>
        <w:bidi w:val="0"/>
        <w:adjustRightInd/>
        <w:snapToGrid/>
        <w:spacing w:line="560" w:lineRule="exact"/>
        <w:jc w:val="both"/>
        <w:textAlignment w:val="auto"/>
        <w:outlineLvl w:val="1"/>
        <w:rPr>
          <w:rFonts w:hint="eastAsia" w:ascii="宋体" w:hAnsi="宋体" w:eastAsia="宋体" w:cs="宋体"/>
          <w:b/>
          <w:bCs/>
          <w:i w:val="0"/>
          <w:caps w:val="0"/>
          <w:color w:val="auto"/>
          <w:spacing w:val="0"/>
          <w:w w:val="100"/>
          <w:kern w:val="0"/>
          <w:sz w:val="24"/>
          <w:szCs w:val="24"/>
          <w:highlight w:val="none"/>
          <w:lang w:val="en-US" w:eastAsia="zh-CN" w:bidi="ar-SA"/>
        </w:rPr>
      </w:pPr>
      <w:bookmarkStart w:id="530" w:name="_Toc22141"/>
      <w:r>
        <w:rPr>
          <w:rFonts w:hint="eastAsia" w:ascii="宋体" w:hAnsi="宋体" w:eastAsia="宋体" w:cs="宋体"/>
          <w:b/>
          <w:color w:val="auto"/>
          <w:sz w:val="32"/>
          <w:szCs w:val="32"/>
          <w:highlight w:val="none"/>
          <w:lang w:val="en-US" w:eastAsia="zh-CN"/>
        </w:rPr>
        <w:t>一、</w:t>
      </w:r>
      <w:r>
        <w:rPr>
          <w:rFonts w:hint="eastAsia" w:ascii="宋体" w:hAnsi="宋体" w:eastAsia="宋体" w:cs="宋体"/>
          <w:b/>
          <w:color w:val="auto"/>
          <w:sz w:val="32"/>
          <w:szCs w:val="32"/>
          <w:highlight w:val="none"/>
          <w:lang w:eastAsia="zh-CN"/>
        </w:rPr>
        <w:t>货物需求：</w:t>
      </w:r>
      <w:bookmarkEnd w:id="508"/>
      <w:bookmarkEnd w:id="509"/>
      <w:bookmarkEnd w:id="510"/>
      <w:bookmarkEnd w:id="511"/>
      <w:bookmarkEnd w:id="512"/>
      <w:bookmarkEnd w:id="513"/>
      <w:bookmarkEnd w:id="514"/>
      <w:bookmarkEnd w:id="515"/>
      <w:bookmarkEnd w:id="516"/>
      <w:bookmarkEnd w:id="517"/>
      <w:bookmarkEnd w:id="530"/>
      <w:bookmarkStart w:id="531" w:name="_Toc23422"/>
      <w:bookmarkStart w:id="532" w:name="_Toc7738"/>
      <w:bookmarkStart w:id="533" w:name="_Toc8664"/>
      <w:bookmarkStart w:id="534" w:name="_Toc8915"/>
      <w:bookmarkStart w:id="535" w:name="_Toc16777"/>
      <w:bookmarkStart w:id="536" w:name="_Toc9878"/>
      <w:bookmarkStart w:id="537" w:name="_Toc11259"/>
    </w:p>
    <w:p>
      <w:pPr>
        <w:rPr>
          <w:rFonts w:hint="eastAsia" w:ascii="微软雅黑" w:hAnsi="微软雅黑" w:eastAsia="微软雅黑" w:cs="Arial"/>
          <w:b/>
          <w:bCs/>
          <w:color w:val="auto"/>
          <w:sz w:val="22"/>
          <w:highlight w:val="none"/>
        </w:rPr>
      </w:pPr>
      <w:r>
        <w:rPr>
          <w:rFonts w:hint="eastAsia" w:ascii="微软雅黑" w:hAnsi="微软雅黑" w:eastAsia="微软雅黑" w:cs="Arial"/>
          <w:b/>
          <w:bCs/>
          <w:color w:val="auto"/>
          <w:sz w:val="22"/>
          <w:highlight w:val="none"/>
        </w:rPr>
        <w:t>设备技术规格及要求：</w:t>
      </w:r>
    </w:p>
    <w:tbl>
      <w:tblPr>
        <w:tblStyle w:val="20"/>
        <w:tblW w:w="930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4"/>
        <w:gridCol w:w="8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rPr>
                <w:rFonts w:hint="eastAsia" w:ascii="微软雅黑" w:hAnsi="微软雅黑" w:eastAsia="微软雅黑" w:cs="Arial"/>
                <w:b/>
                <w:color w:val="auto"/>
                <w:sz w:val="22"/>
                <w:highlight w:val="none"/>
              </w:rPr>
            </w:pPr>
            <w:r>
              <w:rPr>
                <w:rFonts w:hint="eastAsia" w:ascii="微软雅黑" w:hAnsi="微软雅黑" w:eastAsia="微软雅黑" w:cs="Arial"/>
                <w:b/>
                <w:color w:val="auto"/>
                <w:sz w:val="22"/>
                <w:highlight w:val="none"/>
              </w:rPr>
              <w:t>序号</w:t>
            </w:r>
          </w:p>
        </w:tc>
        <w:tc>
          <w:tcPr>
            <w:tcW w:w="8076" w:type="dxa"/>
            <w:noWrap w:val="0"/>
            <w:vAlign w:val="center"/>
          </w:tcPr>
          <w:p>
            <w:pPr>
              <w:wordWrap w:val="0"/>
              <w:rPr>
                <w:rFonts w:hint="eastAsia" w:ascii="微软雅黑" w:hAnsi="微软雅黑" w:eastAsia="微软雅黑" w:cs="Arial"/>
                <w:b/>
                <w:color w:val="auto"/>
                <w:sz w:val="22"/>
                <w:highlight w:val="none"/>
              </w:rPr>
            </w:pPr>
            <w:r>
              <w:rPr>
                <w:rFonts w:hint="eastAsia" w:ascii="微软雅黑" w:hAnsi="微软雅黑" w:eastAsia="微软雅黑" w:cs="Arial"/>
                <w:b/>
                <w:color w:val="auto"/>
                <w:sz w:val="22"/>
                <w:highlight w:val="none"/>
              </w:rPr>
              <w:t>招标要求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1.</w:t>
            </w:r>
          </w:p>
        </w:tc>
        <w:tc>
          <w:tcPr>
            <w:tcW w:w="8076" w:type="dxa"/>
            <w:noWrap w:val="0"/>
            <w:vAlign w:val="center"/>
          </w:tcPr>
          <w:p>
            <w:pPr>
              <w:wordWrap w:val="0"/>
              <w:jc w:val="both"/>
              <w:rPr>
                <w:rFonts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设备名称：高端128层螺旋CT系统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24" w:type="dxa"/>
            <w:noWrap w:val="0"/>
            <w:vAlign w:val="center"/>
          </w:tcPr>
          <w:p>
            <w:pPr>
              <w:wordWrap w:val="0"/>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1.1</w:t>
            </w:r>
          </w:p>
        </w:tc>
        <w:tc>
          <w:tcPr>
            <w:tcW w:w="8076" w:type="dxa"/>
            <w:noWrap w:val="0"/>
            <w:vAlign w:val="center"/>
          </w:tcPr>
          <w:p>
            <w:pPr>
              <w:wordWrap w:val="0"/>
              <w:jc w:val="both"/>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设备数量：一套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1.2</w:t>
            </w:r>
          </w:p>
        </w:tc>
        <w:tc>
          <w:tcPr>
            <w:tcW w:w="8076" w:type="dxa"/>
            <w:noWrap w:val="0"/>
            <w:vAlign w:val="center"/>
          </w:tcPr>
          <w:p>
            <w:pPr>
              <w:wordWrap w:val="0"/>
              <w:jc w:val="both"/>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设备用途：全身扫描的临床应用和临床研究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1.3</w:t>
            </w:r>
          </w:p>
        </w:tc>
        <w:tc>
          <w:tcPr>
            <w:tcW w:w="8076" w:type="dxa"/>
            <w:noWrap w:val="0"/>
            <w:vAlign w:val="center"/>
          </w:tcPr>
          <w:p>
            <w:pPr>
              <w:wordWrap w:val="0"/>
              <w:jc w:val="both"/>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制造厂商：</w:t>
            </w:r>
            <w:r>
              <w:rPr>
                <w:rFonts w:hint="eastAsia" w:ascii="微软雅黑" w:hAnsi="微软雅黑" w:eastAsia="微软雅黑" w:cs="Arial"/>
                <w:color w:val="auto"/>
                <w:sz w:val="22"/>
                <w:highlight w:val="none"/>
                <w:lang w:eastAsia="zh-CN"/>
              </w:rPr>
              <w:t>投标供应商</w:t>
            </w:r>
            <w:r>
              <w:rPr>
                <w:rFonts w:hint="eastAsia" w:ascii="微软雅黑" w:hAnsi="微软雅黑" w:eastAsia="微软雅黑" w:cs="Arial"/>
                <w:color w:val="auto"/>
                <w:sz w:val="22"/>
                <w:highlight w:val="none"/>
                <w:lang w:val="en-US" w:eastAsia="zh-CN"/>
              </w:rPr>
              <w:t>自行</w:t>
            </w:r>
            <w:r>
              <w:rPr>
                <w:rFonts w:hint="eastAsia" w:ascii="微软雅黑" w:hAnsi="微软雅黑" w:eastAsia="微软雅黑" w:cs="Arial"/>
                <w:color w:val="auto"/>
                <w:sz w:val="22"/>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1.4</w:t>
            </w:r>
          </w:p>
        </w:tc>
        <w:tc>
          <w:tcPr>
            <w:tcW w:w="8076" w:type="dxa"/>
            <w:noWrap w:val="0"/>
            <w:vAlign w:val="center"/>
          </w:tcPr>
          <w:p>
            <w:pPr>
              <w:wordWrap w:val="0"/>
              <w:jc w:val="both"/>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设备型号：</w:t>
            </w:r>
            <w:r>
              <w:rPr>
                <w:rFonts w:hint="eastAsia" w:ascii="微软雅黑" w:hAnsi="微软雅黑" w:eastAsia="微软雅黑" w:cs="Arial"/>
                <w:color w:val="auto"/>
                <w:sz w:val="22"/>
                <w:highlight w:val="none"/>
                <w:lang w:eastAsia="zh-CN"/>
              </w:rPr>
              <w:t>投标供应商</w:t>
            </w:r>
            <w:r>
              <w:rPr>
                <w:rFonts w:hint="eastAsia" w:ascii="微软雅黑" w:hAnsi="微软雅黑" w:eastAsia="微软雅黑" w:cs="Arial"/>
                <w:color w:val="auto"/>
                <w:sz w:val="22"/>
                <w:highlight w:val="none"/>
                <w:lang w:val="en-US" w:eastAsia="zh-CN"/>
              </w:rPr>
              <w:t>自行</w:t>
            </w:r>
            <w:r>
              <w:rPr>
                <w:rFonts w:hint="eastAsia" w:ascii="微软雅黑" w:hAnsi="微软雅黑" w:eastAsia="微软雅黑" w:cs="Arial"/>
                <w:color w:val="auto"/>
                <w:sz w:val="22"/>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rPr>
                <w:rFonts w:hint="eastAsia" w:ascii="微软雅黑" w:hAnsi="微软雅黑" w:eastAsia="微软雅黑" w:cs="Arial"/>
                <w:color w:val="auto"/>
                <w:sz w:val="22"/>
                <w:highlight w:val="none"/>
              </w:rPr>
            </w:pPr>
          </w:p>
        </w:tc>
        <w:tc>
          <w:tcPr>
            <w:tcW w:w="8076" w:type="dxa"/>
            <w:noWrap w:val="0"/>
            <w:vAlign w:val="center"/>
          </w:tcPr>
          <w:p>
            <w:pPr>
              <w:wordWrap w:val="0"/>
              <w:jc w:val="both"/>
              <w:rPr>
                <w:rFonts w:hint="eastAsia" w:ascii="微软雅黑" w:hAnsi="微软雅黑" w:eastAsia="微软雅黑" w:cs="Arial"/>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rPr>
                <w:rFonts w:hint="eastAsia" w:ascii="微软雅黑" w:hAnsi="微软雅黑" w:eastAsia="微软雅黑" w:cs="Arial"/>
                <w:b/>
                <w:bCs/>
                <w:color w:val="auto"/>
                <w:sz w:val="22"/>
                <w:highlight w:val="none"/>
              </w:rPr>
            </w:pPr>
            <w:r>
              <w:rPr>
                <w:rFonts w:hint="eastAsia" w:ascii="微软雅黑" w:hAnsi="微软雅黑" w:eastAsia="微软雅黑" w:cs="Arial"/>
                <w:b/>
                <w:bCs/>
                <w:color w:val="auto"/>
                <w:sz w:val="22"/>
                <w:highlight w:val="none"/>
              </w:rPr>
              <w:t>2.</w:t>
            </w:r>
          </w:p>
        </w:tc>
        <w:tc>
          <w:tcPr>
            <w:tcW w:w="8076" w:type="dxa"/>
            <w:noWrap w:val="0"/>
            <w:vAlign w:val="center"/>
          </w:tcPr>
          <w:p>
            <w:pPr>
              <w:wordWrap w:val="0"/>
              <w:jc w:val="both"/>
              <w:rPr>
                <w:rFonts w:hint="eastAsia" w:ascii="微软雅黑" w:hAnsi="微软雅黑" w:eastAsia="微软雅黑" w:cs="Arial"/>
                <w:b/>
                <w:bCs/>
                <w:color w:val="auto"/>
                <w:sz w:val="22"/>
                <w:highlight w:val="none"/>
              </w:rPr>
            </w:pPr>
            <w:r>
              <w:rPr>
                <w:rFonts w:hint="eastAsia" w:ascii="微软雅黑" w:hAnsi="微软雅黑" w:eastAsia="微软雅黑" w:cs="Arial"/>
                <w:b/>
                <w:bCs/>
                <w:color w:val="auto"/>
                <w:sz w:val="22"/>
                <w:highlight w:val="none"/>
              </w:rPr>
              <w:t>主要技术规格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rPr>
                <w:rFonts w:hint="eastAsia" w:ascii="微软雅黑" w:hAnsi="微软雅黑" w:eastAsia="微软雅黑" w:cs="Arial"/>
                <w:b/>
                <w:bCs/>
                <w:color w:val="auto"/>
                <w:sz w:val="22"/>
                <w:highlight w:val="none"/>
              </w:rPr>
            </w:pPr>
            <w:r>
              <w:rPr>
                <w:rFonts w:hint="eastAsia" w:ascii="微软雅黑" w:hAnsi="微软雅黑" w:eastAsia="微软雅黑" w:cs="Arial"/>
                <w:b/>
                <w:bCs/>
                <w:color w:val="auto"/>
                <w:sz w:val="22"/>
                <w:highlight w:val="none"/>
              </w:rPr>
              <w:t>2.1</w:t>
            </w:r>
          </w:p>
        </w:tc>
        <w:tc>
          <w:tcPr>
            <w:tcW w:w="8076" w:type="dxa"/>
            <w:noWrap w:val="0"/>
            <w:vAlign w:val="center"/>
          </w:tcPr>
          <w:p>
            <w:pPr>
              <w:wordWrap w:val="0"/>
              <w:jc w:val="both"/>
              <w:rPr>
                <w:rFonts w:hint="eastAsia" w:ascii="微软雅黑" w:hAnsi="微软雅黑" w:eastAsia="微软雅黑" w:cs="Arial"/>
                <w:b/>
                <w:bCs/>
                <w:color w:val="auto"/>
                <w:sz w:val="22"/>
                <w:highlight w:val="none"/>
              </w:rPr>
            </w:pPr>
            <w:r>
              <w:rPr>
                <w:rFonts w:hint="eastAsia" w:ascii="微软雅黑" w:hAnsi="微软雅黑" w:eastAsia="微软雅黑" w:cs="Arial"/>
                <w:b/>
                <w:bCs/>
                <w:color w:val="auto"/>
                <w:sz w:val="22"/>
                <w:highlight w:val="none"/>
              </w:rPr>
              <w:t>扫描架系统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2.1.1</w:t>
            </w:r>
          </w:p>
        </w:tc>
        <w:tc>
          <w:tcPr>
            <w:tcW w:w="8076" w:type="dxa"/>
            <w:noWrap w:val="0"/>
            <w:vAlign w:val="center"/>
          </w:tcPr>
          <w:p>
            <w:pPr>
              <w:wordWrap w:val="0"/>
              <w:jc w:val="both"/>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扫描架孔径：≥70cm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2.1.2</w:t>
            </w:r>
          </w:p>
        </w:tc>
        <w:tc>
          <w:tcPr>
            <w:tcW w:w="8076" w:type="dxa"/>
            <w:noWrap w:val="0"/>
            <w:vAlign w:val="center"/>
          </w:tcPr>
          <w:p>
            <w:pPr>
              <w:wordWrap w:val="0"/>
              <w:jc w:val="both"/>
              <w:rPr>
                <w:rFonts w:hint="eastAsia" w:ascii="微软雅黑" w:hAnsi="微软雅黑" w:eastAsia="微软雅黑" w:cs="Arial"/>
                <w:color w:val="auto"/>
                <w:sz w:val="22"/>
                <w:highlight w:val="none"/>
                <w:lang w:eastAsia="zh-CN"/>
              </w:rPr>
            </w:pPr>
            <w:r>
              <w:rPr>
                <w:rFonts w:hint="eastAsia" w:ascii="微软雅黑" w:hAnsi="微软雅黑" w:eastAsia="微软雅黑" w:cs="Arial"/>
                <w:color w:val="auto"/>
                <w:sz w:val="22"/>
                <w:highlight w:val="none"/>
              </w:rPr>
              <w:t>扫描架倾角（非数字倾角）：≥±30°，可在操纵台遥控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2.1.3</w:t>
            </w:r>
          </w:p>
        </w:tc>
        <w:tc>
          <w:tcPr>
            <w:tcW w:w="8076" w:type="dxa"/>
            <w:noWrap w:val="0"/>
            <w:vAlign w:val="center"/>
          </w:tcPr>
          <w:p>
            <w:pPr>
              <w:wordWrap w:val="0"/>
              <w:jc w:val="both"/>
              <w:rPr>
                <w:rFonts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驱动方式：皮带驱动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2.1.4</w:t>
            </w:r>
          </w:p>
        </w:tc>
        <w:tc>
          <w:tcPr>
            <w:tcW w:w="8076" w:type="dxa"/>
            <w:noWrap w:val="0"/>
            <w:vAlign w:val="center"/>
          </w:tcPr>
          <w:p>
            <w:pPr>
              <w:wordWrap w:val="0"/>
              <w:jc w:val="both"/>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滑环类型：低压滑环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2.1.5</w:t>
            </w:r>
          </w:p>
        </w:tc>
        <w:tc>
          <w:tcPr>
            <w:tcW w:w="8076" w:type="dxa"/>
            <w:noWrap w:val="0"/>
            <w:vAlign w:val="center"/>
          </w:tcPr>
          <w:p>
            <w:pPr>
              <w:wordWrap w:val="0"/>
              <w:jc w:val="both"/>
              <w:rPr>
                <w:rFonts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机架冷却方式：风冷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2.1.6</w:t>
            </w:r>
          </w:p>
        </w:tc>
        <w:tc>
          <w:tcPr>
            <w:tcW w:w="8076" w:type="dxa"/>
            <w:noWrap w:val="0"/>
            <w:vAlign w:val="center"/>
          </w:tcPr>
          <w:p>
            <w:pPr>
              <w:wordWrap w:val="0"/>
              <w:jc w:val="both"/>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机架控制面板≥4块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rPr>
                <w:color w:val="auto"/>
                <w:highlight w:val="none"/>
              </w:rPr>
            </w:pPr>
            <w:r>
              <w:rPr>
                <w:rFonts w:hint="eastAsia" w:ascii="微软雅黑" w:hAnsi="微软雅黑" w:eastAsia="微软雅黑" w:cs="Arial"/>
                <w:color w:val="auto"/>
                <w:sz w:val="22"/>
                <w:highlight w:val="none"/>
              </w:rPr>
              <w:t>2.1.7</w:t>
            </w:r>
          </w:p>
        </w:tc>
        <w:tc>
          <w:tcPr>
            <w:tcW w:w="8076" w:type="dxa"/>
            <w:noWrap w:val="0"/>
            <w:vAlign w:val="center"/>
          </w:tcPr>
          <w:p>
            <w:pPr>
              <w:wordWrap w:val="0"/>
              <w:jc w:val="both"/>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球管焦点到等中心点距离≤</w:t>
            </w:r>
            <w:r>
              <w:rPr>
                <w:rFonts w:ascii="微软雅黑" w:hAnsi="微软雅黑" w:eastAsia="微软雅黑" w:cs="Arial"/>
                <w:color w:val="auto"/>
                <w:sz w:val="22"/>
                <w:highlight w:val="none"/>
              </w:rPr>
              <w:t>57</w:t>
            </w:r>
            <w:r>
              <w:rPr>
                <w:rFonts w:hint="eastAsia" w:ascii="微软雅黑" w:hAnsi="微软雅黑" w:eastAsia="微软雅黑" w:cs="Arial"/>
                <w:color w:val="auto"/>
                <w:sz w:val="22"/>
                <w:highlight w:val="none"/>
              </w:rPr>
              <w:t>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rPr>
                <w:color w:val="auto"/>
                <w:highlight w:val="none"/>
              </w:rPr>
            </w:pPr>
            <w:r>
              <w:rPr>
                <w:rFonts w:hint="eastAsia" w:ascii="微软雅黑" w:hAnsi="微软雅黑" w:eastAsia="微软雅黑" w:cs="Arial"/>
                <w:color w:val="auto"/>
                <w:sz w:val="22"/>
                <w:highlight w:val="none"/>
              </w:rPr>
              <w:t>2.1.8</w:t>
            </w:r>
          </w:p>
        </w:tc>
        <w:tc>
          <w:tcPr>
            <w:tcW w:w="8076" w:type="dxa"/>
            <w:noWrap w:val="0"/>
            <w:vAlign w:val="center"/>
          </w:tcPr>
          <w:p>
            <w:pPr>
              <w:wordWrap w:val="0"/>
              <w:jc w:val="both"/>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球管焦点到探测器距离≤106cm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2.1.9</w:t>
            </w:r>
          </w:p>
        </w:tc>
        <w:tc>
          <w:tcPr>
            <w:tcW w:w="8076" w:type="dxa"/>
            <w:noWrap w:val="0"/>
            <w:vAlign w:val="center"/>
          </w:tcPr>
          <w:p>
            <w:pPr>
              <w:wordWrap w:val="0"/>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探测器类型：提供各厂家最新型探测器，与同品牌最高端机型保持一致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2.1.10</w:t>
            </w:r>
          </w:p>
        </w:tc>
        <w:tc>
          <w:tcPr>
            <w:tcW w:w="8076" w:type="dxa"/>
            <w:noWrap w:val="0"/>
            <w:vAlign w:val="center"/>
          </w:tcPr>
          <w:p>
            <w:pPr>
              <w:wordWrap w:val="0"/>
              <w:jc w:val="both"/>
              <w:rPr>
                <w:rFonts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探测器排数：≥64排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2.1.11</w:t>
            </w:r>
          </w:p>
        </w:tc>
        <w:tc>
          <w:tcPr>
            <w:tcW w:w="8076" w:type="dxa"/>
            <w:noWrap w:val="0"/>
            <w:vAlign w:val="center"/>
          </w:tcPr>
          <w:p>
            <w:pPr>
              <w:wordWrap w:val="0"/>
              <w:jc w:val="both"/>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探测器Z轴覆盖宽度：≥40 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2.1.12</w:t>
            </w:r>
          </w:p>
        </w:tc>
        <w:tc>
          <w:tcPr>
            <w:tcW w:w="8076" w:type="dxa"/>
            <w:noWrap w:val="0"/>
            <w:vAlign w:val="center"/>
          </w:tcPr>
          <w:p>
            <w:pPr>
              <w:wordWrap w:val="0"/>
              <w:jc w:val="both"/>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每排探测器单元数（X-Y轴）≥</w:t>
            </w:r>
            <w:r>
              <w:rPr>
                <w:rFonts w:hint="eastAsia" w:ascii="微软雅黑" w:hAnsi="微软雅黑" w:eastAsia="微软雅黑" w:cs="Arial"/>
                <w:color w:val="auto"/>
                <w:sz w:val="22"/>
                <w:highlight w:val="none"/>
                <w:lang w:eastAsia="zh-CN"/>
              </w:rPr>
              <w:t>890</w:t>
            </w:r>
            <w:r>
              <w:rPr>
                <w:rFonts w:hint="eastAsia" w:ascii="微软雅黑" w:hAnsi="微软雅黑" w:eastAsia="微软雅黑" w:cs="Arial"/>
                <w:color w:val="auto"/>
                <w:sz w:val="22"/>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2.1.13</w:t>
            </w:r>
          </w:p>
        </w:tc>
        <w:tc>
          <w:tcPr>
            <w:tcW w:w="8076" w:type="dxa"/>
            <w:noWrap w:val="0"/>
            <w:vAlign w:val="center"/>
          </w:tcPr>
          <w:p>
            <w:pPr>
              <w:wordWrap w:val="0"/>
              <w:jc w:val="both"/>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探测器物理单元总数≥</w:t>
            </w:r>
            <w:r>
              <w:rPr>
                <w:rFonts w:hint="eastAsia" w:ascii="微软雅黑" w:hAnsi="微软雅黑" w:eastAsia="微软雅黑" w:cs="Arial"/>
                <w:color w:val="auto"/>
                <w:sz w:val="22"/>
                <w:highlight w:val="none"/>
                <w:lang w:eastAsia="zh-CN"/>
              </w:rPr>
              <w:t>57000</w:t>
            </w:r>
            <w:r>
              <w:rPr>
                <w:rFonts w:hint="eastAsia" w:ascii="微软雅黑" w:hAnsi="微软雅黑" w:eastAsia="微软雅黑" w:cs="Arial"/>
                <w:color w:val="auto"/>
                <w:sz w:val="22"/>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2.1.14</w:t>
            </w:r>
          </w:p>
        </w:tc>
        <w:tc>
          <w:tcPr>
            <w:tcW w:w="8076" w:type="dxa"/>
            <w:noWrap w:val="0"/>
            <w:vAlign w:val="center"/>
          </w:tcPr>
          <w:p>
            <w:pPr>
              <w:wordWrap w:val="0"/>
              <w:jc w:val="both"/>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最薄层厚：≤0.</w:t>
            </w:r>
            <w:r>
              <w:rPr>
                <w:rFonts w:ascii="微软雅黑" w:hAnsi="微软雅黑" w:eastAsia="微软雅黑" w:cs="Arial"/>
                <w:color w:val="auto"/>
                <w:sz w:val="22"/>
                <w:highlight w:val="none"/>
              </w:rPr>
              <w:t>6</w:t>
            </w:r>
            <w:r>
              <w:rPr>
                <w:rFonts w:hint="eastAsia" w:ascii="微软雅黑" w:hAnsi="微软雅黑" w:eastAsia="微软雅黑" w:cs="Arial"/>
                <w:color w:val="auto"/>
                <w:sz w:val="22"/>
                <w:highlight w:val="none"/>
              </w:rPr>
              <w:t>25mm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2.1.15</w:t>
            </w:r>
          </w:p>
        </w:tc>
        <w:tc>
          <w:tcPr>
            <w:tcW w:w="8076" w:type="dxa"/>
            <w:noWrap w:val="0"/>
            <w:vAlign w:val="center"/>
          </w:tcPr>
          <w:p>
            <w:pPr>
              <w:wordWrap w:val="0"/>
              <w:jc w:val="both"/>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每层数据采样率：≥4</w:t>
            </w:r>
            <w:r>
              <w:rPr>
                <w:rFonts w:ascii="微软雅黑" w:hAnsi="微软雅黑" w:eastAsia="微软雅黑" w:cs="Arial"/>
                <w:color w:val="auto"/>
                <w:sz w:val="22"/>
                <w:highlight w:val="none"/>
              </w:rPr>
              <w:t>8</w:t>
            </w:r>
            <w:r>
              <w:rPr>
                <w:rFonts w:hint="eastAsia" w:ascii="微软雅黑" w:hAnsi="微软雅黑" w:eastAsia="微软雅黑" w:cs="Arial"/>
                <w:color w:val="auto"/>
                <w:sz w:val="22"/>
                <w:highlight w:val="none"/>
              </w:rPr>
              <w:t>00views/圈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rPr>
                <w:rFonts w:hint="eastAsia" w:ascii="微软雅黑" w:hAnsi="微软雅黑" w:eastAsia="微软雅黑" w:cs="Arial"/>
                <w:color w:val="auto"/>
                <w:sz w:val="22"/>
                <w:highlight w:val="none"/>
              </w:rPr>
            </w:pPr>
            <w:bookmarkStart w:id="538" w:name="OLE_LINK72"/>
            <w:bookmarkStart w:id="539" w:name="OLE_LINK71"/>
            <w:r>
              <w:rPr>
                <w:rFonts w:hint="eastAsia" w:ascii="微软雅黑" w:hAnsi="微软雅黑" w:eastAsia="微软雅黑" w:cs="Arial"/>
                <w:color w:val="auto"/>
                <w:sz w:val="22"/>
                <w:highlight w:val="none"/>
              </w:rPr>
              <w:t>2</w:t>
            </w:r>
            <w:bookmarkEnd w:id="538"/>
            <w:bookmarkEnd w:id="539"/>
            <w:r>
              <w:rPr>
                <w:rFonts w:hint="eastAsia" w:ascii="微软雅黑" w:hAnsi="微软雅黑" w:eastAsia="微软雅黑" w:cs="Arial"/>
                <w:color w:val="auto"/>
                <w:sz w:val="22"/>
                <w:highlight w:val="none"/>
              </w:rPr>
              <w:t>.1.16</w:t>
            </w:r>
          </w:p>
        </w:tc>
        <w:tc>
          <w:tcPr>
            <w:tcW w:w="8076" w:type="dxa"/>
            <w:noWrap w:val="0"/>
            <w:vAlign w:val="center"/>
          </w:tcPr>
          <w:p>
            <w:pPr>
              <w:wordWrap w:val="0"/>
              <w:jc w:val="both"/>
              <w:rPr>
                <w:rFonts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提供三维激光定位系统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2.1.17</w:t>
            </w:r>
          </w:p>
        </w:tc>
        <w:tc>
          <w:tcPr>
            <w:tcW w:w="8076" w:type="dxa"/>
            <w:noWrap w:val="0"/>
            <w:vAlign w:val="center"/>
          </w:tcPr>
          <w:p>
            <w:pPr>
              <w:wordWrap w:val="0"/>
              <w:jc w:val="both"/>
              <w:rPr>
                <w:rFonts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提供无线一体化心电监测系统，无需外接心电监测设备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rPr>
                <w:rFonts w:hint="eastAsia" w:ascii="微软雅黑" w:hAnsi="微软雅黑" w:eastAsia="微软雅黑" w:cs="Arial"/>
                <w:color w:val="auto"/>
                <w:sz w:val="22"/>
                <w:highlight w:val="none"/>
              </w:rPr>
            </w:pPr>
          </w:p>
        </w:tc>
        <w:tc>
          <w:tcPr>
            <w:tcW w:w="8076" w:type="dxa"/>
            <w:noWrap w:val="0"/>
            <w:vAlign w:val="center"/>
          </w:tcPr>
          <w:p>
            <w:pPr>
              <w:wordWrap w:val="0"/>
              <w:rPr>
                <w:rFonts w:hint="eastAsia" w:ascii="微软雅黑" w:hAnsi="微软雅黑" w:eastAsia="微软雅黑" w:cs="Arial"/>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rPr>
                <w:rFonts w:hint="eastAsia" w:ascii="微软雅黑" w:hAnsi="微软雅黑" w:eastAsia="微软雅黑" w:cs="Arial"/>
                <w:b/>
                <w:color w:val="auto"/>
                <w:sz w:val="22"/>
                <w:highlight w:val="none"/>
              </w:rPr>
            </w:pPr>
            <w:r>
              <w:rPr>
                <w:rFonts w:hint="eastAsia" w:ascii="微软雅黑" w:hAnsi="微软雅黑" w:eastAsia="微软雅黑" w:cs="Arial"/>
                <w:b/>
                <w:color w:val="auto"/>
                <w:sz w:val="22"/>
                <w:highlight w:val="none"/>
              </w:rPr>
              <w:t>2.2</w:t>
            </w:r>
          </w:p>
        </w:tc>
        <w:tc>
          <w:tcPr>
            <w:tcW w:w="8076" w:type="dxa"/>
            <w:noWrap w:val="0"/>
            <w:vAlign w:val="center"/>
          </w:tcPr>
          <w:p>
            <w:pPr>
              <w:wordWrap w:val="0"/>
              <w:jc w:val="both"/>
              <w:rPr>
                <w:rFonts w:hint="eastAsia" w:ascii="微软雅黑" w:hAnsi="微软雅黑" w:eastAsia="微软雅黑" w:cs="Arial"/>
                <w:b/>
                <w:color w:val="auto"/>
                <w:sz w:val="22"/>
                <w:highlight w:val="none"/>
              </w:rPr>
            </w:pPr>
            <w:r>
              <w:rPr>
                <w:rFonts w:hint="eastAsia" w:ascii="微软雅黑" w:hAnsi="微软雅黑" w:eastAsia="微软雅黑" w:cs="Arial"/>
                <w:b/>
                <w:color w:val="auto"/>
                <w:sz w:val="22"/>
                <w:highlight w:val="none"/>
              </w:rPr>
              <w:t>扫描床系统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 w:hRule="atLeast"/>
        </w:trPr>
        <w:tc>
          <w:tcPr>
            <w:tcW w:w="1224" w:type="dxa"/>
            <w:noWrap w:val="0"/>
            <w:vAlign w:val="center"/>
          </w:tcPr>
          <w:p>
            <w:pPr>
              <w:wordWrap w:val="0"/>
              <w:rPr>
                <w:color w:val="auto"/>
                <w:highlight w:val="none"/>
              </w:rPr>
            </w:pPr>
            <w:r>
              <w:rPr>
                <w:rFonts w:hint="eastAsia" w:ascii="微软雅黑" w:hAnsi="微软雅黑" w:eastAsia="微软雅黑" w:cs="Arial"/>
                <w:color w:val="auto"/>
                <w:sz w:val="22"/>
                <w:highlight w:val="none"/>
              </w:rPr>
              <w:t>2.2.1</w:t>
            </w:r>
          </w:p>
        </w:tc>
        <w:tc>
          <w:tcPr>
            <w:tcW w:w="8076" w:type="dxa"/>
            <w:noWrap w:val="0"/>
            <w:vAlign w:val="center"/>
          </w:tcPr>
          <w:p>
            <w:pPr>
              <w:wordWrap w:val="0"/>
              <w:jc w:val="both"/>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扫描床长度：≥260cm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 w:hRule="atLeast"/>
        </w:trPr>
        <w:tc>
          <w:tcPr>
            <w:tcW w:w="1224" w:type="dxa"/>
            <w:noWrap w:val="0"/>
            <w:vAlign w:val="center"/>
          </w:tcPr>
          <w:p>
            <w:pPr>
              <w:wordWrap w:val="0"/>
              <w:rPr>
                <w:color w:val="auto"/>
                <w:highlight w:val="none"/>
              </w:rPr>
            </w:pPr>
            <w:r>
              <w:rPr>
                <w:rFonts w:hint="eastAsia" w:ascii="微软雅黑" w:hAnsi="微软雅黑" w:eastAsia="微软雅黑" w:cs="Arial"/>
                <w:color w:val="auto"/>
                <w:sz w:val="22"/>
                <w:highlight w:val="none"/>
              </w:rPr>
              <w:t>2.2.2</w:t>
            </w:r>
          </w:p>
        </w:tc>
        <w:tc>
          <w:tcPr>
            <w:tcW w:w="8076" w:type="dxa"/>
            <w:noWrap w:val="0"/>
            <w:vAlign w:val="center"/>
          </w:tcPr>
          <w:p>
            <w:pPr>
              <w:wordWrap w:val="0"/>
              <w:jc w:val="both"/>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扫描床可扫描垂直升降最低高度：≤48cm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 w:hRule="atLeast"/>
        </w:trPr>
        <w:tc>
          <w:tcPr>
            <w:tcW w:w="1224" w:type="dxa"/>
            <w:noWrap w:val="0"/>
            <w:vAlign w:val="center"/>
          </w:tcPr>
          <w:p>
            <w:pPr>
              <w:wordWrap w:val="0"/>
              <w:rPr>
                <w:color w:val="auto"/>
                <w:highlight w:val="none"/>
              </w:rPr>
            </w:pPr>
            <w:r>
              <w:rPr>
                <w:rFonts w:hint="eastAsia" w:ascii="微软雅黑" w:hAnsi="微软雅黑" w:eastAsia="微软雅黑" w:cs="Arial"/>
                <w:color w:val="auto"/>
                <w:sz w:val="22"/>
                <w:highlight w:val="none"/>
              </w:rPr>
              <w:t>2.2.3</w:t>
            </w:r>
          </w:p>
        </w:tc>
        <w:tc>
          <w:tcPr>
            <w:tcW w:w="8076" w:type="dxa"/>
            <w:noWrap w:val="0"/>
            <w:vAlign w:val="center"/>
          </w:tcPr>
          <w:p>
            <w:pPr>
              <w:wordWrap w:val="0"/>
              <w:jc w:val="both"/>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扫描床可扫描垂直升降最高高度：≥95cm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 w:hRule="atLeast"/>
        </w:trPr>
        <w:tc>
          <w:tcPr>
            <w:tcW w:w="1224" w:type="dxa"/>
            <w:noWrap w:val="0"/>
            <w:vAlign w:val="center"/>
          </w:tcPr>
          <w:p>
            <w:pPr>
              <w:wordWrap w:val="0"/>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2.2.4</w:t>
            </w:r>
          </w:p>
        </w:tc>
        <w:tc>
          <w:tcPr>
            <w:tcW w:w="8076" w:type="dxa"/>
            <w:noWrap w:val="0"/>
            <w:vAlign w:val="center"/>
          </w:tcPr>
          <w:p>
            <w:pPr>
              <w:wordWrap w:val="0"/>
              <w:jc w:val="both"/>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扫描床水平移动范围：≥210cm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 w:hRule="atLeast"/>
        </w:trPr>
        <w:tc>
          <w:tcPr>
            <w:tcW w:w="1224" w:type="dxa"/>
            <w:noWrap w:val="0"/>
            <w:vAlign w:val="center"/>
          </w:tcPr>
          <w:p>
            <w:pPr>
              <w:wordWrap w:val="0"/>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2.2.5</w:t>
            </w:r>
          </w:p>
        </w:tc>
        <w:tc>
          <w:tcPr>
            <w:tcW w:w="8076" w:type="dxa"/>
            <w:noWrap w:val="0"/>
            <w:vAlign w:val="center"/>
          </w:tcPr>
          <w:p>
            <w:pPr>
              <w:wordWrap w:val="0"/>
              <w:jc w:val="both"/>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扫描床水平可扫描范围：≥170cm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 w:hRule="atLeast"/>
        </w:trPr>
        <w:tc>
          <w:tcPr>
            <w:tcW w:w="1224" w:type="dxa"/>
            <w:noWrap w:val="0"/>
            <w:vAlign w:val="center"/>
          </w:tcPr>
          <w:p>
            <w:pPr>
              <w:wordWrap w:val="0"/>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2.2.6</w:t>
            </w:r>
          </w:p>
        </w:tc>
        <w:tc>
          <w:tcPr>
            <w:tcW w:w="8076" w:type="dxa"/>
            <w:noWrap w:val="0"/>
            <w:vAlign w:val="center"/>
          </w:tcPr>
          <w:p>
            <w:pPr>
              <w:wordWrap w:val="0"/>
              <w:jc w:val="both"/>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扫描床水平移动最高速度：≥200mm/s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 w:hRule="atLeast"/>
        </w:trPr>
        <w:tc>
          <w:tcPr>
            <w:tcW w:w="1224" w:type="dxa"/>
            <w:noWrap w:val="0"/>
            <w:vAlign w:val="center"/>
          </w:tcPr>
          <w:p>
            <w:pPr>
              <w:wordWrap w:val="0"/>
              <w:rPr>
                <w:color w:val="auto"/>
                <w:highlight w:val="none"/>
              </w:rPr>
            </w:pPr>
            <w:r>
              <w:rPr>
                <w:rFonts w:hint="eastAsia" w:ascii="微软雅黑" w:hAnsi="微软雅黑" w:eastAsia="微软雅黑" w:cs="Arial"/>
                <w:color w:val="auto"/>
                <w:sz w:val="22"/>
                <w:highlight w:val="none"/>
              </w:rPr>
              <w:t>2.2.7</w:t>
            </w:r>
          </w:p>
        </w:tc>
        <w:tc>
          <w:tcPr>
            <w:tcW w:w="8076" w:type="dxa"/>
            <w:noWrap w:val="0"/>
            <w:vAlign w:val="center"/>
          </w:tcPr>
          <w:p>
            <w:pPr>
              <w:wordWrap w:val="0"/>
              <w:jc w:val="both"/>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扫描床水平移动最小速度：≤2mm/s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 w:hRule="atLeast"/>
        </w:trPr>
        <w:tc>
          <w:tcPr>
            <w:tcW w:w="1224" w:type="dxa"/>
            <w:noWrap w:val="0"/>
            <w:vAlign w:val="center"/>
          </w:tcPr>
          <w:p>
            <w:pPr>
              <w:wordWrap w:val="0"/>
              <w:rPr>
                <w:color w:val="auto"/>
                <w:highlight w:val="none"/>
              </w:rPr>
            </w:pPr>
            <w:r>
              <w:rPr>
                <w:rFonts w:hint="eastAsia" w:ascii="微软雅黑" w:hAnsi="微软雅黑" w:eastAsia="微软雅黑" w:cs="Arial"/>
                <w:color w:val="auto"/>
                <w:sz w:val="22"/>
                <w:highlight w:val="none"/>
              </w:rPr>
              <w:t>2.2.8</w:t>
            </w:r>
          </w:p>
        </w:tc>
        <w:tc>
          <w:tcPr>
            <w:tcW w:w="8076" w:type="dxa"/>
            <w:noWrap w:val="0"/>
            <w:vAlign w:val="center"/>
          </w:tcPr>
          <w:p>
            <w:pPr>
              <w:wordWrap w:val="0"/>
              <w:jc w:val="both"/>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扫描床垂直升降最高速度：≥40mm/s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 w:hRule="atLeast"/>
        </w:trPr>
        <w:tc>
          <w:tcPr>
            <w:tcW w:w="1224" w:type="dxa"/>
            <w:noWrap w:val="0"/>
            <w:vAlign w:val="center"/>
          </w:tcPr>
          <w:p>
            <w:pPr>
              <w:wordWrap w:val="0"/>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2.2.9</w:t>
            </w:r>
          </w:p>
        </w:tc>
        <w:tc>
          <w:tcPr>
            <w:tcW w:w="8076" w:type="dxa"/>
            <w:noWrap w:val="0"/>
            <w:vAlign w:val="center"/>
          </w:tcPr>
          <w:p>
            <w:pPr>
              <w:wordWrap w:val="0"/>
              <w:jc w:val="both"/>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扫描床承重量：≥205kg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2.2.10</w:t>
            </w:r>
          </w:p>
        </w:tc>
        <w:tc>
          <w:tcPr>
            <w:tcW w:w="8076" w:type="dxa"/>
            <w:noWrap w:val="0"/>
            <w:vAlign w:val="center"/>
          </w:tcPr>
          <w:p>
            <w:pPr>
              <w:wordWrap w:val="0"/>
              <w:jc w:val="both"/>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扫描床移动精度：≤±0.25mm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2.2.11</w:t>
            </w:r>
          </w:p>
        </w:tc>
        <w:tc>
          <w:tcPr>
            <w:tcW w:w="8076" w:type="dxa"/>
            <w:noWrap w:val="0"/>
            <w:vAlign w:val="center"/>
          </w:tcPr>
          <w:p>
            <w:pPr>
              <w:wordWrap w:val="0"/>
              <w:rPr>
                <w:rFonts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提供扫描床控制脚踏开关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rPr>
                <w:rFonts w:hint="eastAsia" w:ascii="微软雅黑" w:hAnsi="微软雅黑" w:eastAsia="微软雅黑" w:cs="Arial"/>
                <w:color w:val="auto"/>
                <w:sz w:val="22"/>
                <w:highlight w:val="none"/>
              </w:rPr>
            </w:pPr>
          </w:p>
        </w:tc>
        <w:tc>
          <w:tcPr>
            <w:tcW w:w="8076" w:type="dxa"/>
            <w:noWrap w:val="0"/>
            <w:vAlign w:val="center"/>
          </w:tcPr>
          <w:p>
            <w:pPr>
              <w:wordWrap w:val="0"/>
              <w:jc w:val="both"/>
              <w:rPr>
                <w:rFonts w:hint="eastAsia" w:ascii="微软雅黑" w:hAnsi="微软雅黑" w:eastAsia="微软雅黑" w:cs="Arial"/>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rPr>
                <w:rFonts w:hint="eastAsia" w:ascii="微软雅黑" w:hAnsi="微软雅黑" w:eastAsia="微软雅黑" w:cs="Arial"/>
                <w:b/>
                <w:color w:val="auto"/>
                <w:sz w:val="22"/>
                <w:highlight w:val="none"/>
              </w:rPr>
            </w:pPr>
            <w:r>
              <w:rPr>
                <w:rFonts w:hint="eastAsia" w:ascii="微软雅黑" w:hAnsi="微软雅黑" w:eastAsia="微软雅黑" w:cs="Arial"/>
                <w:b/>
                <w:color w:val="auto"/>
                <w:sz w:val="22"/>
                <w:highlight w:val="none"/>
              </w:rPr>
              <w:t>2.3</w:t>
            </w:r>
          </w:p>
        </w:tc>
        <w:tc>
          <w:tcPr>
            <w:tcW w:w="8076" w:type="dxa"/>
            <w:noWrap w:val="0"/>
            <w:vAlign w:val="center"/>
          </w:tcPr>
          <w:p>
            <w:pPr>
              <w:wordWrap w:val="0"/>
              <w:jc w:val="both"/>
              <w:rPr>
                <w:rFonts w:hint="eastAsia" w:ascii="微软雅黑" w:hAnsi="微软雅黑" w:eastAsia="微软雅黑" w:cs="Arial"/>
                <w:b/>
                <w:color w:val="auto"/>
                <w:sz w:val="22"/>
                <w:highlight w:val="none"/>
              </w:rPr>
            </w:pPr>
            <w:r>
              <w:rPr>
                <w:rFonts w:hint="eastAsia" w:ascii="微软雅黑" w:hAnsi="微软雅黑" w:eastAsia="微软雅黑" w:cs="Arial"/>
                <w:b/>
                <w:color w:val="auto"/>
                <w:sz w:val="22"/>
                <w:highlight w:val="none"/>
              </w:rPr>
              <w:t>X线球管及高压发生器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2.3.1</w:t>
            </w:r>
          </w:p>
        </w:tc>
        <w:tc>
          <w:tcPr>
            <w:tcW w:w="8076" w:type="dxa"/>
            <w:noWrap w:val="0"/>
            <w:vAlign w:val="center"/>
          </w:tcPr>
          <w:p>
            <w:pPr>
              <w:wordWrap w:val="0"/>
              <w:jc w:val="both"/>
              <w:rPr>
                <w:rFonts w:hint="eastAsia" w:ascii="微软雅黑" w:hAnsi="微软雅黑" w:eastAsia="微软雅黑" w:cs="Arial"/>
                <w:color w:val="auto"/>
                <w:sz w:val="22"/>
                <w:highlight w:val="none"/>
                <w:lang w:eastAsia="zh-CN"/>
              </w:rPr>
            </w:pPr>
            <w:r>
              <w:rPr>
                <w:rFonts w:hint="eastAsia" w:ascii="微软雅黑" w:hAnsi="微软雅黑" w:eastAsia="微软雅黑" w:cs="Arial"/>
                <w:color w:val="auto"/>
                <w:sz w:val="22"/>
                <w:highlight w:val="none"/>
              </w:rPr>
              <w:t>球管阳极实际热容量（不含等效概念</w:t>
            </w:r>
            <w:r>
              <w:rPr>
                <w:rFonts w:ascii="微软雅黑" w:hAnsi="微软雅黑" w:eastAsia="微软雅黑" w:cs="Arial"/>
                <w:color w:val="auto"/>
                <w:sz w:val="22"/>
                <w:highlight w:val="none"/>
              </w:rPr>
              <w:t>）</w:t>
            </w:r>
            <w:r>
              <w:rPr>
                <w:rFonts w:hint="eastAsia" w:ascii="微软雅黑" w:hAnsi="微软雅黑" w:eastAsia="微软雅黑" w:cs="Arial"/>
                <w:color w:val="auto"/>
                <w:sz w:val="22"/>
                <w:highlight w:val="none"/>
              </w:rPr>
              <w:t>：≥</w:t>
            </w:r>
            <w:r>
              <w:rPr>
                <w:rFonts w:ascii="微软雅黑" w:hAnsi="微软雅黑" w:eastAsia="微软雅黑" w:cs="Arial"/>
                <w:color w:val="auto"/>
                <w:sz w:val="22"/>
                <w:highlight w:val="none"/>
              </w:rPr>
              <w:t>7</w:t>
            </w:r>
            <w:r>
              <w:rPr>
                <w:rFonts w:hint="eastAsia" w:ascii="微软雅黑" w:hAnsi="微软雅黑" w:eastAsia="微软雅黑" w:cs="Arial"/>
                <w:color w:val="auto"/>
                <w:sz w:val="22"/>
                <w:highlight w:val="none"/>
              </w:rPr>
              <w:t>.5</w:t>
            </w:r>
            <w:r>
              <w:rPr>
                <w:rFonts w:ascii="微软雅黑" w:hAnsi="微软雅黑" w:eastAsia="微软雅黑" w:cs="Arial"/>
                <w:color w:val="auto"/>
                <w:sz w:val="22"/>
                <w:highlight w:val="none"/>
              </w:rPr>
              <w:t>MHU</w:t>
            </w:r>
            <w:r>
              <w:rPr>
                <w:rFonts w:hint="eastAsia" w:ascii="微软雅黑" w:hAnsi="微软雅黑" w:eastAsia="微软雅黑" w:cs="Arial"/>
                <w:color w:val="auto"/>
                <w:sz w:val="22"/>
                <w:highlight w:val="none"/>
              </w:rPr>
              <w:t>或者新型低热容量高散热率球管，热容量≤</w:t>
            </w:r>
            <w:r>
              <w:rPr>
                <w:rFonts w:ascii="微软雅黑" w:hAnsi="微软雅黑" w:eastAsia="微软雅黑" w:cs="Arial"/>
                <w:color w:val="auto"/>
                <w:sz w:val="22"/>
                <w:highlight w:val="none"/>
              </w:rPr>
              <w:t>1MHU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2.3.2</w:t>
            </w:r>
          </w:p>
        </w:tc>
        <w:tc>
          <w:tcPr>
            <w:tcW w:w="8076" w:type="dxa"/>
            <w:noWrap w:val="0"/>
            <w:vAlign w:val="center"/>
          </w:tcPr>
          <w:p>
            <w:pPr>
              <w:wordWrap w:val="0"/>
              <w:jc w:val="both"/>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球管阳极最大散热率：≥1300</w:t>
            </w:r>
            <w:r>
              <w:rPr>
                <w:rFonts w:ascii="微软雅黑" w:hAnsi="微软雅黑" w:eastAsia="微软雅黑" w:cs="Arial"/>
                <w:color w:val="auto"/>
                <w:sz w:val="22"/>
                <w:highlight w:val="none"/>
              </w:rPr>
              <w:t>kHU/min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2.3.</w:t>
            </w:r>
            <w:r>
              <w:rPr>
                <w:rFonts w:ascii="微软雅黑" w:hAnsi="微软雅黑" w:eastAsia="微软雅黑" w:cs="Arial"/>
                <w:color w:val="auto"/>
                <w:sz w:val="22"/>
                <w:highlight w:val="none"/>
              </w:rPr>
              <w:t>3</w:t>
            </w:r>
          </w:p>
        </w:tc>
        <w:tc>
          <w:tcPr>
            <w:tcW w:w="8076" w:type="dxa"/>
            <w:noWrap w:val="0"/>
            <w:vAlign w:val="center"/>
          </w:tcPr>
          <w:p>
            <w:pPr>
              <w:wordWrap w:val="0"/>
              <w:jc w:val="both"/>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球管最大电流：≥667mA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2.3.</w:t>
            </w:r>
            <w:r>
              <w:rPr>
                <w:rFonts w:ascii="微软雅黑" w:hAnsi="微软雅黑" w:eastAsia="微软雅黑" w:cs="Arial"/>
                <w:color w:val="auto"/>
                <w:sz w:val="22"/>
                <w:highlight w:val="none"/>
              </w:rPr>
              <w:t>4</w:t>
            </w:r>
          </w:p>
        </w:tc>
        <w:tc>
          <w:tcPr>
            <w:tcW w:w="8076" w:type="dxa"/>
            <w:noWrap w:val="0"/>
            <w:vAlign w:val="center"/>
          </w:tcPr>
          <w:p>
            <w:pPr>
              <w:wordWrap w:val="0"/>
              <w:jc w:val="both"/>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球管最小电流：≤6mA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2.3.</w:t>
            </w:r>
            <w:r>
              <w:rPr>
                <w:rFonts w:ascii="微软雅黑" w:hAnsi="微软雅黑" w:eastAsia="微软雅黑" w:cs="Arial"/>
                <w:color w:val="auto"/>
                <w:sz w:val="22"/>
                <w:highlight w:val="none"/>
              </w:rPr>
              <w:t>5</w:t>
            </w:r>
          </w:p>
        </w:tc>
        <w:tc>
          <w:tcPr>
            <w:tcW w:w="8076" w:type="dxa"/>
            <w:noWrap w:val="0"/>
            <w:vAlign w:val="center"/>
          </w:tcPr>
          <w:p>
            <w:pPr>
              <w:wordWrap w:val="0"/>
              <w:jc w:val="both"/>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球管电流递增幅度：≤1mA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2.3.</w:t>
            </w:r>
            <w:r>
              <w:rPr>
                <w:rFonts w:ascii="微软雅黑" w:hAnsi="微软雅黑" w:eastAsia="微软雅黑" w:cs="Arial"/>
                <w:color w:val="auto"/>
                <w:sz w:val="22"/>
                <w:highlight w:val="none"/>
              </w:rPr>
              <w:t>6</w:t>
            </w:r>
          </w:p>
        </w:tc>
        <w:tc>
          <w:tcPr>
            <w:tcW w:w="8076" w:type="dxa"/>
            <w:noWrap w:val="0"/>
            <w:vAlign w:val="center"/>
          </w:tcPr>
          <w:p>
            <w:pPr>
              <w:wordWrap w:val="0"/>
              <w:jc w:val="both"/>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球管最大电压：≥140KV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24" w:type="dxa"/>
            <w:noWrap w:val="0"/>
            <w:vAlign w:val="center"/>
          </w:tcPr>
          <w:p>
            <w:pPr>
              <w:wordWrap w:val="0"/>
              <w:rPr>
                <w:color w:val="auto"/>
                <w:highlight w:val="none"/>
              </w:rPr>
            </w:pPr>
            <w:r>
              <w:rPr>
                <w:rFonts w:hint="eastAsia" w:ascii="微软雅黑" w:hAnsi="微软雅黑" w:eastAsia="微软雅黑" w:cs="Arial"/>
                <w:color w:val="auto"/>
                <w:sz w:val="22"/>
                <w:highlight w:val="none"/>
              </w:rPr>
              <w:t>2.3.</w:t>
            </w:r>
            <w:r>
              <w:rPr>
                <w:rFonts w:ascii="微软雅黑" w:hAnsi="微软雅黑" w:eastAsia="微软雅黑" w:cs="Arial"/>
                <w:color w:val="auto"/>
                <w:sz w:val="22"/>
                <w:highlight w:val="none"/>
              </w:rPr>
              <w:t>7</w:t>
            </w:r>
          </w:p>
        </w:tc>
        <w:tc>
          <w:tcPr>
            <w:tcW w:w="8076" w:type="dxa"/>
            <w:noWrap w:val="0"/>
            <w:vAlign w:val="center"/>
          </w:tcPr>
          <w:p>
            <w:pPr>
              <w:wordWrap w:val="0"/>
              <w:jc w:val="both"/>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最小球管电压：≤</w:t>
            </w:r>
            <w:r>
              <w:rPr>
                <w:rFonts w:ascii="微软雅黑" w:hAnsi="微软雅黑" w:eastAsia="微软雅黑" w:cs="Arial"/>
                <w:color w:val="auto"/>
                <w:sz w:val="22"/>
                <w:highlight w:val="none"/>
              </w:rPr>
              <w:t>7</w:t>
            </w:r>
            <w:r>
              <w:rPr>
                <w:rFonts w:hint="eastAsia" w:ascii="微软雅黑" w:hAnsi="微软雅黑" w:eastAsia="微软雅黑" w:cs="Arial"/>
                <w:color w:val="auto"/>
                <w:sz w:val="22"/>
                <w:highlight w:val="none"/>
              </w:rPr>
              <w:t>0kV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rPr>
                <w:color w:val="auto"/>
                <w:highlight w:val="none"/>
              </w:rPr>
            </w:pPr>
            <w:r>
              <w:rPr>
                <w:rFonts w:hint="eastAsia" w:ascii="宋体" w:hAnsi="宋体" w:eastAsia="微软雅黑" w:cs="宋体"/>
                <w:color w:val="auto"/>
                <w:sz w:val="24"/>
                <w:highlight w:val="none"/>
                <w:lang w:eastAsia="zh-CN"/>
              </w:rPr>
              <w:t>★</w:t>
            </w:r>
            <w:r>
              <w:rPr>
                <w:rFonts w:hint="eastAsia" w:ascii="微软雅黑" w:hAnsi="微软雅黑" w:eastAsia="微软雅黑" w:cs="Arial"/>
                <w:color w:val="auto"/>
                <w:sz w:val="22"/>
                <w:highlight w:val="none"/>
              </w:rPr>
              <w:t>2.3.</w:t>
            </w:r>
            <w:r>
              <w:rPr>
                <w:rFonts w:ascii="微软雅黑" w:hAnsi="微软雅黑" w:eastAsia="微软雅黑" w:cs="Arial"/>
                <w:color w:val="auto"/>
                <w:sz w:val="22"/>
                <w:highlight w:val="none"/>
              </w:rPr>
              <w:t>8</w:t>
            </w:r>
          </w:p>
        </w:tc>
        <w:tc>
          <w:tcPr>
            <w:tcW w:w="8076" w:type="dxa"/>
            <w:noWrap w:val="0"/>
            <w:vAlign w:val="center"/>
          </w:tcPr>
          <w:p>
            <w:pPr>
              <w:wordWrap w:val="0"/>
              <w:jc w:val="both"/>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球管电压可选档位：5档（70kV/80kV /100kV</w:t>
            </w:r>
            <w:r>
              <w:rPr>
                <w:rFonts w:ascii="微软雅黑" w:hAnsi="微软雅黑" w:eastAsia="微软雅黑" w:cs="Arial"/>
                <w:color w:val="auto"/>
                <w:sz w:val="22"/>
                <w:highlight w:val="none"/>
              </w:rPr>
              <w:t xml:space="preserve"> /</w:t>
            </w:r>
            <w:r>
              <w:rPr>
                <w:rFonts w:hint="eastAsia" w:ascii="微软雅黑" w:hAnsi="微软雅黑" w:eastAsia="微软雅黑" w:cs="Arial"/>
                <w:color w:val="auto"/>
                <w:sz w:val="22"/>
                <w:highlight w:val="none"/>
              </w:rPr>
              <w:t>120kV</w:t>
            </w:r>
            <w:r>
              <w:rPr>
                <w:rFonts w:ascii="微软雅黑" w:hAnsi="微软雅黑" w:eastAsia="微软雅黑" w:cs="Arial"/>
                <w:color w:val="auto"/>
                <w:sz w:val="22"/>
                <w:highlight w:val="none"/>
              </w:rPr>
              <w:t>/</w:t>
            </w:r>
            <w:r>
              <w:rPr>
                <w:rFonts w:hint="eastAsia" w:ascii="微软雅黑" w:hAnsi="微软雅黑" w:eastAsia="微软雅黑" w:cs="Arial"/>
                <w:color w:val="auto"/>
                <w:sz w:val="22"/>
                <w:highlight w:val="none"/>
              </w:rPr>
              <w:t>140kV）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2.3.</w:t>
            </w:r>
            <w:r>
              <w:rPr>
                <w:rFonts w:ascii="微软雅黑" w:hAnsi="微软雅黑" w:eastAsia="微软雅黑" w:cs="Arial"/>
                <w:color w:val="auto"/>
                <w:sz w:val="22"/>
                <w:highlight w:val="none"/>
              </w:rPr>
              <w:t>9</w:t>
            </w:r>
          </w:p>
        </w:tc>
        <w:tc>
          <w:tcPr>
            <w:tcW w:w="8076" w:type="dxa"/>
            <w:noWrap w:val="0"/>
            <w:vAlign w:val="center"/>
          </w:tcPr>
          <w:p>
            <w:pPr>
              <w:wordWrap w:val="0"/>
              <w:jc w:val="both"/>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球管大焦点：≤1.0mm×1.0mm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 w:hRule="atLeast"/>
        </w:trPr>
        <w:tc>
          <w:tcPr>
            <w:tcW w:w="1224" w:type="dxa"/>
            <w:noWrap w:val="0"/>
            <w:vAlign w:val="center"/>
          </w:tcPr>
          <w:p>
            <w:pPr>
              <w:wordWrap w:val="0"/>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2.3.1</w:t>
            </w:r>
            <w:r>
              <w:rPr>
                <w:rFonts w:ascii="微软雅黑" w:hAnsi="微软雅黑" w:eastAsia="微软雅黑" w:cs="Arial"/>
                <w:color w:val="auto"/>
                <w:sz w:val="22"/>
                <w:highlight w:val="none"/>
              </w:rPr>
              <w:t>0</w:t>
            </w:r>
          </w:p>
        </w:tc>
        <w:tc>
          <w:tcPr>
            <w:tcW w:w="8076" w:type="dxa"/>
            <w:noWrap w:val="0"/>
            <w:vAlign w:val="center"/>
          </w:tcPr>
          <w:p>
            <w:pPr>
              <w:wordWrap w:val="0"/>
              <w:jc w:val="both"/>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球管小焦点：≤0.7mm×0.7mm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rPr>
                <w:rFonts w:hint="eastAsia" w:ascii="微软雅黑" w:hAnsi="微软雅黑" w:eastAsia="微软雅黑" w:cs="Arial"/>
                <w:color w:val="auto"/>
                <w:sz w:val="22"/>
                <w:highlight w:val="none"/>
              </w:rPr>
            </w:pPr>
            <w:r>
              <w:rPr>
                <w:rFonts w:hint="eastAsia" w:ascii="宋体" w:hAnsi="宋体" w:eastAsia="微软雅黑" w:cs="宋体"/>
                <w:color w:val="auto"/>
                <w:sz w:val="24"/>
                <w:highlight w:val="none"/>
                <w:lang w:eastAsia="zh-CN"/>
              </w:rPr>
              <w:t>★</w:t>
            </w:r>
            <w:r>
              <w:rPr>
                <w:rFonts w:hint="eastAsia" w:ascii="微软雅黑" w:hAnsi="微软雅黑" w:eastAsia="微软雅黑" w:cs="Arial"/>
                <w:color w:val="auto"/>
                <w:sz w:val="22"/>
                <w:highlight w:val="none"/>
              </w:rPr>
              <w:t>2.3.1</w:t>
            </w:r>
            <w:r>
              <w:rPr>
                <w:rFonts w:ascii="微软雅黑" w:hAnsi="微软雅黑" w:eastAsia="微软雅黑" w:cs="Arial"/>
                <w:color w:val="auto"/>
                <w:sz w:val="22"/>
                <w:highlight w:val="none"/>
              </w:rPr>
              <w:t>1</w:t>
            </w:r>
          </w:p>
        </w:tc>
        <w:tc>
          <w:tcPr>
            <w:tcW w:w="8076" w:type="dxa"/>
            <w:noWrap w:val="0"/>
            <w:vAlign w:val="center"/>
          </w:tcPr>
          <w:p>
            <w:pPr>
              <w:wordWrap w:val="0"/>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高压发生器实际功率（不含等效概念）：≥80kW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rPr>
                <w:rFonts w:hint="eastAsia" w:ascii="微软雅黑" w:hAnsi="微软雅黑" w:eastAsia="微软雅黑" w:cs="Arial"/>
                <w:color w:val="auto"/>
                <w:sz w:val="22"/>
                <w:highlight w:val="none"/>
              </w:rPr>
            </w:pPr>
          </w:p>
        </w:tc>
        <w:tc>
          <w:tcPr>
            <w:tcW w:w="8076" w:type="dxa"/>
            <w:noWrap w:val="0"/>
            <w:vAlign w:val="center"/>
          </w:tcPr>
          <w:p>
            <w:pPr>
              <w:wordWrap w:val="0"/>
              <w:jc w:val="both"/>
              <w:rPr>
                <w:rFonts w:hint="eastAsia" w:ascii="微软雅黑" w:hAnsi="微软雅黑" w:eastAsia="微软雅黑" w:cs="Arial"/>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rPr>
                <w:rFonts w:hint="eastAsia" w:ascii="微软雅黑" w:hAnsi="微软雅黑" w:eastAsia="微软雅黑" w:cs="Arial"/>
                <w:b/>
                <w:color w:val="auto"/>
                <w:sz w:val="22"/>
                <w:highlight w:val="none"/>
              </w:rPr>
            </w:pPr>
            <w:r>
              <w:rPr>
                <w:rFonts w:hint="eastAsia" w:ascii="微软雅黑" w:hAnsi="微软雅黑" w:eastAsia="微软雅黑" w:cs="Arial"/>
                <w:b/>
                <w:color w:val="auto"/>
                <w:sz w:val="22"/>
                <w:highlight w:val="none"/>
              </w:rPr>
              <w:t>2.4</w:t>
            </w:r>
          </w:p>
        </w:tc>
        <w:tc>
          <w:tcPr>
            <w:tcW w:w="8076" w:type="dxa"/>
            <w:noWrap w:val="0"/>
            <w:vAlign w:val="center"/>
          </w:tcPr>
          <w:p>
            <w:pPr>
              <w:wordWrap w:val="0"/>
              <w:jc w:val="both"/>
              <w:rPr>
                <w:rFonts w:hint="eastAsia" w:ascii="微软雅黑" w:hAnsi="微软雅黑" w:eastAsia="微软雅黑" w:cs="Arial"/>
                <w:b/>
                <w:color w:val="auto"/>
                <w:sz w:val="22"/>
                <w:highlight w:val="none"/>
              </w:rPr>
            </w:pPr>
            <w:r>
              <w:rPr>
                <w:rFonts w:hint="eastAsia" w:ascii="微软雅黑" w:hAnsi="微软雅黑" w:eastAsia="微软雅黑" w:cs="Arial"/>
                <w:b/>
                <w:color w:val="auto"/>
                <w:sz w:val="22"/>
                <w:highlight w:val="none"/>
              </w:rPr>
              <w:t>扫描参数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rPr>
                <w:rFonts w:hint="eastAsia" w:ascii="微软雅黑" w:hAnsi="微软雅黑" w:eastAsia="微软雅黑" w:cs="Arial"/>
                <w:color w:val="auto"/>
                <w:sz w:val="22"/>
                <w:highlight w:val="none"/>
              </w:rPr>
            </w:pPr>
            <w:r>
              <w:rPr>
                <w:rFonts w:hint="eastAsia" w:ascii="宋体" w:hAnsi="宋体" w:eastAsia="微软雅黑" w:cs="宋体"/>
                <w:color w:val="auto"/>
                <w:sz w:val="24"/>
                <w:highlight w:val="none"/>
                <w:lang w:eastAsia="zh-CN"/>
              </w:rPr>
              <w:t>★</w:t>
            </w:r>
            <w:r>
              <w:rPr>
                <w:rFonts w:hint="eastAsia" w:ascii="微软雅黑" w:hAnsi="微软雅黑" w:eastAsia="微软雅黑" w:cs="Arial"/>
                <w:color w:val="auto"/>
                <w:sz w:val="22"/>
                <w:highlight w:val="none"/>
              </w:rPr>
              <w:t>2.4.1</w:t>
            </w:r>
          </w:p>
        </w:tc>
        <w:tc>
          <w:tcPr>
            <w:tcW w:w="8076" w:type="dxa"/>
            <w:noWrap w:val="0"/>
            <w:vAlign w:val="center"/>
          </w:tcPr>
          <w:p>
            <w:pPr>
              <w:wordWrap w:val="0"/>
              <w:jc w:val="both"/>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机架</w:t>
            </w:r>
            <w:r>
              <w:rPr>
                <w:rFonts w:ascii="微软雅黑" w:hAnsi="微软雅黑" w:eastAsia="微软雅黑" w:cs="Arial"/>
                <w:color w:val="auto"/>
                <w:sz w:val="22"/>
                <w:highlight w:val="none"/>
              </w:rPr>
              <w:t>最快</w:t>
            </w:r>
            <w:r>
              <w:rPr>
                <w:rFonts w:hint="eastAsia" w:ascii="微软雅黑" w:hAnsi="微软雅黑" w:eastAsia="微软雅黑" w:cs="Arial"/>
                <w:color w:val="auto"/>
                <w:sz w:val="22"/>
                <w:highlight w:val="none"/>
              </w:rPr>
              <w:t>旋转扫描时间/</w:t>
            </w:r>
            <w:r>
              <w:rPr>
                <w:rFonts w:ascii="微软雅黑" w:hAnsi="微软雅黑" w:eastAsia="微软雅黑" w:cs="Arial"/>
                <w:color w:val="auto"/>
                <w:sz w:val="22"/>
                <w:highlight w:val="none"/>
              </w:rPr>
              <w:t>36</w:t>
            </w:r>
            <w:r>
              <w:rPr>
                <w:rFonts w:hint="eastAsia" w:ascii="微软雅黑" w:hAnsi="微软雅黑" w:eastAsia="微软雅黑" w:cs="Arial"/>
                <w:color w:val="auto"/>
                <w:sz w:val="22"/>
                <w:highlight w:val="none"/>
              </w:rPr>
              <w:t>0°：≤0.35秒/360°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2.4.2</w:t>
            </w:r>
          </w:p>
        </w:tc>
        <w:tc>
          <w:tcPr>
            <w:tcW w:w="8076" w:type="dxa"/>
            <w:noWrap w:val="0"/>
            <w:vAlign w:val="center"/>
          </w:tcPr>
          <w:p>
            <w:pPr>
              <w:wordWrap w:val="0"/>
              <w:jc w:val="both"/>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心脏成像最高时间分辨率（完整180度数据采集）：≤35毫秒。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2.4.3</w:t>
            </w:r>
          </w:p>
        </w:tc>
        <w:tc>
          <w:tcPr>
            <w:tcW w:w="8076" w:type="dxa"/>
            <w:noWrap w:val="0"/>
            <w:vAlign w:val="center"/>
          </w:tcPr>
          <w:p>
            <w:pPr>
              <w:wordWrap w:val="0"/>
              <w:jc w:val="both"/>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可选择机架旋转扫描速度 : ≥6种</w:t>
            </w:r>
            <w:r>
              <w:rPr>
                <w:rFonts w:hint="eastAsia" w:ascii="微软雅黑" w:hAnsi="微软雅黑" w:eastAsia="微软雅黑" w:cs="Arial"/>
                <w:color w:val="auto"/>
                <w:sz w:val="22"/>
                <w:highlight w:val="none"/>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2.4.4</w:t>
            </w:r>
          </w:p>
        </w:tc>
        <w:tc>
          <w:tcPr>
            <w:tcW w:w="8076" w:type="dxa"/>
            <w:noWrap w:val="0"/>
            <w:vAlign w:val="center"/>
          </w:tcPr>
          <w:p>
            <w:pPr>
              <w:wordWrap w:val="0"/>
              <w:jc w:val="both"/>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具备</w:t>
            </w:r>
            <w:r>
              <w:rPr>
                <w:rFonts w:ascii="微软雅黑" w:hAnsi="微软雅黑" w:eastAsia="微软雅黑" w:cs="Arial"/>
                <w:color w:val="auto"/>
                <w:sz w:val="22"/>
                <w:highlight w:val="none"/>
              </w:rPr>
              <w:t>128</w:t>
            </w:r>
            <w:r>
              <w:rPr>
                <w:rFonts w:hint="eastAsia" w:ascii="微软雅黑" w:hAnsi="微软雅黑" w:eastAsia="微软雅黑" w:cs="Arial"/>
                <w:color w:val="auto"/>
                <w:sz w:val="22"/>
                <w:highlight w:val="none"/>
              </w:rPr>
              <w:t>层</w:t>
            </w:r>
            <w:r>
              <w:rPr>
                <w:rFonts w:ascii="微软雅黑" w:hAnsi="微软雅黑" w:eastAsia="微软雅黑" w:cs="Arial"/>
                <w:color w:val="auto"/>
                <w:sz w:val="22"/>
                <w:highlight w:val="none"/>
              </w:rPr>
              <w:t>/</w:t>
            </w:r>
            <w:r>
              <w:rPr>
                <w:rFonts w:hint="eastAsia" w:ascii="微软雅黑" w:hAnsi="微软雅黑" w:eastAsia="微软雅黑" w:cs="Arial"/>
                <w:color w:val="auto"/>
                <w:sz w:val="22"/>
                <w:highlight w:val="none"/>
              </w:rPr>
              <w:t>圈扫描成像技术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2.4.6</w:t>
            </w:r>
          </w:p>
        </w:tc>
        <w:tc>
          <w:tcPr>
            <w:tcW w:w="8076" w:type="dxa"/>
            <w:noWrap w:val="0"/>
            <w:vAlign w:val="center"/>
          </w:tcPr>
          <w:p>
            <w:pPr>
              <w:wordWrap w:val="0"/>
              <w:jc w:val="both"/>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扫描采集视野：≥50cm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2.4.7</w:t>
            </w:r>
          </w:p>
        </w:tc>
        <w:tc>
          <w:tcPr>
            <w:tcW w:w="8076" w:type="dxa"/>
            <w:noWrap w:val="0"/>
            <w:vAlign w:val="center"/>
          </w:tcPr>
          <w:p>
            <w:pPr>
              <w:wordWrap w:val="0"/>
              <w:jc w:val="both"/>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扫描重建视野范围：4cm-50cm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2.4.8</w:t>
            </w:r>
          </w:p>
        </w:tc>
        <w:tc>
          <w:tcPr>
            <w:tcW w:w="8076" w:type="dxa"/>
            <w:noWrap w:val="0"/>
            <w:vAlign w:val="center"/>
          </w:tcPr>
          <w:p>
            <w:pPr>
              <w:wordWrap w:val="0"/>
              <w:jc w:val="both"/>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定位片扫描长度：≥170cm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 w:hRule="atLeast"/>
        </w:trPr>
        <w:tc>
          <w:tcPr>
            <w:tcW w:w="1224" w:type="dxa"/>
            <w:noWrap w:val="0"/>
            <w:vAlign w:val="center"/>
          </w:tcPr>
          <w:p>
            <w:pPr>
              <w:wordWrap w:val="0"/>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2.4.9</w:t>
            </w:r>
          </w:p>
        </w:tc>
        <w:tc>
          <w:tcPr>
            <w:tcW w:w="8076" w:type="dxa"/>
            <w:noWrap w:val="0"/>
            <w:vAlign w:val="center"/>
          </w:tcPr>
          <w:p>
            <w:pPr>
              <w:wordWrap w:val="0"/>
              <w:jc w:val="both"/>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定位片扫描宽度：≥50cm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2.4.10</w:t>
            </w:r>
          </w:p>
        </w:tc>
        <w:tc>
          <w:tcPr>
            <w:tcW w:w="8076" w:type="dxa"/>
            <w:noWrap w:val="0"/>
            <w:vAlign w:val="center"/>
          </w:tcPr>
          <w:p>
            <w:pPr>
              <w:wordWrap w:val="0"/>
              <w:jc w:val="both"/>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定位片计划：双定位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rPr>
                <w:rFonts w:hint="eastAsia" w:ascii="微软雅黑" w:hAnsi="微软雅黑" w:eastAsia="微软雅黑" w:cs="Arial"/>
                <w:color w:val="auto"/>
                <w:sz w:val="22"/>
                <w:highlight w:val="none"/>
              </w:rPr>
            </w:pPr>
            <w:r>
              <w:rPr>
                <w:rFonts w:hint="eastAsia" w:ascii="宋体" w:hAnsi="宋体" w:eastAsia="微软雅黑" w:cs="宋体"/>
                <w:color w:val="auto"/>
                <w:sz w:val="24"/>
                <w:highlight w:val="none"/>
                <w:lang w:eastAsia="zh-CN"/>
              </w:rPr>
              <w:t>★</w:t>
            </w:r>
            <w:r>
              <w:rPr>
                <w:rFonts w:hint="eastAsia" w:ascii="微软雅黑" w:hAnsi="微软雅黑" w:eastAsia="微软雅黑" w:cs="Arial"/>
                <w:color w:val="auto"/>
                <w:sz w:val="22"/>
                <w:highlight w:val="none"/>
              </w:rPr>
              <w:t>2.4.11</w:t>
            </w:r>
          </w:p>
        </w:tc>
        <w:tc>
          <w:tcPr>
            <w:tcW w:w="8076" w:type="dxa"/>
            <w:noWrap w:val="0"/>
            <w:vAlign w:val="center"/>
          </w:tcPr>
          <w:p>
            <w:pPr>
              <w:wordWrap w:val="0"/>
              <w:jc w:val="both"/>
              <w:rPr>
                <w:rFonts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具备在线MPR重建功能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2.4.12</w:t>
            </w:r>
          </w:p>
        </w:tc>
        <w:tc>
          <w:tcPr>
            <w:tcW w:w="8076" w:type="dxa"/>
            <w:noWrap w:val="0"/>
            <w:vAlign w:val="center"/>
          </w:tcPr>
          <w:p>
            <w:pPr>
              <w:wordWrap w:val="0"/>
              <w:jc w:val="both"/>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最大螺距：≥</w:t>
            </w:r>
            <w:r>
              <w:rPr>
                <w:rFonts w:ascii="微软雅黑" w:hAnsi="微软雅黑" w:eastAsia="微软雅黑" w:cs="Arial"/>
                <w:color w:val="auto"/>
                <w:sz w:val="22"/>
                <w:highlight w:val="none"/>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rPr>
                <w:rFonts w:hint="eastAsia" w:ascii="微软雅黑" w:hAnsi="微软雅黑" w:eastAsia="微软雅黑" w:cs="Arial"/>
                <w:color w:val="auto"/>
                <w:sz w:val="22"/>
                <w:highlight w:val="none"/>
              </w:rPr>
            </w:pPr>
            <w:r>
              <w:rPr>
                <w:rFonts w:hint="eastAsia" w:ascii="宋体" w:hAnsi="宋体" w:eastAsia="微软雅黑" w:cs="宋体"/>
                <w:color w:val="auto"/>
                <w:sz w:val="24"/>
                <w:highlight w:val="none"/>
                <w:lang w:eastAsia="zh-CN"/>
              </w:rPr>
              <w:t>★</w:t>
            </w:r>
            <w:r>
              <w:rPr>
                <w:rFonts w:hint="eastAsia" w:ascii="微软雅黑" w:hAnsi="微软雅黑" w:eastAsia="微软雅黑" w:cs="Arial"/>
                <w:color w:val="auto"/>
                <w:sz w:val="22"/>
                <w:highlight w:val="none"/>
              </w:rPr>
              <w:t>2.4.13</w:t>
            </w:r>
          </w:p>
        </w:tc>
        <w:tc>
          <w:tcPr>
            <w:tcW w:w="8076" w:type="dxa"/>
            <w:noWrap w:val="0"/>
            <w:vAlign w:val="center"/>
          </w:tcPr>
          <w:p>
            <w:pPr>
              <w:wordWrap w:val="0"/>
              <w:jc w:val="both"/>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最小螺距：≤0.1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2.4.14</w:t>
            </w:r>
          </w:p>
        </w:tc>
        <w:tc>
          <w:tcPr>
            <w:tcW w:w="8076" w:type="dxa"/>
            <w:noWrap w:val="0"/>
            <w:vAlign w:val="center"/>
          </w:tcPr>
          <w:p>
            <w:pPr>
              <w:wordWrap w:val="0"/>
              <w:jc w:val="both"/>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单次连续螺旋扫描：≥100秒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rPr>
                <w:rFonts w:hint="eastAsia" w:ascii="微软雅黑" w:hAnsi="微软雅黑" w:eastAsia="微软雅黑" w:cs="Arial"/>
                <w:color w:val="auto"/>
                <w:sz w:val="22"/>
                <w:highlight w:val="none"/>
              </w:rPr>
            </w:pPr>
          </w:p>
        </w:tc>
        <w:tc>
          <w:tcPr>
            <w:tcW w:w="8076" w:type="dxa"/>
            <w:noWrap w:val="0"/>
            <w:vAlign w:val="center"/>
          </w:tcPr>
          <w:p>
            <w:pPr>
              <w:wordWrap w:val="0"/>
              <w:jc w:val="both"/>
              <w:rPr>
                <w:rFonts w:hint="eastAsia" w:ascii="微软雅黑" w:hAnsi="微软雅黑" w:eastAsia="微软雅黑" w:cs="Arial"/>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rPr>
                <w:rFonts w:hint="eastAsia" w:ascii="微软雅黑" w:hAnsi="微软雅黑" w:eastAsia="微软雅黑" w:cs="Arial"/>
                <w:b/>
                <w:color w:val="auto"/>
                <w:sz w:val="22"/>
                <w:highlight w:val="none"/>
              </w:rPr>
            </w:pPr>
            <w:r>
              <w:rPr>
                <w:rFonts w:hint="eastAsia" w:ascii="微软雅黑" w:hAnsi="微软雅黑" w:eastAsia="微软雅黑" w:cs="Arial"/>
                <w:b/>
                <w:color w:val="auto"/>
                <w:sz w:val="22"/>
                <w:highlight w:val="none"/>
              </w:rPr>
              <w:t>2.5</w:t>
            </w:r>
          </w:p>
        </w:tc>
        <w:tc>
          <w:tcPr>
            <w:tcW w:w="8076" w:type="dxa"/>
            <w:noWrap w:val="0"/>
            <w:vAlign w:val="center"/>
          </w:tcPr>
          <w:p>
            <w:pPr>
              <w:wordWrap w:val="0"/>
              <w:jc w:val="both"/>
              <w:rPr>
                <w:rFonts w:hint="eastAsia" w:ascii="微软雅黑" w:hAnsi="微软雅黑" w:eastAsia="微软雅黑" w:cs="Arial"/>
                <w:b/>
                <w:color w:val="auto"/>
                <w:sz w:val="22"/>
                <w:highlight w:val="none"/>
              </w:rPr>
            </w:pPr>
            <w:r>
              <w:rPr>
                <w:rFonts w:hint="eastAsia" w:ascii="微软雅黑" w:hAnsi="微软雅黑" w:eastAsia="微软雅黑" w:cs="Arial"/>
                <w:b/>
                <w:color w:val="auto"/>
                <w:sz w:val="22"/>
                <w:highlight w:val="none"/>
              </w:rPr>
              <w:t>图像质量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rPr>
                <w:rFonts w:ascii="微软雅黑" w:hAnsi="微软雅黑" w:eastAsia="微软雅黑" w:cs="Arial"/>
                <w:color w:val="auto"/>
                <w:sz w:val="22"/>
                <w:highlight w:val="none"/>
              </w:rPr>
            </w:pPr>
            <w:r>
              <w:rPr>
                <w:rFonts w:hint="eastAsia" w:ascii="宋体" w:hAnsi="宋体" w:eastAsia="微软雅黑" w:cs="宋体"/>
                <w:color w:val="auto"/>
                <w:sz w:val="24"/>
                <w:highlight w:val="none"/>
                <w:lang w:eastAsia="zh-CN"/>
              </w:rPr>
              <w:t>★</w:t>
            </w:r>
            <w:r>
              <w:rPr>
                <w:rFonts w:hint="eastAsia" w:ascii="微软雅黑" w:hAnsi="微软雅黑" w:eastAsia="微软雅黑" w:cs="Arial"/>
                <w:color w:val="auto"/>
                <w:sz w:val="22"/>
                <w:highlight w:val="none"/>
              </w:rPr>
              <w:t>2.5.1</w:t>
            </w:r>
          </w:p>
        </w:tc>
        <w:tc>
          <w:tcPr>
            <w:tcW w:w="8076" w:type="dxa"/>
            <w:noWrap w:val="0"/>
            <w:vAlign w:val="center"/>
          </w:tcPr>
          <w:p>
            <w:pPr>
              <w:wordWrap w:val="0"/>
              <w:jc w:val="both"/>
              <w:rPr>
                <w:rFonts w:hint="eastAsia" w:ascii="微软雅黑" w:hAnsi="微软雅黑" w:eastAsia="微软雅黑" w:cs="Arial"/>
                <w:color w:val="auto"/>
                <w:sz w:val="22"/>
                <w:highlight w:val="none"/>
              </w:rPr>
            </w:pPr>
            <w:r>
              <w:rPr>
                <w:rFonts w:ascii="微软雅黑" w:hAnsi="微软雅黑" w:eastAsia="微软雅黑" w:cs="Arial"/>
                <w:color w:val="auto"/>
                <w:sz w:val="22"/>
                <w:highlight w:val="none"/>
              </w:rPr>
              <w:t>X-Y轴</w:t>
            </w:r>
            <w:r>
              <w:rPr>
                <w:rFonts w:hint="eastAsia" w:ascii="微软雅黑" w:hAnsi="微软雅黑" w:eastAsia="微软雅黑" w:cs="Arial"/>
                <w:color w:val="auto"/>
                <w:sz w:val="22"/>
                <w:highlight w:val="none"/>
              </w:rPr>
              <w:t>空间分辨率：≥20LP/CM@0%MTF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224" w:type="dxa"/>
            <w:noWrap w:val="0"/>
            <w:vAlign w:val="center"/>
          </w:tcPr>
          <w:p>
            <w:pPr>
              <w:wordWrap w:val="0"/>
              <w:rPr>
                <w:color w:val="auto"/>
                <w:highlight w:val="none"/>
              </w:rPr>
            </w:pPr>
            <w:r>
              <w:rPr>
                <w:rFonts w:hint="eastAsia" w:ascii="微软雅黑" w:hAnsi="微软雅黑" w:eastAsia="微软雅黑" w:cs="Arial"/>
                <w:color w:val="auto"/>
                <w:sz w:val="22"/>
                <w:highlight w:val="none"/>
              </w:rPr>
              <w:t>2.5.2</w:t>
            </w:r>
          </w:p>
        </w:tc>
        <w:tc>
          <w:tcPr>
            <w:tcW w:w="8076" w:type="dxa"/>
            <w:noWrap w:val="0"/>
            <w:vAlign w:val="center"/>
          </w:tcPr>
          <w:p>
            <w:pPr>
              <w:wordWrap w:val="0"/>
              <w:jc w:val="both"/>
              <w:rPr>
                <w:rFonts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Z轴空间分辨率@0%MTF≥20 LP/CM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rPr>
                <w:color w:val="auto"/>
                <w:highlight w:val="none"/>
              </w:rPr>
            </w:pPr>
            <w:r>
              <w:rPr>
                <w:rFonts w:hint="eastAsia" w:ascii="微软雅黑" w:hAnsi="微软雅黑" w:eastAsia="微软雅黑" w:cs="Arial"/>
                <w:color w:val="auto"/>
                <w:sz w:val="22"/>
                <w:highlight w:val="none"/>
              </w:rPr>
              <w:t>2.5.3</w:t>
            </w:r>
          </w:p>
        </w:tc>
        <w:tc>
          <w:tcPr>
            <w:tcW w:w="8076" w:type="dxa"/>
            <w:noWrap w:val="0"/>
            <w:vAlign w:val="center"/>
          </w:tcPr>
          <w:p>
            <w:pPr>
              <w:wordWrap w:val="0"/>
              <w:jc w:val="both"/>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密度分辨率：</w:t>
            </w:r>
            <w:bookmarkStart w:id="540" w:name="_Hlt36873688"/>
            <w:r>
              <w:rPr>
                <w:rFonts w:hint="eastAsia" w:ascii="微软雅黑" w:hAnsi="微软雅黑" w:eastAsia="微软雅黑" w:cs="Arial"/>
                <w:color w:val="auto"/>
                <w:sz w:val="22"/>
                <w:highlight w:val="none"/>
              </w:rPr>
              <w:t>≤2mm@0.</w:t>
            </w:r>
            <w:bookmarkStart w:id="541" w:name="_Hlt36873681"/>
            <w:bookmarkEnd w:id="541"/>
            <w:bookmarkStart w:id="542" w:name="_Hlt36873682"/>
            <w:bookmarkEnd w:id="542"/>
            <w:r>
              <w:rPr>
                <w:rFonts w:hint="eastAsia" w:ascii="微软雅黑" w:hAnsi="微软雅黑" w:eastAsia="微软雅黑" w:cs="Arial"/>
                <w:color w:val="auto"/>
                <w:sz w:val="22"/>
                <w:highlight w:val="none"/>
              </w:rPr>
              <w:t>3%</w:t>
            </w:r>
            <w:bookmarkEnd w:id="54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2.5.4</w:t>
            </w:r>
          </w:p>
        </w:tc>
        <w:tc>
          <w:tcPr>
            <w:tcW w:w="8076" w:type="dxa"/>
            <w:noWrap w:val="0"/>
            <w:vAlign w:val="center"/>
          </w:tcPr>
          <w:p>
            <w:pPr>
              <w:wordWrap w:val="0"/>
              <w:jc w:val="both"/>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CT值范围：-1024HU ~ +8191HU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rPr>
                <w:rFonts w:hint="eastAsia" w:eastAsia="微软雅黑"/>
                <w:color w:val="auto"/>
                <w:highlight w:val="none"/>
              </w:rPr>
            </w:pPr>
            <w:r>
              <w:rPr>
                <w:rFonts w:hint="eastAsia" w:ascii="宋体" w:hAnsi="宋体" w:eastAsia="微软雅黑" w:cs="宋体"/>
                <w:color w:val="auto"/>
                <w:sz w:val="24"/>
                <w:highlight w:val="none"/>
                <w:lang w:eastAsia="zh-CN"/>
              </w:rPr>
              <w:t>★</w:t>
            </w:r>
            <w:r>
              <w:rPr>
                <w:rFonts w:hint="eastAsia" w:ascii="微软雅黑" w:hAnsi="微软雅黑" w:eastAsia="微软雅黑" w:cs="Arial"/>
                <w:color w:val="auto"/>
                <w:sz w:val="22"/>
                <w:highlight w:val="none"/>
              </w:rPr>
              <w:t>2.5.5</w:t>
            </w:r>
          </w:p>
        </w:tc>
        <w:tc>
          <w:tcPr>
            <w:tcW w:w="8076" w:type="dxa"/>
            <w:noWrap w:val="0"/>
            <w:vAlign w:val="center"/>
          </w:tcPr>
          <w:p>
            <w:pPr>
              <w:wordWrap w:val="0"/>
              <w:jc w:val="both"/>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图像重建矩阵：≥1024×1024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rPr>
                <w:rFonts w:hint="eastAsia" w:eastAsia="微软雅黑"/>
                <w:color w:val="auto"/>
                <w:highlight w:val="none"/>
              </w:rPr>
            </w:pPr>
            <w:r>
              <w:rPr>
                <w:rFonts w:hint="eastAsia" w:ascii="微软雅黑" w:hAnsi="微软雅黑" w:eastAsia="微软雅黑" w:cs="Arial"/>
                <w:color w:val="auto"/>
                <w:sz w:val="22"/>
                <w:highlight w:val="none"/>
              </w:rPr>
              <w:t>2.5.6</w:t>
            </w:r>
          </w:p>
        </w:tc>
        <w:tc>
          <w:tcPr>
            <w:tcW w:w="8076" w:type="dxa"/>
            <w:noWrap w:val="0"/>
            <w:vAlign w:val="center"/>
          </w:tcPr>
          <w:p>
            <w:pPr>
              <w:wordWrap w:val="0"/>
              <w:jc w:val="both"/>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图像显示矩阵：≥1024×1024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rPr>
                <w:rFonts w:hint="eastAsia" w:eastAsia="微软雅黑"/>
                <w:color w:val="auto"/>
                <w:highlight w:val="none"/>
              </w:rPr>
            </w:pPr>
            <w:r>
              <w:rPr>
                <w:rFonts w:hint="eastAsia" w:ascii="微软雅黑" w:hAnsi="微软雅黑" w:eastAsia="微软雅黑" w:cs="Arial"/>
                <w:color w:val="auto"/>
                <w:sz w:val="22"/>
                <w:highlight w:val="none"/>
              </w:rPr>
              <w:t>2.5.7</w:t>
            </w:r>
          </w:p>
        </w:tc>
        <w:tc>
          <w:tcPr>
            <w:tcW w:w="8076" w:type="dxa"/>
            <w:noWrap w:val="0"/>
            <w:vAlign w:val="center"/>
          </w:tcPr>
          <w:p>
            <w:pPr>
              <w:wordWrap w:val="0"/>
              <w:jc w:val="both"/>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图像重建速度：≥60幅/秒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rPr>
                <w:rFonts w:hint="eastAsia" w:ascii="微软雅黑" w:hAnsi="微软雅黑" w:eastAsia="微软雅黑" w:cs="Arial"/>
                <w:color w:val="auto"/>
                <w:sz w:val="22"/>
                <w:highlight w:val="none"/>
              </w:rPr>
            </w:pPr>
          </w:p>
        </w:tc>
        <w:tc>
          <w:tcPr>
            <w:tcW w:w="8076" w:type="dxa"/>
            <w:noWrap w:val="0"/>
            <w:vAlign w:val="center"/>
          </w:tcPr>
          <w:p>
            <w:pPr>
              <w:wordWrap w:val="0"/>
              <w:jc w:val="both"/>
              <w:rPr>
                <w:rFonts w:hint="eastAsia" w:ascii="微软雅黑" w:hAnsi="微软雅黑" w:eastAsia="微软雅黑" w:cs="Arial"/>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jc w:val="both"/>
              <w:rPr>
                <w:rFonts w:hint="eastAsia" w:ascii="微软雅黑" w:hAnsi="微软雅黑" w:eastAsia="微软雅黑" w:cs="Arial"/>
                <w:b/>
                <w:color w:val="auto"/>
                <w:sz w:val="22"/>
                <w:highlight w:val="none"/>
              </w:rPr>
            </w:pPr>
            <w:r>
              <w:rPr>
                <w:rFonts w:hint="eastAsia" w:ascii="微软雅黑" w:hAnsi="微软雅黑" w:eastAsia="微软雅黑" w:cs="Arial"/>
                <w:b/>
                <w:color w:val="auto"/>
                <w:sz w:val="22"/>
                <w:highlight w:val="none"/>
              </w:rPr>
              <w:t>2.6</w:t>
            </w:r>
          </w:p>
        </w:tc>
        <w:tc>
          <w:tcPr>
            <w:tcW w:w="8076" w:type="dxa"/>
            <w:noWrap w:val="0"/>
            <w:vAlign w:val="center"/>
          </w:tcPr>
          <w:p>
            <w:pPr>
              <w:wordWrap w:val="0"/>
              <w:jc w:val="both"/>
              <w:rPr>
                <w:rFonts w:hint="eastAsia" w:ascii="微软雅黑" w:hAnsi="微软雅黑" w:eastAsia="微软雅黑" w:cs="Arial"/>
                <w:b/>
                <w:color w:val="auto"/>
                <w:sz w:val="22"/>
                <w:highlight w:val="none"/>
              </w:rPr>
            </w:pPr>
            <w:r>
              <w:rPr>
                <w:rFonts w:ascii="微软雅黑" w:hAnsi="微软雅黑" w:eastAsia="微软雅黑" w:cs="Arial"/>
                <w:b/>
                <w:color w:val="auto"/>
                <w:sz w:val="22"/>
                <w:highlight w:val="none"/>
              </w:rPr>
              <w:t>主控制台</w:t>
            </w:r>
            <w:r>
              <w:rPr>
                <w:rFonts w:hint="eastAsia" w:ascii="微软雅黑" w:hAnsi="微软雅黑" w:eastAsia="微软雅黑" w:cs="Arial"/>
                <w:b/>
                <w:color w:val="auto"/>
                <w:sz w:val="22"/>
                <w:highlight w:val="none"/>
              </w:rPr>
              <w:t>计算机系统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2.6.1</w:t>
            </w:r>
          </w:p>
        </w:tc>
        <w:tc>
          <w:tcPr>
            <w:tcW w:w="8076" w:type="dxa"/>
            <w:noWrap w:val="0"/>
            <w:vAlign w:val="center"/>
          </w:tcPr>
          <w:p>
            <w:pPr>
              <w:wordWrap w:val="0"/>
              <w:jc w:val="both"/>
              <w:rPr>
                <w:rFonts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CPU：≥</w:t>
            </w:r>
            <w:r>
              <w:rPr>
                <w:rFonts w:ascii="微软雅黑" w:hAnsi="微软雅黑" w:eastAsia="微软雅黑" w:cs="Arial"/>
                <w:color w:val="auto"/>
                <w:sz w:val="22"/>
                <w:highlight w:val="none"/>
              </w:rPr>
              <w:t>4</w:t>
            </w:r>
            <w:r>
              <w:rPr>
                <w:rFonts w:hint="eastAsia" w:ascii="微软雅黑" w:hAnsi="微软雅黑" w:eastAsia="微软雅黑" w:cs="Arial"/>
                <w:color w:val="auto"/>
                <w:sz w:val="22"/>
                <w:highlight w:val="none"/>
              </w:rPr>
              <w:t>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rPr>
                <w:rFonts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2.6.2</w:t>
            </w:r>
          </w:p>
        </w:tc>
        <w:tc>
          <w:tcPr>
            <w:tcW w:w="8076" w:type="dxa"/>
            <w:noWrap w:val="0"/>
            <w:vAlign w:val="center"/>
          </w:tcPr>
          <w:p>
            <w:pPr>
              <w:wordWrap w:val="0"/>
              <w:jc w:val="both"/>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内存：≥16.0GB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rPr>
                <w:rFonts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2.6.3</w:t>
            </w:r>
          </w:p>
        </w:tc>
        <w:tc>
          <w:tcPr>
            <w:tcW w:w="8076" w:type="dxa"/>
            <w:noWrap w:val="0"/>
            <w:vAlign w:val="center"/>
          </w:tcPr>
          <w:p>
            <w:pPr>
              <w:wordWrap w:val="0"/>
              <w:jc w:val="both"/>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硬盘容量：≥1TB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rPr>
                <w:rFonts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2.6.4</w:t>
            </w:r>
          </w:p>
        </w:tc>
        <w:tc>
          <w:tcPr>
            <w:tcW w:w="8076" w:type="dxa"/>
            <w:noWrap w:val="0"/>
            <w:vAlign w:val="center"/>
          </w:tcPr>
          <w:p>
            <w:pPr>
              <w:wordWrap w:val="0"/>
              <w:jc w:val="both"/>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图像存储量：≥</w:t>
            </w:r>
            <w:r>
              <w:rPr>
                <w:rFonts w:ascii="微软雅黑" w:hAnsi="微软雅黑" w:eastAsia="微软雅黑" w:cs="Arial"/>
                <w:color w:val="auto"/>
                <w:sz w:val="22"/>
                <w:highlight w:val="none"/>
              </w:rPr>
              <w:t>9</w:t>
            </w:r>
            <w:r>
              <w:rPr>
                <w:rFonts w:hint="eastAsia" w:ascii="微软雅黑" w:hAnsi="微软雅黑" w:eastAsia="微软雅黑" w:cs="Arial"/>
                <w:color w:val="auto"/>
                <w:sz w:val="22"/>
                <w:highlight w:val="none"/>
              </w:rPr>
              <w:t>00,000幅(512矩阵不压缩图像)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rPr>
                <w:rFonts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2.6.5</w:t>
            </w:r>
          </w:p>
        </w:tc>
        <w:tc>
          <w:tcPr>
            <w:tcW w:w="8076" w:type="dxa"/>
            <w:noWrap w:val="0"/>
            <w:vAlign w:val="center"/>
          </w:tcPr>
          <w:p>
            <w:pPr>
              <w:wordWrap w:val="0"/>
              <w:jc w:val="both"/>
              <w:rPr>
                <w:rFonts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存储系统：DV</w:t>
            </w:r>
            <w:r>
              <w:rPr>
                <w:rFonts w:ascii="微软雅黑" w:hAnsi="微软雅黑" w:eastAsia="微软雅黑" w:cs="Arial"/>
                <w:color w:val="auto"/>
                <w:sz w:val="22"/>
                <w:highlight w:val="none"/>
              </w:rPr>
              <w:t>D-RW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rPr>
                <w:rFonts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2.6.6</w:t>
            </w:r>
          </w:p>
        </w:tc>
        <w:tc>
          <w:tcPr>
            <w:tcW w:w="8076" w:type="dxa"/>
            <w:noWrap w:val="0"/>
            <w:vAlign w:val="center"/>
          </w:tcPr>
          <w:p>
            <w:pPr>
              <w:wordWrap w:val="0"/>
              <w:jc w:val="both"/>
              <w:rPr>
                <w:rFonts w:hint="eastAsia" w:ascii="微软雅黑" w:hAnsi="微软雅黑" w:eastAsia="微软雅黑" w:cs="Arial"/>
                <w:color w:val="auto"/>
                <w:sz w:val="22"/>
                <w:highlight w:val="none"/>
                <w:lang w:eastAsia="zh-CN"/>
              </w:rPr>
            </w:pPr>
            <w:r>
              <w:rPr>
                <w:rFonts w:hint="eastAsia" w:ascii="微软雅黑" w:hAnsi="微软雅黑" w:eastAsia="微软雅黑" w:cs="Arial"/>
                <w:color w:val="auto"/>
                <w:sz w:val="22"/>
                <w:highlight w:val="none"/>
              </w:rPr>
              <w:t>液晶显示器：≥24英寸″,分辨率≥1920×1200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jc w:val="both"/>
              <w:rPr>
                <w:rFonts w:ascii="微软雅黑" w:hAnsi="微软雅黑" w:eastAsia="微软雅黑"/>
                <w:color w:val="auto"/>
                <w:highlight w:val="none"/>
              </w:rPr>
            </w:pPr>
            <w:r>
              <w:rPr>
                <w:rFonts w:hint="eastAsia" w:ascii="微软雅黑" w:hAnsi="微软雅黑" w:eastAsia="微软雅黑" w:cs="Arial"/>
                <w:color w:val="auto"/>
                <w:sz w:val="22"/>
                <w:highlight w:val="none"/>
              </w:rPr>
              <w:t>2.6.7</w:t>
            </w:r>
          </w:p>
        </w:tc>
        <w:tc>
          <w:tcPr>
            <w:tcW w:w="8076" w:type="dxa"/>
            <w:noWrap w:val="0"/>
            <w:vAlign w:val="center"/>
          </w:tcPr>
          <w:p>
            <w:pPr>
              <w:wordWrap w:val="0"/>
              <w:jc w:val="both"/>
              <w:rPr>
                <w:rFonts w:hint="eastAsia" w:ascii="微软雅黑" w:hAnsi="微软雅黑" w:eastAsia="微软雅黑"/>
                <w:color w:val="auto"/>
                <w:highlight w:val="none"/>
                <w:lang w:val="en-US" w:eastAsia="zh-CN"/>
              </w:rPr>
            </w:pPr>
            <w:r>
              <w:rPr>
                <w:rFonts w:hint="eastAsia" w:ascii="微软雅黑" w:hAnsi="微软雅黑" w:eastAsia="微软雅黑" w:cs="Arial"/>
                <w:color w:val="auto"/>
                <w:sz w:val="22"/>
                <w:highlight w:val="none"/>
              </w:rPr>
              <w:t>图像格式和传输存储：DICOM3.0具有存贮、传输、查询、工作单管理、打印等PACS联接功能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rPr>
                <w:rFonts w:hint="eastAsia" w:ascii="微软雅黑" w:hAnsi="微软雅黑" w:eastAsia="微软雅黑" w:cs="Arial"/>
                <w:color w:val="auto"/>
                <w:sz w:val="22"/>
                <w:highlight w:val="none"/>
              </w:rPr>
            </w:pPr>
            <w:r>
              <w:rPr>
                <w:rFonts w:hint="eastAsia" w:ascii="微软雅黑" w:hAnsi="微软雅黑" w:eastAsia="微软雅黑"/>
                <w:color w:val="auto"/>
                <w:highlight w:val="none"/>
              </w:rPr>
              <w:t>2.6.8</w:t>
            </w:r>
          </w:p>
        </w:tc>
        <w:tc>
          <w:tcPr>
            <w:tcW w:w="8076" w:type="dxa"/>
            <w:noWrap w:val="0"/>
            <w:vAlign w:val="center"/>
          </w:tcPr>
          <w:p>
            <w:pPr>
              <w:wordWrap w:val="0"/>
              <w:jc w:val="both"/>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自动语言提示功能：标配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rPr>
                <w:rFonts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2.6.9</w:t>
            </w:r>
          </w:p>
        </w:tc>
        <w:tc>
          <w:tcPr>
            <w:tcW w:w="8076" w:type="dxa"/>
            <w:noWrap w:val="0"/>
            <w:vAlign w:val="center"/>
          </w:tcPr>
          <w:p>
            <w:pPr>
              <w:wordWrap w:val="0"/>
              <w:jc w:val="both"/>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操纵台可进行图像后处理功能，MPR/MIP/ 3D SSD/CTA/3D：标配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rPr>
                <w:rFonts w:hint="eastAsia" w:ascii="微软雅黑" w:hAnsi="微软雅黑" w:eastAsia="微软雅黑" w:cs="Arial"/>
                <w:color w:val="auto"/>
                <w:sz w:val="22"/>
                <w:highlight w:val="none"/>
              </w:rPr>
            </w:pPr>
          </w:p>
        </w:tc>
        <w:tc>
          <w:tcPr>
            <w:tcW w:w="8076" w:type="dxa"/>
            <w:noWrap w:val="0"/>
            <w:vAlign w:val="center"/>
          </w:tcPr>
          <w:p>
            <w:pPr>
              <w:wordWrap w:val="0"/>
              <w:jc w:val="both"/>
              <w:rPr>
                <w:rFonts w:hint="eastAsia" w:ascii="微软雅黑" w:hAnsi="微软雅黑" w:eastAsia="微软雅黑" w:cs="Arial"/>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rPr>
                <w:rFonts w:hint="eastAsia" w:ascii="微软雅黑" w:hAnsi="微软雅黑" w:eastAsia="微软雅黑" w:cs="Arial"/>
                <w:b/>
                <w:color w:val="auto"/>
                <w:sz w:val="22"/>
                <w:highlight w:val="none"/>
              </w:rPr>
            </w:pPr>
            <w:r>
              <w:rPr>
                <w:rFonts w:hint="eastAsia" w:ascii="微软雅黑" w:hAnsi="微软雅黑" w:eastAsia="微软雅黑" w:cs="Arial"/>
                <w:b/>
                <w:color w:val="auto"/>
                <w:sz w:val="22"/>
                <w:highlight w:val="none"/>
              </w:rPr>
              <w:t>2.7</w:t>
            </w:r>
          </w:p>
        </w:tc>
        <w:tc>
          <w:tcPr>
            <w:tcW w:w="8076" w:type="dxa"/>
            <w:noWrap w:val="0"/>
            <w:vAlign w:val="center"/>
          </w:tcPr>
          <w:p>
            <w:pPr>
              <w:wordWrap w:val="0"/>
              <w:rPr>
                <w:rFonts w:hint="eastAsia" w:ascii="微软雅黑" w:hAnsi="微软雅黑" w:eastAsia="微软雅黑" w:cs="Arial"/>
                <w:b/>
                <w:color w:val="auto"/>
                <w:sz w:val="22"/>
                <w:highlight w:val="none"/>
                <w:lang w:eastAsia="zh-CN"/>
              </w:rPr>
            </w:pPr>
            <w:r>
              <w:rPr>
                <w:rFonts w:hint="eastAsia" w:ascii="微软雅黑" w:hAnsi="微软雅黑" w:eastAsia="微软雅黑" w:cs="Arial"/>
                <w:b/>
                <w:color w:val="auto"/>
                <w:sz w:val="22"/>
                <w:highlight w:val="none"/>
              </w:rPr>
              <w:t>高级图像后处理工作站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2.7.1</w:t>
            </w:r>
          </w:p>
        </w:tc>
        <w:tc>
          <w:tcPr>
            <w:tcW w:w="8076" w:type="dxa"/>
            <w:noWrap w:val="0"/>
            <w:vAlign w:val="center"/>
          </w:tcPr>
          <w:p>
            <w:pPr>
              <w:wordWrap w:val="0"/>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主频CPU数目≥4个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2.7.2</w:t>
            </w:r>
          </w:p>
        </w:tc>
        <w:tc>
          <w:tcPr>
            <w:tcW w:w="8076" w:type="dxa"/>
            <w:noWrap w:val="0"/>
            <w:vAlign w:val="center"/>
          </w:tcPr>
          <w:p>
            <w:pPr>
              <w:wordWrap w:val="0"/>
              <w:rPr>
                <w:rFonts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内存：≥32GB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rPr>
                <w:rFonts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2.7.3</w:t>
            </w:r>
          </w:p>
        </w:tc>
        <w:tc>
          <w:tcPr>
            <w:tcW w:w="8076" w:type="dxa"/>
            <w:noWrap w:val="0"/>
            <w:vAlign w:val="center"/>
          </w:tcPr>
          <w:p>
            <w:pPr>
              <w:wordWrap w:val="0"/>
              <w:rPr>
                <w:rFonts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硬盘容量：≥1TB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rPr>
                <w:rFonts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2.7.4</w:t>
            </w:r>
          </w:p>
        </w:tc>
        <w:tc>
          <w:tcPr>
            <w:tcW w:w="8076" w:type="dxa"/>
            <w:noWrap w:val="0"/>
            <w:vAlign w:val="center"/>
          </w:tcPr>
          <w:p>
            <w:pPr>
              <w:wordWrap w:val="0"/>
              <w:jc w:val="both"/>
              <w:rPr>
                <w:rFonts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永久贮存刻录方式：DVD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rPr>
                <w:rFonts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2.7.5</w:t>
            </w:r>
          </w:p>
        </w:tc>
        <w:tc>
          <w:tcPr>
            <w:tcW w:w="8076" w:type="dxa"/>
            <w:noWrap w:val="0"/>
            <w:vAlign w:val="center"/>
          </w:tcPr>
          <w:p>
            <w:pPr>
              <w:wordWrap w:val="0"/>
              <w:jc w:val="both"/>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液晶显示器：≥24英寸″,分辨率≥1920×1200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jc w:val="both"/>
              <w:rPr>
                <w:rFonts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2.7.6</w:t>
            </w:r>
          </w:p>
        </w:tc>
        <w:tc>
          <w:tcPr>
            <w:tcW w:w="8076" w:type="dxa"/>
            <w:noWrap w:val="0"/>
            <w:vAlign w:val="center"/>
          </w:tcPr>
          <w:p>
            <w:pPr>
              <w:wordWrap w:val="0"/>
              <w:rPr>
                <w:rFonts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图像格式、传输存储：DICOM 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rPr>
                <w:rFonts w:hint="eastAsia" w:ascii="微软雅黑" w:hAnsi="微软雅黑" w:eastAsia="微软雅黑" w:cs="Arial"/>
                <w:color w:val="auto"/>
                <w:sz w:val="22"/>
                <w:highlight w:val="none"/>
              </w:rPr>
            </w:pPr>
          </w:p>
        </w:tc>
        <w:tc>
          <w:tcPr>
            <w:tcW w:w="8076" w:type="dxa"/>
            <w:noWrap w:val="0"/>
            <w:vAlign w:val="center"/>
          </w:tcPr>
          <w:p>
            <w:pPr>
              <w:wordWrap w:val="0"/>
              <w:jc w:val="both"/>
              <w:rPr>
                <w:rFonts w:hint="eastAsia" w:ascii="微软雅黑" w:hAnsi="微软雅黑" w:eastAsia="微软雅黑" w:cs="Arial"/>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rPr>
                <w:rFonts w:hint="eastAsia" w:ascii="微软雅黑" w:hAnsi="微软雅黑" w:eastAsia="微软雅黑" w:cs="Arial"/>
                <w:b/>
                <w:color w:val="auto"/>
                <w:sz w:val="22"/>
                <w:highlight w:val="none"/>
              </w:rPr>
            </w:pPr>
            <w:r>
              <w:rPr>
                <w:rFonts w:hint="eastAsia" w:ascii="微软雅黑" w:hAnsi="微软雅黑" w:eastAsia="微软雅黑" w:cs="Arial"/>
                <w:b/>
                <w:color w:val="auto"/>
                <w:sz w:val="22"/>
                <w:highlight w:val="none"/>
              </w:rPr>
              <w:t>2.8</w:t>
            </w:r>
          </w:p>
        </w:tc>
        <w:tc>
          <w:tcPr>
            <w:tcW w:w="8076" w:type="dxa"/>
            <w:noWrap w:val="0"/>
            <w:vAlign w:val="center"/>
          </w:tcPr>
          <w:p>
            <w:pPr>
              <w:wordWrap w:val="0"/>
              <w:jc w:val="both"/>
              <w:rPr>
                <w:rFonts w:hint="eastAsia" w:ascii="微软雅黑" w:hAnsi="微软雅黑" w:eastAsia="微软雅黑" w:cs="Arial"/>
                <w:b/>
                <w:color w:val="auto"/>
                <w:sz w:val="22"/>
                <w:highlight w:val="none"/>
              </w:rPr>
            </w:pPr>
            <w:r>
              <w:rPr>
                <w:rFonts w:hint="eastAsia" w:ascii="微软雅黑" w:hAnsi="微软雅黑" w:eastAsia="微软雅黑" w:cs="Arial"/>
                <w:b/>
                <w:color w:val="auto"/>
                <w:sz w:val="22"/>
                <w:highlight w:val="none"/>
              </w:rPr>
              <w:t>临床应用软件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2.8.1</w:t>
            </w:r>
          </w:p>
        </w:tc>
        <w:tc>
          <w:tcPr>
            <w:tcW w:w="8076" w:type="dxa"/>
            <w:noWrap w:val="0"/>
            <w:vAlign w:val="center"/>
          </w:tcPr>
          <w:p>
            <w:pPr>
              <w:wordWrap w:val="0"/>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多平面重建MPR：</w:t>
            </w:r>
            <w:r>
              <w:rPr>
                <w:rFonts w:ascii="微软雅黑" w:hAnsi="微软雅黑" w:eastAsia="微软雅黑" w:cs="Arial"/>
                <w:color w:val="auto"/>
                <w:sz w:val="22"/>
                <w:highlight w:val="none"/>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2.8.2</w:t>
            </w:r>
          </w:p>
        </w:tc>
        <w:tc>
          <w:tcPr>
            <w:tcW w:w="8076" w:type="dxa"/>
            <w:noWrap w:val="0"/>
            <w:vAlign w:val="center"/>
          </w:tcPr>
          <w:p>
            <w:pPr>
              <w:wordWrap w:val="0"/>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最大密度投影(MIP) ：</w:t>
            </w:r>
            <w:r>
              <w:rPr>
                <w:rFonts w:ascii="微软雅黑" w:hAnsi="微软雅黑" w:eastAsia="微软雅黑" w:cs="Arial"/>
                <w:color w:val="auto"/>
                <w:sz w:val="22"/>
                <w:highlight w:val="none"/>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2.8.3</w:t>
            </w:r>
          </w:p>
        </w:tc>
        <w:tc>
          <w:tcPr>
            <w:tcW w:w="8076" w:type="dxa"/>
            <w:noWrap w:val="0"/>
            <w:vAlign w:val="center"/>
          </w:tcPr>
          <w:p>
            <w:pPr>
              <w:wordWrap w:val="0"/>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最小密度投影(MinIP) ：</w:t>
            </w:r>
            <w:r>
              <w:rPr>
                <w:rFonts w:ascii="微软雅黑" w:hAnsi="微软雅黑" w:eastAsia="微软雅黑" w:cs="Arial"/>
                <w:color w:val="auto"/>
                <w:sz w:val="22"/>
                <w:highlight w:val="none"/>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2.8.4</w:t>
            </w:r>
          </w:p>
        </w:tc>
        <w:tc>
          <w:tcPr>
            <w:tcW w:w="8076" w:type="dxa"/>
            <w:noWrap w:val="0"/>
            <w:vAlign w:val="center"/>
          </w:tcPr>
          <w:p>
            <w:pPr>
              <w:wordWrap w:val="0"/>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曲面重建(CPR) ：</w:t>
            </w:r>
            <w:r>
              <w:rPr>
                <w:rFonts w:ascii="微软雅黑" w:hAnsi="微软雅黑" w:eastAsia="微软雅黑" w:cs="Arial"/>
                <w:color w:val="auto"/>
                <w:sz w:val="22"/>
                <w:highlight w:val="none"/>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2.8.5</w:t>
            </w:r>
          </w:p>
        </w:tc>
        <w:tc>
          <w:tcPr>
            <w:tcW w:w="8076" w:type="dxa"/>
            <w:noWrap w:val="0"/>
            <w:vAlign w:val="center"/>
          </w:tcPr>
          <w:p>
            <w:pPr>
              <w:wordWrap w:val="0"/>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容积三维重建 (VR) ：</w:t>
            </w:r>
            <w:r>
              <w:rPr>
                <w:rFonts w:ascii="微软雅黑" w:hAnsi="微软雅黑" w:eastAsia="微软雅黑" w:cs="Arial"/>
                <w:color w:val="auto"/>
                <w:sz w:val="22"/>
                <w:highlight w:val="none"/>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2.8.6</w:t>
            </w:r>
          </w:p>
        </w:tc>
        <w:tc>
          <w:tcPr>
            <w:tcW w:w="8076" w:type="dxa"/>
            <w:noWrap w:val="0"/>
            <w:vAlign w:val="center"/>
          </w:tcPr>
          <w:p>
            <w:pPr>
              <w:wordWrap w:val="0"/>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区域生长容积分析功能：</w:t>
            </w:r>
            <w:r>
              <w:rPr>
                <w:rFonts w:ascii="微软雅黑" w:hAnsi="微软雅黑" w:eastAsia="微软雅黑" w:cs="Arial"/>
                <w:color w:val="auto"/>
                <w:sz w:val="22"/>
                <w:highlight w:val="none"/>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2.8.7</w:t>
            </w:r>
          </w:p>
        </w:tc>
        <w:tc>
          <w:tcPr>
            <w:tcW w:w="8076" w:type="dxa"/>
            <w:noWrap w:val="0"/>
            <w:vAlign w:val="center"/>
          </w:tcPr>
          <w:p>
            <w:pPr>
              <w:wordWrap w:val="0"/>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表面重建（SSD）：</w:t>
            </w:r>
            <w:r>
              <w:rPr>
                <w:rFonts w:ascii="微软雅黑" w:hAnsi="微软雅黑" w:eastAsia="微软雅黑" w:cs="Arial"/>
                <w:color w:val="auto"/>
                <w:sz w:val="22"/>
                <w:highlight w:val="none"/>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2.8.8</w:t>
            </w:r>
          </w:p>
        </w:tc>
        <w:tc>
          <w:tcPr>
            <w:tcW w:w="8076" w:type="dxa"/>
            <w:noWrap w:val="0"/>
            <w:vAlign w:val="center"/>
          </w:tcPr>
          <w:p>
            <w:pPr>
              <w:wordWrap w:val="0"/>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容积漫游（VRT）：</w:t>
            </w:r>
            <w:r>
              <w:rPr>
                <w:rFonts w:ascii="微软雅黑" w:hAnsi="微软雅黑" w:eastAsia="微软雅黑" w:cs="Arial"/>
                <w:color w:val="auto"/>
                <w:sz w:val="22"/>
                <w:highlight w:val="none"/>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2.8.9</w:t>
            </w:r>
          </w:p>
        </w:tc>
        <w:tc>
          <w:tcPr>
            <w:tcW w:w="8076" w:type="dxa"/>
            <w:noWrap w:val="0"/>
            <w:vAlign w:val="center"/>
          </w:tcPr>
          <w:p>
            <w:pPr>
              <w:wordWrap w:val="0"/>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组织裁剪：</w:t>
            </w:r>
            <w:r>
              <w:rPr>
                <w:rFonts w:ascii="微软雅黑" w:hAnsi="微软雅黑" w:eastAsia="微软雅黑" w:cs="Arial"/>
                <w:color w:val="auto"/>
                <w:sz w:val="22"/>
                <w:highlight w:val="none"/>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2.8.10</w:t>
            </w:r>
          </w:p>
        </w:tc>
        <w:tc>
          <w:tcPr>
            <w:tcW w:w="8076" w:type="dxa"/>
            <w:noWrap w:val="0"/>
            <w:vAlign w:val="center"/>
          </w:tcPr>
          <w:p>
            <w:pPr>
              <w:wordWrap w:val="0"/>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自适应滤波条状伪影消除技术：</w:t>
            </w:r>
            <w:r>
              <w:rPr>
                <w:rFonts w:ascii="微软雅黑" w:hAnsi="微软雅黑" w:eastAsia="微软雅黑" w:cs="Arial"/>
                <w:color w:val="auto"/>
                <w:sz w:val="22"/>
                <w:highlight w:val="none"/>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2.8.11</w:t>
            </w:r>
          </w:p>
        </w:tc>
        <w:tc>
          <w:tcPr>
            <w:tcW w:w="8076" w:type="dxa"/>
            <w:noWrap w:val="0"/>
            <w:vAlign w:val="center"/>
          </w:tcPr>
          <w:p>
            <w:pPr>
              <w:wordWrap w:val="0"/>
              <w:rPr>
                <w:rFonts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图像增强技术：</w:t>
            </w:r>
            <w:r>
              <w:rPr>
                <w:rFonts w:ascii="微软雅黑" w:hAnsi="微软雅黑" w:eastAsia="微软雅黑" w:cs="Arial"/>
                <w:color w:val="auto"/>
                <w:sz w:val="22"/>
                <w:highlight w:val="none"/>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2.8.12</w:t>
            </w:r>
          </w:p>
        </w:tc>
        <w:tc>
          <w:tcPr>
            <w:tcW w:w="8076" w:type="dxa"/>
            <w:noWrap w:val="0"/>
            <w:vAlign w:val="center"/>
          </w:tcPr>
          <w:p>
            <w:pPr>
              <w:wordWrap w:val="0"/>
              <w:rPr>
                <w:rFonts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图像减影功能：</w:t>
            </w:r>
            <w:r>
              <w:rPr>
                <w:rFonts w:ascii="微软雅黑" w:hAnsi="微软雅黑" w:eastAsia="微软雅黑" w:cs="Arial"/>
                <w:color w:val="auto"/>
                <w:sz w:val="22"/>
                <w:highlight w:val="none"/>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2.8.13</w:t>
            </w:r>
          </w:p>
        </w:tc>
        <w:tc>
          <w:tcPr>
            <w:tcW w:w="8076" w:type="dxa"/>
            <w:noWrap w:val="0"/>
            <w:vAlign w:val="center"/>
          </w:tcPr>
          <w:p>
            <w:pPr>
              <w:wordWrap w:val="0"/>
              <w:rPr>
                <w:rFonts w:hint="eastAsia" w:ascii="微软雅黑" w:hAnsi="微软雅黑" w:eastAsia="微软雅黑" w:cs="Arial"/>
                <w:color w:val="auto"/>
                <w:sz w:val="22"/>
                <w:highlight w:val="none"/>
                <w:lang w:eastAsia="zh-CN"/>
              </w:rPr>
            </w:pPr>
            <w:r>
              <w:rPr>
                <w:rFonts w:ascii="微软雅黑" w:hAnsi="微软雅黑" w:eastAsia="微软雅黑" w:cs="Arial"/>
                <w:color w:val="auto"/>
                <w:sz w:val="22"/>
                <w:highlight w:val="none"/>
              </w:rPr>
              <w:t>CT</w:t>
            </w:r>
            <w:r>
              <w:rPr>
                <w:rFonts w:hint="eastAsia" w:ascii="微软雅黑" w:hAnsi="微软雅黑" w:eastAsia="微软雅黑" w:cs="Arial"/>
                <w:color w:val="auto"/>
                <w:sz w:val="22"/>
                <w:highlight w:val="none"/>
              </w:rPr>
              <w:t>电影功能：</w:t>
            </w:r>
            <w:r>
              <w:rPr>
                <w:rFonts w:ascii="微软雅黑" w:hAnsi="微软雅黑" w:eastAsia="微软雅黑" w:cs="Arial"/>
                <w:color w:val="auto"/>
                <w:sz w:val="22"/>
                <w:highlight w:val="none"/>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2.8.14</w:t>
            </w:r>
          </w:p>
        </w:tc>
        <w:tc>
          <w:tcPr>
            <w:tcW w:w="8076" w:type="dxa"/>
            <w:noWrap w:val="0"/>
            <w:vAlign w:val="center"/>
          </w:tcPr>
          <w:p>
            <w:pPr>
              <w:wordWrap w:val="0"/>
              <w:rPr>
                <w:rFonts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探针提取或消除相近密度的组织结构：</w:t>
            </w:r>
            <w:r>
              <w:rPr>
                <w:rFonts w:ascii="微软雅黑" w:hAnsi="微软雅黑" w:eastAsia="微软雅黑" w:cs="Arial"/>
                <w:color w:val="auto"/>
                <w:sz w:val="22"/>
                <w:highlight w:val="none"/>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2.8.15</w:t>
            </w:r>
          </w:p>
        </w:tc>
        <w:tc>
          <w:tcPr>
            <w:tcW w:w="8076" w:type="dxa"/>
            <w:noWrap w:val="0"/>
            <w:vAlign w:val="center"/>
          </w:tcPr>
          <w:p>
            <w:pPr>
              <w:wordWrap w:val="0"/>
              <w:rPr>
                <w:rFonts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CT血管造影（CTA）：</w:t>
            </w:r>
            <w:r>
              <w:rPr>
                <w:rFonts w:ascii="微软雅黑" w:hAnsi="微软雅黑" w:eastAsia="微软雅黑" w:cs="Arial"/>
                <w:color w:val="auto"/>
                <w:sz w:val="22"/>
                <w:highlight w:val="none"/>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2.8.16</w:t>
            </w:r>
          </w:p>
        </w:tc>
        <w:tc>
          <w:tcPr>
            <w:tcW w:w="8076" w:type="dxa"/>
            <w:noWrap w:val="0"/>
            <w:vAlign w:val="center"/>
          </w:tcPr>
          <w:p>
            <w:pPr>
              <w:wordWrap w:val="0"/>
              <w:rPr>
                <w:rFonts w:hint="eastAsia" w:ascii="微软雅黑" w:hAnsi="微软雅黑" w:eastAsia="微软雅黑" w:cs="Arial"/>
                <w:color w:val="auto"/>
                <w:sz w:val="22"/>
                <w:highlight w:val="none"/>
              </w:rPr>
            </w:pPr>
            <w:r>
              <w:rPr>
                <w:rFonts w:ascii="微软雅黑" w:hAnsi="微软雅黑" w:eastAsia="微软雅黑" w:cs="Arial"/>
                <w:color w:val="auto"/>
                <w:sz w:val="22"/>
                <w:highlight w:val="none"/>
              </w:rPr>
              <w:t>CT仿真内窥镜显示</w:t>
            </w:r>
            <w:r>
              <w:rPr>
                <w:rFonts w:hint="eastAsia" w:ascii="微软雅黑" w:hAnsi="微软雅黑" w:eastAsia="微软雅黑" w:cs="Arial"/>
                <w:color w:val="auto"/>
                <w:sz w:val="22"/>
                <w:highlight w:val="none"/>
              </w:rPr>
              <w:t>功能：</w:t>
            </w:r>
            <w:r>
              <w:rPr>
                <w:rFonts w:ascii="微软雅黑" w:hAnsi="微软雅黑" w:eastAsia="微软雅黑" w:cs="Arial"/>
                <w:color w:val="auto"/>
                <w:sz w:val="22"/>
                <w:highlight w:val="none"/>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rPr>
                <w:rFonts w:hint="eastAsia" w:ascii="微软雅黑" w:hAnsi="微软雅黑" w:eastAsia="微软雅黑" w:cs="Arial"/>
                <w:b/>
                <w:color w:val="auto"/>
                <w:sz w:val="22"/>
                <w:highlight w:val="none"/>
              </w:rPr>
            </w:pPr>
            <w:bookmarkStart w:id="543" w:name="_Hlk286072667"/>
            <w:bookmarkStart w:id="544" w:name="OLE_LINK15" w:colFirst="1" w:colLast="1"/>
            <w:r>
              <w:rPr>
                <w:rFonts w:hint="eastAsia" w:ascii="微软雅黑" w:hAnsi="微软雅黑" w:eastAsia="微软雅黑" w:cs="Arial"/>
                <w:b/>
                <w:color w:val="auto"/>
                <w:sz w:val="22"/>
                <w:highlight w:val="none"/>
              </w:rPr>
              <w:t>2.8.17</w:t>
            </w:r>
          </w:p>
        </w:tc>
        <w:tc>
          <w:tcPr>
            <w:tcW w:w="8076" w:type="dxa"/>
            <w:noWrap w:val="0"/>
            <w:vAlign w:val="center"/>
          </w:tcPr>
          <w:p>
            <w:pPr>
              <w:wordWrap w:val="0"/>
              <w:rPr>
                <w:rFonts w:hint="eastAsia" w:ascii="微软雅黑" w:hAnsi="微软雅黑" w:eastAsia="微软雅黑" w:cs="Arial"/>
                <w:b/>
                <w:color w:val="auto"/>
                <w:sz w:val="22"/>
                <w:highlight w:val="none"/>
              </w:rPr>
            </w:pPr>
            <w:r>
              <w:rPr>
                <w:rFonts w:hint="eastAsia" w:ascii="微软雅黑" w:hAnsi="微软雅黑" w:eastAsia="微软雅黑" w:cs="Arial"/>
                <w:b/>
                <w:color w:val="auto"/>
                <w:sz w:val="22"/>
                <w:highlight w:val="none"/>
              </w:rPr>
              <w:t>血管测量软件包：</w:t>
            </w:r>
            <w:r>
              <w:rPr>
                <w:rFonts w:ascii="微软雅黑" w:hAnsi="微软雅黑" w:eastAsia="微软雅黑" w:cs="Arial"/>
                <w:b/>
                <w:color w:val="auto"/>
                <w:sz w:val="22"/>
                <w:highlight w:val="none"/>
              </w:rPr>
              <w:t>提供</w:t>
            </w:r>
          </w:p>
        </w:tc>
      </w:tr>
      <w:bookmarkEnd w:id="543"/>
      <w:bookmarkEnd w:id="54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rPr>
                <w:color w:val="auto"/>
                <w:highlight w:val="none"/>
              </w:rPr>
            </w:pPr>
            <w:r>
              <w:rPr>
                <w:rFonts w:hint="eastAsia" w:ascii="微软雅黑" w:hAnsi="微软雅黑" w:eastAsia="微软雅黑" w:cs="Arial"/>
                <w:color w:val="auto"/>
                <w:sz w:val="22"/>
                <w:highlight w:val="none"/>
              </w:rPr>
              <w:t>2.8.17.1</w:t>
            </w:r>
          </w:p>
        </w:tc>
        <w:tc>
          <w:tcPr>
            <w:tcW w:w="8076" w:type="dxa"/>
            <w:noWrap w:val="0"/>
            <w:vAlign w:val="center"/>
          </w:tcPr>
          <w:p>
            <w:pPr>
              <w:wordWrap w:val="0"/>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零减影头颈部血管成像功能：具备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rPr>
                <w:color w:val="auto"/>
                <w:highlight w:val="none"/>
              </w:rPr>
            </w:pPr>
            <w:r>
              <w:rPr>
                <w:rFonts w:hint="eastAsia" w:ascii="微软雅黑" w:hAnsi="微软雅黑" w:eastAsia="微软雅黑" w:cs="Arial"/>
                <w:color w:val="auto"/>
                <w:sz w:val="22"/>
                <w:highlight w:val="none"/>
              </w:rPr>
              <w:t>2.8.17.2</w:t>
            </w:r>
          </w:p>
        </w:tc>
        <w:tc>
          <w:tcPr>
            <w:tcW w:w="8076" w:type="dxa"/>
            <w:noWrap w:val="0"/>
            <w:vAlign w:val="center"/>
          </w:tcPr>
          <w:p>
            <w:pPr>
              <w:wordWrap w:val="0"/>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一键自动去除3D重建图像的头颈部骨组织功能：</w:t>
            </w:r>
            <w:r>
              <w:rPr>
                <w:rFonts w:ascii="微软雅黑" w:hAnsi="微软雅黑" w:eastAsia="微软雅黑" w:cs="Arial"/>
                <w:color w:val="auto"/>
                <w:sz w:val="22"/>
                <w:highlight w:val="none"/>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rPr>
                <w:color w:val="auto"/>
                <w:highlight w:val="none"/>
              </w:rPr>
            </w:pPr>
            <w:r>
              <w:rPr>
                <w:rFonts w:hint="eastAsia" w:ascii="微软雅黑" w:hAnsi="微软雅黑" w:eastAsia="微软雅黑" w:cs="Arial"/>
                <w:color w:val="auto"/>
                <w:sz w:val="22"/>
                <w:highlight w:val="none"/>
              </w:rPr>
              <w:t>2.8.17.3</w:t>
            </w:r>
          </w:p>
        </w:tc>
        <w:tc>
          <w:tcPr>
            <w:tcW w:w="8076" w:type="dxa"/>
            <w:noWrap w:val="0"/>
            <w:vAlign w:val="center"/>
          </w:tcPr>
          <w:p>
            <w:pPr>
              <w:wordWrap w:val="0"/>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头颈部血管追踪功能：</w:t>
            </w:r>
            <w:r>
              <w:rPr>
                <w:rFonts w:ascii="微软雅黑" w:hAnsi="微软雅黑" w:eastAsia="微软雅黑" w:cs="Arial"/>
                <w:color w:val="auto"/>
                <w:sz w:val="22"/>
                <w:highlight w:val="none"/>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rPr>
                <w:color w:val="auto"/>
                <w:highlight w:val="none"/>
              </w:rPr>
            </w:pPr>
            <w:r>
              <w:rPr>
                <w:rFonts w:hint="eastAsia" w:ascii="微软雅黑" w:hAnsi="微软雅黑" w:eastAsia="微软雅黑" w:cs="Arial"/>
                <w:color w:val="auto"/>
                <w:sz w:val="22"/>
                <w:highlight w:val="none"/>
              </w:rPr>
              <w:t>2.8.17.4</w:t>
            </w:r>
          </w:p>
        </w:tc>
        <w:tc>
          <w:tcPr>
            <w:tcW w:w="8076" w:type="dxa"/>
            <w:noWrap w:val="0"/>
            <w:vAlign w:val="center"/>
          </w:tcPr>
          <w:p>
            <w:pPr>
              <w:wordWrap w:val="0"/>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头颈部血管的自动标记、中心线提取、拉直处理、自动测量功能：</w:t>
            </w:r>
            <w:r>
              <w:rPr>
                <w:rFonts w:ascii="微软雅黑" w:hAnsi="微软雅黑" w:eastAsia="微软雅黑" w:cs="Arial"/>
                <w:color w:val="auto"/>
                <w:sz w:val="22"/>
                <w:highlight w:val="none"/>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rPr>
                <w:color w:val="auto"/>
                <w:highlight w:val="none"/>
              </w:rPr>
            </w:pPr>
            <w:r>
              <w:rPr>
                <w:rFonts w:hint="eastAsia" w:ascii="微软雅黑" w:hAnsi="微软雅黑" w:eastAsia="微软雅黑" w:cs="Arial"/>
                <w:color w:val="auto"/>
                <w:sz w:val="22"/>
                <w:highlight w:val="none"/>
              </w:rPr>
              <w:t>2.8.17.5</w:t>
            </w:r>
          </w:p>
        </w:tc>
        <w:tc>
          <w:tcPr>
            <w:tcW w:w="8076" w:type="dxa"/>
            <w:noWrap w:val="0"/>
            <w:vAlign w:val="center"/>
          </w:tcPr>
          <w:p>
            <w:pPr>
              <w:wordWrap w:val="0"/>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一键自动去除3D重建图像的体部骨组织：</w:t>
            </w:r>
            <w:r>
              <w:rPr>
                <w:rFonts w:ascii="微软雅黑" w:hAnsi="微软雅黑" w:eastAsia="微软雅黑" w:cs="Arial"/>
                <w:color w:val="auto"/>
                <w:sz w:val="22"/>
                <w:highlight w:val="none"/>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rPr>
                <w:color w:val="auto"/>
                <w:highlight w:val="none"/>
              </w:rPr>
            </w:pPr>
            <w:r>
              <w:rPr>
                <w:rFonts w:hint="eastAsia" w:ascii="微软雅黑" w:hAnsi="微软雅黑" w:eastAsia="微软雅黑" w:cs="Arial"/>
                <w:color w:val="auto"/>
                <w:sz w:val="22"/>
                <w:highlight w:val="none"/>
              </w:rPr>
              <w:t>2.8.17.6</w:t>
            </w:r>
          </w:p>
        </w:tc>
        <w:tc>
          <w:tcPr>
            <w:tcW w:w="8076" w:type="dxa"/>
            <w:noWrap w:val="0"/>
            <w:vAlign w:val="center"/>
          </w:tcPr>
          <w:p>
            <w:pPr>
              <w:wordWrap w:val="0"/>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体部血管追踪功能：</w:t>
            </w:r>
            <w:r>
              <w:rPr>
                <w:rFonts w:ascii="微软雅黑" w:hAnsi="微软雅黑" w:eastAsia="微软雅黑" w:cs="Arial"/>
                <w:color w:val="auto"/>
                <w:sz w:val="22"/>
                <w:highlight w:val="none"/>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2.8.17.7</w:t>
            </w:r>
          </w:p>
        </w:tc>
        <w:tc>
          <w:tcPr>
            <w:tcW w:w="8076" w:type="dxa"/>
            <w:noWrap w:val="0"/>
            <w:vAlign w:val="center"/>
          </w:tcPr>
          <w:p>
            <w:pPr>
              <w:wordWrap w:val="0"/>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体部血管的自动标记、中心线提取、拉直处理、自动测量：</w:t>
            </w:r>
            <w:r>
              <w:rPr>
                <w:rFonts w:ascii="微软雅黑" w:hAnsi="微软雅黑" w:eastAsia="微软雅黑" w:cs="Arial"/>
                <w:color w:val="auto"/>
                <w:sz w:val="22"/>
                <w:highlight w:val="none"/>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rPr>
                <w:rFonts w:hint="eastAsia" w:ascii="微软雅黑" w:hAnsi="微软雅黑" w:eastAsia="微软雅黑" w:cs="Arial"/>
                <w:color w:val="auto"/>
                <w:sz w:val="22"/>
                <w:highlight w:val="none"/>
              </w:rPr>
            </w:pPr>
            <w:r>
              <w:rPr>
                <w:rFonts w:hint="eastAsia" w:ascii="微软雅黑" w:hAnsi="微软雅黑" w:eastAsia="微软雅黑" w:cs="Arial"/>
                <w:b/>
                <w:color w:val="auto"/>
                <w:sz w:val="22"/>
                <w:highlight w:val="none"/>
              </w:rPr>
              <w:t>2.8.18</w:t>
            </w:r>
          </w:p>
        </w:tc>
        <w:tc>
          <w:tcPr>
            <w:tcW w:w="8076" w:type="dxa"/>
            <w:noWrap w:val="0"/>
            <w:vAlign w:val="center"/>
          </w:tcPr>
          <w:p>
            <w:pPr>
              <w:wordWrap w:val="0"/>
              <w:rPr>
                <w:rFonts w:hint="eastAsia" w:ascii="微软雅黑" w:hAnsi="微软雅黑" w:eastAsia="微软雅黑" w:cs="Arial"/>
                <w:color w:val="auto"/>
                <w:sz w:val="22"/>
                <w:highlight w:val="none"/>
              </w:rPr>
            </w:pPr>
            <w:r>
              <w:rPr>
                <w:rFonts w:hint="eastAsia" w:ascii="微软雅黑" w:hAnsi="微软雅黑" w:eastAsia="微软雅黑" w:cs="Arial"/>
                <w:b/>
                <w:color w:val="auto"/>
                <w:sz w:val="22"/>
                <w:highlight w:val="none"/>
              </w:rPr>
              <w:t>心脏冠脉分析软件包：</w:t>
            </w:r>
            <w:r>
              <w:rPr>
                <w:rFonts w:ascii="微软雅黑" w:hAnsi="微软雅黑" w:eastAsia="微软雅黑" w:cs="Arial"/>
                <w:b/>
                <w:color w:val="auto"/>
                <w:sz w:val="22"/>
                <w:highlight w:val="none"/>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rPr>
                <w:color w:val="auto"/>
                <w:highlight w:val="none"/>
              </w:rPr>
            </w:pPr>
            <w:r>
              <w:rPr>
                <w:rFonts w:hint="eastAsia" w:ascii="微软雅黑" w:hAnsi="微软雅黑" w:eastAsia="微软雅黑" w:cs="Arial"/>
                <w:color w:val="auto"/>
                <w:sz w:val="22"/>
                <w:highlight w:val="none"/>
              </w:rPr>
              <w:t>2.8.18</w:t>
            </w:r>
            <w:r>
              <w:rPr>
                <w:rFonts w:ascii="微软雅黑" w:hAnsi="微软雅黑" w:eastAsia="微软雅黑" w:cs="Arial"/>
                <w:color w:val="auto"/>
                <w:sz w:val="22"/>
                <w:highlight w:val="none"/>
              </w:rPr>
              <w:t>.1</w:t>
            </w:r>
          </w:p>
        </w:tc>
        <w:tc>
          <w:tcPr>
            <w:tcW w:w="8076" w:type="dxa"/>
            <w:noWrap w:val="0"/>
            <w:vAlign w:val="center"/>
          </w:tcPr>
          <w:p>
            <w:pPr>
              <w:wordWrap w:val="0"/>
              <w:rPr>
                <w:rFonts w:hint="eastAsia" w:ascii="微软雅黑" w:hAnsi="微软雅黑" w:eastAsia="微软雅黑" w:cs="Arial"/>
                <w:color w:val="auto"/>
                <w:highlight w:val="none"/>
              </w:rPr>
            </w:pPr>
            <w:r>
              <w:rPr>
                <w:rFonts w:hint="eastAsia" w:ascii="微软雅黑" w:hAnsi="微软雅黑" w:eastAsia="微软雅黑" w:cs="Arial"/>
                <w:color w:val="auto"/>
                <w:sz w:val="22"/>
                <w:highlight w:val="none"/>
              </w:rPr>
              <w:t>心电门控扫描技术：</w:t>
            </w:r>
            <w:r>
              <w:rPr>
                <w:rFonts w:ascii="微软雅黑" w:hAnsi="微软雅黑" w:eastAsia="微软雅黑" w:cs="Arial"/>
                <w:color w:val="auto"/>
                <w:sz w:val="22"/>
                <w:highlight w:val="none"/>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rPr>
                <w:color w:val="auto"/>
                <w:highlight w:val="none"/>
              </w:rPr>
            </w:pPr>
            <w:r>
              <w:rPr>
                <w:rFonts w:hint="eastAsia" w:ascii="微软雅黑" w:hAnsi="微软雅黑" w:eastAsia="微软雅黑" w:cs="Arial"/>
                <w:color w:val="auto"/>
                <w:sz w:val="22"/>
                <w:highlight w:val="none"/>
              </w:rPr>
              <w:t>2.8.18</w:t>
            </w:r>
            <w:r>
              <w:rPr>
                <w:rFonts w:ascii="微软雅黑" w:hAnsi="微软雅黑" w:eastAsia="微软雅黑" w:cs="Arial"/>
                <w:color w:val="auto"/>
                <w:sz w:val="22"/>
                <w:highlight w:val="none"/>
              </w:rPr>
              <w:t>.2</w:t>
            </w:r>
          </w:p>
        </w:tc>
        <w:tc>
          <w:tcPr>
            <w:tcW w:w="8076" w:type="dxa"/>
            <w:noWrap w:val="0"/>
            <w:vAlign w:val="center"/>
          </w:tcPr>
          <w:p>
            <w:pPr>
              <w:wordWrap w:val="0"/>
              <w:rPr>
                <w:rFonts w:hint="eastAsia" w:ascii="微软雅黑" w:hAnsi="微软雅黑" w:eastAsia="微软雅黑" w:cs="Arial"/>
                <w:color w:val="auto"/>
                <w:highlight w:val="none"/>
              </w:rPr>
            </w:pPr>
            <w:r>
              <w:rPr>
                <w:rFonts w:hint="eastAsia" w:ascii="微软雅黑" w:hAnsi="微软雅黑" w:eastAsia="微软雅黑" w:cs="Arial"/>
                <w:color w:val="auto"/>
                <w:sz w:val="22"/>
                <w:highlight w:val="none"/>
              </w:rPr>
              <w:t>心脏多扇区扫描技术：</w:t>
            </w:r>
            <w:r>
              <w:rPr>
                <w:rFonts w:ascii="微软雅黑" w:hAnsi="微软雅黑" w:eastAsia="微软雅黑" w:cs="Arial"/>
                <w:color w:val="auto"/>
                <w:sz w:val="22"/>
                <w:highlight w:val="none"/>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rPr>
                <w:color w:val="auto"/>
                <w:highlight w:val="none"/>
              </w:rPr>
            </w:pPr>
            <w:r>
              <w:rPr>
                <w:rFonts w:hint="eastAsia" w:ascii="微软雅黑" w:hAnsi="微软雅黑" w:eastAsia="微软雅黑" w:cs="Arial"/>
                <w:color w:val="auto"/>
                <w:sz w:val="22"/>
                <w:highlight w:val="none"/>
              </w:rPr>
              <w:t>2.8.18</w:t>
            </w:r>
            <w:r>
              <w:rPr>
                <w:rFonts w:ascii="微软雅黑" w:hAnsi="微软雅黑" w:eastAsia="微软雅黑" w:cs="Arial"/>
                <w:color w:val="auto"/>
                <w:sz w:val="22"/>
                <w:highlight w:val="none"/>
              </w:rPr>
              <w:t>.3</w:t>
            </w:r>
          </w:p>
        </w:tc>
        <w:tc>
          <w:tcPr>
            <w:tcW w:w="8076" w:type="dxa"/>
            <w:noWrap w:val="0"/>
            <w:vAlign w:val="center"/>
          </w:tcPr>
          <w:p>
            <w:pPr>
              <w:wordWrap w:val="0"/>
              <w:rPr>
                <w:rFonts w:hint="eastAsia" w:ascii="微软雅黑" w:hAnsi="微软雅黑" w:eastAsia="微软雅黑" w:cs="Arial"/>
                <w:color w:val="auto"/>
                <w:highlight w:val="none"/>
              </w:rPr>
            </w:pPr>
            <w:r>
              <w:rPr>
                <w:rFonts w:hint="eastAsia" w:ascii="微软雅黑" w:hAnsi="微软雅黑" w:eastAsia="微软雅黑" w:cs="Arial"/>
                <w:color w:val="auto"/>
                <w:sz w:val="22"/>
                <w:highlight w:val="none"/>
              </w:rPr>
              <w:t>一键式自动提取冠状动脉树：</w:t>
            </w:r>
            <w:r>
              <w:rPr>
                <w:rFonts w:ascii="微软雅黑" w:hAnsi="微软雅黑" w:eastAsia="微软雅黑" w:cs="Arial"/>
                <w:color w:val="auto"/>
                <w:sz w:val="22"/>
                <w:highlight w:val="none"/>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rPr>
                <w:color w:val="auto"/>
                <w:highlight w:val="none"/>
              </w:rPr>
            </w:pPr>
            <w:r>
              <w:rPr>
                <w:rFonts w:hint="eastAsia" w:ascii="微软雅黑" w:hAnsi="微软雅黑" w:eastAsia="微软雅黑" w:cs="Arial"/>
                <w:color w:val="auto"/>
                <w:sz w:val="22"/>
                <w:highlight w:val="none"/>
              </w:rPr>
              <w:t>2.8.18</w:t>
            </w:r>
            <w:r>
              <w:rPr>
                <w:rFonts w:ascii="微软雅黑" w:hAnsi="微软雅黑" w:eastAsia="微软雅黑" w:cs="Arial"/>
                <w:color w:val="auto"/>
                <w:sz w:val="22"/>
                <w:highlight w:val="none"/>
              </w:rPr>
              <w:t>.4</w:t>
            </w:r>
          </w:p>
        </w:tc>
        <w:tc>
          <w:tcPr>
            <w:tcW w:w="8076" w:type="dxa"/>
            <w:noWrap w:val="0"/>
            <w:vAlign w:val="center"/>
          </w:tcPr>
          <w:p>
            <w:pPr>
              <w:pStyle w:val="39"/>
              <w:widowControl w:val="0"/>
              <w:wordWrap w:val="0"/>
              <w:ind w:left="0" w:leftChars="0" w:firstLine="0" w:firstLineChars="0"/>
              <w:rPr>
                <w:rFonts w:hint="eastAsia" w:ascii="微软雅黑" w:hAnsi="微软雅黑" w:eastAsia="微软雅黑" w:cs="Arial"/>
                <w:color w:val="auto"/>
                <w:szCs w:val="24"/>
                <w:highlight w:val="none"/>
              </w:rPr>
            </w:pPr>
            <w:r>
              <w:rPr>
                <w:rFonts w:hint="eastAsia" w:ascii="微软雅黑" w:hAnsi="微软雅黑" w:eastAsia="微软雅黑" w:cs="Arial"/>
                <w:color w:val="auto"/>
                <w:szCs w:val="24"/>
                <w:highlight w:val="none"/>
              </w:rPr>
              <w:t>智能识别特定冠脉分支：</w:t>
            </w:r>
            <w:r>
              <w:rPr>
                <w:rFonts w:ascii="微软雅黑" w:hAnsi="微软雅黑" w:eastAsia="微软雅黑" w:cs="Arial"/>
                <w:color w:val="auto"/>
                <w:szCs w:val="24"/>
                <w:highlight w:val="none"/>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rPr>
                <w:color w:val="auto"/>
                <w:highlight w:val="none"/>
              </w:rPr>
            </w:pPr>
            <w:r>
              <w:rPr>
                <w:rFonts w:hint="eastAsia" w:ascii="微软雅黑" w:hAnsi="微软雅黑" w:eastAsia="微软雅黑" w:cs="Arial"/>
                <w:color w:val="auto"/>
                <w:sz w:val="22"/>
                <w:highlight w:val="none"/>
              </w:rPr>
              <w:t>2.8.18</w:t>
            </w:r>
            <w:r>
              <w:rPr>
                <w:rFonts w:ascii="微软雅黑" w:hAnsi="微软雅黑" w:eastAsia="微软雅黑" w:cs="Arial"/>
                <w:color w:val="auto"/>
                <w:sz w:val="22"/>
                <w:highlight w:val="none"/>
              </w:rPr>
              <w:t>.5</w:t>
            </w:r>
          </w:p>
        </w:tc>
        <w:tc>
          <w:tcPr>
            <w:tcW w:w="8076" w:type="dxa"/>
            <w:noWrap w:val="0"/>
            <w:vAlign w:val="center"/>
          </w:tcPr>
          <w:p>
            <w:pPr>
              <w:pStyle w:val="39"/>
              <w:widowControl w:val="0"/>
              <w:wordWrap w:val="0"/>
              <w:ind w:left="0" w:leftChars="0" w:firstLine="0" w:firstLineChars="0"/>
              <w:rPr>
                <w:rFonts w:hint="eastAsia" w:ascii="微软雅黑" w:hAnsi="微软雅黑" w:eastAsia="微软雅黑" w:cs="Arial"/>
                <w:color w:val="auto"/>
                <w:szCs w:val="24"/>
                <w:highlight w:val="none"/>
              </w:rPr>
            </w:pPr>
            <w:r>
              <w:rPr>
                <w:rFonts w:hint="eastAsia" w:ascii="微软雅黑" w:hAnsi="微软雅黑" w:eastAsia="微软雅黑" w:cs="Arial"/>
                <w:color w:val="auto"/>
                <w:szCs w:val="24"/>
                <w:highlight w:val="none"/>
              </w:rPr>
              <w:t>房室智能提取和分离：</w:t>
            </w:r>
            <w:r>
              <w:rPr>
                <w:rFonts w:ascii="微软雅黑" w:hAnsi="微软雅黑" w:eastAsia="微软雅黑" w:cs="Arial"/>
                <w:color w:val="auto"/>
                <w:szCs w:val="24"/>
                <w:highlight w:val="none"/>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rPr>
                <w:color w:val="auto"/>
                <w:highlight w:val="none"/>
              </w:rPr>
            </w:pPr>
            <w:r>
              <w:rPr>
                <w:rFonts w:hint="eastAsia" w:ascii="微软雅黑" w:hAnsi="微软雅黑" w:eastAsia="微软雅黑" w:cs="Arial"/>
                <w:color w:val="auto"/>
                <w:sz w:val="22"/>
                <w:highlight w:val="none"/>
              </w:rPr>
              <w:t>2.8.18</w:t>
            </w:r>
            <w:r>
              <w:rPr>
                <w:rFonts w:ascii="微软雅黑" w:hAnsi="微软雅黑" w:eastAsia="微软雅黑" w:cs="Arial"/>
                <w:color w:val="auto"/>
                <w:sz w:val="22"/>
                <w:highlight w:val="none"/>
              </w:rPr>
              <w:t>.6</w:t>
            </w:r>
          </w:p>
        </w:tc>
        <w:tc>
          <w:tcPr>
            <w:tcW w:w="8076" w:type="dxa"/>
            <w:noWrap w:val="0"/>
            <w:vAlign w:val="center"/>
          </w:tcPr>
          <w:p>
            <w:pPr>
              <w:wordWrap w:val="0"/>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仿真DSA显示技术，还原冠脉血管高清细节，提供MIP/VR显示技术，提供多个细腻显示模板选择：</w:t>
            </w:r>
            <w:r>
              <w:rPr>
                <w:rFonts w:ascii="微软雅黑" w:hAnsi="微软雅黑" w:eastAsia="微软雅黑" w:cs="Arial"/>
                <w:color w:val="auto"/>
                <w:sz w:val="22"/>
                <w:highlight w:val="none"/>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2.8.18</w:t>
            </w:r>
            <w:r>
              <w:rPr>
                <w:rFonts w:ascii="微软雅黑" w:hAnsi="微软雅黑" w:eastAsia="微软雅黑" w:cs="Arial"/>
                <w:color w:val="auto"/>
                <w:sz w:val="22"/>
                <w:highlight w:val="none"/>
              </w:rPr>
              <w:t>.7</w:t>
            </w:r>
          </w:p>
        </w:tc>
        <w:tc>
          <w:tcPr>
            <w:tcW w:w="8076" w:type="dxa"/>
            <w:noWrap w:val="0"/>
            <w:vAlign w:val="center"/>
          </w:tcPr>
          <w:p>
            <w:pPr>
              <w:wordWrap w:val="0"/>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智能心电编辑：</w:t>
            </w:r>
            <w:r>
              <w:rPr>
                <w:rFonts w:ascii="微软雅黑" w:hAnsi="微软雅黑" w:eastAsia="微软雅黑" w:cs="Arial"/>
                <w:color w:val="auto"/>
                <w:sz w:val="22"/>
                <w:highlight w:val="none"/>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2.8.18</w:t>
            </w:r>
            <w:r>
              <w:rPr>
                <w:rFonts w:ascii="微软雅黑" w:hAnsi="微软雅黑" w:eastAsia="微软雅黑" w:cs="Arial"/>
                <w:color w:val="auto"/>
                <w:sz w:val="22"/>
                <w:highlight w:val="none"/>
              </w:rPr>
              <w:t>.8</w:t>
            </w:r>
          </w:p>
        </w:tc>
        <w:tc>
          <w:tcPr>
            <w:tcW w:w="8076" w:type="dxa"/>
            <w:noWrap w:val="0"/>
            <w:vAlign w:val="center"/>
          </w:tcPr>
          <w:p>
            <w:pPr>
              <w:wordWrap w:val="0"/>
              <w:rPr>
                <w:rFonts w:hint="eastAsia" w:ascii="微软雅黑" w:hAnsi="微软雅黑" w:eastAsia="微软雅黑" w:cs="Arial"/>
                <w:color w:val="auto"/>
                <w:highlight w:val="none"/>
              </w:rPr>
            </w:pPr>
            <w:r>
              <w:rPr>
                <w:rFonts w:hint="eastAsia" w:ascii="微软雅黑" w:hAnsi="微软雅黑" w:eastAsia="微软雅黑" w:cs="Arial"/>
                <w:color w:val="auto"/>
                <w:sz w:val="22"/>
                <w:highlight w:val="none"/>
              </w:rPr>
              <w:t>标记冠脉狭窄部位：</w:t>
            </w:r>
            <w:r>
              <w:rPr>
                <w:rFonts w:ascii="微软雅黑" w:hAnsi="微软雅黑" w:eastAsia="微软雅黑" w:cs="Arial"/>
                <w:color w:val="auto"/>
                <w:sz w:val="22"/>
                <w:highlight w:val="none"/>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rPr>
                <w:color w:val="auto"/>
                <w:highlight w:val="none"/>
              </w:rPr>
            </w:pPr>
            <w:r>
              <w:rPr>
                <w:rFonts w:hint="eastAsia" w:ascii="微软雅黑" w:hAnsi="微软雅黑" w:eastAsia="微软雅黑" w:cs="Arial"/>
                <w:color w:val="auto"/>
                <w:sz w:val="22"/>
                <w:highlight w:val="none"/>
              </w:rPr>
              <w:t>2.8.18</w:t>
            </w:r>
            <w:r>
              <w:rPr>
                <w:rFonts w:ascii="微软雅黑" w:hAnsi="微软雅黑" w:eastAsia="微软雅黑" w:cs="Arial"/>
                <w:color w:val="auto"/>
                <w:sz w:val="22"/>
                <w:highlight w:val="none"/>
              </w:rPr>
              <w:t>.9</w:t>
            </w:r>
          </w:p>
        </w:tc>
        <w:tc>
          <w:tcPr>
            <w:tcW w:w="8076" w:type="dxa"/>
            <w:noWrap w:val="0"/>
            <w:vAlign w:val="center"/>
          </w:tcPr>
          <w:p>
            <w:pPr>
              <w:pStyle w:val="39"/>
              <w:widowControl w:val="0"/>
              <w:wordWrap w:val="0"/>
              <w:ind w:left="0" w:leftChars="0" w:firstLine="0" w:firstLineChars="0"/>
              <w:rPr>
                <w:rFonts w:hint="eastAsia" w:ascii="微软雅黑" w:hAnsi="微软雅黑" w:eastAsia="微软雅黑" w:cs="Arial"/>
                <w:color w:val="auto"/>
                <w:highlight w:val="none"/>
              </w:rPr>
            </w:pPr>
            <w:r>
              <w:rPr>
                <w:rFonts w:hint="eastAsia" w:ascii="微软雅黑" w:hAnsi="微软雅黑" w:eastAsia="微软雅黑" w:cs="Arial"/>
                <w:color w:val="auto"/>
                <w:highlight w:val="none"/>
              </w:rPr>
              <w:t>冠脉狭窄分析</w:t>
            </w:r>
            <w:r>
              <w:rPr>
                <w:rFonts w:hint="eastAsia" w:ascii="微软雅黑" w:hAnsi="微软雅黑" w:eastAsia="微软雅黑" w:cs="Arial"/>
                <w:color w:val="auto"/>
                <w:szCs w:val="24"/>
                <w:highlight w:val="none"/>
              </w:rPr>
              <w:t>：</w:t>
            </w:r>
            <w:r>
              <w:rPr>
                <w:rFonts w:ascii="微软雅黑" w:hAnsi="微软雅黑" w:eastAsia="微软雅黑" w:cs="Arial"/>
                <w:color w:val="auto"/>
                <w:szCs w:val="24"/>
                <w:highlight w:val="none"/>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rPr>
                <w:color w:val="auto"/>
                <w:highlight w:val="none"/>
              </w:rPr>
            </w:pPr>
            <w:r>
              <w:rPr>
                <w:rFonts w:hint="eastAsia" w:ascii="微软雅黑" w:hAnsi="微软雅黑" w:eastAsia="微软雅黑" w:cs="Arial"/>
                <w:color w:val="auto"/>
                <w:sz w:val="22"/>
                <w:highlight w:val="none"/>
              </w:rPr>
              <w:t>2.8.18</w:t>
            </w:r>
            <w:r>
              <w:rPr>
                <w:rFonts w:ascii="微软雅黑" w:hAnsi="微软雅黑" w:eastAsia="微软雅黑" w:cs="Arial"/>
                <w:color w:val="auto"/>
                <w:sz w:val="22"/>
                <w:highlight w:val="none"/>
              </w:rPr>
              <w:t>.10</w:t>
            </w:r>
          </w:p>
        </w:tc>
        <w:tc>
          <w:tcPr>
            <w:tcW w:w="8076" w:type="dxa"/>
            <w:noWrap w:val="0"/>
            <w:vAlign w:val="center"/>
          </w:tcPr>
          <w:p>
            <w:pPr>
              <w:pStyle w:val="39"/>
              <w:widowControl w:val="0"/>
              <w:wordWrap w:val="0"/>
              <w:ind w:left="0" w:leftChars="0" w:firstLine="0" w:firstLineChars="0"/>
              <w:rPr>
                <w:rFonts w:hint="eastAsia" w:ascii="微软雅黑" w:hAnsi="微软雅黑" w:eastAsia="微软雅黑" w:cs="Arial"/>
                <w:color w:val="auto"/>
                <w:szCs w:val="24"/>
                <w:highlight w:val="none"/>
              </w:rPr>
            </w:pPr>
            <w:r>
              <w:rPr>
                <w:rFonts w:hint="eastAsia" w:ascii="微软雅黑" w:hAnsi="微软雅黑" w:eastAsia="微软雅黑" w:cs="Arial"/>
                <w:color w:val="auto"/>
                <w:szCs w:val="24"/>
                <w:highlight w:val="none"/>
              </w:rPr>
              <w:t>智能测量冠脉直径、截面积、狭窄程度等：</w:t>
            </w:r>
            <w:r>
              <w:rPr>
                <w:rFonts w:ascii="微软雅黑" w:hAnsi="微软雅黑" w:eastAsia="微软雅黑" w:cs="Arial"/>
                <w:color w:val="auto"/>
                <w:szCs w:val="24"/>
                <w:highlight w:val="none"/>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rPr>
                <w:color w:val="auto"/>
                <w:highlight w:val="none"/>
              </w:rPr>
            </w:pPr>
            <w:r>
              <w:rPr>
                <w:rFonts w:hint="eastAsia" w:ascii="微软雅黑" w:hAnsi="微软雅黑" w:eastAsia="微软雅黑" w:cs="Arial"/>
                <w:color w:val="auto"/>
                <w:sz w:val="22"/>
                <w:highlight w:val="none"/>
              </w:rPr>
              <w:t>2.8.18</w:t>
            </w:r>
            <w:r>
              <w:rPr>
                <w:rFonts w:ascii="微软雅黑" w:hAnsi="微软雅黑" w:eastAsia="微软雅黑" w:cs="Arial"/>
                <w:color w:val="auto"/>
                <w:sz w:val="22"/>
                <w:highlight w:val="none"/>
              </w:rPr>
              <w:t>.11</w:t>
            </w:r>
          </w:p>
        </w:tc>
        <w:tc>
          <w:tcPr>
            <w:tcW w:w="8076" w:type="dxa"/>
            <w:noWrap w:val="0"/>
            <w:vAlign w:val="center"/>
          </w:tcPr>
          <w:p>
            <w:pPr>
              <w:pStyle w:val="39"/>
              <w:widowControl w:val="0"/>
              <w:wordWrap w:val="0"/>
              <w:ind w:left="0" w:leftChars="0" w:firstLine="0" w:firstLineChars="0"/>
              <w:rPr>
                <w:rFonts w:hint="eastAsia" w:ascii="微软雅黑" w:hAnsi="微软雅黑" w:eastAsia="微软雅黑" w:cs="Arial"/>
                <w:color w:val="auto"/>
                <w:szCs w:val="24"/>
                <w:highlight w:val="none"/>
              </w:rPr>
            </w:pPr>
            <w:r>
              <w:rPr>
                <w:rFonts w:hint="eastAsia" w:ascii="微软雅黑" w:hAnsi="微软雅黑" w:eastAsia="微软雅黑" w:cs="Arial"/>
                <w:color w:val="auto"/>
                <w:szCs w:val="24"/>
                <w:highlight w:val="none"/>
              </w:rPr>
              <w:t>多点、两点中心线追踪和中心线校正：</w:t>
            </w:r>
            <w:r>
              <w:rPr>
                <w:rFonts w:ascii="微软雅黑" w:hAnsi="微软雅黑" w:eastAsia="微软雅黑" w:cs="Arial"/>
                <w:color w:val="auto"/>
                <w:szCs w:val="24"/>
                <w:highlight w:val="none"/>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rPr>
                <w:color w:val="auto"/>
                <w:highlight w:val="none"/>
              </w:rPr>
            </w:pPr>
            <w:r>
              <w:rPr>
                <w:rFonts w:hint="eastAsia" w:ascii="微软雅黑" w:hAnsi="微软雅黑" w:eastAsia="微软雅黑" w:cs="Arial"/>
                <w:color w:val="auto"/>
                <w:sz w:val="22"/>
                <w:highlight w:val="none"/>
              </w:rPr>
              <w:t>2.8.18</w:t>
            </w:r>
            <w:r>
              <w:rPr>
                <w:rFonts w:ascii="微软雅黑" w:hAnsi="微软雅黑" w:eastAsia="微软雅黑" w:cs="Arial"/>
                <w:color w:val="auto"/>
                <w:sz w:val="22"/>
                <w:highlight w:val="none"/>
              </w:rPr>
              <w:t>.12</w:t>
            </w:r>
          </w:p>
        </w:tc>
        <w:tc>
          <w:tcPr>
            <w:tcW w:w="8076" w:type="dxa"/>
            <w:noWrap w:val="0"/>
            <w:vAlign w:val="center"/>
          </w:tcPr>
          <w:p>
            <w:pPr>
              <w:pStyle w:val="39"/>
              <w:widowControl w:val="0"/>
              <w:wordWrap w:val="0"/>
              <w:ind w:left="0" w:leftChars="0" w:firstLine="0" w:firstLineChars="0"/>
              <w:rPr>
                <w:rFonts w:ascii="微软雅黑" w:hAnsi="微软雅黑" w:eastAsia="微软雅黑" w:cs="Arial"/>
                <w:color w:val="auto"/>
                <w:highlight w:val="none"/>
              </w:rPr>
            </w:pPr>
            <w:r>
              <w:rPr>
                <w:rFonts w:hint="eastAsia" w:ascii="微软雅黑" w:hAnsi="微软雅黑" w:eastAsia="微软雅黑" w:cs="Arial"/>
                <w:color w:val="auto"/>
                <w:szCs w:val="24"/>
                <w:highlight w:val="none"/>
              </w:rPr>
              <w:t>冠脉钙化分析：</w:t>
            </w:r>
            <w:r>
              <w:rPr>
                <w:rFonts w:ascii="微软雅黑" w:hAnsi="微软雅黑" w:eastAsia="微软雅黑" w:cs="Arial"/>
                <w:color w:val="auto"/>
                <w:szCs w:val="24"/>
                <w:highlight w:val="none"/>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2.8.18</w:t>
            </w:r>
            <w:r>
              <w:rPr>
                <w:rFonts w:ascii="微软雅黑" w:hAnsi="微软雅黑" w:eastAsia="微软雅黑" w:cs="Arial"/>
                <w:color w:val="auto"/>
                <w:sz w:val="22"/>
                <w:highlight w:val="none"/>
              </w:rPr>
              <w:t>.13</w:t>
            </w:r>
          </w:p>
        </w:tc>
        <w:tc>
          <w:tcPr>
            <w:tcW w:w="8076" w:type="dxa"/>
            <w:noWrap w:val="0"/>
            <w:vAlign w:val="center"/>
          </w:tcPr>
          <w:p>
            <w:pPr>
              <w:pStyle w:val="39"/>
              <w:widowControl w:val="0"/>
              <w:wordWrap w:val="0"/>
              <w:ind w:left="0" w:leftChars="0" w:firstLine="0" w:firstLineChars="0"/>
              <w:rPr>
                <w:rFonts w:hint="eastAsia" w:ascii="微软雅黑" w:hAnsi="微软雅黑" w:eastAsia="微软雅黑" w:cs="Arial"/>
                <w:color w:val="auto"/>
                <w:highlight w:val="none"/>
              </w:rPr>
            </w:pPr>
            <w:r>
              <w:rPr>
                <w:rFonts w:hint="eastAsia" w:ascii="微软雅黑" w:hAnsi="微软雅黑" w:eastAsia="微软雅黑" w:cs="Arial"/>
                <w:color w:val="auto"/>
                <w:szCs w:val="24"/>
                <w:highlight w:val="none"/>
              </w:rPr>
              <w:t>标记并伪彩区分冠脉钙化：</w:t>
            </w:r>
            <w:r>
              <w:rPr>
                <w:rFonts w:ascii="微软雅黑" w:hAnsi="微软雅黑" w:eastAsia="微软雅黑" w:cs="Arial"/>
                <w:color w:val="auto"/>
                <w:szCs w:val="24"/>
                <w:highlight w:val="none"/>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2.8.18</w:t>
            </w:r>
            <w:r>
              <w:rPr>
                <w:rFonts w:ascii="微软雅黑" w:hAnsi="微软雅黑" w:eastAsia="微软雅黑" w:cs="Arial"/>
                <w:color w:val="auto"/>
                <w:sz w:val="22"/>
                <w:highlight w:val="none"/>
              </w:rPr>
              <w:t>.14</w:t>
            </w:r>
          </w:p>
        </w:tc>
        <w:tc>
          <w:tcPr>
            <w:tcW w:w="8076" w:type="dxa"/>
            <w:noWrap w:val="0"/>
            <w:vAlign w:val="center"/>
          </w:tcPr>
          <w:p>
            <w:pPr>
              <w:pStyle w:val="39"/>
              <w:widowControl w:val="0"/>
              <w:wordWrap w:val="0"/>
              <w:ind w:left="0" w:leftChars="0" w:firstLine="0" w:firstLineChars="0"/>
              <w:rPr>
                <w:rFonts w:ascii="微软雅黑" w:hAnsi="微软雅黑" w:eastAsia="微软雅黑" w:cs="Arial"/>
                <w:color w:val="auto"/>
                <w:highlight w:val="none"/>
              </w:rPr>
            </w:pPr>
            <w:r>
              <w:rPr>
                <w:rFonts w:hint="eastAsia" w:ascii="微软雅黑" w:hAnsi="微软雅黑" w:eastAsia="微软雅黑" w:cs="Arial"/>
                <w:color w:val="auto"/>
                <w:szCs w:val="24"/>
                <w:highlight w:val="none"/>
              </w:rPr>
              <w:t>智能分析冠脉的钙化积分，完成钙化积分的风险评估：</w:t>
            </w:r>
            <w:r>
              <w:rPr>
                <w:rFonts w:ascii="微软雅黑" w:hAnsi="微软雅黑" w:eastAsia="微软雅黑" w:cs="Arial"/>
                <w:color w:val="auto"/>
                <w:szCs w:val="24"/>
                <w:highlight w:val="none"/>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2.8.18</w:t>
            </w:r>
            <w:r>
              <w:rPr>
                <w:rFonts w:ascii="微软雅黑" w:hAnsi="微软雅黑" w:eastAsia="微软雅黑" w:cs="Arial"/>
                <w:color w:val="auto"/>
                <w:sz w:val="22"/>
                <w:highlight w:val="none"/>
              </w:rPr>
              <w:t>.15</w:t>
            </w:r>
          </w:p>
        </w:tc>
        <w:tc>
          <w:tcPr>
            <w:tcW w:w="8076" w:type="dxa"/>
            <w:noWrap w:val="0"/>
            <w:vAlign w:val="center"/>
          </w:tcPr>
          <w:p>
            <w:pPr>
              <w:pStyle w:val="39"/>
              <w:widowControl w:val="0"/>
              <w:wordWrap w:val="0"/>
              <w:ind w:left="0" w:leftChars="0" w:firstLine="0" w:firstLineChars="0"/>
              <w:rPr>
                <w:rFonts w:ascii="微软雅黑" w:hAnsi="微软雅黑" w:eastAsia="微软雅黑" w:cs="Arial"/>
                <w:color w:val="auto"/>
                <w:highlight w:val="none"/>
              </w:rPr>
            </w:pPr>
            <w:r>
              <w:rPr>
                <w:rFonts w:hint="eastAsia" w:ascii="微软雅黑" w:hAnsi="微软雅黑" w:eastAsia="微软雅黑" w:cs="Arial"/>
                <w:color w:val="auto"/>
                <w:szCs w:val="24"/>
                <w:highlight w:val="none"/>
              </w:rPr>
              <w:t>冠脉斑块分析：</w:t>
            </w:r>
            <w:r>
              <w:rPr>
                <w:rFonts w:ascii="微软雅黑" w:hAnsi="微软雅黑" w:eastAsia="微软雅黑" w:cs="Arial"/>
                <w:color w:val="auto"/>
                <w:szCs w:val="24"/>
                <w:highlight w:val="none"/>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rPr>
                <w:color w:val="auto"/>
                <w:highlight w:val="none"/>
              </w:rPr>
            </w:pPr>
            <w:r>
              <w:rPr>
                <w:rFonts w:hint="eastAsia" w:ascii="微软雅黑" w:hAnsi="微软雅黑" w:eastAsia="微软雅黑" w:cs="Arial"/>
                <w:color w:val="auto"/>
                <w:sz w:val="22"/>
                <w:highlight w:val="none"/>
              </w:rPr>
              <w:t>2.8.18.</w:t>
            </w:r>
            <w:r>
              <w:rPr>
                <w:rFonts w:ascii="微软雅黑" w:hAnsi="微软雅黑" w:eastAsia="微软雅黑" w:cs="Arial"/>
                <w:color w:val="auto"/>
                <w:sz w:val="22"/>
                <w:highlight w:val="none"/>
              </w:rPr>
              <w:t>16</w:t>
            </w:r>
          </w:p>
        </w:tc>
        <w:tc>
          <w:tcPr>
            <w:tcW w:w="8076" w:type="dxa"/>
            <w:noWrap w:val="0"/>
            <w:vAlign w:val="center"/>
          </w:tcPr>
          <w:p>
            <w:pPr>
              <w:pStyle w:val="39"/>
              <w:widowControl w:val="0"/>
              <w:wordWrap w:val="0"/>
              <w:ind w:left="0" w:leftChars="0" w:firstLine="0" w:firstLineChars="0"/>
              <w:rPr>
                <w:rFonts w:hint="eastAsia" w:ascii="微软雅黑" w:hAnsi="微软雅黑" w:eastAsia="微软雅黑" w:cs="Arial"/>
                <w:color w:val="auto"/>
                <w:highlight w:val="none"/>
              </w:rPr>
            </w:pPr>
            <w:r>
              <w:rPr>
                <w:rFonts w:hint="eastAsia" w:ascii="微软雅黑" w:hAnsi="微软雅黑" w:eastAsia="微软雅黑" w:cs="Arial"/>
                <w:color w:val="auto"/>
                <w:szCs w:val="24"/>
                <w:highlight w:val="none"/>
              </w:rPr>
              <w:t>标记并伪彩区分冠脉斑块：</w:t>
            </w:r>
            <w:r>
              <w:rPr>
                <w:rFonts w:ascii="微软雅黑" w:hAnsi="微软雅黑" w:eastAsia="微软雅黑" w:cs="Arial"/>
                <w:color w:val="auto"/>
                <w:szCs w:val="24"/>
                <w:highlight w:val="none"/>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rPr>
                <w:color w:val="auto"/>
                <w:highlight w:val="none"/>
              </w:rPr>
            </w:pPr>
            <w:r>
              <w:rPr>
                <w:rFonts w:hint="eastAsia" w:ascii="微软雅黑" w:hAnsi="微软雅黑" w:eastAsia="微软雅黑" w:cs="Arial"/>
                <w:color w:val="auto"/>
                <w:sz w:val="22"/>
                <w:highlight w:val="none"/>
              </w:rPr>
              <w:t>2.8.18</w:t>
            </w:r>
            <w:r>
              <w:rPr>
                <w:rFonts w:ascii="微软雅黑" w:hAnsi="微软雅黑" w:eastAsia="微软雅黑" w:cs="Arial"/>
                <w:color w:val="auto"/>
                <w:sz w:val="22"/>
                <w:highlight w:val="none"/>
              </w:rPr>
              <w:t>.17</w:t>
            </w:r>
          </w:p>
        </w:tc>
        <w:tc>
          <w:tcPr>
            <w:tcW w:w="8076" w:type="dxa"/>
            <w:noWrap w:val="0"/>
            <w:vAlign w:val="center"/>
          </w:tcPr>
          <w:p>
            <w:pPr>
              <w:pStyle w:val="39"/>
              <w:widowControl w:val="0"/>
              <w:wordWrap w:val="0"/>
              <w:ind w:left="0" w:leftChars="0" w:firstLine="0" w:firstLineChars="0"/>
              <w:rPr>
                <w:rFonts w:hint="eastAsia" w:ascii="微软雅黑" w:hAnsi="微软雅黑" w:eastAsia="微软雅黑" w:cs="Arial"/>
                <w:color w:val="auto"/>
                <w:highlight w:val="none"/>
              </w:rPr>
            </w:pPr>
            <w:r>
              <w:rPr>
                <w:rFonts w:hint="eastAsia" w:ascii="微软雅黑" w:hAnsi="微软雅黑" w:eastAsia="微软雅黑" w:cs="Arial"/>
                <w:color w:val="auto"/>
                <w:szCs w:val="24"/>
                <w:highlight w:val="none"/>
              </w:rPr>
              <w:t>自动进行斑块成分分析（包括钙化、纤维、脂质成分分析）：</w:t>
            </w:r>
            <w:r>
              <w:rPr>
                <w:rFonts w:ascii="微软雅黑" w:hAnsi="微软雅黑" w:eastAsia="微软雅黑" w:cs="Arial"/>
                <w:color w:val="auto"/>
                <w:szCs w:val="24"/>
                <w:highlight w:val="none"/>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rPr>
                <w:color w:val="auto"/>
                <w:highlight w:val="none"/>
              </w:rPr>
            </w:pPr>
            <w:r>
              <w:rPr>
                <w:rFonts w:hint="eastAsia" w:ascii="微软雅黑" w:hAnsi="微软雅黑" w:eastAsia="微软雅黑" w:cs="Arial"/>
                <w:color w:val="auto"/>
                <w:sz w:val="22"/>
                <w:highlight w:val="none"/>
              </w:rPr>
              <w:t>2.8.18</w:t>
            </w:r>
            <w:r>
              <w:rPr>
                <w:rFonts w:ascii="微软雅黑" w:hAnsi="微软雅黑" w:eastAsia="微软雅黑" w:cs="Arial"/>
                <w:color w:val="auto"/>
                <w:sz w:val="22"/>
                <w:highlight w:val="none"/>
              </w:rPr>
              <w:t>.18</w:t>
            </w:r>
          </w:p>
        </w:tc>
        <w:tc>
          <w:tcPr>
            <w:tcW w:w="8076" w:type="dxa"/>
            <w:noWrap w:val="0"/>
            <w:vAlign w:val="center"/>
          </w:tcPr>
          <w:p>
            <w:pPr>
              <w:pStyle w:val="39"/>
              <w:widowControl w:val="0"/>
              <w:wordWrap w:val="0"/>
              <w:ind w:left="0" w:leftChars="0" w:firstLine="0" w:firstLineChars="0"/>
              <w:rPr>
                <w:rFonts w:ascii="微软雅黑" w:hAnsi="微软雅黑" w:eastAsia="微软雅黑" w:cs="Arial"/>
                <w:color w:val="auto"/>
                <w:highlight w:val="none"/>
              </w:rPr>
            </w:pPr>
            <w:r>
              <w:rPr>
                <w:rFonts w:hint="eastAsia" w:ascii="微软雅黑" w:hAnsi="微软雅黑" w:eastAsia="微软雅黑" w:cs="Arial"/>
                <w:color w:val="auto"/>
                <w:szCs w:val="24"/>
                <w:highlight w:val="none"/>
              </w:rPr>
              <w:t>心脏功能评估：</w:t>
            </w:r>
            <w:r>
              <w:rPr>
                <w:rFonts w:ascii="微软雅黑" w:hAnsi="微软雅黑" w:eastAsia="微软雅黑" w:cs="Arial"/>
                <w:color w:val="auto"/>
                <w:szCs w:val="24"/>
                <w:highlight w:val="none"/>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rPr>
                <w:color w:val="auto"/>
                <w:highlight w:val="none"/>
              </w:rPr>
            </w:pPr>
            <w:r>
              <w:rPr>
                <w:rFonts w:hint="eastAsia" w:ascii="微软雅黑" w:hAnsi="微软雅黑" w:eastAsia="微软雅黑" w:cs="Arial"/>
                <w:color w:val="auto"/>
                <w:sz w:val="22"/>
                <w:highlight w:val="none"/>
              </w:rPr>
              <w:t>2.8.18</w:t>
            </w:r>
            <w:r>
              <w:rPr>
                <w:rFonts w:ascii="微软雅黑" w:hAnsi="微软雅黑" w:eastAsia="微软雅黑" w:cs="Arial"/>
                <w:color w:val="auto"/>
                <w:sz w:val="22"/>
                <w:highlight w:val="none"/>
              </w:rPr>
              <w:t>.19</w:t>
            </w:r>
          </w:p>
        </w:tc>
        <w:tc>
          <w:tcPr>
            <w:tcW w:w="8076" w:type="dxa"/>
            <w:noWrap w:val="0"/>
            <w:vAlign w:val="center"/>
          </w:tcPr>
          <w:p>
            <w:pPr>
              <w:pStyle w:val="39"/>
              <w:widowControl w:val="0"/>
              <w:wordWrap w:val="0"/>
              <w:ind w:left="0" w:leftChars="0" w:firstLine="0" w:firstLineChars="0"/>
              <w:rPr>
                <w:rFonts w:hint="eastAsia" w:ascii="微软雅黑" w:hAnsi="微软雅黑" w:eastAsia="微软雅黑" w:cs="Arial"/>
                <w:color w:val="auto"/>
                <w:highlight w:val="none"/>
              </w:rPr>
            </w:pPr>
            <w:r>
              <w:rPr>
                <w:rFonts w:hint="eastAsia" w:ascii="微软雅黑" w:hAnsi="微软雅黑" w:eastAsia="微软雅黑" w:cs="Arial"/>
                <w:color w:val="auto"/>
                <w:szCs w:val="24"/>
                <w:highlight w:val="none"/>
              </w:rPr>
              <w:t>自动计算射血分数、左右室容积、每搏输出量等心功能指标：</w:t>
            </w:r>
            <w:r>
              <w:rPr>
                <w:rFonts w:ascii="微软雅黑" w:hAnsi="微软雅黑" w:eastAsia="微软雅黑" w:cs="Arial"/>
                <w:color w:val="auto"/>
                <w:szCs w:val="24"/>
                <w:highlight w:val="none"/>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rPr>
                <w:color w:val="auto"/>
                <w:highlight w:val="none"/>
              </w:rPr>
            </w:pPr>
            <w:r>
              <w:rPr>
                <w:rFonts w:hint="eastAsia" w:ascii="微软雅黑" w:hAnsi="微软雅黑" w:eastAsia="微软雅黑" w:cs="Arial"/>
                <w:color w:val="auto"/>
                <w:sz w:val="22"/>
                <w:highlight w:val="none"/>
              </w:rPr>
              <w:t>2.8.18</w:t>
            </w:r>
            <w:r>
              <w:rPr>
                <w:rFonts w:ascii="微软雅黑" w:hAnsi="微软雅黑" w:eastAsia="微软雅黑" w:cs="Arial"/>
                <w:color w:val="auto"/>
                <w:sz w:val="22"/>
                <w:highlight w:val="none"/>
              </w:rPr>
              <w:t>.20</w:t>
            </w:r>
          </w:p>
        </w:tc>
        <w:tc>
          <w:tcPr>
            <w:tcW w:w="8076" w:type="dxa"/>
            <w:noWrap w:val="0"/>
            <w:vAlign w:val="center"/>
          </w:tcPr>
          <w:p>
            <w:pPr>
              <w:pStyle w:val="39"/>
              <w:widowControl w:val="0"/>
              <w:wordWrap w:val="0"/>
              <w:ind w:left="0" w:leftChars="0" w:firstLine="0" w:firstLineChars="0"/>
              <w:rPr>
                <w:rFonts w:hint="eastAsia" w:ascii="微软雅黑" w:hAnsi="微软雅黑" w:eastAsia="微软雅黑" w:cs="Arial"/>
                <w:color w:val="auto"/>
                <w:highlight w:val="none"/>
              </w:rPr>
            </w:pPr>
            <w:r>
              <w:rPr>
                <w:rFonts w:hint="eastAsia" w:ascii="微软雅黑" w:hAnsi="微软雅黑" w:eastAsia="微软雅黑" w:cs="Arial"/>
                <w:color w:val="auto"/>
                <w:szCs w:val="24"/>
                <w:highlight w:val="none"/>
              </w:rPr>
              <w:t>提供牛眼图智能显示室壁运动位移、厚度：</w:t>
            </w:r>
            <w:r>
              <w:rPr>
                <w:rFonts w:ascii="微软雅黑" w:hAnsi="微软雅黑" w:eastAsia="微软雅黑" w:cs="Arial"/>
                <w:color w:val="auto"/>
                <w:szCs w:val="24"/>
                <w:highlight w:val="none"/>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rPr>
                <w:color w:val="auto"/>
                <w:highlight w:val="none"/>
              </w:rPr>
            </w:pPr>
            <w:r>
              <w:rPr>
                <w:rFonts w:hint="eastAsia" w:ascii="微软雅黑" w:hAnsi="微软雅黑" w:eastAsia="微软雅黑" w:cs="Arial"/>
                <w:color w:val="auto"/>
                <w:sz w:val="22"/>
                <w:highlight w:val="none"/>
              </w:rPr>
              <w:t>2.8.18</w:t>
            </w:r>
            <w:r>
              <w:rPr>
                <w:rFonts w:ascii="微软雅黑" w:hAnsi="微软雅黑" w:eastAsia="微软雅黑" w:cs="Arial"/>
                <w:color w:val="auto"/>
                <w:sz w:val="22"/>
                <w:highlight w:val="none"/>
              </w:rPr>
              <w:t>.21</w:t>
            </w:r>
          </w:p>
        </w:tc>
        <w:tc>
          <w:tcPr>
            <w:tcW w:w="8076" w:type="dxa"/>
            <w:noWrap w:val="0"/>
            <w:vAlign w:val="center"/>
          </w:tcPr>
          <w:p>
            <w:pPr>
              <w:pStyle w:val="39"/>
              <w:widowControl w:val="0"/>
              <w:wordWrap w:val="0"/>
              <w:ind w:left="0" w:leftChars="0" w:firstLine="0" w:firstLineChars="0"/>
              <w:rPr>
                <w:rFonts w:hint="eastAsia" w:ascii="微软雅黑" w:hAnsi="微软雅黑" w:eastAsia="微软雅黑" w:cs="Arial"/>
                <w:color w:val="auto"/>
                <w:highlight w:val="none"/>
              </w:rPr>
            </w:pPr>
            <w:r>
              <w:rPr>
                <w:rFonts w:hint="eastAsia" w:ascii="微软雅黑" w:hAnsi="微软雅黑" w:eastAsia="微软雅黑" w:cs="Arial"/>
                <w:color w:val="auto"/>
                <w:szCs w:val="24"/>
                <w:highlight w:val="none"/>
              </w:rPr>
              <w:t>电影观察与记录心脏多时相运动：</w:t>
            </w:r>
            <w:r>
              <w:rPr>
                <w:rFonts w:ascii="微软雅黑" w:hAnsi="微软雅黑" w:eastAsia="微软雅黑" w:cs="Arial"/>
                <w:color w:val="auto"/>
                <w:szCs w:val="24"/>
                <w:highlight w:val="none"/>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rPr>
                <w:color w:val="auto"/>
                <w:highlight w:val="none"/>
              </w:rPr>
            </w:pPr>
            <w:r>
              <w:rPr>
                <w:rFonts w:hint="eastAsia" w:ascii="微软雅黑" w:hAnsi="微软雅黑" w:eastAsia="微软雅黑" w:cs="Arial"/>
                <w:color w:val="auto"/>
                <w:sz w:val="22"/>
                <w:highlight w:val="none"/>
              </w:rPr>
              <w:t>2.8.18</w:t>
            </w:r>
            <w:r>
              <w:rPr>
                <w:rFonts w:ascii="微软雅黑" w:hAnsi="微软雅黑" w:eastAsia="微软雅黑" w:cs="Arial"/>
                <w:color w:val="auto"/>
                <w:sz w:val="22"/>
                <w:highlight w:val="none"/>
              </w:rPr>
              <w:t>.2</w:t>
            </w:r>
            <w:r>
              <w:rPr>
                <w:rFonts w:hint="eastAsia" w:ascii="微软雅黑" w:hAnsi="微软雅黑" w:eastAsia="微软雅黑" w:cs="Arial"/>
                <w:color w:val="auto"/>
                <w:sz w:val="22"/>
                <w:highlight w:val="none"/>
              </w:rPr>
              <w:t>2</w:t>
            </w:r>
          </w:p>
        </w:tc>
        <w:tc>
          <w:tcPr>
            <w:tcW w:w="8076" w:type="dxa"/>
            <w:noWrap w:val="0"/>
            <w:vAlign w:val="center"/>
          </w:tcPr>
          <w:p>
            <w:pPr>
              <w:pStyle w:val="39"/>
              <w:widowControl w:val="0"/>
              <w:wordWrap w:val="0"/>
              <w:ind w:left="0" w:leftChars="0" w:firstLine="0" w:firstLineChars="0"/>
              <w:rPr>
                <w:rFonts w:hint="eastAsia" w:ascii="微软雅黑" w:hAnsi="微软雅黑" w:eastAsia="微软雅黑" w:cs="Arial"/>
                <w:color w:val="auto"/>
                <w:szCs w:val="24"/>
                <w:highlight w:val="none"/>
              </w:rPr>
            </w:pPr>
            <w:r>
              <w:rPr>
                <w:rFonts w:hint="eastAsia" w:ascii="微软雅黑" w:hAnsi="微软雅黑" w:eastAsia="微软雅黑" w:cs="Arial"/>
                <w:color w:val="auto"/>
                <w:szCs w:val="24"/>
                <w:highlight w:val="none"/>
              </w:rPr>
              <w:t>一键式快速图像结果保存功能：提供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rPr>
                <w:color w:val="auto"/>
                <w:highlight w:val="none"/>
              </w:rPr>
            </w:pPr>
            <w:r>
              <w:rPr>
                <w:rFonts w:hint="eastAsia" w:ascii="微软雅黑" w:hAnsi="微软雅黑" w:eastAsia="微软雅黑" w:cs="Arial"/>
                <w:b/>
                <w:color w:val="auto"/>
                <w:sz w:val="22"/>
                <w:highlight w:val="none"/>
              </w:rPr>
              <w:t>2.8.19</w:t>
            </w:r>
          </w:p>
        </w:tc>
        <w:tc>
          <w:tcPr>
            <w:tcW w:w="8076" w:type="dxa"/>
            <w:noWrap w:val="0"/>
            <w:vAlign w:val="center"/>
          </w:tcPr>
          <w:p>
            <w:pPr>
              <w:wordWrap w:val="0"/>
              <w:rPr>
                <w:rFonts w:hint="eastAsia" w:ascii="微软雅黑" w:hAnsi="微软雅黑" w:eastAsia="微软雅黑" w:cs="Arial"/>
                <w:color w:val="auto"/>
                <w:highlight w:val="none"/>
              </w:rPr>
            </w:pPr>
            <w:r>
              <w:rPr>
                <w:rFonts w:hint="eastAsia" w:ascii="微软雅黑" w:hAnsi="微软雅黑" w:eastAsia="微软雅黑" w:cs="Arial"/>
                <w:b/>
                <w:color w:val="auto"/>
                <w:sz w:val="22"/>
                <w:highlight w:val="none"/>
              </w:rPr>
              <w:t>灌注软件包：</w:t>
            </w:r>
            <w:r>
              <w:rPr>
                <w:rFonts w:ascii="微软雅黑" w:hAnsi="微软雅黑" w:eastAsia="微软雅黑" w:cs="Arial"/>
                <w:b/>
                <w:color w:val="auto"/>
                <w:sz w:val="22"/>
                <w:highlight w:val="none"/>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rPr>
                <w:color w:val="auto"/>
                <w:highlight w:val="none"/>
              </w:rPr>
            </w:pPr>
            <w:r>
              <w:rPr>
                <w:rFonts w:hint="eastAsia" w:ascii="微软雅黑" w:hAnsi="微软雅黑" w:eastAsia="微软雅黑" w:cs="Arial"/>
                <w:b/>
                <w:color w:val="auto"/>
                <w:sz w:val="22"/>
                <w:highlight w:val="none"/>
              </w:rPr>
              <w:t>2.8.19.1</w:t>
            </w:r>
          </w:p>
        </w:tc>
        <w:tc>
          <w:tcPr>
            <w:tcW w:w="8076" w:type="dxa"/>
            <w:noWrap w:val="0"/>
            <w:vAlign w:val="center"/>
          </w:tcPr>
          <w:p>
            <w:pPr>
              <w:wordWrap w:val="0"/>
              <w:rPr>
                <w:rFonts w:hint="eastAsia" w:ascii="微软雅黑" w:hAnsi="微软雅黑" w:eastAsia="微软雅黑" w:cs="Arial"/>
                <w:color w:val="auto"/>
                <w:sz w:val="22"/>
                <w:highlight w:val="none"/>
              </w:rPr>
            </w:pPr>
            <w:r>
              <w:rPr>
                <w:rFonts w:hint="eastAsia" w:ascii="微软雅黑" w:hAnsi="微软雅黑" w:eastAsia="微软雅黑" w:cs="Arial"/>
                <w:b/>
                <w:color w:val="auto"/>
                <w:sz w:val="22"/>
                <w:highlight w:val="none"/>
              </w:rPr>
              <w:t>提供头部灌注软件：</w:t>
            </w:r>
            <w:r>
              <w:rPr>
                <w:rFonts w:ascii="微软雅黑" w:hAnsi="微软雅黑" w:eastAsia="微软雅黑" w:cs="Arial"/>
                <w:b/>
                <w:color w:val="auto"/>
                <w:sz w:val="22"/>
                <w:highlight w:val="none"/>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rPr>
                <w:color w:val="auto"/>
                <w:highlight w:val="none"/>
              </w:rPr>
            </w:pPr>
            <w:r>
              <w:rPr>
                <w:rFonts w:hint="eastAsia" w:ascii="微软雅黑" w:hAnsi="微软雅黑" w:eastAsia="微软雅黑" w:cs="Arial"/>
                <w:color w:val="auto"/>
                <w:sz w:val="22"/>
                <w:highlight w:val="none"/>
              </w:rPr>
              <w:t>2.8.19.1.1</w:t>
            </w:r>
          </w:p>
        </w:tc>
        <w:tc>
          <w:tcPr>
            <w:tcW w:w="8076" w:type="dxa"/>
            <w:noWrap w:val="0"/>
            <w:vAlign w:val="center"/>
          </w:tcPr>
          <w:p>
            <w:pPr>
              <w:pStyle w:val="39"/>
              <w:widowControl w:val="0"/>
              <w:wordWrap w:val="0"/>
              <w:ind w:left="0" w:leftChars="0" w:firstLine="0" w:firstLineChars="0"/>
              <w:rPr>
                <w:rFonts w:hint="eastAsia" w:ascii="微软雅黑" w:hAnsi="微软雅黑" w:eastAsia="微软雅黑" w:cs="Arial"/>
                <w:color w:val="auto"/>
                <w:highlight w:val="none"/>
              </w:rPr>
            </w:pPr>
            <w:r>
              <w:rPr>
                <w:rFonts w:hint="eastAsia" w:ascii="微软雅黑" w:hAnsi="微软雅黑" w:eastAsia="微软雅黑" w:cs="Arial"/>
                <w:color w:val="auto"/>
                <w:szCs w:val="24"/>
                <w:highlight w:val="none"/>
              </w:rPr>
              <w:t>提供Stroke和Tumor两种计算协议：</w:t>
            </w:r>
            <w:r>
              <w:rPr>
                <w:rFonts w:ascii="微软雅黑" w:hAnsi="微软雅黑" w:eastAsia="微软雅黑" w:cs="Arial"/>
                <w:color w:val="auto"/>
                <w:szCs w:val="24"/>
                <w:highlight w:val="none"/>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rPr>
                <w:color w:val="auto"/>
                <w:highlight w:val="none"/>
              </w:rPr>
            </w:pPr>
            <w:r>
              <w:rPr>
                <w:rFonts w:hint="eastAsia" w:ascii="微软雅黑" w:hAnsi="微软雅黑" w:eastAsia="微软雅黑" w:cs="Arial"/>
                <w:color w:val="auto"/>
                <w:sz w:val="22"/>
                <w:highlight w:val="none"/>
              </w:rPr>
              <w:t>2.8.19.1.2</w:t>
            </w:r>
          </w:p>
        </w:tc>
        <w:tc>
          <w:tcPr>
            <w:tcW w:w="8076" w:type="dxa"/>
            <w:noWrap w:val="0"/>
            <w:vAlign w:val="center"/>
          </w:tcPr>
          <w:p>
            <w:pPr>
              <w:pStyle w:val="39"/>
              <w:widowControl w:val="0"/>
              <w:wordWrap w:val="0"/>
              <w:ind w:left="0" w:leftChars="0" w:firstLine="0" w:firstLineChars="0"/>
              <w:rPr>
                <w:rFonts w:hint="eastAsia" w:ascii="微软雅黑" w:hAnsi="微软雅黑" w:eastAsia="微软雅黑" w:cs="Arial"/>
                <w:color w:val="auto"/>
                <w:highlight w:val="none"/>
              </w:rPr>
            </w:pPr>
            <w:r>
              <w:rPr>
                <w:rFonts w:hint="eastAsia" w:ascii="微软雅黑" w:hAnsi="微软雅黑" w:eastAsia="微软雅黑" w:cs="Arial"/>
                <w:color w:val="auto"/>
                <w:szCs w:val="24"/>
                <w:highlight w:val="none"/>
              </w:rPr>
              <w:t>自动执行软组织分割、动静脉定义：</w:t>
            </w:r>
            <w:r>
              <w:rPr>
                <w:rFonts w:ascii="微软雅黑" w:hAnsi="微软雅黑" w:eastAsia="微软雅黑" w:cs="Arial"/>
                <w:color w:val="auto"/>
                <w:szCs w:val="24"/>
                <w:highlight w:val="none"/>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rPr>
                <w:color w:val="auto"/>
                <w:highlight w:val="none"/>
              </w:rPr>
            </w:pPr>
            <w:r>
              <w:rPr>
                <w:rFonts w:hint="eastAsia" w:ascii="微软雅黑" w:hAnsi="微软雅黑" w:eastAsia="微软雅黑" w:cs="Arial"/>
                <w:color w:val="auto"/>
                <w:sz w:val="22"/>
                <w:highlight w:val="none"/>
              </w:rPr>
              <w:t>2.8.19.1.3</w:t>
            </w:r>
          </w:p>
        </w:tc>
        <w:tc>
          <w:tcPr>
            <w:tcW w:w="8076" w:type="dxa"/>
            <w:noWrap w:val="0"/>
            <w:vAlign w:val="center"/>
          </w:tcPr>
          <w:p>
            <w:pPr>
              <w:pStyle w:val="39"/>
              <w:widowControl w:val="0"/>
              <w:wordWrap w:val="0"/>
              <w:ind w:left="0" w:leftChars="0" w:firstLine="0" w:firstLineChars="0"/>
              <w:rPr>
                <w:rFonts w:hint="eastAsia" w:ascii="微软雅黑" w:hAnsi="微软雅黑" w:eastAsia="微软雅黑" w:cs="Arial"/>
                <w:color w:val="auto"/>
                <w:szCs w:val="24"/>
                <w:highlight w:val="none"/>
              </w:rPr>
            </w:pPr>
            <w:r>
              <w:rPr>
                <w:rFonts w:hint="eastAsia" w:ascii="微软雅黑" w:hAnsi="微软雅黑" w:eastAsia="微软雅黑" w:cs="Arial"/>
                <w:color w:val="auto"/>
                <w:szCs w:val="24"/>
                <w:highlight w:val="none"/>
              </w:rPr>
              <w:t>自动绘制感兴趣区的时间密度曲线：</w:t>
            </w:r>
            <w:r>
              <w:rPr>
                <w:rFonts w:ascii="微软雅黑" w:hAnsi="微软雅黑" w:eastAsia="微软雅黑" w:cs="Arial"/>
                <w:color w:val="auto"/>
                <w:szCs w:val="24"/>
                <w:highlight w:val="none"/>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rPr>
                <w:color w:val="auto"/>
                <w:highlight w:val="none"/>
              </w:rPr>
            </w:pPr>
            <w:r>
              <w:rPr>
                <w:rFonts w:hint="eastAsia" w:ascii="微软雅黑" w:hAnsi="微软雅黑" w:eastAsia="微软雅黑" w:cs="Arial"/>
                <w:color w:val="auto"/>
                <w:sz w:val="22"/>
                <w:highlight w:val="none"/>
              </w:rPr>
              <w:t>2.8.19.1.4</w:t>
            </w:r>
          </w:p>
        </w:tc>
        <w:tc>
          <w:tcPr>
            <w:tcW w:w="8076" w:type="dxa"/>
            <w:noWrap w:val="0"/>
            <w:vAlign w:val="center"/>
          </w:tcPr>
          <w:p>
            <w:pPr>
              <w:pStyle w:val="39"/>
              <w:widowControl w:val="0"/>
              <w:wordWrap w:val="0"/>
              <w:ind w:left="0" w:leftChars="0" w:firstLine="0" w:firstLineChars="0"/>
              <w:rPr>
                <w:rFonts w:hint="eastAsia" w:ascii="微软雅黑" w:hAnsi="微软雅黑" w:eastAsia="微软雅黑" w:cs="Arial"/>
                <w:color w:val="auto"/>
                <w:szCs w:val="24"/>
                <w:highlight w:val="none"/>
              </w:rPr>
            </w:pPr>
            <w:r>
              <w:rPr>
                <w:rFonts w:hint="eastAsia" w:ascii="微软雅黑" w:hAnsi="微软雅黑" w:eastAsia="微软雅黑" w:cs="Arial"/>
                <w:color w:val="auto"/>
                <w:szCs w:val="24"/>
                <w:highlight w:val="none"/>
              </w:rPr>
              <w:t>自动计算CBV，CBF，TTP，MTT、PS和Tmax等灌注参数，并以伪彩标记显示：</w:t>
            </w:r>
            <w:r>
              <w:rPr>
                <w:rFonts w:ascii="微软雅黑" w:hAnsi="微软雅黑" w:eastAsia="微软雅黑" w:cs="Arial"/>
                <w:color w:val="auto"/>
                <w:szCs w:val="24"/>
                <w:highlight w:val="none"/>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rPr>
                <w:color w:val="auto"/>
                <w:highlight w:val="none"/>
              </w:rPr>
            </w:pPr>
            <w:r>
              <w:rPr>
                <w:rFonts w:hint="eastAsia" w:ascii="微软雅黑" w:hAnsi="微软雅黑" w:eastAsia="微软雅黑" w:cs="Arial"/>
                <w:color w:val="auto"/>
                <w:sz w:val="22"/>
                <w:highlight w:val="none"/>
              </w:rPr>
              <w:t>2.8.19.1.5</w:t>
            </w:r>
          </w:p>
        </w:tc>
        <w:tc>
          <w:tcPr>
            <w:tcW w:w="8076" w:type="dxa"/>
            <w:noWrap w:val="0"/>
            <w:vAlign w:val="center"/>
          </w:tcPr>
          <w:p>
            <w:pPr>
              <w:pStyle w:val="39"/>
              <w:widowControl w:val="0"/>
              <w:wordWrap w:val="0"/>
              <w:ind w:left="0" w:leftChars="0" w:firstLine="0" w:firstLineChars="0"/>
              <w:rPr>
                <w:rFonts w:hint="eastAsia" w:ascii="微软雅黑" w:hAnsi="微软雅黑" w:eastAsia="微软雅黑" w:cs="Arial"/>
                <w:color w:val="auto"/>
                <w:szCs w:val="24"/>
                <w:highlight w:val="none"/>
              </w:rPr>
            </w:pPr>
            <w:r>
              <w:rPr>
                <w:rFonts w:hint="eastAsia" w:ascii="微软雅黑" w:hAnsi="微软雅黑" w:eastAsia="微软雅黑" w:cs="Arial"/>
                <w:color w:val="auto"/>
                <w:szCs w:val="24"/>
                <w:highlight w:val="none"/>
              </w:rPr>
              <w:t>自动执行软组织分割、肝动脉和门静脉定义，并以伪彩标记显示：</w:t>
            </w:r>
            <w:r>
              <w:rPr>
                <w:rFonts w:ascii="微软雅黑" w:hAnsi="微软雅黑" w:eastAsia="微软雅黑" w:cs="Arial"/>
                <w:color w:val="auto"/>
                <w:szCs w:val="24"/>
                <w:highlight w:val="none"/>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rPr>
                <w:color w:val="auto"/>
                <w:highlight w:val="none"/>
              </w:rPr>
            </w:pPr>
            <w:r>
              <w:rPr>
                <w:rFonts w:hint="eastAsia" w:ascii="微软雅黑" w:hAnsi="微软雅黑" w:eastAsia="微软雅黑" w:cs="Arial"/>
                <w:color w:val="auto"/>
                <w:sz w:val="22"/>
                <w:highlight w:val="none"/>
              </w:rPr>
              <w:t>2.8.19.1.6</w:t>
            </w:r>
          </w:p>
        </w:tc>
        <w:tc>
          <w:tcPr>
            <w:tcW w:w="8076" w:type="dxa"/>
            <w:noWrap w:val="0"/>
            <w:vAlign w:val="center"/>
          </w:tcPr>
          <w:p>
            <w:pPr>
              <w:wordWrap w:val="0"/>
              <w:rPr>
                <w:rFonts w:hint="eastAsia" w:ascii="微软雅黑" w:hAnsi="微软雅黑" w:eastAsia="微软雅黑" w:cs="Arial"/>
                <w:color w:val="auto"/>
                <w:highlight w:val="none"/>
              </w:rPr>
            </w:pPr>
            <w:r>
              <w:rPr>
                <w:rFonts w:hint="eastAsia" w:ascii="微软雅黑" w:hAnsi="微软雅黑" w:eastAsia="微软雅黑" w:cs="Arial"/>
                <w:color w:val="auto"/>
                <w:sz w:val="22"/>
                <w:highlight w:val="none"/>
              </w:rPr>
              <w:t>缺血半暗带分析：</w:t>
            </w:r>
            <w:r>
              <w:rPr>
                <w:rFonts w:ascii="微软雅黑" w:hAnsi="微软雅黑" w:eastAsia="微软雅黑" w:cs="Arial"/>
                <w:color w:val="auto"/>
                <w:sz w:val="22"/>
                <w:highlight w:val="none"/>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rPr>
                <w:color w:val="auto"/>
                <w:highlight w:val="none"/>
              </w:rPr>
            </w:pPr>
            <w:r>
              <w:rPr>
                <w:rFonts w:hint="eastAsia" w:ascii="微软雅黑" w:hAnsi="微软雅黑" w:eastAsia="微软雅黑" w:cs="Arial"/>
                <w:b/>
                <w:color w:val="auto"/>
                <w:sz w:val="22"/>
                <w:highlight w:val="none"/>
              </w:rPr>
              <w:t>2.8.19.2</w:t>
            </w:r>
          </w:p>
        </w:tc>
        <w:tc>
          <w:tcPr>
            <w:tcW w:w="8076" w:type="dxa"/>
            <w:noWrap w:val="0"/>
            <w:vAlign w:val="center"/>
          </w:tcPr>
          <w:p>
            <w:pPr>
              <w:wordWrap w:val="0"/>
              <w:rPr>
                <w:rFonts w:hint="eastAsia" w:ascii="微软雅黑" w:hAnsi="微软雅黑" w:eastAsia="微软雅黑" w:cs="Arial"/>
                <w:color w:val="auto"/>
                <w:highlight w:val="none"/>
              </w:rPr>
            </w:pPr>
            <w:r>
              <w:rPr>
                <w:rFonts w:hint="eastAsia" w:ascii="微软雅黑" w:hAnsi="微软雅黑" w:eastAsia="微软雅黑" w:cs="Arial"/>
                <w:b/>
                <w:color w:val="auto"/>
                <w:sz w:val="22"/>
                <w:highlight w:val="none"/>
              </w:rPr>
              <w:t>体部灌注软件：</w:t>
            </w:r>
            <w:r>
              <w:rPr>
                <w:rFonts w:ascii="微软雅黑" w:hAnsi="微软雅黑" w:eastAsia="微软雅黑" w:cs="Arial"/>
                <w:b/>
                <w:color w:val="auto"/>
                <w:sz w:val="22"/>
                <w:highlight w:val="none"/>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rPr>
                <w:color w:val="auto"/>
                <w:highlight w:val="none"/>
              </w:rPr>
            </w:pPr>
            <w:r>
              <w:rPr>
                <w:rFonts w:hint="eastAsia" w:ascii="微软雅黑" w:hAnsi="微软雅黑" w:eastAsia="微软雅黑" w:cs="Arial"/>
                <w:color w:val="auto"/>
                <w:sz w:val="22"/>
                <w:highlight w:val="none"/>
              </w:rPr>
              <w:t>2.8.19.2.1</w:t>
            </w:r>
          </w:p>
        </w:tc>
        <w:tc>
          <w:tcPr>
            <w:tcW w:w="8076" w:type="dxa"/>
            <w:noWrap w:val="0"/>
            <w:vAlign w:val="center"/>
          </w:tcPr>
          <w:p>
            <w:pPr>
              <w:pStyle w:val="39"/>
              <w:widowControl w:val="0"/>
              <w:wordWrap w:val="0"/>
              <w:ind w:left="0" w:leftChars="0" w:firstLine="0" w:firstLineChars="0"/>
              <w:rPr>
                <w:rFonts w:hint="eastAsia" w:ascii="微软雅黑" w:hAnsi="微软雅黑" w:eastAsia="微软雅黑" w:cs="Arial"/>
                <w:color w:val="auto"/>
                <w:szCs w:val="24"/>
                <w:highlight w:val="none"/>
              </w:rPr>
            </w:pPr>
            <w:r>
              <w:rPr>
                <w:rFonts w:hint="eastAsia" w:ascii="微软雅黑" w:hAnsi="微软雅黑" w:eastAsia="微软雅黑" w:cs="Arial"/>
                <w:color w:val="auto"/>
                <w:szCs w:val="24"/>
                <w:highlight w:val="none"/>
              </w:rPr>
              <w:t>自动/手动执行软组织分割、肝动脉和门静脉定义，并以伪彩标记显示：</w:t>
            </w:r>
            <w:r>
              <w:rPr>
                <w:rFonts w:ascii="微软雅黑" w:hAnsi="微软雅黑" w:eastAsia="微软雅黑" w:cs="Arial"/>
                <w:color w:val="auto"/>
                <w:szCs w:val="24"/>
                <w:highlight w:val="none"/>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rPr>
                <w:color w:val="auto"/>
                <w:highlight w:val="none"/>
              </w:rPr>
            </w:pPr>
            <w:r>
              <w:rPr>
                <w:rFonts w:hint="eastAsia" w:ascii="微软雅黑" w:hAnsi="微软雅黑" w:eastAsia="微软雅黑" w:cs="Arial"/>
                <w:color w:val="auto"/>
                <w:sz w:val="22"/>
                <w:highlight w:val="none"/>
              </w:rPr>
              <w:t>2.8.19.2.2</w:t>
            </w:r>
          </w:p>
        </w:tc>
        <w:tc>
          <w:tcPr>
            <w:tcW w:w="8076" w:type="dxa"/>
            <w:noWrap w:val="0"/>
            <w:vAlign w:val="center"/>
          </w:tcPr>
          <w:p>
            <w:pPr>
              <w:wordWrap w:val="0"/>
              <w:rPr>
                <w:rFonts w:hint="eastAsia" w:ascii="微软雅黑" w:hAnsi="微软雅黑" w:eastAsia="微软雅黑" w:cs="Arial"/>
                <w:color w:val="auto"/>
                <w:highlight w:val="none"/>
              </w:rPr>
            </w:pPr>
            <w:r>
              <w:rPr>
                <w:rFonts w:hint="eastAsia" w:ascii="微软雅黑" w:hAnsi="微软雅黑" w:eastAsia="微软雅黑" w:cs="Arial"/>
                <w:color w:val="auto"/>
                <w:sz w:val="22"/>
                <w:highlight w:val="none"/>
              </w:rPr>
              <w:t>进行运动矫正、定义基线、删除/恢复时间点、血管抑制、融合功能操作：</w:t>
            </w:r>
            <w:r>
              <w:rPr>
                <w:rFonts w:ascii="微软雅黑" w:hAnsi="微软雅黑" w:eastAsia="微软雅黑" w:cs="Arial"/>
                <w:color w:val="auto"/>
                <w:sz w:val="22"/>
                <w:highlight w:val="none"/>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rPr>
                <w:color w:val="auto"/>
                <w:highlight w:val="none"/>
              </w:rPr>
            </w:pPr>
            <w:r>
              <w:rPr>
                <w:rFonts w:hint="eastAsia" w:ascii="微软雅黑" w:hAnsi="微软雅黑" w:eastAsia="微软雅黑" w:cs="Arial"/>
                <w:color w:val="auto"/>
                <w:sz w:val="22"/>
                <w:highlight w:val="none"/>
              </w:rPr>
              <w:t>2.8.19.2.3</w:t>
            </w:r>
          </w:p>
        </w:tc>
        <w:tc>
          <w:tcPr>
            <w:tcW w:w="8076" w:type="dxa"/>
            <w:noWrap w:val="0"/>
            <w:vAlign w:val="center"/>
          </w:tcPr>
          <w:p>
            <w:pPr>
              <w:pStyle w:val="39"/>
              <w:widowControl w:val="0"/>
              <w:wordWrap w:val="0"/>
              <w:ind w:left="0" w:leftChars="0" w:firstLine="0" w:firstLineChars="0"/>
              <w:rPr>
                <w:rFonts w:hint="eastAsia" w:ascii="微软雅黑" w:hAnsi="微软雅黑" w:eastAsia="微软雅黑" w:cs="Arial"/>
                <w:color w:val="auto"/>
                <w:szCs w:val="24"/>
                <w:highlight w:val="none"/>
              </w:rPr>
            </w:pPr>
            <w:r>
              <w:rPr>
                <w:rFonts w:hint="eastAsia" w:ascii="微软雅黑" w:hAnsi="微软雅黑" w:eastAsia="微软雅黑" w:cs="Arial"/>
                <w:color w:val="auto"/>
                <w:szCs w:val="24"/>
                <w:highlight w:val="none"/>
              </w:rPr>
              <w:t>自动绘制感兴趣区的时间密度曲线：</w:t>
            </w:r>
            <w:r>
              <w:rPr>
                <w:rFonts w:ascii="微软雅黑" w:hAnsi="微软雅黑" w:eastAsia="微软雅黑" w:cs="Arial"/>
                <w:color w:val="auto"/>
                <w:szCs w:val="24"/>
                <w:highlight w:val="none"/>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rPr>
                <w:color w:val="auto"/>
                <w:highlight w:val="none"/>
              </w:rPr>
            </w:pPr>
            <w:r>
              <w:rPr>
                <w:rFonts w:hint="eastAsia" w:ascii="微软雅黑" w:hAnsi="微软雅黑" w:eastAsia="微软雅黑" w:cs="Arial"/>
                <w:color w:val="auto"/>
                <w:sz w:val="22"/>
                <w:highlight w:val="none"/>
              </w:rPr>
              <w:t>2.8.19.2.4</w:t>
            </w:r>
          </w:p>
        </w:tc>
        <w:tc>
          <w:tcPr>
            <w:tcW w:w="8076" w:type="dxa"/>
            <w:noWrap w:val="0"/>
            <w:vAlign w:val="center"/>
          </w:tcPr>
          <w:p>
            <w:pPr>
              <w:pStyle w:val="39"/>
              <w:widowControl w:val="0"/>
              <w:wordWrap w:val="0"/>
              <w:ind w:left="0" w:leftChars="0" w:firstLine="0" w:firstLineChars="0"/>
              <w:rPr>
                <w:rFonts w:hint="eastAsia" w:ascii="微软雅黑" w:hAnsi="微软雅黑" w:eastAsia="微软雅黑" w:cs="Arial"/>
                <w:color w:val="auto"/>
                <w:szCs w:val="24"/>
                <w:highlight w:val="none"/>
              </w:rPr>
            </w:pPr>
            <w:r>
              <w:rPr>
                <w:rFonts w:hint="eastAsia" w:ascii="微软雅黑" w:hAnsi="微软雅黑" w:eastAsia="微软雅黑" w:cs="Arial"/>
                <w:color w:val="auto"/>
                <w:szCs w:val="24"/>
                <w:highlight w:val="none"/>
              </w:rPr>
              <w:t>自动计算BV、BF、HAP、PVP、HPI、MTT、TTP和PS等灌注参数：</w:t>
            </w:r>
            <w:r>
              <w:rPr>
                <w:rFonts w:ascii="微软雅黑" w:hAnsi="微软雅黑" w:eastAsia="微软雅黑" w:cs="Arial"/>
                <w:color w:val="auto"/>
                <w:szCs w:val="24"/>
                <w:highlight w:val="none"/>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rPr>
                <w:color w:val="auto"/>
                <w:highlight w:val="none"/>
              </w:rPr>
            </w:pPr>
            <w:r>
              <w:rPr>
                <w:rFonts w:hint="eastAsia" w:ascii="微软雅黑" w:hAnsi="微软雅黑" w:eastAsia="微软雅黑" w:cs="Arial"/>
                <w:color w:val="auto"/>
                <w:sz w:val="22"/>
                <w:highlight w:val="none"/>
              </w:rPr>
              <w:t>2.8.19.2.5</w:t>
            </w:r>
          </w:p>
        </w:tc>
        <w:tc>
          <w:tcPr>
            <w:tcW w:w="8076" w:type="dxa"/>
            <w:noWrap w:val="0"/>
            <w:vAlign w:val="center"/>
          </w:tcPr>
          <w:p>
            <w:pPr>
              <w:wordWrap w:val="0"/>
              <w:rPr>
                <w:rFonts w:hint="eastAsia" w:ascii="微软雅黑" w:hAnsi="微软雅黑" w:eastAsia="微软雅黑" w:cs="Arial"/>
                <w:color w:val="auto"/>
                <w:highlight w:val="none"/>
              </w:rPr>
            </w:pPr>
            <w:r>
              <w:rPr>
                <w:rFonts w:hint="eastAsia" w:ascii="微软雅黑" w:hAnsi="微软雅黑" w:eastAsia="微软雅黑" w:cs="Arial"/>
                <w:color w:val="auto"/>
                <w:sz w:val="22"/>
                <w:highlight w:val="none"/>
              </w:rPr>
              <w:t>自动计算感兴趣区的面积、最大值、最小值、平均值等：</w:t>
            </w:r>
            <w:r>
              <w:rPr>
                <w:rFonts w:ascii="微软雅黑" w:hAnsi="微软雅黑" w:eastAsia="微软雅黑" w:cs="Arial"/>
                <w:color w:val="auto"/>
                <w:sz w:val="22"/>
                <w:highlight w:val="none"/>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rPr>
                <w:color w:val="auto"/>
                <w:highlight w:val="none"/>
              </w:rPr>
            </w:pPr>
            <w:r>
              <w:rPr>
                <w:rFonts w:hint="eastAsia" w:ascii="微软雅黑" w:hAnsi="微软雅黑" w:eastAsia="微软雅黑" w:cs="Arial"/>
                <w:b/>
                <w:color w:val="auto"/>
                <w:sz w:val="22"/>
                <w:highlight w:val="none"/>
              </w:rPr>
              <w:t>2.8.20</w:t>
            </w:r>
          </w:p>
        </w:tc>
        <w:tc>
          <w:tcPr>
            <w:tcW w:w="8076" w:type="dxa"/>
            <w:noWrap w:val="0"/>
            <w:vAlign w:val="center"/>
          </w:tcPr>
          <w:p>
            <w:pPr>
              <w:pStyle w:val="39"/>
              <w:widowControl w:val="0"/>
              <w:wordWrap w:val="0"/>
              <w:ind w:left="0" w:leftChars="0" w:firstLine="0" w:firstLineChars="0"/>
              <w:rPr>
                <w:rFonts w:hint="eastAsia" w:ascii="微软雅黑" w:hAnsi="微软雅黑" w:eastAsia="微软雅黑" w:cs="Arial"/>
                <w:color w:val="auto"/>
                <w:szCs w:val="24"/>
                <w:highlight w:val="none"/>
              </w:rPr>
            </w:pPr>
            <w:r>
              <w:rPr>
                <w:rFonts w:hint="eastAsia" w:ascii="微软雅黑" w:hAnsi="微软雅黑" w:eastAsia="微软雅黑" w:cs="Arial"/>
                <w:b/>
                <w:color w:val="auto"/>
                <w:szCs w:val="24"/>
                <w:highlight w:val="none"/>
              </w:rPr>
              <w:t>肺结节评估软件包:提供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rPr>
                <w:color w:val="auto"/>
                <w:highlight w:val="none"/>
              </w:rPr>
            </w:pPr>
            <w:r>
              <w:rPr>
                <w:rFonts w:hint="eastAsia" w:ascii="微软雅黑" w:hAnsi="微软雅黑" w:eastAsia="微软雅黑" w:cs="Arial"/>
                <w:color w:val="auto"/>
                <w:sz w:val="22"/>
                <w:highlight w:val="none"/>
              </w:rPr>
              <w:t>2.8.20</w:t>
            </w:r>
            <w:r>
              <w:rPr>
                <w:rFonts w:ascii="微软雅黑" w:hAnsi="微软雅黑" w:eastAsia="微软雅黑" w:cs="Arial"/>
                <w:color w:val="auto"/>
                <w:sz w:val="22"/>
                <w:highlight w:val="none"/>
              </w:rPr>
              <w:t>.1</w:t>
            </w:r>
          </w:p>
        </w:tc>
        <w:tc>
          <w:tcPr>
            <w:tcW w:w="8076" w:type="dxa"/>
            <w:noWrap w:val="0"/>
            <w:vAlign w:val="center"/>
          </w:tcPr>
          <w:p>
            <w:pPr>
              <w:widowControl w:val="0"/>
              <w:wordWrap w:val="0"/>
              <w:rPr>
                <w:rFonts w:hint="eastAsia" w:ascii="微软雅黑" w:hAnsi="微软雅黑" w:eastAsia="微软雅黑" w:cs="Arial"/>
                <w:color w:val="auto"/>
                <w:highlight w:val="none"/>
              </w:rPr>
            </w:pPr>
            <w:r>
              <w:rPr>
                <w:rFonts w:hint="eastAsia" w:ascii="微软雅黑" w:hAnsi="微软雅黑" w:eastAsia="微软雅黑" w:cs="Arial"/>
                <w:color w:val="auto"/>
                <w:sz w:val="22"/>
                <w:highlight w:val="none"/>
              </w:rPr>
              <w:t>支持肺部结节的检测及评估，自动检测、分割、提取可疑结节：</w:t>
            </w:r>
            <w:r>
              <w:rPr>
                <w:rFonts w:ascii="微软雅黑" w:hAnsi="微软雅黑" w:eastAsia="微软雅黑" w:cs="Arial"/>
                <w:color w:val="auto"/>
                <w:sz w:val="22"/>
                <w:highlight w:val="none"/>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rPr>
                <w:color w:val="auto"/>
                <w:highlight w:val="none"/>
              </w:rPr>
            </w:pPr>
            <w:r>
              <w:rPr>
                <w:rFonts w:hint="eastAsia" w:ascii="微软雅黑" w:hAnsi="微软雅黑" w:eastAsia="微软雅黑" w:cs="Arial"/>
                <w:color w:val="auto"/>
                <w:sz w:val="22"/>
                <w:highlight w:val="none"/>
              </w:rPr>
              <w:t>2.8.20</w:t>
            </w:r>
            <w:r>
              <w:rPr>
                <w:rFonts w:ascii="微软雅黑" w:hAnsi="微软雅黑" w:eastAsia="微软雅黑" w:cs="Arial"/>
                <w:color w:val="auto"/>
                <w:sz w:val="22"/>
                <w:highlight w:val="none"/>
              </w:rPr>
              <w:t>.2</w:t>
            </w:r>
          </w:p>
        </w:tc>
        <w:tc>
          <w:tcPr>
            <w:tcW w:w="8076" w:type="dxa"/>
            <w:noWrap w:val="0"/>
            <w:vAlign w:val="center"/>
          </w:tcPr>
          <w:p>
            <w:pPr>
              <w:widowControl w:val="0"/>
              <w:wordWrap w:val="0"/>
              <w:rPr>
                <w:rFonts w:hint="eastAsia" w:ascii="微软雅黑" w:hAnsi="微软雅黑" w:eastAsia="微软雅黑" w:cs="Arial"/>
                <w:color w:val="auto"/>
                <w:highlight w:val="none"/>
              </w:rPr>
            </w:pPr>
            <w:r>
              <w:rPr>
                <w:rFonts w:hint="eastAsia" w:ascii="微软雅黑" w:hAnsi="微软雅黑" w:eastAsia="微软雅黑" w:cs="Arial"/>
                <w:color w:val="auto"/>
                <w:sz w:val="22"/>
                <w:highlight w:val="none"/>
              </w:rPr>
              <w:t>通过编辑结节轮廓线修改结节大小：</w:t>
            </w:r>
            <w:r>
              <w:rPr>
                <w:rFonts w:ascii="微软雅黑" w:hAnsi="微软雅黑" w:eastAsia="微软雅黑" w:cs="Arial"/>
                <w:color w:val="auto"/>
                <w:sz w:val="22"/>
                <w:highlight w:val="none"/>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rPr>
                <w:color w:val="auto"/>
                <w:highlight w:val="none"/>
              </w:rPr>
            </w:pPr>
            <w:r>
              <w:rPr>
                <w:rFonts w:hint="eastAsia" w:ascii="微软雅黑" w:hAnsi="微软雅黑" w:eastAsia="微软雅黑" w:cs="Arial"/>
                <w:color w:val="auto"/>
                <w:sz w:val="22"/>
                <w:highlight w:val="none"/>
              </w:rPr>
              <w:t>2.8.20</w:t>
            </w:r>
            <w:r>
              <w:rPr>
                <w:rFonts w:ascii="微软雅黑" w:hAnsi="微软雅黑" w:eastAsia="微软雅黑" w:cs="Arial"/>
                <w:color w:val="auto"/>
                <w:sz w:val="22"/>
                <w:highlight w:val="none"/>
              </w:rPr>
              <w:t>.</w:t>
            </w:r>
            <w:r>
              <w:rPr>
                <w:rFonts w:hint="eastAsia" w:ascii="微软雅黑" w:hAnsi="微软雅黑" w:eastAsia="微软雅黑" w:cs="Arial"/>
                <w:color w:val="auto"/>
                <w:sz w:val="22"/>
                <w:highlight w:val="none"/>
              </w:rPr>
              <w:t>3</w:t>
            </w:r>
          </w:p>
        </w:tc>
        <w:tc>
          <w:tcPr>
            <w:tcW w:w="8076" w:type="dxa"/>
            <w:noWrap w:val="0"/>
            <w:vAlign w:val="center"/>
          </w:tcPr>
          <w:p>
            <w:pPr>
              <w:widowControl w:val="0"/>
              <w:wordWrap w:val="0"/>
              <w:rPr>
                <w:rFonts w:hint="eastAsia" w:ascii="微软雅黑" w:hAnsi="微软雅黑" w:eastAsia="微软雅黑" w:cs="Arial"/>
                <w:color w:val="auto"/>
                <w:highlight w:val="none"/>
              </w:rPr>
            </w:pPr>
            <w:r>
              <w:rPr>
                <w:rFonts w:hint="eastAsia" w:ascii="微软雅黑" w:hAnsi="微软雅黑" w:eastAsia="微软雅黑" w:cs="Arial"/>
                <w:color w:val="auto"/>
                <w:sz w:val="22"/>
                <w:highlight w:val="none"/>
              </w:rPr>
              <w:t>自动测量结节直径、体积、CT值等参数：</w:t>
            </w:r>
            <w:r>
              <w:rPr>
                <w:rFonts w:ascii="微软雅黑" w:hAnsi="微软雅黑" w:eastAsia="微软雅黑" w:cs="Arial"/>
                <w:color w:val="auto"/>
                <w:sz w:val="22"/>
                <w:highlight w:val="none"/>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2.8.20</w:t>
            </w:r>
            <w:r>
              <w:rPr>
                <w:rFonts w:ascii="微软雅黑" w:hAnsi="微软雅黑" w:eastAsia="微软雅黑" w:cs="Arial"/>
                <w:color w:val="auto"/>
                <w:sz w:val="22"/>
                <w:highlight w:val="none"/>
              </w:rPr>
              <w:t>.</w:t>
            </w:r>
            <w:r>
              <w:rPr>
                <w:rFonts w:hint="eastAsia" w:ascii="微软雅黑" w:hAnsi="微软雅黑" w:eastAsia="微软雅黑" w:cs="Arial"/>
                <w:color w:val="auto"/>
                <w:sz w:val="22"/>
                <w:highlight w:val="none"/>
              </w:rPr>
              <w:t>4</w:t>
            </w:r>
          </w:p>
        </w:tc>
        <w:tc>
          <w:tcPr>
            <w:tcW w:w="8076" w:type="dxa"/>
            <w:noWrap w:val="0"/>
            <w:vAlign w:val="center"/>
          </w:tcPr>
          <w:p>
            <w:pPr>
              <w:pStyle w:val="39"/>
              <w:widowControl w:val="0"/>
              <w:wordWrap w:val="0"/>
              <w:ind w:left="0" w:leftChars="0" w:firstLine="0" w:firstLineChars="0"/>
              <w:rPr>
                <w:rFonts w:hint="eastAsia" w:ascii="微软雅黑" w:hAnsi="微软雅黑" w:eastAsia="微软雅黑" w:cs="Arial"/>
                <w:color w:val="auto"/>
                <w:szCs w:val="24"/>
                <w:highlight w:val="none"/>
              </w:rPr>
            </w:pPr>
            <w:r>
              <w:rPr>
                <w:rFonts w:hint="eastAsia" w:ascii="微软雅黑" w:hAnsi="微软雅黑" w:eastAsia="微软雅黑" w:cs="Arial"/>
                <w:color w:val="auto"/>
                <w:szCs w:val="24"/>
                <w:highlight w:val="none"/>
              </w:rPr>
              <w:t>支持同一患者在不同时间段的多个序列的图像比较，支持评估结节的变化曲线：</w:t>
            </w:r>
            <w:r>
              <w:rPr>
                <w:rFonts w:ascii="微软雅黑" w:hAnsi="微软雅黑" w:eastAsia="微软雅黑" w:cs="Arial"/>
                <w:color w:val="auto"/>
                <w:szCs w:val="24"/>
                <w:highlight w:val="none"/>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2.8.20.5</w:t>
            </w:r>
          </w:p>
        </w:tc>
        <w:tc>
          <w:tcPr>
            <w:tcW w:w="8076" w:type="dxa"/>
            <w:noWrap w:val="0"/>
            <w:vAlign w:val="center"/>
          </w:tcPr>
          <w:p>
            <w:pPr>
              <w:pStyle w:val="39"/>
              <w:widowControl w:val="0"/>
              <w:wordWrap w:val="0"/>
              <w:ind w:left="0" w:leftChars="0" w:firstLine="0" w:firstLineChars="0"/>
              <w:rPr>
                <w:rFonts w:hint="eastAsia" w:ascii="微软雅黑" w:hAnsi="微软雅黑" w:eastAsia="微软雅黑" w:cs="Arial"/>
                <w:color w:val="auto"/>
                <w:highlight w:val="none"/>
              </w:rPr>
            </w:pPr>
            <w:r>
              <w:rPr>
                <w:rFonts w:hint="eastAsia" w:ascii="微软雅黑" w:hAnsi="微软雅黑" w:eastAsia="微软雅黑" w:cs="Arial"/>
                <w:color w:val="auto"/>
                <w:szCs w:val="24"/>
                <w:highlight w:val="none"/>
              </w:rPr>
              <w:t>自动计算结节中不同密度成分占比并以图文形式展示：提供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rPr>
                <w:color w:val="auto"/>
                <w:highlight w:val="none"/>
              </w:rPr>
            </w:pPr>
            <w:r>
              <w:rPr>
                <w:rFonts w:hint="eastAsia" w:ascii="微软雅黑" w:hAnsi="微软雅黑" w:eastAsia="微软雅黑" w:cs="Arial"/>
                <w:color w:val="auto"/>
                <w:sz w:val="22"/>
                <w:highlight w:val="none"/>
              </w:rPr>
              <w:t>2.8.20.6</w:t>
            </w:r>
          </w:p>
        </w:tc>
        <w:tc>
          <w:tcPr>
            <w:tcW w:w="8076" w:type="dxa"/>
            <w:noWrap w:val="0"/>
            <w:vAlign w:val="center"/>
          </w:tcPr>
          <w:p>
            <w:pPr>
              <w:wordWrap w:val="0"/>
              <w:rPr>
                <w:rFonts w:hint="eastAsia" w:ascii="微软雅黑" w:hAnsi="微软雅黑" w:eastAsia="微软雅黑" w:cs="Arial"/>
                <w:color w:val="auto"/>
                <w:sz w:val="22"/>
                <w:highlight w:val="none"/>
              </w:rPr>
            </w:pPr>
            <w:r>
              <w:rPr>
                <w:rFonts w:hint="eastAsia" w:ascii="微软雅黑" w:hAnsi="微软雅黑" w:eastAsia="微软雅黑" w:cs="Arial"/>
                <w:color w:val="auto"/>
                <w:highlight w:val="none"/>
              </w:rPr>
              <w:t>支持不同类型结节的提取、评估分析（如实结节、磨玻璃结节、混合性结节）：提供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rPr>
                <w:color w:val="auto"/>
                <w:highlight w:val="none"/>
              </w:rPr>
            </w:pPr>
            <w:r>
              <w:rPr>
                <w:rFonts w:hint="eastAsia" w:ascii="微软雅黑" w:hAnsi="微软雅黑" w:eastAsia="微软雅黑" w:cs="Arial"/>
                <w:color w:val="auto"/>
                <w:sz w:val="22"/>
                <w:highlight w:val="none"/>
              </w:rPr>
              <w:t>2.8.20.7</w:t>
            </w:r>
          </w:p>
        </w:tc>
        <w:tc>
          <w:tcPr>
            <w:tcW w:w="8076" w:type="dxa"/>
            <w:noWrap w:val="0"/>
            <w:vAlign w:val="center"/>
          </w:tcPr>
          <w:p>
            <w:pPr>
              <w:wordWrap w:val="0"/>
              <w:rPr>
                <w:rFonts w:hint="eastAsia" w:ascii="微软雅黑" w:hAnsi="微软雅黑" w:eastAsia="微软雅黑" w:cs="Arial"/>
                <w:color w:val="auto"/>
                <w:sz w:val="22"/>
                <w:highlight w:val="none"/>
              </w:rPr>
            </w:pPr>
            <w:r>
              <w:rPr>
                <w:rFonts w:hint="eastAsia" w:ascii="微软雅黑" w:hAnsi="微软雅黑" w:eastAsia="微软雅黑" w:cs="Arial"/>
                <w:color w:val="auto"/>
                <w:highlight w:val="none"/>
              </w:rPr>
              <w:t>肺结节CAD分析功能：提供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rPr>
                <w:color w:val="auto"/>
                <w:highlight w:val="none"/>
              </w:rPr>
            </w:pPr>
            <w:r>
              <w:rPr>
                <w:rFonts w:hint="eastAsia" w:ascii="微软雅黑" w:hAnsi="微软雅黑" w:eastAsia="微软雅黑" w:cs="Arial"/>
                <w:b/>
                <w:color w:val="auto"/>
                <w:sz w:val="22"/>
                <w:highlight w:val="none"/>
              </w:rPr>
              <w:t>2.8.21</w:t>
            </w:r>
          </w:p>
        </w:tc>
        <w:tc>
          <w:tcPr>
            <w:tcW w:w="8076" w:type="dxa"/>
            <w:noWrap w:val="0"/>
            <w:vAlign w:val="center"/>
          </w:tcPr>
          <w:p>
            <w:pPr>
              <w:wordWrap w:val="0"/>
              <w:rPr>
                <w:rFonts w:hint="eastAsia" w:ascii="微软雅黑" w:hAnsi="微软雅黑" w:eastAsia="微软雅黑" w:cs="Arial"/>
                <w:color w:val="auto"/>
                <w:highlight w:val="none"/>
              </w:rPr>
            </w:pPr>
            <w:r>
              <w:rPr>
                <w:rFonts w:hint="eastAsia" w:ascii="微软雅黑" w:hAnsi="微软雅黑" w:eastAsia="微软雅黑" w:cs="Arial"/>
                <w:b/>
                <w:color w:val="auto"/>
                <w:sz w:val="22"/>
                <w:highlight w:val="none"/>
              </w:rPr>
              <w:t>肺气肿分析软件包：</w:t>
            </w:r>
            <w:r>
              <w:rPr>
                <w:rFonts w:ascii="微软雅黑" w:hAnsi="微软雅黑" w:eastAsia="微软雅黑" w:cs="Arial"/>
                <w:b/>
                <w:color w:val="auto"/>
                <w:sz w:val="22"/>
                <w:highlight w:val="none"/>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rPr>
                <w:color w:val="auto"/>
                <w:highlight w:val="none"/>
              </w:rPr>
            </w:pPr>
            <w:r>
              <w:rPr>
                <w:rFonts w:hint="eastAsia" w:ascii="微软雅黑" w:hAnsi="微软雅黑" w:eastAsia="微软雅黑" w:cs="Arial"/>
                <w:color w:val="auto"/>
                <w:sz w:val="22"/>
                <w:highlight w:val="none"/>
              </w:rPr>
              <w:t>2.8.21</w:t>
            </w:r>
            <w:r>
              <w:rPr>
                <w:rFonts w:ascii="微软雅黑" w:hAnsi="微软雅黑" w:eastAsia="微软雅黑" w:cs="Arial"/>
                <w:color w:val="auto"/>
                <w:sz w:val="22"/>
                <w:highlight w:val="none"/>
              </w:rPr>
              <w:t>.1</w:t>
            </w:r>
          </w:p>
        </w:tc>
        <w:tc>
          <w:tcPr>
            <w:tcW w:w="8076" w:type="dxa"/>
            <w:noWrap w:val="0"/>
            <w:vAlign w:val="center"/>
          </w:tcPr>
          <w:p>
            <w:pPr>
              <w:wordWrap w:val="0"/>
              <w:rPr>
                <w:rFonts w:hint="eastAsia" w:ascii="微软雅黑" w:hAnsi="微软雅黑" w:eastAsia="微软雅黑" w:cs="Arial"/>
                <w:color w:val="auto"/>
                <w:highlight w:val="none"/>
              </w:rPr>
            </w:pPr>
            <w:r>
              <w:rPr>
                <w:rFonts w:hint="eastAsia" w:ascii="微软雅黑" w:hAnsi="微软雅黑" w:eastAsia="微软雅黑" w:cs="Arial"/>
                <w:color w:val="auto"/>
                <w:sz w:val="22"/>
                <w:highlight w:val="none"/>
              </w:rPr>
              <w:t>支持肺部气肿的检测及评估，自动检测、标记可疑气肿：</w:t>
            </w:r>
            <w:r>
              <w:rPr>
                <w:rFonts w:ascii="微软雅黑" w:hAnsi="微软雅黑" w:eastAsia="微软雅黑" w:cs="Arial"/>
                <w:color w:val="auto"/>
                <w:sz w:val="22"/>
                <w:highlight w:val="none"/>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rPr>
                <w:color w:val="auto"/>
                <w:highlight w:val="none"/>
              </w:rPr>
            </w:pPr>
            <w:r>
              <w:rPr>
                <w:rFonts w:hint="eastAsia" w:ascii="微软雅黑" w:hAnsi="微软雅黑" w:eastAsia="微软雅黑" w:cs="Arial"/>
                <w:color w:val="auto"/>
                <w:sz w:val="22"/>
                <w:highlight w:val="none"/>
              </w:rPr>
              <w:t>2.8.21</w:t>
            </w:r>
            <w:r>
              <w:rPr>
                <w:rFonts w:ascii="微软雅黑" w:hAnsi="微软雅黑" w:eastAsia="微软雅黑" w:cs="Arial"/>
                <w:color w:val="auto"/>
                <w:sz w:val="22"/>
                <w:highlight w:val="none"/>
              </w:rPr>
              <w:t>.2</w:t>
            </w:r>
          </w:p>
        </w:tc>
        <w:tc>
          <w:tcPr>
            <w:tcW w:w="8076" w:type="dxa"/>
            <w:noWrap w:val="0"/>
            <w:vAlign w:val="center"/>
          </w:tcPr>
          <w:p>
            <w:pPr>
              <w:wordWrap w:val="0"/>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自动分割提取并显示肺组织和气管，支持左肺、右肺和气管的3D查看：</w:t>
            </w:r>
            <w:r>
              <w:rPr>
                <w:rFonts w:ascii="微软雅黑" w:hAnsi="微软雅黑" w:eastAsia="微软雅黑" w:cs="Arial"/>
                <w:color w:val="auto"/>
                <w:sz w:val="22"/>
                <w:highlight w:val="none"/>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rPr>
                <w:color w:val="auto"/>
                <w:highlight w:val="none"/>
              </w:rPr>
            </w:pPr>
            <w:r>
              <w:rPr>
                <w:rFonts w:hint="eastAsia" w:ascii="微软雅黑" w:hAnsi="微软雅黑" w:eastAsia="微软雅黑" w:cs="Arial"/>
                <w:color w:val="auto"/>
                <w:sz w:val="22"/>
                <w:highlight w:val="none"/>
              </w:rPr>
              <w:t>2.8.21</w:t>
            </w:r>
            <w:r>
              <w:rPr>
                <w:rFonts w:ascii="微软雅黑" w:hAnsi="微软雅黑" w:eastAsia="微软雅黑" w:cs="Arial"/>
                <w:color w:val="auto"/>
                <w:sz w:val="22"/>
                <w:highlight w:val="none"/>
              </w:rPr>
              <w:t>.3</w:t>
            </w:r>
          </w:p>
        </w:tc>
        <w:tc>
          <w:tcPr>
            <w:tcW w:w="8076" w:type="dxa"/>
            <w:noWrap w:val="0"/>
            <w:vAlign w:val="center"/>
          </w:tcPr>
          <w:p>
            <w:pPr>
              <w:wordWrap w:val="0"/>
              <w:rPr>
                <w:rFonts w:hint="eastAsia" w:ascii="微软雅黑" w:hAnsi="微软雅黑" w:eastAsia="微软雅黑" w:cs="Arial"/>
                <w:b/>
                <w:color w:val="auto"/>
                <w:sz w:val="22"/>
                <w:highlight w:val="none"/>
              </w:rPr>
            </w:pPr>
            <w:r>
              <w:rPr>
                <w:rFonts w:hint="eastAsia" w:ascii="微软雅黑" w:hAnsi="微软雅黑" w:eastAsia="微软雅黑" w:cs="Arial"/>
                <w:color w:val="auto"/>
                <w:sz w:val="22"/>
                <w:highlight w:val="none"/>
              </w:rPr>
              <w:t>自动完成对肺气肿（体积）的量化测量和颜色标记显示：</w:t>
            </w:r>
            <w:r>
              <w:rPr>
                <w:rFonts w:ascii="微软雅黑" w:hAnsi="微软雅黑" w:eastAsia="微软雅黑" w:cs="Arial"/>
                <w:color w:val="auto"/>
                <w:sz w:val="22"/>
                <w:highlight w:val="none"/>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2.8.21</w:t>
            </w:r>
            <w:r>
              <w:rPr>
                <w:rFonts w:ascii="微软雅黑" w:hAnsi="微软雅黑" w:eastAsia="微软雅黑" w:cs="Arial"/>
                <w:color w:val="auto"/>
                <w:sz w:val="22"/>
                <w:highlight w:val="none"/>
              </w:rPr>
              <w:t>.4</w:t>
            </w:r>
          </w:p>
        </w:tc>
        <w:tc>
          <w:tcPr>
            <w:tcW w:w="8076" w:type="dxa"/>
            <w:noWrap w:val="0"/>
            <w:vAlign w:val="center"/>
          </w:tcPr>
          <w:p>
            <w:pPr>
              <w:wordWrap w:val="0"/>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自动计算左肺、右肺或双肺的肺气肿所占百分比：</w:t>
            </w:r>
            <w:r>
              <w:rPr>
                <w:rFonts w:ascii="微软雅黑" w:hAnsi="微软雅黑" w:eastAsia="微软雅黑" w:cs="Arial"/>
                <w:color w:val="auto"/>
                <w:sz w:val="22"/>
                <w:highlight w:val="none"/>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2.8.21.5</w:t>
            </w:r>
          </w:p>
        </w:tc>
        <w:tc>
          <w:tcPr>
            <w:tcW w:w="8076" w:type="dxa"/>
            <w:noWrap w:val="0"/>
            <w:vAlign w:val="center"/>
          </w:tcPr>
          <w:p>
            <w:pPr>
              <w:wordWrap w:val="0"/>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支持肺气肿体积数值分析和密度曲线图展示：</w:t>
            </w:r>
            <w:r>
              <w:rPr>
                <w:rFonts w:ascii="微软雅黑" w:hAnsi="微软雅黑" w:eastAsia="微软雅黑" w:cs="Arial"/>
                <w:color w:val="auto"/>
                <w:sz w:val="22"/>
                <w:highlight w:val="none"/>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rPr>
                <w:color w:val="auto"/>
                <w:highlight w:val="none"/>
              </w:rPr>
            </w:pPr>
            <w:r>
              <w:rPr>
                <w:rFonts w:hint="eastAsia" w:ascii="微软雅黑" w:hAnsi="微软雅黑" w:eastAsia="微软雅黑" w:cs="Arial"/>
                <w:b/>
                <w:color w:val="auto"/>
                <w:sz w:val="22"/>
                <w:highlight w:val="none"/>
              </w:rPr>
              <w:t>2.8.22</w:t>
            </w:r>
          </w:p>
        </w:tc>
        <w:tc>
          <w:tcPr>
            <w:tcW w:w="8076" w:type="dxa"/>
            <w:noWrap w:val="0"/>
            <w:vAlign w:val="center"/>
          </w:tcPr>
          <w:p>
            <w:pPr>
              <w:pStyle w:val="39"/>
              <w:widowControl w:val="0"/>
              <w:tabs>
                <w:tab w:val="left" w:pos="312"/>
              </w:tabs>
              <w:wordWrap w:val="0"/>
              <w:ind w:left="0" w:leftChars="0" w:firstLine="0" w:firstLineChars="0"/>
              <w:rPr>
                <w:rFonts w:hint="eastAsia" w:ascii="微软雅黑" w:hAnsi="微软雅黑" w:eastAsia="微软雅黑" w:cs="Arial"/>
                <w:color w:val="auto"/>
                <w:highlight w:val="none"/>
              </w:rPr>
            </w:pPr>
            <w:r>
              <w:rPr>
                <w:rFonts w:hint="eastAsia" w:ascii="微软雅黑" w:hAnsi="微软雅黑" w:eastAsia="微软雅黑" w:cs="Arial"/>
                <w:b/>
                <w:color w:val="auto"/>
                <w:szCs w:val="24"/>
                <w:highlight w:val="none"/>
              </w:rPr>
              <w:t>肿瘤分析软件包：</w:t>
            </w:r>
            <w:r>
              <w:rPr>
                <w:rFonts w:ascii="微软雅黑" w:hAnsi="微软雅黑" w:eastAsia="微软雅黑" w:cs="Arial"/>
                <w:b/>
                <w:color w:val="auto"/>
                <w:szCs w:val="24"/>
                <w:highlight w:val="none"/>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rPr>
                <w:color w:val="auto"/>
                <w:highlight w:val="none"/>
              </w:rPr>
            </w:pPr>
            <w:r>
              <w:rPr>
                <w:rFonts w:hint="eastAsia" w:ascii="微软雅黑" w:hAnsi="微软雅黑" w:eastAsia="微软雅黑" w:cs="Arial"/>
                <w:color w:val="auto"/>
                <w:sz w:val="22"/>
                <w:highlight w:val="none"/>
              </w:rPr>
              <w:t>2.8.22</w:t>
            </w:r>
            <w:r>
              <w:rPr>
                <w:rFonts w:ascii="微软雅黑" w:hAnsi="微软雅黑" w:eastAsia="微软雅黑" w:cs="Arial"/>
                <w:color w:val="auto"/>
                <w:sz w:val="22"/>
                <w:highlight w:val="none"/>
              </w:rPr>
              <w:t>.1</w:t>
            </w:r>
          </w:p>
        </w:tc>
        <w:tc>
          <w:tcPr>
            <w:tcW w:w="8076" w:type="dxa"/>
            <w:noWrap w:val="0"/>
            <w:vAlign w:val="center"/>
          </w:tcPr>
          <w:p>
            <w:pPr>
              <w:pStyle w:val="39"/>
              <w:widowControl w:val="0"/>
              <w:wordWrap w:val="0"/>
              <w:ind w:left="0" w:leftChars="0" w:firstLine="0" w:firstLineChars="0"/>
              <w:rPr>
                <w:rFonts w:hint="eastAsia" w:ascii="微软雅黑" w:hAnsi="微软雅黑" w:eastAsia="微软雅黑" w:cs="Arial"/>
                <w:color w:val="auto"/>
                <w:highlight w:val="none"/>
              </w:rPr>
            </w:pPr>
            <w:r>
              <w:rPr>
                <w:rFonts w:hint="eastAsia" w:ascii="微软雅黑" w:hAnsi="微软雅黑" w:eastAsia="微软雅黑" w:cs="Arial"/>
                <w:color w:val="auto"/>
                <w:szCs w:val="24"/>
                <w:highlight w:val="none"/>
              </w:rPr>
              <w:t>标记可疑病灶：</w:t>
            </w:r>
            <w:r>
              <w:rPr>
                <w:rFonts w:ascii="微软雅黑" w:hAnsi="微软雅黑" w:eastAsia="微软雅黑" w:cs="Arial"/>
                <w:color w:val="auto"/>
                <w:szCs w:val="24"/>
                <w:highlight w:val="none"/>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rPr>
                <w:color w:val="auto"/>
                <w:highlight w:val="none"/>
              </w:rPr>
            </w:pPr>
            <w:r>
              <w:rPr>
                <w:rFonts w:hint="eastAsia" w:ascii="微软雅黑" w:hAnsi="微软雅黑" w:eastAsia="微软雅黑" w:cs="Arial"/>
                <w:color w:val="auto"/>
                <w:sz w:val="22"/>
                <w:highlight w:val="none"/>
              </w:rPr>
              <w:t>2.8.22</w:t>
            </w:r>
            <w:r>
              <w:rPr>
                <w:rFonts w:ascii="微软雅黑" w:hAnsi="微软雅黑" w:eastAsia="微软雅黑" w:cs="Arial"/>
                <w:color w:val="auto"/>
                <w:sz w:val="22"/>
                <w:highlight w:val="none"/>
              </w:rPr>
              <w:t>.2</w:t>
            </w:r>
          </w:p>
        </w:tc>
        <w:tc>
          <w:tcPr>
            <w:tcW w:w="8076" w:type="dxa"/>
            <w:noWrap w:val="0"/>
            <w:vAlign w:val="center"/>
          </w:tcPr>
          <w:p>
            <w:pPr>
              <w:wordWrap w:val="0"/>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通过编辑结节轮廓线修正肿瘤大小：</w:t>
            </w:r>
            <w:r>
              <w:rPr>
                <w:rFonts w:ascii="微软雅黑" w:hAnsi="微软雅黑" w:eastAsia="微软雅黑" w:cs="Arial"/>
                <w:color w:val="auto"/>
                <w:sz w:val="22"/>
                <w:highlight w:val="none"/>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rPr>
                <w:color w:val="auto"/>
                <w:highlight w:val="none"/>
              </w:rPr>
            </w:pPr>
            <w:r>
              <w:rPr>
                <w:rFonts w:hint="eastAsia" w:ascii="微软雅黑" w:hAnsi="微软雅黑" w:eastAsia="微软雅黑" w:cs="Arial"/>
                <w:color w:val="auto"/>
                <w:sz w:val="22"/>
                <w:highlight w:val="none"/>
              </w:rPr>
              <w:t>2.8.22</w:t>
            </w:r>
            <w:r>
              <w:rPr>
                <w:rFonts w:ascii="微软雅黑" w:hAnsi="微软雅黑" w:eastAsia="微软雅黑" w:cs="Arial"/>
                <w:color w:val="auto"/>
                <w:sz w:val="22"/>
                <w:highlight w:val="none"/>
              </w:rPr>
              <w:t>.3</w:t>
            </w:r>
          </w:p>
        </w:tc>
        <w:tc>
          <w:tcPr>
            <w:tcW w:w="8076" w:type="dxa"/>
            <w:noWrap w:val="0"/>
            <w:vAlign w:val="center"/>
          </w:tcPr>
          <w:p>
            <w:pPr>
              <w:wordWrap w:val="0"/>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自动测量肿瘤直径、体积、CT值等参数：</w:t>
            </w:r>
            <w:r>
              <w:rPr>
                <w:rFonts w:ascii="微软雅黑" w:hAnsi="微软雅黑" w:eastAsia="微软雅黑" w:cs="Arial"/>
                <w:color w:val="auto"/>
                <w:sz w:val="22"/>
                <w:highlight w:val="none"/>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2.8.22</w:t>
            </w:r>
            <w:r>
              <w:rPr>
                <w:rFonts w:ascii="微软雅黑" w:hAnsi="微软雅黑" w:eastAsia="微软雅黑" w:cs="Arial"/>
                <w:color w:val="auto"/>
                <w:sz w:val="22"/>
                <w:highlight w:val="none"/>
              </w:rPr>
              <w:t>.4</w:t>
            </w:r>
          </w:p>
        </w:tc>
        <w:tc>
          <w:tcPr>
            <w:tcW w:w="8076" w:type="dxa"/>
            <w:noWrap w:val="0"/>
            <w:vAlign w:val="center"/>
          </w:tcPr>
          <w:p>
            <w:pPr>
              <w:wordWrap w:val="0"/>
              <w:rPr>
                <w:rFonts w:hint="eastAsia" w:ascii="微软雅黑" w:hAnsi="微软雅黑" w:eastAsia="微软雅黑" w:cs="Arial"/>
                <w:color w:val="auto"/>
                <w:highlight w:val="none"/>
              </w:rPr>
            </w:pPr>
            <w:r>
              <w:rPr>
                <w:rFonts w:hint="eastAsia" w:ascii="微软雅黑" w:hAnsi="微软雅黑" w:eastAsia="微软雅黑" w:cs="Arial"/>
                <w:color w:val="auto"/>
                <w:sz w:val="22"/>
                <w:highlight w:val="none"/>
              </w:rPr>
              <w:t>同一患者在不同时间段的多个序列的图像比较，通过曲线查看肿瘤的体积和大小的变化趋势，肿瘤的生长情况评估：</w:t>
            </w:r>
            <w:r>
              <w:rPr>
                <w:rFonts w:ascii="微软雅黑" w:hAnsi="微软雅黑" w:eastAsia="微软雅黑" w:cs="Arial"/>
                <w:color w:val="auto"/>
                <w:sz w:val="22"/>
                <w:highlight w:val="none"/>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2.8.22.5</w:t>
            </w:r>
          </w:p>
        </w:tc>
        <w:tc>
          <w:tcPr>
            <w:tcW w:w="8076" w:type="dxa"/>
            <w:noWrap w:val="0"/>
            <w:vAlign w:val="center"/>
          </w:tcPr>
          <w:p>
            <w:pPr>
              <w:wordWrap w:val="0"/>
              <w:rPr>
                <w:rFonts w:hint="eastAsia" w:ascii="微软雅黑" w:hAnsi="微软雅黑" w:eastAsia="微软雅黑" w:cs="Arial"/>
                <w:color w:val="auto"/>
                <w:highlight w:val="none"/>
              </w:rPr>
            </w:pPr>
            <w:r>
              <w:rPr>
                <w:rFonts w:hint="eastAsia" w:ascii="微软雅黑" w:hAnsi="微软雅黑" w:eastAsia="微软雅黑" w:cs="Arial"/>
                <w:color w:val="auto"/>
                <w:sz w:val="22"/>
                <w:highlight w:val="none"/>
              </w:rPr>
              <w:t>RECIST、RECIST 1.1标准评估肿瘤情况：提供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2.8.22.6</w:t>
            </w:r>
          </w:p>
        </w:tc>
        <w:tc>
          <w:tcPr>
            <w:tcW w:w="8076" w:type="dxa"/>
            <w:noWrap w:val="0"/>
            <w:vAlign w:val="center"/>
          </w:tcPr>
          <w:p>
            <w:pPr>
              <w:wordWrap w:val="0"/>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肿瘤疗效评估，如CR、PR、PD、SD：提供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rPr>
                <w:rFonts w:hint="eastAsia" w:ascii="微软雅黑" w:hAnsi="微软雅黑" w:eastAsia="微软雅黑" w:cs="Arial"/>
                <w:color w:val="auto"/>
                <w:sz w:val="22"/>
                <w:highlight w:val="none"/>
              </w:rPr>
            </w:pPr>
            <w:r>
              <w:rPr>
                <w:rFonts w:hint="eastAsia" w:ascii="微软雅黑" w:hAnsi="微软雅黑" w:eastAsia="微软雅黑" w:cs="Arial"/>
                <w:b/>
                <w:color w:val="auto"/>
                <w:sz w:val="22"/>
                <w:highlight w:val="none"/>
              </w:rPr>
              <w:t>2.8.23</w:t>
            </w:r>
          </w:p>
        </w:tc>
        <w:tc>
          <w:tcPr>
            <w:tcW w:w="8076" w:type="dxa"/>
            <w:noWrap w:val="0"/>
            <w:vAlign w:val="center"/>
          </w:tcPr>
          <w:p>
            <w:pPr>
              <w:wordWrap w:val="0"/>
              <w:rPr>
                <w:rFonts w:hint="eastAsia" w:ascii="微软雅黑" w:hAnsi="微软雅黑" w:eastAsia="微软雅黑" w:cs="Arial"/>
                <w:color w:val="auto"/>
                <w:sz w:val="22"/>
                <w:highlight w:val="none"/>
              </w:rPr>
            </w:pPr>
            <w:r>
              <w:rPr>
                <w:rFonts w:hint="eastAsia" w:ascii="微软雅黑" w:hAnsi="微软雅黑" w:eastAsia="微软雅黑" w:cs="Arial"/>
                <w:b/>
                <w:color w:val="auto"/>
                <w:sz w:val="22"/>
                <w:highlight w:val="none"/>
              </w:rPr>
              <w:t>结肠高级应用软件包：提供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2.8.23.1</w:t>
            </w:r>
          </w:p>
        </w:tc>
        <w:tc>
          <w:tcPr>
            <w:tcW w:w="8076" w:type="dxa"/>
            <w:noWrap w:val="0"/>
            <w:vAlign w:val="center"/>
          </w:tcPr>
          <w:p>
            <w:pPr>
              <w:wordWrap w:val="0"/>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自动预处理，具备自动结肠分割、自动中心线提取功能：提供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2.8.23.2</w:t>
            </w:r>
          </w:p>
        </w:tc>
        <w:tc>
          <w:tcPr>
            <w:tcW w:w="8076" w:type="dxa"/>
            <w:noWrap w:val="0"/>
            <w:vAlign w:val="center"/>
          </w:tcPr>
          <w:p>
            <w:pPr>
              <w:wordWrap w:val="0"/>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电子清肠，具备自动清除残留造影剂、粪便的功能：提供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2.8.23.3</w:t>
            </w:r>
          </w:p>
        </w:tc>
        <w:tc>
          <w:tcPr>
            <w:tcW w:w="8076" w:type="dxa"/>
            <w:noWrap w:val="0"/>
            <w:vAlign w:val="center"/>
          </w:tcPr>
          <w:p>
            <w:pPr>
              <w:wordWrap w:val="0"/>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自动息肉筛查，具备自动息肉检测和</w:t>
            </w:r>
            <w:r>
              <w:rPr>
                <w:rFonts w:ascii="微软雅黑" w:hAnsi="微软雅黑" w:eastAsia="微软雅黑" w:cs="Arial"/>
                <w:color w:val="auto"/>
                <w:sz w:val="22"/>
                <w:highlight w:val="none"/>
              </w:rPr>
              <w:t>分割</w:t>
            </w:r>
            <w:r>
              <w:rPr>
                <w:rFonts w:hint="eastAsia" w:ascii="微软雅黑" w:hAnsi="微软雅黑" w:eastAsia="微软雅黑" w:cs="Arial"/>
                <w:color w:val="auto"/>
                <w:sz w:val="22"/>
                <w:highlight w:val="none"/>
              </w:rPr>
              <w:t>功能：提供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2.8.23.4</w:t>
            </w:r>
          </w:p>
        </w:tc>
        <w:tc>
          <w:tcPr>
            <w:tcW w:w="8076" w:type="dxa"/>
            <w:noWrap w:val="0"/>
            <w:vAlign w:val="center"/>
          </w:tcPr>
          <w:p>
            <w:pPr>
              <w:wordWrap w:val="0"/>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手动息肉标记，可使用手动标记工具对可疑息肉进行标记、分割：提供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2.8.23.5</w:t>
            </w:r>
          </w:p>
        </w:tc>
        <w:tc>
          <w:tcPr>
            <w:tcW w:w="8076" w:type="dxa"/>
            <w:noWrap w:val="0"/>
            <w:vAlign w:val="center"/>
          </w:tcPr>
          <w:p>
            <w:pPr>
              <w:wordWrap w:val="0"/>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息肉定量计算和分析，提供息肉参数信息如体积，长短径，距离肛门距离：提供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2.8.23.6</w:t>
            </w:r>
          </w:p>
        </w:tc>
        <w:tc>
          <w:tcPr>
            <w:tcW w:w="8076" w:type="dxa"/>
            <w:noWrap w:val="0"/>
            <w:vAlign w:val="center"/>
          </w:tcPr>
          <w:p>
            <w:pPr>
              <w:wordWrap w:val="0"/>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腔内漫游功能，可对结肠内窥视图进行漫游，以发现可疑的息肉组织：提供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2.8.23.7</w:t>
            </w:r>
          </w:p>
        </w:tc>
        <w:tc>
          <w:tcPr>
            <w:tcW w:w="8076" w:type="dxa"/>
            <w:noWrap w:val="0"/>
            <w:vAlign w:val="center"/>
          </w:tcPr>
          <w:p>
            <w:pPr>
              <w:wordWrap w:val="0"/>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多视图</w:t>
            </w:r>
            <w:r>
              <w:rPr>
                <w:rFonts w:ascii="微软雅黑" w:hAnsi="微软雅黑" w:eastAsia="微软雅黑" w:cs="Arial"/>
                <w:color w:val="auto"/>
                <w:sz w:val="22"/>
                <w:highlight w:val="none"/>
              </w:rPr>
              <w:t>显示</w:t>
            </w:r>
            <w:r>
              <w:rPr>
                <w:rFonts w:hint="eastAsia" w:ascii="微软雅黑" w:hAnsi="微软雅黑" w:eastAsia="微软雅黑" w:cs="Arial"/>
                <w:color w:val="auto"/>
                <w:sz w:val="22"/>
                <w:highlight w:val="none"/>
              </w:rPr>
              <w:t>功能，可在结肠展开视图、MPR 图像、腔内视图、全VR 图像上查看分割后的息肉组织：提供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224" w:type="dxa"/>
            <w:noWrap w:val="0"/>
            <w:vAlign w:val="center"/>
          </w:tcPr>
          <w:p>
            <w:pPr>
              <w:wordWrap w:val="0"/>
              <w:rPr>
                <w:rFonts w:hint="eastAsia" w:ascii="微软雅黑" w:hAnsi="微软雅黑" w:eastAsia="微软雅黑" w:cs="Arial"/>
                <w:color w:val="auto"/>
                <w:sz w:val="22"/>
                <w:highlight w:val="none"/>
              </w:rPr>
            </w:pPr>
            <w:r>
              <w:rPr>
                <w:rFonts w:hint="eastAsia" w:ascii="微软雅黑" w:hAnsi="微软雅黑" w:eastAsia="微软雅黑" w:cs="Arial"/>
                <w:b/>
                <w:color w:val="auto"/>
                <w:sz w:val="22"/>
                <w:highlight w:val="none"/>
              </w:rPr>
              <w:t>2.9</w:t>
            </w:r>
          </w:p>
        </w:tc>
        <w:tc>
          <w:tcPr>
            <w:tcW w:w="8076" w:type="dxa"/>
            <w:noWrap w:val="0"/>
            <w:vAlign w:val="center"/>
          </w:tcPr>
          <w:p>
            <w:pPr>
              <w:wordWrap w:val="0"/>
              <w:jc w:val="both"/>
              <w:rPr>
                <w:rFonts w:hint="eastAsia" w:ascii="微软雅黑" w:hAnsi="微软雅黑" w:eastAsia="微软雅黑" w:cs="Arial"/>
                <w:color w:val="auto"/>
                <w:sz w:val="22"/>
                <w:highlight w:val="none"/>
              </w:rPr>
            </w:pPr>
            <w:r>
              <w:rPr>
                <w:rFonts w:hint="eastAsia" w:ascii="微软雅黑" w:hAnsi="微软雅黑" w:eastAsia="微软雅黑" w:cs="Arial"/>
                <w:b/>
                <w:color w:val="auto"/>
                <w:sz w:val="22"/>
                <w:highlight w:val="none"/>
              </w:rPr>
              <w:t>低剂量平台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224" w:type="dxa"/>
            <w:noWrap w:val="0"/>
            <w:vAlign w:val="center"/>
          </w:tcPr>
          <w:p>
            <w:pPr>
              <w:wordWrap w:val="0"/>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2.9.1</w:t>
            </w:r>
          </w:p>
        </w:tc>
        <w:tc>
          <w:tcPr>
            <w:tcW w:w="8076" w:type="dxa"/>
            <w:noWrap w:val="0"/>
            <w:vAlign w:val="center"/>
          </w:tcPr>
          <w:p>
            <w:pPr>
              <w:wordWrap w:val="0"/>
              <w:jc w:val="both"/>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提供高端低剂量迭代技术，与同品牌最高端机型保持一致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jc w:val="both"/>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2.9.2</w:t>
            </w:r>
          </w:p>
        </w:tc>
        <w:tc>
          <w:tcPr>
            <w:tcW w:w="8076" w:type="dxa"/>
            <w:noWrap w:val="0"/>
            <w:vAlign w:val="center"/>
          </w:tcPr>
          <w:p>
            <w:pPr>
              <w:wordWrap w:val="0"/>
              <w:jc w:val="both"/>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提供智能mA调节技术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jc w:val="both"/>
              <w:rPr>
                <w:rFonts w:hint="eastAsia" w:ascii="微软雅黑" w:hAnsi="微软雅黑" w:eastAsia="微软雅黑" w:cs="Arial"/>
                <w:color w:val="auto"/>
                <w:sz w:val="22"/>
                <w:highlight w:val="none"/>
              </w:rPr>
            </w:pPr>
            <w:r>
              <w:rPr>
                <w:rFonts w:hint="eastAsia" w:ascii="微软雅黑" w:hAnsi="微软雅黑" w:eastAsia="微软雅黑" w:cs="Arial"/>
                <w:color w:val="auto"/>
                <w:sz w:val="22"/>
                <w:highlight w:val="none"/>
              </w:rPr>
              <w:t>2.9.3</w:t>
            </w:r>
          </w:p>
        </w:tc>
        <w:tc>
          <w:tcPr>
            <w:tcW w:w="8076" w:type="dxa"/>
            <w:noWrap w:val="0"/>
            <w:vAlign w:val="center"/>
          </w:tcPr>
          <w:p>
            <w:pPr>
              <w:wordWrap w:val="0"/>
              <w:jc w:val="both"/>
              <w:rPr>
                <w:rFonts w:hint="eastAsia" w:ascii="微软雅黑" w:hAnsi="微软雅黑" w:eastAsia="微软雅黑" w:cs="Arial"/>
                <w:color w:val="auto"/>
                <w:sz w:val="22"/>
                <w:highlight w:val="none"/>
              </w:rPr>
            </w:pPr>
            <w:r>
              <w:rPr>
                <w:rFonts w:hint="eastAsia" w:ascii="微软雅黑" w:hAnsi="微软雅黑" w:eastAsia="微软雅黑"/>
                <w:color w:val="auto"/>
                <w:sz w:val="22"/>
                <w:szCs w:val="20"/>
                <w:highlight w:val="none"/>
              </w:rPr>
              <w:t>提供自动管电压</w:t>
            </w:r>
            <w:r>
              <w:rPr>
                <w:rFonts w:ascii="微软雅黑" w:hAnsi="微软雅黑" w:eastAsia="微软雅黑"/>
                <w:color w:val="auto"/>
                <w:sz w:val="22"/>
                <w:szCs w:val="20"/>
                <w:highlight w:val="none"/>
              </w:rPr>
              <w:t>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jc w:val="both"/>
              <w:rPr>
                <w:rFonts w:hint="default" w:ascii="微软雅黑" w:hAnsi="微软雅黑" w:eastAsia="微软雅黑" w:cs="Arial"/>
                <w:b/>
                <w:bCs/>
                <w:color w:val="auto"/>
                <w:sz w:val="22"/>
                <w:highlight w:val="none"/>
                <w:lang w:val="en-US" w:eastAsia="zh-CN"/>
              </w:rPr>
            </w:pPr>
            <w:r>
              <w:rPr>
                <w:rFonts w:hint="eastAsia" w:ascii="微软雅黑" w:hAnsi="微软雅黑" w:eastAsia="微软雅黑" w:cs="Arial"/>
                <w:b/>
                <w:bCs/>
                <w:color w:val="auto"/>
                <w:sz w:val="22"/>
                <w:highlight w:val="none"/>
                <w:lang w:val="en-US" w:eastAsia="zh-CN"/>
              </w:rPr>
              <w:t>3</w:t>
            </w:r>
          </w:p>
        </w:tc>
        <w:tc>
          <w:tcPr>
            <w:tcW w:w="8076" w:type="dxa"/>
            <w:noWrap w:val="0"/>
            <w:vAlign w:val="center"/>
          </w:tcPr>
          <w:p>
            <w:pPr>
              <w:wordWrap w:val="0"/>
              <w:jc w:val="both"/>
              <w:rPr>
                <w:rFonts w:hint="default" w:ascii="微软雅黑" w:hAnsi="微软雅黑" w:eastAsia="微软雅黑" w:cs="Arial"/>
                <w:color w:val="auto"/>
                <w:sz w:val="22"/>
                <w:highlight w:val="none"/>
                <w:lang w:val="en-US" w:eastAsia="zh-CN"/>
              </w:rPr>
            </w:pPr>
            <w:r>
              <w:rPr>
                <w:rFonts w:hint="eastAsia" w:ascii="微软雅黑" w:hAnsi="微软雅黑" w:eastAsia="微软雅黑" w:cs="Arial"/>
                <w:color w:val="auto"/>
                <w:sz w:val="22"/>
                <w:highlight w:val="none"/>
                <w:lang w:val="en-US" w:eastAsia="zh-CN"/>
              </w:rPr>
              <w:t>配置一台为该CT供电的稳压电源</w:t>
            </w:r>
            <w:r>
              <w:rPr>
                <w:rFonts w:hint="eastAsia" w:ascii="微软雅黑" w:hAnsi="微软雅黑" w:eastAsia="微软雅黑" w:cs="Arial"/>
                <w:color w:val="auto"/>
                <w:sz w:val="22"/>
                <w:highlight w:val="none"/>
              </w:rPr>
              <w:t>≥</w:t>
            </w:r>
            <w:r>
              <w:rPr>
                <w:rFonts w:hint="eastAsia" w:ascii="微软雅黑" w:hAnsi="微软雅黑" w:eastAsia="微软雅黑" w:cs="Arial"/>
                <w:color w:val="auto"/>
                <w:sz w:val="22"/>
                <w:highlight w:val="none"/>
                <w:lang w:val="en-US" w:eastAsia="zh-CN"/>
              </w:rPr>
              <w:t>100kVA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jc w:val="both"/>
              <w:rPr>
                <w:rFonts w:hint="default" w:ascii="微软雅黑" w:hAnsi="微软雅黑" w:eastAsia="微软雅黑" w:cs="Arial"/>
                <w:b/>
                <w:bCs/>
                <w:color w:val="auto"/>
                <w:sz w:val="22"/>
                <w:highlight w:val="none"/>
                <w:lang w:val="en-US" w:eastAsia="zh-CN"/>
              </w:rPr>
            </w:pPr>
            <w:r>
              <w:rPr>
                <w:rFonts w:hint="eastAsia" w:ascii="微软雅黑" w:hAnsi="微软雅黑" w:eastAsia="微软雅黑" w:cs="Arial"/>
                <w:b/>
                <w:bCs/>
                <w:color w:val="auto"/>
                <w:sz w:val="22"/>
                <w:highlight w:val="none"/>
                <w:lang w:val="en-US" w:eastAsia="zh-CN"/>
              </w:rPr>
              <w:t>4</w:t>
            </w:r>
          </w:p>
        </w:tc>
        <w:tc>
          <w:tcPr>
            <w:tcW w:w="8076" w:type="dxa"/>
            <w:noWrap w:val="0"/>
            <w:vAlign w:val="center"/>
          </w:tcPr>
          <w:p>
            <w:pPr>
              <w:wordWrap w:val="0"/>
              <w:jc w:val="both"/>
              <w:rPr>
                <w:rFonts w:hint="default" w:ascii="微软雅黑" w:hAnsi="微软雅黑" w:eastAsia="微软雅黑" w:cs="Arial"/>
                <w:color w:val="auto"/>
                <w:sz w:val="22"/>
                <w:highlight w:val="none"/>
                <w:lang w:val="en-US" w:eastAsia="zh-CN"/>
              </w:rPr>
            </w:pPr>
            <w:r>
              <w:rPr>
                <w:rFonts w:hint="eastAsia" w:ascii="微软雅黑" w:hAnsi="微软雅黑" w:eastAsia="微软雅黑" w:cs="Arial"/>
                <w:color w:val="auto"/>
                <w:sz w:val="22"/>
                <w:highlight w:val="none"/>
                <w:lang w:val="en-US" w:eastAsia="zh-CN"/>
              </w:rPr>
              <w:t>配置一台双筒高压注射器，含5年全机质保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jc w:val="both"/>
              <w:rPr>
                <w:rFonts w:hint="default" w:ascii="微软雅黑" w:hAnsi="微软雅黑" w:eastAsia="微软雅黑" w:cs="Arial"/>
                <w:b/>
                <w:bCs/>
                <w:color w:val="auto"/>
                <w:sz w:val="22"/>
                <w:highlight w:val="none"/>
                <w:lang w:val="en-US" w:eastAsia="zh-CN"/>
              </w:rPr>
            </w:pPr>
            <w:r>
              <w:rPr>
                <w:rFonts w:hint="eastAsia" w:ascii="微软雅黑" w:hAnsi="微软雅黑" w:eastAsia="微软雅黑" w:cs="Arial"/>
                <w:b/>
                <w:bCs/>
                <w:color w:val="auto"/>
                <w:sz w:val="22"/>
                <w:highlight w:val="none"/>
                <w:lang w:val="en-US" w:eastAsia="zh-CN"/>
              </w:rPr>
              <w:t>5</w:t>
            </w:r>
          </w:p>
        </w:tc>
        <w:tc>
          <w:tcPr>
            <w:tcW w:w="8076" w:type="dxa"/>
            <w:noWrap w:val="0"/>
            <w:vAlign w:val="center"/>
          </w:tcPr>
          <w:p>
            <w:pPr>
              <w:wordWrap w:val="0"/>
              <w:jc w:val="both"/>
              <w:rPr>
                <w:rFonts w:hint="default" w:ascii="微软雅黑" w:hAnsi="微软雅黑" w:eastAsia="微软雅黑" w:cs="Arial"/>
                <w:color w:val="auto"/>
                <w:sz w:val="22"/>
                <w:highlight w:val="none"/>
                <w:lang w:val="en-US" w:eastAsia="zh-CN"/>
              </w:rPr>
            </w:pPr>
            <w:r>
              <w:rPr>
                <w:rFonts w:hint="eastAsia" w:ascii="微软雅黑" w:hAnsi="微软雅黑" w:eastAsia="微软雅黑" w:cs="Arial"/>
                <w:color w:val="auto"/>
                <w:sz w:val="22"/>
                <w:highlight w:val="none"/>
                <w:lang w:val="en-US" w:eastAsia="zh-CN"/>
              </w:rPr>
              <w:t>配置两块3M的专业竖屏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jc w:val="both"/>
              <w:rPr>
                <w:rFonts w:hint="default" w:ascii="微软雅黑" w:hAnsi="微软雅黑" w:eastAsia="微软雅黑" w:cs="Arial"/>
                <w:b/>
                <w:bCs/>
                <w:color w:val="auto"/>
                <w:sz w:val="22"/>
                <w:highlight w:val="none"/>
                <w:lang w:val="en-US" w:eastAsia="zh-CN"/>
              </w:rPr>
            </w:pPr>
            <w:r>
              <w:rPr>
                <w:rFonts w:hint="eastAsia" w:ascii="微软雅黑" w:hAnsi="微软雅黑" w:eastAsia="微软雅黑" w:cs="Arial"/>
                <w:b/>
                <w:bCs/>
                <w:color w:val="auto"/>
                <w:sz w:val="22"/>
                <w:highlight w:val="none"/>
                <w:lang w:val="en-US" w:eastAsia="zh-CN"/>
              </w:rPr>
              <w:t>6</w:t>
            </w:r>
          </w:p>
        </w:tc>
        <w:tc>
          <w:tcPr>
            <w:tcW w:w="8076" w:type="dxa"/>
            <w:noWrap w:val="0"/>
            <w:vAlign w:val="center"/>
          </w:tcPr>
          <w:p>
            <w:pPr>
              <w:wordWrap w:val="0"/>
              <w:jc w:val="both"/>
              <w:rPr>
                <w:rFonts w:hint="default" w:ascii="微软雅黑" w:hAnsi="微软雅黑" w:eastAsia="微软雅黑" w:cs="Arial"/>
                <w:color w:val="auto"/>
                <w:sz w:val="22"/>
                <w:highlight w:val="none"/>
                <w:lang w:val="en-US" w:eastAsia="zh-CN"/>
              </w:rPr>
            </w:pPr>
            <w:r>
              <w:rPr>
                <w:rFonts w:hint="eastAsia" w:ascii="微软雅黑" w:hAnsi="微软雅黑" w:eastAsia="微软雅黑" w:cs="Arial"/>
                <w:color w:val="auto"/>
                <w:sz w:val="22"/>
                <w:highlight w:val="none"/>
                <w:lang w:val="en-US" w:eastAsia="zh-CN"/>
              </w:rPr>
              <w:t>提供2套防护用品（铅围脖、铅衣、铅方巾、铅眼镜、铅帽（≥四个铅当量）、一套儿童防护用品（≥五个铅当量））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jc w:val="both"/>
              <w:rPr>
                <w:rFonts w:hint="default" w:ascii="微软雅黑" w:hAnsi="微软雅黑" w:eastAsia="微软雅黑" w:cs="Arial"/>
                <w:b/>
                <w:bCs/>
                <w:color w:val="auto"/>
                <w:sz w:val="22"/>
                <w:highlight w:val="none"/>
                <w:lang w:val="en-US" w:eastAsia="zh-CN"/>
              </w:rPr>
            </w:pPr>
            <w:r>
              <w:rPr>
                <w:rFonts w:hint="eastAsia" w:ascii="微软雅黑" w:hAnsi="微软雅黑" w:eastAsia="微软雅黑" w:cs="Arial"/>
                <w:b/>
                <w:bCs/>
                <w:color w:val="auto"/>
                <w:sz w:val="22"/>
                <w:highlight w:val="none"/>
                <w:lang w:val="en-US" w:eastAsia="zh-CN"/>
              </w:rPr>
              <w:t>7</w:t>
            </w:r>
          </w:p>
        </w:tc>
        <w:tc>
          <w:tcPr>
            <w:tcW w:w="8076" w:type="dxa"/>
            <w:noWrap w:val="0"/>
            <w:vAlign w:val="center"/>
          </w:tcPr>
          <w:p>
            <w:pPr>
              <w:wordWrap w:val="0"/>
              <w:jc w:val="both"/>
              <w:rPr>
                <w:rFonts w:hint="default" w:ascii="微软雅黑" w:hAnsi="微软雅黑" w:eastAsia="微软雅黑" w:cs="Arial"/>
                <w:color w:val="auto"/>
                <w:sz w:val="22"/>
                <w:highlight w:val="none"/>
                <w:lang w:val="en-US" w:eastAsia="zh-CN"/>
              </w:rPr>
            </w:pPr>
            <w:r>
              <w:rPr>
                <w:rFonts w:hint="eastAsia" w:ascii="微软雅黑" w:hAnsi="微软雅黑" w:eastAsia="微软雅黑" w:cs="Arial"/>
                <w:color w:val="auto"/>
                <w:sz w:val="22"/>
                <w:highlight w:val="none"/>
                <w:lang w:val="en-US" w:eastAsia="zh-CN"/>
              </w:rPr>
              <w:t>配置一台不小于3P空调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jc w:val="both"/>
              <w:rPr>
                <w:rFonts w:hint="default" w:ascii="微软雅黑" w:hAnsi="微软雅黑" w:eastAsia="微软雅黑" w:cs="Arial"/>
                <w:b/>
                <w:bCs/>
                <w:color w:val="auto"/>
                <w:sz w:val="22"/>
                <w:highlight w:val="none"/>
                <w:lang w:val="en-US" w:eastAsia="zh-CN"/>
              </w:rPr>
            </w:pPr>
            <w:r>
              <w:rPr>
                <w:rFonts w:hint="eastAsia" w:ascii="微软雅黑" w:hAnsi="微软雅黑" w:eastAsia="微软雅黑" w:cs="Arial"/>
                <w:b/>
                <w:bCs/>
                <w:color w:val="auto"/>
                <w:sz w:val="22"/>
                <w:highlight w:val="none"/>
                <w:lang w:val="en-US" w:eastAsia="zh-CN"/>
              </w:rPr>
              <w:t>8</w:t>
            </w:r>
          </w:p>
        </w:tc>
        <w:tc>
          <w:tcPr>
            <w:tcW w:w="8076" w:type="dxa"/>
            <w:noWrap w:val="0"/>
            <w:vAlign w:val="center"/>
          </w:tcPr>
          <w:p>
            <w:pPr>
              <w:wordWrap w:val="0"/>
              <w:jc w:val="both"/>
              <w:rPr>
                <w:rFonts w:hint="default" w:ascii="微软雅黑" w:hAnsi="微软雅黑" w:eastAsia="微软雅黑" w:cs="Arial"/>
                <w:color w:val="auto"/>
                <w:sz w:val="22"/>
                <w:highlight w:val="none"/>
                <w:lang w:val="en-US" w:eastAsia="zh-CN"/>
              </w:rPr>
            </w:pPr>
            <w:r>
              <w:rPr>
                <w:rFonts w:hint="eastAsia" w:ascii="微软雅黑" w:hAnsi="微软雅黑" w:eastAsia="微软雅黑" w:cs="Arial"/>
                <w:color w:val="auto"/>
                <w:sz w:val="22"/>
                <w:highlight w:val="none"/>
                <w:lang w:val="en-US" w:eastAsia="zh-CN"/>
              </w:rPr>
              <w:t>免费接入医院的PACS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center"/>
          </w:tcPr>
          <w:p>
            <w:pPr>
              <w:wordWrap w:val="0"/>
              <w:jc w:val="both"/>
              <w:rPr>
                <w:rFonts w:hint="default" w:ascii="微软雅黑" w:hAnsi="微软雅黑" w:eastAsia="微软雅黑" w:cs="Arial"/>
                <w:b/>
                <w:bCs/>
                <w:color w:val="auto"/>
                <w:sz w:val="22"/>
                <w:highlight w:val="none"/>
                <w:lang w:val="en-US" w:eastAsia="zh-CN"/>
              </w:rPr>
            </w:pPr>
            <w:r>
              <w:rPr>
                <w:rFonts w:hint="eastAsia" w:ascii="微软雅黑" w:hAnsi="微软雅黑" w:eastAsia="微软雅黑" w:cs="Arial"/>
                <w:b/>
                <w:bCs/>
                <w:color w:val="auto"/>
                <w:sz w:val="22"/>
                <w:highlight w:val="none"/>
                <w:lang w:val="en-US" w:eastAsia="zh-CN"/>
              </w:rPr>
              <w:t>9</w:t>
            </w:r>
          </w:p>
        </w:tc>
        <w:tc>
          <w:tcPr>
            <w:tcW w:w="8076" w:type="dxa"/>
            <w:noWrap w:val="0"/>
            <w:vAlign w:val="center"/>
          </w:tcPr>
          <w:p>
            <w:pPr>
              <w:wordWrap w:val="0"/>
              <w:jc w:val="both"/>
              <w:rPr>
                <w:rFonts w:hint="default" w:ascii="微软雅黑" w:hAnsi="微软雅黑" w:eastAsia="微软雅黑" w:cs="Arial"/>
                <w:color w:val="auto"/>
                <w:sz w:val="22"/>
                <w:highlight w:val="none"/>
                <w:lang w:val="en-US" w:eastAsia="zh-CN"/>
              </w:rPr>
            </w:pPr>
            <w:r>
              <w:rPr>
                <w:rFonts w:hint="eastAsia" w:ascii="微软雅黑" w:hAnsi="微软雅黑" w:eastAsia="微软雅黑" w:cs="Arial"/>
                <w:color w:val="auto"/>
                <w:sz w:val="22"/>
                <w:highlight w:val="none"/>
                <w:lang w:val="en-US" w:eastAsia="zh-CN"/>
              </w:rPr>
              <w:t>不少于3年的机器全保（含球管，探测器，高压发生器等软、硬件）</w:t>
            </w:r>
          </w:p>
        </w:tc>
      </w:tr>
    </w:tbl>
    <w:p>
      <w:pPr>
        <w:pStyle w:val="43"/>
        <w:keepNext w:val="0"/>
        <w:keepLines w:val="0"/>
        <w:pageBreakBefore w:val="0"/>
        <w:widowControl/>
        <w:kinsoku/>
        <w:wordWrap/>
        <w:overflowPunct/>
        <w:topLinePunct w:val="0"/>
        <w:autoSpaceDE/>
        <w:autoSpaceDN/>
        <w:bidi w:val="0"/>
        <w:adjustRightInd/>
        <w:snapToGrid w:val="0"/>
        <w:spacing w:before="0" w:beforeAutospacing="0" w:after="0" w:afterAutospacing="0" w:line="440" w:lineRule="exact"/>
        <w:ind w:firstLine="0" w:firstLineChars="0"/>
        <w:jc w:val="center"/>
        <w:textAlignment w:val="baseline"/>
        <w:outlineLvl w:val="9"/>
        <w:rPr>
          <w:rFonts w:hint="default" w:ascii="宋体" w:hAnsi="宋体" w:eastAsia="宋体" w:cs="宋体"/>
          <w:b/>
          <w:bCs/>
          <w:i w:val="0"/>
          <w:caps w:val="0"/>
          <w:color w:val="auto"/>
          <w:spacing w:val="0"/>
          <w:w w:val="100"/>
          <w:kern w:val="0"/>
          <w:sz w:val="24"/>
          <w:szCs w:val="24"/>
          <w:highlight w:val="none"/>
          <w:lang w:val="en-US" w:eastAsia="zh-CN" w:bidi="ar-SA"/>
        </w:rPr>
      </w:pPr>
      <w:bookmarkStart w:id="545" w:name="_Toc13073"/>
      <w:r>
        <w:rPr>
          <w:rFonts w:hint="eastAsia" w:ascii="宋体" w:hAnsi="宋体" w:eastAsia="宋体" w:cs="宋体"/>
          <w:b/>
          <w:bCs/>
          <w:i w:val="0"/>
          <w:caps w:val="0"/>
          <w:color w:val="auto"/>
          <w:spacing w:val="0"/>
          <w:w w:val="100"/>
          <w:kern w:val="0"/>
          <w:sz w:val="24"/>
          <w:szCs w:val="24"/>
          <w:highlight w:val="none"/>
          <w:lang w:val="en-US" w:eastAsia="zh-CN" w:bidi="ar-SA"/>
        </w:rPr>
        <w:t>4.双筒高压注射器参数</w:t>
      </w:r>
    </w:p>
    <w:p>
      <w:pPr>
        <w:pStyle w:val="43"/>
        <w:keepNext w:val="0"/>
        <w:keepLines w:val="0"/>
        <w:pageBreakBefore w:val="0"/>
        <w:widowControl/>
        <w:kinsoku/>
        <w:wordWrap/>
        <w:overflowPunct/>
        <w:topLinePunct w:val="0"/>
        <w:autoSpaceDE/>
        <w:autoSpaceDN/>
        <w:bidi w:val="0"/>
        <w:adjustRightInd/>
        <w:snapToGrid w:val="0"/>
        <w:spacing w:before="0" w:beforeAutospacing="0" w:after="0" w:afterAutospacing="0" w:line="480" w:lineRule="exact"/>
        <w:ind w:firstLine="240" w:firstLineChars="100"/>
        <w:jc w:val="left"/>
        <w:textAlignment w:val="baseline"/>
        <w:rPr>
          <w:rFonts w:hint="default" w:ascii="宋体" w:hAnsi="宋体" w:eastAsia="宋体" w:cs="宋体"/>
          <w:b w:val="0"/>
          <w:i w:val="0"/>
          <w:caps w:val="0"/>
          <w:color w:val="auto"/>
          <w:spacing w:val="0"/>
          <w:w w:val="100"/>
          <w:sz w:val="24"/>
          <w:szCs w:val="24"/>
          <w:highlight w:val="none"/>
          <w:lang w:val="en-US" w:eastAsia="zh-CN"/>
        </w:rPr>
      </w:pPr>
      <w:r>
        <w:rPr>
          <w:rFonts w:hint="default" w:ascii="宋体" w:hAnsi="宋体" w:eastAsia="宋体" w:cs="宋体"/>
          <w:b w:val="0"/>
          <w:i w:val="0"/>
          <w:caps w:val="0"/>
          <w:color w:val="auto"/>
          <w:spacing w:val="0"/>
          <w:w w:val="100"/>
          <w:sz w:val="24"/>
          <w:szCs w:val="24"/>
          <w:highlight w:val="none"/>
          <w:lang w:val="en-US" w:eastAsia="zh-CN"/>
        </w:rPr>
        <w:t>1.交流供电、蓝牙连接、可编程序的双筒注射器</w:t>
      </w:r>
    </w:p>
    <w:p>
      <w:pPr>
        <w:pStyle w:val="43"/>
        <w:keepNext w:val="0"/>
        <w:keepLines w:val="0"/>
        <w:pageBreakBefore w:val="0"/>
        <w:widowControl/>
        <w:kinsoku/>
        <w:wordWrap/>
        <w:overflowPunct/>
        <w:topLinePunct w:val="0"/>
        <w:autoSpaceDE/>
        <w:autoSpaceDN/>
        <w:bidi w:val="0"/>
        <w:adjustRightInd/>
        <w:snapToGrid w:val="0"/>
        <w:spacing w:before="0" w:beforeAutospacing="0" w:after="0" w:afterAutospacing="0" w:line="480" w:lineRule="exact"/>
        <w:ind w:firstLine="240" w:firstLineChars="100"/>
        <w:jc w:val="left"/>
        <w:textAlignment w:val="baseline"/>
        <w:rPr>
          <w:rFonts w:hint="default" w:ascii="宋体" w:hAnsi="宋体" w:eastAsia="宋体" w:cs="宋体"/>
          <w:b w:val="0"/>
          <w:i w:val="0"/>
          <w:caps w:val="0"/>
          <w:color w:val="auto"/>
          <w:spacing w:val="0"/>
          <w:w w:val="100"/>
          <w:sz w:val="24"/>
          <w:szCs w:val="24"/>
          <w:highlight w:val="none"/>
          <w:lang w:val="en-US" w:eastAsia="zh-CN"/>
        </w:rPr>
      </w:pPr>
      <w:r>
        <w:rPr>
          <w:rFonts w:hint="default" w:ascii="宋体" w:hAnsi="宋体" w:eastAsia="宋体" w:cs="宋体"/>
          <w:b w:val="0"/>
          <w:i w:val="0"/>
          <w:caps w:val="0"/>
          <w:color w:val="auto"/>
          <w:spacing w:val="0"/>
          <w:w w:val="100"/>
          <w:sz w:val="24"/>
          <w:szCs w:val="24"/>
          <w:highlight w:val="none"/>
          <w:lang w:val="en-US" w:eastAsia="zh-CN"/>
        </w:rPr>
        <w:t>2.双触摸屏</w:t>
      </w:r>
    </w:p>
    <w:p>
      <w:pPr>
        <w:pStyle w:val="43"/>
        <w:keepNext w:val="0"/>
        <w:keepLines w:val="0"/>
        <w:pageBreakBefore w:val="0"/>
        <w:widowControl/>
        <w:kinsoku/>
        <w:wordWrap/>
        <w:overflowPunct/>
        <w:topLinePunct w:val="0"/>
        <w:autoSpaceDE/>
        <w:autoSpaceDN/>
        <w:bidi w:val="0"/>
        <w:adjustRightInd/>
        <w:snapToGrid w:val="0"/>
        <w:spacing w:before="0" w:beforeAutospacing="0" w:after="0" w:afterAutospacing="0" w:line="480" w:lineRule="exact"/>
        <w:ind w:firstLine="240" w:firstLineChars="100"/>
        <w:jc w:val="left"/>
        <w:textAlignment w:val="baseline"/>
        <w:rPr>
          <w:rFonts w:hint="default" w:ascii="宋体" w:hAnsi="宋体" w:eastAsia="宋体" w:cs="宋体"/>
          <w:b w:val="0"/>
          <w:i w:val="0"/>
          <w:caps w:val="0"/>
          <w:color w:val="auto"/>
          <w:spacing w:val="0"/>
          <w:w w:val="100"/>
          <w:sz w:val="24"/>
          <w:szCs w:val="24"/>
          <w:highlight w:val="none"/>
          <w:lang w:val="en-US" w:eastAsia="zh-CN"/>
        </w:rPr>
      </w:pPr>
      <w:r>
        <w:rPr>
          <w:rFonts w:hint="default" w:ascii="宋体" w:hAnsi="宋体" w:eastAsia="宋体" w:cs="宋体"/>
          <w:b w:val="0"/>
          <w:i w:val="0"/>
          <w:caps w:val="0"/>
          <w:color w:val="auto"/>
          <w:spacing w:val="0"/>
          <w:w w:val="100"/>
          <w:sz w:val="24"/>
          <w:szCs w:val="24"/>
          <w:highlight w:val="none"/>
          <w:lang w:val="en-US" w:eastAsia="zh-CN"/>
        </w:rPr>
        <w:t>3.双筒可同时注射</w:t>
      </w:r>
    </w:p>
    <w:p>
      <w:pPr>
        <w:pStyle w:val="43"/>
        <w:keepNext w:val="0"/>
        <w:keepLines w:val="0"/>
        <w:pageBreakBefore w:val="0"/>
        <w:widowControl/>
        <w:kinsoku/>
        <w:wordWrap/>
        <w:overflowPunct/>
        <w:topLinePunct w:val="0"/>
        <w:autoSpaceDE/>
        <w:autoSpaceDN/>
        <w:bidi w:val="0"/>
        <w:adjustRightInd/>
        <w:snapToGrid w:val="0"/>
        <w:spacing w:before="0" w:beforeAutospacing="0" w:after="0" w:afterAutospacing="0" w:line="480" w:lineRule="exact"/>
        <w:ind w:firstLine="240" w:firstLineChars="100"/>
        <w:jc w:val="left"/>
        <w:textAlignment w:val="baseline"/>
        <w:rPr>
          <w:rFonts w:hint="default" w:ascii="宋体" w:hAnsi="宋体" w:eastAsia="宋体" w:cs="宋体"/>
          <w:b w:val="0"/>
          <w:i w:val="0"/>
          <w:caps w:val="0"/>
          <w:color w:val="auto"/>
          <w:spacing w:val="0"/>
          <w:w w:val="100"/>
          <w:sz w:val="24"/>
          <w:szCs w:val="24"/>
          <w:highlight w:val="none"/>
          <w:lang w:val="en-US" w:eastAsia="zh-CN"/>
        </w:rPr>
      </w:pPr>
      <w:r>
        <w:rPr>
          <w:rFonts w:hint="default" w:ascii="宋体" w:hAnsi="宋体" w:eastAsia="宋体" w:cs="宋体"/>
          <w:b w:val="0"/>
          <w:i w:val="0"/>
          <w:caps w:val="0"/>
          <w:color w:val="auto"/>
          <w:spacing w:val="0"/>
          <w:w w:val="100"/>
          <w:sz w:val="24"/>
          <w:szCs w:val="24"/>
          <w:highlight w:val="none"/>
          <w:lang w:val="en-US" w:eastAsia="zh-CN"/>
        </w:rPr>
        <w:t>4. 有KVO功能（保持静脉血管畅通）</w:t>
      </w:r>
    </w:p>
    <w:p>
      <w:pPr>
        <w:pStyle w:val="43"/>
        <w:keepNext w:val="0"/>
        <w:keepLines w:val="0"/>
        <w:pageBreakBefore w:val="0"/>
        <w:widowControl/>
        <w:kinsoku/>
        <w:wordWrap/>
        <w:overflowPunct/>
        <w:topLinePunct w:val="0"/>
        <w:autoSpaceDE/>
        <w:autoSpaceDN/>
        <w:bidi w:val="0"/>
        <w:adjustRightInd/>
        <w:snapToGrid w:val="0"/>
        <w:spacing w:before="0" w:beforeAutospacing="0" w:after="0" w:afterAutospacing="0" w:line="480" w:lineRule="exact"/>
        <w:ind w:firstLine="240" w:firstLineChars="100"/>
        <w:jc w:val="left"/>
        <w:textAlignment w:val="baseline"/>
        <w:rPr>
          <w:rFonts w:hint="default" w:ascii="宋体" w:hAnsi="宋体" w:eastAsia="宋体" w:cs="宋体"/>
          <w:b w:val="0"/>
          <w:i w:val="0"/>
          <w:caps w:val="0"/>
          <w:color w:val="auto"/>
          <w:spacing w:val="0"/>
          <w:w w:val="100"/>
          <w:sz w:val="24"/>
          <w:szCs w:val="24"/>
          <w:highlight w:val="none"/>
          <w:lang w:val="en-US" w:eastAsia="zh-CN"/>
        </w:rPr>
      </w:pPr>
      <w:r>
        <w:rPr>
          <w:rFonts w:hint="default" w:ascii="宋体" w:hAnsi="宋体" w:eastAsia="宋体" w:cs="宋体"/>
          <w:b w:val="0"/>
          <w:i w:val="0"/>
          <w:caps w:val="0"/>
          <w:color w:val="auto"/>
          <w:spacing w:val="0"/>
          <w:w w:val="100"/>
          <w:sz w:val="24"/>
          <w:szCs w:val="24"/>
          <w:highlight w:val="none"/>
          <w:lang w:val="en-US" w:eastAsia="zh-CN"/>
        </w:rPr>
        <w:t>5.铝合金37度恒温加热装置</w:t>
      </w:r>
    </w:p>
    <w:p>
      <w:pPr>
        <w:pStyle w:val="43"/>
        <w:keepNext w:val="0"/>
        <w:keepLines w:val="0"/>
        <w:pageBreakBefore w:val="0"/>
        <w:widowControl/>
        <w:kinsoku/>
        <w:wordWrap/>
        <w:overflowPunct/>
        <w:topLinePunct w:val="0"/>
        <w:autoSpaceDE/>
        <w:autoSpaceDN/>
        <w:bidi w:val="0"/>
        <w:adjustRightInd/>
        <w:snapToGrid w:val="0"/>
        <w:spacing w:before="0" w:beforeAutospacing="0" w:after="0" w:afterAutospacing="0" w:line="480" w:lineRule="exact"/>
        <w:ind w:firstLine="240" w:firstLineChars="100"/>
        <w:jc w:val="left"/>
        <w:textAlignment w:val="baseline"/>
        <w:rPr>
          <w:rFonts w:hint="default" w:ascii="宋体" w:hAnsi="宋体" w:eastAsia="宋体" w:cs="宋体"/>
          <w:b w:val="0"/>
          <w:i w:val="0"/>
          <w:caps w:val="0"/>
          <w:color w:val="auto"/>
          <w:spacing w:val="0"/>
          <w:w w:val="100"/>
          <w:sz w:val="24"/>
          <w:szCs w:val="24"/>
          <w:highlight w:val="none"/>
          <w:lang w:val="en-US" w:eastAsia="zh-CN"/>
        </w:rPr>
      </w:pPr>
      <w:r>
        <w:rPr>
          <w:rFonts w:hint="default" w:ascii="宋体" w:hAnsi="宋体" w:eastAsia="宋体" w:cs="宋体"/>
          <w:b w:val="0"/>
          <w:i w:val="0"/>
          <w:caps w:val="0"/>
          <w:color w:val="auto"/>
          <w:spacing w:val="0"/>
          <w:w w:val="100"/>
          <w:sz w:val="24"/>
          <w:szCs w:val="24"/>
          <w:highlight w:val="none"/>
          <w:lang w:val="en-US" w:eastAsia="zh-CN"/>
        </w:rPr>
        <w:t>6.自动吸药速度：1-5ml/s</w:t>
      </w:r>
    </w:p>
    <w:p>
      <w:pPr>
        <w:pStyle w:val="43"/>
        <w:keepNext w:val="0"/>
        <w:keepLines w:val="0"/>
        <w:pageBreakBefore w:val="0"/>
        <w:widowControl/>
        <w:kinsoku/>
        <w:wordWrap/>
        <w:overflowPunct/>
        <w:topLinePunct w:val="0"/>
        <w:autoSpaceDE/>
        <w:autoSpaceDN/>
        <w:bidi w:val="0"/>
        <w:adjustRightInd/>
        <w:snapToGrid w:val="0"/>
        <w:spacing w:before="0" w:beforeAutospacing="0" w:after="0" w:afterAutospacing="0" w:line="480" w:lineRule="exact"/>
        <w:ind w:firstLine="240" w:firstLineChars="100"/>
        <w:jc w:val="left"/>
        <w:textAlignment w:val="baseline"/>
        <w:rPr>
          <w:rFonts w:hint="default" w:ascii="宋体" w:hAnsi="宋体" w:eastAsia="宋体" w:cs="宋体"/>
          <w:b w:val="0"/>
          <w:i w:val="0"/>
          <w:caps w:val="0"/>
          <w:color w:val="auto"/>
          <w:spacing w:val="0"/>
          <w:w w:val="100"/>
          <w:sz w:val="24"/>
          <w:szCs w:val="24"/>
          <w:highlight w:val="none"/>
          <w:lang w:val="en-US" w:eastAsia="zh-CN"/>
        </w:rPr>
      </w:pPr>
      <w:r>
        <w:rPr>
          <w:rFonts w:hint="default" w:ascii="宋体" w:hAnsi="宋体" w:eastAsia="宋体" w:cs="宋体"/>
          <w:b w:val="0"/>
          <w:i w:val="0"/>
          <w:caps w:val="0"/>
          <w:color w:val="auto"/>
          <w:spacing w:val="0"/>
          <w:w w:val="100"/>
          <w:sz w:val="24"/>
          <w:szCs w:val="24"/>
          <w:highlight w:val="none"/>
          <w:lang w:val="en-US" w:eastAsia="zh-CN"/>
        </w:rPr>
        <w:t>7.最大注射量：2×200ml</w:t>
      </w:r>
    </w:p>
    <w:p>
      <w:pPr>
        <w:pStyle w:val="43"/>
        <w:keepNext w:val="0"/>
        <w:keepLines w:val="0"/>
        <w:pageBreakBefore w:val="0"/>
        <w:widowControl/>
        <w:kinsoku/>
        <w:wordWrap/>
        <w:overflowPunct/>
        <w:topLinePunct w:val="0"/>
        <w:autoSpaceDE/>
        <w:autoSpaceDN/>
        <w:bidi w:val="0"/>
        <w:adjustRightInd/>
        <w:snapToGrid w:val="0"/>
        <w:spacing w:before="0" w:beforeAutospacing="0" w:after="0" w:afterAutospacing="0" w:line="480" w:lineRule="exact"/>
        <w:ind w:firstLine="240" w:firstLineChars="100"/>
        <w:jc w:val="left"/>
        <w:textAlignment w:val="baseline"/>
        <w:rPr>
          <w:rFonts w:hint="default" w:ascii="宋体" w:hAnsi="宋体" w:eastAsia="宋体" w:cs="宋体"/>
          <w:b w:val="0"/>
          <w:i w:val="0"/>
          <w:caps w:val="0"/>
          <w:color w:val="auto"/>
          <w:spacing w:val="0"/>
          <w:w w:val="100"/>
          <w:sz w:val="24"/>
          <w:szCs w:val="24"/>
          <w:highlight w:val="none"/>
          <w:lang w:val="en-US" w:eastAsia="zh-CN"/>
        </w:rPr>
      </w:pPr>
      <w:r>
        <w:rPr>
          <w:rFonts w:hint="default" w:ascii="宋体" w:hAnsi="宋体" w:eastAsia="宋体" w:cs="宋体"/>
          <w:b w:val="0"/>
          <w:i w:val="0"/>
          <w:caps w:val="0"/>
          <w:color w:val="auto"/>
          <w:spacing w:val="0"/>
          <w:w w:val="100"/>
          <w:sz w:val="24"/>
          <w:szCs w:val="24"/>
          <w:highlight w:val="none"/>
          <w:lang w:val="en-US" w:eastAsia="zh-CN"/>
        </w:rPr>
        <w:t>8.部分注射容量：1-200ml，递增量为1ml</w:t>
      </w:r>
    </w:p>
    <w:p>
      <w:pPr>
        <w:pStyle w:val="43"/>
        <w:keepNext w:val="0"/>
        <w:keepLines w:val="0"/>
        <w:pageBreakBefore w:val="0"/>
        <w:widowControl/>
        <w:kinsoku/>
        <w:wordWrap/>
        <w:overflowPunct/>
        <w:topLinePunct w:val="0"/>
        <w:autoSpaceDE/>
        <w:autoSpaceDN/>
        <w:bidi w:val="0"/>
        <w:adjustRightInd/>
        <w:snapToGrid w:val="0"/>
        <w:spacing w:before="0" w:beforeAutospacing="0" w:after="0" w:afterAutospacing="0" w:line="480" w:lineRule="exact"/>
        <w:ind w:firstLine="240" w:firstLineChars="100"/>
        <w:jc w:val="left"/>
        <w:textAlignment w:val="baseline"/>
        <w:rPr>
          <w:rFonts w:hint="default" w:ascii="宋体" w:hAnsi="宋体" w:eastAsia="宋体" w:cs="宋体"/>
          <w:b w:val="0"/>
          <w:i w:val="0"/>
          <w:caps w:val="0"/>
          <w:color w:val="auto"/>
          <w:spacing w:val="0"/>
          <w:w w:val="100"/>
          <w:sz w:val="24"/>
          <w:szCs w:val="24"/>
          <w:highlight w:val="none"/>
          <w:lang w:val="en-US" w:eastAsia="zh-CN"/>
        </w:rPr>
      </w:pPr>
      <w:r>
        <w:rPr>
          <w:rFonts w:hint="default" w:ascii="宋体" w:hAnsi="宋体" w:eastAsia="宋体" w:cs="宋体"/>
          <w:b w:val="0"/>
          <w:i w:val="0"/>
          <w:caps w:val="0"/>
          <w:color w:val="auto"/>
          <w:spacing w:val="0"/>
          <w:w w:val="100"/>
          <w:sz w:val="24"/>
          <w:szCs w:val="24"/>
          <w:highlight w:val="none"/>
          <w:lang w:val="en-US" w:eastAsia="zh-CN"/>
        </w:rPr>
        <w:t>9.最大压力21bar（304psi），设定范围为5-21bar，递增量为1bar（72.5-304psi，递增量为14.5psi）</w:t>
      </w:r>
    </w:p>
    <w:p>
      <w:pPr>
        <w:pStyle w:val="43"/>
        <w:keepNext w:val="0"/>
        <w:keepLines w:val="0"/>
        <w:pageBreakBefore w:val="0"/>
        <w:widowControl/>
        <w:kinsoku/>
        <w:wordWrap/>
        <w:overflowPunct/>
        <w:topLinePunct w:val="0"/>
        <w:autoSpaceDE/>
        <w:autoSpaceDN/>
        <w:bidi w:val="0"/>
        <w:adjustRightInd/>
        <w:snapToGrid w:val="0"/>
        <w:spacing w:before="0" w:beforeAutospacing="0" w:after="0" w:afterAutospacing="0" w:line="480" w:lineRule="exact"/>
        <w:ind w:firstLine="240" w:firstLineChars="100"/>
        <w:jc w:val="left"/>
        <w:textAlignment w:val="baseline"/>
        <w:rPr>
          <w:rFonts w:hint="default" w:ascii="宋体" w:hAnsi="宋体" w:eastAsia="宋体" w:cs="宋体"/>
          <w:b w:val="0"/>
          <w:i w:val="0"/>
          <w:caps w:val="0"/>
          <w:color w:val="auto"/>
          <w:spacing w:val="0"/>
          <w:w w:val="100"/>
          <w:sz w:val="24"/>
          <w:szCs w:val="24"/>
          <w:highlight w:val="none"/>
          <w:lang w:val="en-US" w:eastAsia="zh-CN"/>
        </w:rPr>
      </w:pPr>
      <w:r>
        <w:rPr>
          <w:rFonts w:hint="default" w:ascii="宋体" w:hAnsi="宋体" w:eastAsia="宋体" w:cs="宋体"/>
          <w:b w:val="0"/>
          <w:i w:val="0"/>
          <w:caps w:val="0"/>
          <w:color w:val="auto"/>
          <w:spacing w:val="0"/>
          <w:w w:val="100"/>
          <w:sz w:val="24"/>
          <w:szCs w:val="24"/>
          <w:highlight w:val="none"/>
          <w:lang w:val="en-US" w:eastAsia="zh-CN"/>
        </w:rPr>
        <w:t>10.2个独立单元注射单元的流速：0.1-10ml，递增量0.1ml/s；</w:t>
      </w:r>
    </w:p>
    <w:p>
      <w:pPr>
        <w:pStyle w:val="43"/>
        <w:keepNext w:val="0"/>
        <w:keepLines w:val="0"/>
        <w:pageBreakBefore w:val="0"/>
        <w:widowControl/>
        <w:kinsoku/>
        <w:wordWrap/>
        <w:overflowPunct/>
        <w:topLinePunct w:val="0"/>
        <w:autoSpaceDE/>
        <w:autoSpaceDN/>
        <w:bidi w:val="0"/>
        <w:adjustRightInd/>
        <w:snapToGrid w:val="0"/>
        <w:spacing w:before="0" w:beforeAutospacing="0" w:after="0" w:afterAutospacing="0" w:line="480" w:lineRule="exact"/>
        <w:ind w:firstLine="240" w:firstLineChars="100"/>
        <w:jc w:val="left"/>
        <w:textAlignment w:val="baseline"/>
        <w:rPr>
          <w:rFonts w:hint="default" w:ascii="宋体" w:hAnsi="宋体" w:eastAsia="宋体" w:cs="宋体"/>
          <w:b w:val="0"/>
          <w:i w:val="0"/>
          <w:caps w:val="0"/>
          <w:color w:val="auto"/>
          <w:spacing w:val="0"/>
          <w:w w:val="100"/>
          <w:sz w:val="24"/>
          <w:szCs w:val="24"/>
          <w:highlight w:val="none"/>
          <w:lang w:val="en-US" w:eastAsia="zh-CN"/>
        </w:rPr>
      </w:pPr>
      <w:r>
        <w:rPr>
          <w:rFonts w:hint="eastAsia" w:ascii="宋体" w:hAnsi="宋体" w:eastAsia="宋体" w:cs="宋体"/>
          <w:b w:val="0"/>
          <w:i w:val="0"/>
          <w:caps w:val="0"/>
          <w:color w:val="auto"/>
          <w:spacing w:val="0"/>
          <w:w w:val="100"/>
          <w:sz w:val="24"/>
          <w:szCs w:val="24"/>
          <w:highlight w:val="none"/>
          <w:lang w:val="en-US" w:eastAsia="zh-CN"/>
        </w:rPr>
        <w:t>11.</w:t>
      </w:r>
      <w:r>
        <w:rPr>
          <w:rFonts w:hint="default" w:ascii="宋体" w:hAnsi="宋体" w:eastAsia="宋体" w:cs="宋体"/>
          <w:b w:val="0"/>
          <w:i w:val="0"/>
          <w:caps w:val="0"/>
          <w:color w:val="auto"/>
          <w:spacing w:val="0"/>
          <w:w w:val="100"/>
          <w:sz w:val="24"/>
          <w:szCs w:val="24"/>
          <w:highlight w:val="none"/>
          <w:lang w:val="en-US" w:eastAsia="zh-CN"/>
        </w:rPr>
        <w:t>流速或时相时间可持交替输入</w:t>
      </w:r>
    </w:p>
    <w:p>
      <w:pPr>
        <w:pStyle w:val="43"/>
        <w:keepNext w:val="0"/>
        <w:keepLines w:val="0"/>
        <w:pageBreakBefore w:val="0"/>
        <w:widowControl/>
        <w:kinsoku/>
        <w:wordWrap/>
        <w:overflowPunct/>
        <w:topLinePunct w:val="0"/>
        <w:autoSpaceDE/>
        <w:autoSpaceDN/>
        <w:bidi w:val="0"/>
        <w:adjustRightInd/>
        <w:snapToGrid w:val="0"/>
        <w:spacing w:before="0" w:beforeAutospacing="0" w:after="0" w:afterAutospacing="0" w:line="480" w:lineRule="exact"/>
        <w:ind w:firstLine="240" w:firstLineChars="100"/>
        <w:jc w:val="left"/>
        <w:textAlignment w:val="baseline"/>
        <w:rPr>
          <w:rFonts w:hint="default" w:ascii="宋体" w:hAnsi="宋体" w:eastAsia="宋体" w:cs="宋体"/>
          <w:b w:val="0"/>
          <w:i w:val="0"/>
          <w:caps w:val="0"/>
          <w:color w:val="auto"/>
          <w:spacing w:val="0"/>
          <w:w w:val="100"/>
          <w:sz w:val="24"/>
          <w:szCs w:val="24"/>
          <w:highlight w:val="none"/>
          <w:lang w:val="en-US" w:eastAsia="zh-CN"/>
        </w:rPr>
      </w:pPr>
    </w:p>
    <w:p>
      <w:pPr>
        <w:pStyle w:val="43"/>
        <w:keepNext w:val="0"/>
        <w:keepLines w:val="0"/>
        <w:pageBreakBefore w:val="0"/>
        <w:widowControl/>
        <w:kinsoku/>
        <w:wordWrap/>
        <w:overflowPunct/>
        <w:topLinePunct w:val="0"/>
        <w:autoSpaceDE/>
        <w:autoSpaceDN/>
        <w:bidi w:val="0"/>
        <w:adjustRightInd/>
        <w:snapToGrid w:val="0"/>
        <w:spacing w:before="0" w:beforeAutospacing="0" w:after="0" w:afterAutospacing="0" w:line="480" w:lineRule="exact"/>
        <w:ind w:firstLine="240" w:firstLineChars="100"/>
        <w:jc w:val="left"/>
        <w:textAlignment w:val="baseline"/>
        <w:rPr>
          <w:rFonts w:hint="default" w:ascii="宋体" w:hAnsi="宋体" w:eastAsia="宋体" w:cs="宋体"/>
          <w:b w:val="0"/>
          <w:i w:val="0"/>
          <w:caps w:val="0"/>
          <w:color w:val="auto"/>
          <w:spacing w:val="0"/>
          <w:w w:val="100"/>
          <w:sz w:val="24"/>
          <w:szCs w:val="24"/>
          <w:highlight w:val="none"/>
          <w:lang w:val="en-US" w:eastAsia="zh-CN"/>
        </w:rPr>
      </w:pPr>
      <w:r>
        <w:rPr>
          <w:rFonts w:hint="default" w:ascii="宋体" w:hAnsi="宋体" w:eastAsia="宋体" w:cs="宋体"/>
          <w:b w:val="0"/>
          <w:i w:val="0"/>
          <w:caps w:val="0"/>
          <w:color w:val="auto"/>
          <w:spacing w:val="0"/>
          <w:w w:val="100"/>
          <w:sz w:val="24"/>
          <w:szCs w:val="24"/>
          <w:highlight w:val="none"/>
          <w:lang w:val="en-US" w:eastAsia="zh-CN"/>
        </w:rPr>
        <w:t>12.注射延迟时间：0-255s</w:t>
      </w:r>
    </w:p>
    <w:p>
      <w:pPr>
        <w:pStyle w:val="43"/>
        <w:keepNext w:val="0"/>
        <w:keepLines w:val="0"/>
        <w:pageBreakBefore w:val="0"/>
        <w:widowControl/>
        <w:kinsoku/>
        <w:wordWrap/>
        <w:overflowPunct/>
        <w:topLinePunct w:val="0"/>
        <w:autoSpaceDE/>
        <w:autoSpaceDN/>
        <w:bidi w:val="0"/>
        <w:adjustRightInd/>
        <w:snapToGrid w:val="0"/>
        <w:spacing w:before="0" w:beforeAutospacing="0" w:after="0" w:afterAutospacing="0" w:line="480" w:lineRule="exact"/>
        <w:ind w:firstLine="240" w:firstLineChars="100"/>
        <w:jc w:val="left"/>
        <w:textAlignment w:val="baseline"/>
        <w:rPr>
          <w:rFonts w:hint="default" w:ascii="宋体" w:hAnsi="宋体" w:eastAsia="宋体" w:cs="宋体"/>
          <w:b w:val="0"/>
          <w:i w:val="0"/>
          <w:caps w:val="0"/>
          <w:color w:val="auto"/>
          <w:spacing w:val="0"/>
          <w:w w:val="100"/>
          <w:sz w:val="24"/>
          <w:szCs w:val="24"/>
          <w:highlight w:val="none"/>
          <w:lang w:val="en-US" w:eastAsia="zh-CN"/>
        </w:rPr>
      </w:pPr>
      <w:r>
        <w:rPr>
          <w:rFonts w:hint="default" w:ascii="宋体" w:hAnsi="宋体" w:eastAsia="宋体" w:cs="宋体"/>
          <w:b w:val="0"/>
          <w:i w:val="0"/>
          <w:caps w:val="0"/>
          <w:color w:val="auto"/>
          <w:spacing w:val="0"/>
          <w:w w:val="100"/>
          <w:sz w:val="24"/>
          <w:szCs w:val="24"/>
          <w:highlight w:val="none"/>
          <w:lang w:val="en-US" w:eastAsia="zh-CN"/>
        </w:rPr>
        <w:t>13.时相延迟时间：0-255s</w:t>
      </w:r>
    </w:p>
    <w:p>
      <w:pPr>
        <w:pStyle w:val="43"/>
        <w:keepNext w:val="0"/>
        <w:keepLines w:val="0"/>
        <w:pageBreakBefore w:val="0"/>
        <w:widowControl/>
        <w:kinsoku/>
        <w:wordWrap/>
        <w:overflowPunct/>
        <w:topLinePunct w:val="0"/>
        <w:autoSpaceDE/>
        <w:autoSpaceDN/>
        <w:bidi w:val="0"/>
        <w:adjustRightInd/>
        <w:snapToGrid w:val="0"/>
        <w:spacing w:before="0" w:beforeAutospacing="0" w:after="0" w:afterAutospacing="0" w:line="480" w:lineRule="exact"/>
        <w:ind w:firstLine="240" w:firstLineChars="100"/>
        <w:jc w:val="left"/>
        <w:textAlignment w:val="baseline"/>
        <w:rPr>
          <w:rFonts w:hint="default" w:ascii="宋体" w:hAnsi="宋体" w:eastAsia="宋体" w:cs="宋体"/>
          <w:b w:val="0"/>
          <w:i w:val="0"/>
          <w:caps w:val="0"/>
          <w:color w:val="auto"/>
          <w:spacing w:val="0"/>
          <w:w w:val="100"/>
          <w:sz w:val="24"/>
          <w:szCs w:val="24"/>
          <w:highlight w:val="none"/>
          <w:lang w:val="en-US" w:eastAsia="zh-CN"/>
        </w:rPr>
      </w:pPr>
      <w:r>
        <w:rPr>
          <w:rFonts w:hint="default" w:ascii="宋体" w:hAnsi="宋体" w:eastAsia="宋体" w:cs="宋体"/>
          <w:b w:val="0"/>
          <w:i w:val="0"/>
          <w:caps w:val="0"/>
          <w:color w:val="auto"/>
          <w:spacing w:val="0"/>
          <w:w w:val="100"/>
          <w:sz w:val="24"/>
          <w:szCs w:val="24"/>
          <w:highlight w:val="none"/>
          <w:lang w:val="en-US" w:eastAsia="zh-CN"/>
        </w:rPr>
        <w:t>14.CT扫描延迟时间：0-255s</w:t>
      </w:r>
    </w:p>
    <w:p>
      <w:pPr>
        <w:pStyle w:val="43"/>
        <w:keepNext w:val="0"/>
        <w:keepLines w:val="0"/>
        <w:pageBreakBefore w:val="0"/>
        <w:widowControl/>
        <w:kinsoku/>
        <w:wordWrap/>
        <w:overflowPunct/>
        <w:topLinePunct w:val="0"/>
        <w:autoSpaceDE/>
        <w:autoSpaceDN/>
        <w:bidi w:val="0"/>
        <w:adjustRightInd/>
        <w:snapToGrid w:val="0"/>
        <w:spacing w:before="0" w:beforeAutospacing="0" w:after="0" w:afterAutospacing="0" w:line="480" w:lineRule="exact"/>
        <w:ind w:firstLine="240" w:firstLineChars="100"/>
        <w:jc w:val="left"/>
        <w:textAlignment w:val="baseline"/>
        <w:rPr>
          <w:rFonts w:hint="default" w:ascii="宋体" w:hAnsi="宋体" w:eastAsia="宋体" w:cs="宋体"/>
          <w:b w:val="0"/>
          <w:i w:val="0"/>
          <w:caps w:val="0"/>
          <w:color w:val="auto"/>
          <w:spacing w:val="0"/>
          <w:w w:val="100"/>
          <w:sz w:val="24"/>
          <w:szCs w:val="24"/>
          <w:highlight w:val="none"/>
          <w:lang w:val="en-US" w:eastAsia="zh-CN"/>
        </w:rPr>
      </w:pPr>
      <w:r>
        <w:rPr>
          <w:rFonts w:hint="default" w:ascii="宋体" w:hAnsi="宋体" w:eastAsia="宋体" w:cs="宋体"/>
          <w:b w:val="0"/>
          <w:i w:val="0"/>
          <w:caps w:val="0"/>
          <w:color w:val="auto"/>
          <w:spacing w:val="0"/>
          <w:w w:val="100"/>
          <w:sz w:val="24"/>
          <w:szCs w:val="24"/>
          <w:highlight w:val="none"/>
          <w:lang w:val="en-US" w:eastAsia="zh-CN"/>
        </w:rPr>
        <w:t>15.远程控制，注射参数和压力图像可交替显示</w:t>
      </w:r>
    </w:p>
    <w:p>
      <w:pPr>
        <w:pStyle w:val="43"/>
        <w:keepNext w:val="0"/>
        <w:keepLines w:val="0"/>
        <w:pageBreakBefore w:val="0"/>
        <w:widowControl/>
        <w:kinsoku/>
        <w:wordWrap/>
        <w:overflowPunct/>
        <w:topLinePunct w:val="0"/>
        <w:autoSpaceDE/>
        <w:autoSpaceDN/>
        <w:bidi w:val="0"/>
        <w:adjustRightInd/>
        <w:snapToGrid w:val="0"/>
        <w:spacing w:before="0" w:beforeAutospacing="0" w:after="0" w:afterAutospacing="0" w:line="480" w:lineRule="exact"/>
        <w:ind w:firstLine="240" w:firstLineChars="100"/>
        <w:jc w:val="left"/>
        <w:textAlignment w:val="baseline"/>
        <w:rPr>
          <w:rFonts w:hint="default" w:ascii="宋体" w:hAnsi="宋体" w:eastAsia="宋体" w:cs="宋体"/>
          <w:b w:val="0"/>
          <w:i w:val="0"/>
          <w:caps w:val="0"/>
          <w:color w:val="auto"/>
          <w:spacing w:val="0"/>
          <w:w w:val="100"/>
          <w:sz w:val="24"/>
          <w:szCs w:val="24"/>
          <w:highlight w:val="none"/>
          <w:lang w:val="en-US" w:eastAsia="zh-CN"/>
        </w:rPr>
      </w:pPr>
      <w:r>
        <w:rPr>
          <w:rFonts w:hint="default" w:ascii="宋体" w:hAnsi="宋体" w:eastAsia="宋体" w:cs="宋体"/>
          <w:b w:val="0"/>
          <w:i w:val="0"/>
          <w:caps w:val="0"/>
          <w:color w:val="auto"/>
          <w:spacing w:val="0"/>
          <w:w w:val="100"/>
          <w:sz w:val="24"/>
          <w:szCs w:val="24"/>
          <w:highlight w:val="none"/>
          <w:lang w:val="en-US" w:eastAsia="zh-CN"/>
        </w:rPr>
        <w:t>16.可设定、储存</w:t>
      </w:r>
      <w:r>
        <w:rPr>
          <w:rFonts w:hint="eastAsia" w:ascii="宋体" w:hAnsi="宋体" w:eastAsia="宋体" w:cs="宋体"/>
          <w:b w:val="0"/>
          <w:i w:val="0"/>
          <w:caps w:val="0"/>
          <w:color w:val="auto"/>
          <w:spacing w:val="0"/>
          <w:w w:val="100"/>
          <w:sz w:val="24"/>
          <w:szCs w:val="24"/>
          <w:highlight w:val="none"/>
          <w:lang w:val="en-US" w:eastAsia="zh-CN"/>
        </w:rPr>
        <w:t>不少于</w:t>
      </w:r>
      <w:r>
        <w:rPr>
          <w:rFonts w:hint="default" w:ascii="宋体" w:hAnsi="宋体" w:eastAsia="宋体" w:cs="宋体"/>
          <w:b w:val="0"/>
          <w:i w:val="0"/>
          <w:caps w:val="0"/>
          <w:color w:val="auto"/>
          <w:spacing w:val="0"/>
          <w:w w:val="100"/>
          <w:sz w:val="24"/>
          <w:szCs w:val="24"/>
          <w:highlight w:val="none"/>
          <w:lang w:val="en-US" w:eastAsia="zh-CN"/>
        </w:rPr>
        <w:t>80条注射方案</w:t>
      </w:r>
    </w:p>
    <w:p>
      <w:pPr>
        <w:keepNext w:val="0"/>
        <w:keepLines w:val="0"/>
        <w:pageBreakBefore w:val="0"/>
        <w:widowControl w:val="0"/>
        <w:kinsoku/>
        <w:overflowPunct/>
        <w:topLinePunct w:val="0"/>
        <w:autoSpaceDE w:val="0"/>
        <w:autoSpaceDN w:val="0"/>
        <w:bidi w:val="0"/>
        <w:adjustRightInd/>
        <w:snapToGrid/>
        <w:spacing w:before="0" w:line="380" w:lineRule="exact"/>
        <w:ind w:left="0" w:right="0" w:firstLine="240" w:firstLineChars="100"/>
        <w:textAlignment w:val="auto"/>
        <w:outlineLvl w:val="9"/>
        <w:rPr>
          <w:rFonts w:hint="eastAsia" w:ascii="宋体" w:hAnsi="宋体" w:cs="宋体"/>
          <w:sz w:val="24"/>
          <w:szCs w:val="24"/>
          <w:u w:val="none"/>
          <w:lang w:val="en-US" w:eastAsia="zh-CN"/>
        </w:rPr>
      </w:pPr>
      <w:r>
        <w:rPr>
          <w:rFonts w:hint="eastAsia" w:ascii="宋体" w:hAnsi="宋体" w:cs="宋体"/>
          <w:sz w:val="24"/>
          <w:szCs w:val="24"/>
          <w:u w:val="none"/>
          <w:lang w:val="en-US" w:eastAsia="zh-CN"/>
        </w:rPr>
        <w:t>17.</w:t>
      </w:r>
      <w:r>
        <w:rPr>
          <w:rFonts w:hint="eastAsia" w:ascii="宋体" w:hAnsi="宋体" w:cs="宋体"/>
          <w:b/>
          <w:bCs/>
          <w:sz w:val="24"/>
          <w:szCs w:val="24"/>
          <w:u w:val="none"/>
          <w:lang w:val="en-US" w:eastAsia="zh-CN"/>
        </w:rPr>
        <w:t>机器5年免费质保承诺</w:t>
      </w:r>
    </w:p>
    <w:p>
      <w:pPr>
        <w:pStyle w:val="43"/>
        <w:keepNext w:val="0"/>
        <w:keepLines w:val="0"/>
        <w:pageBreakBefore w:val="0"/>
        <w:widowControl/>
        <w:kinsoku/>
        <w:wordWrap/>
        <w:overflowPunct/>
        <w:topLinePunct w:val="0"/>
        <w:autoSpaceDE/>
        <w:autoSpaceDN/>
        <w:bidi w:val="0"/>
        <w:adjustRightInd/>
        <w:snapToGrid w:val="0"/>
        <w:spacing w:before="0" w:beforeAutospacing="0" w:after="0" w:afterAutospacing="0" w:line="480" w:lineRule="exact"/>
        <w:ind w:firstLine="240" w:firstLineChars="100"/>
        <w:jc w:val="left"/>
        <w:textAlignment w:val="baseline"/>
        <w:rPr>
          <w:rFonts w:hint="eastAsia" w:ascii="宋体" w:hAnsi="宋体" w:eastAsia="宋体" w:cs="宋体"/>
          <w:b w:val="0"/>
          <w:i w:val="0"/>
          <w:caps w:val="0"/>
          <w:color w:val="auto"/>
          <w:spacing w:val="0"/>
          <w:w w:val="100"/>
          <w:sz w:val="24"/>
          <w:szCs w:val="24"/>
          <w:highlight w:val="none"/>
          <w:lang w:val="en-US" w:eastAsia="zh-CN"/>
        </w:rPr>
      </w:pPr>
      <w:r>
        <w:rPr>
          <w:rFonts w:hint="eastAsia" w:ascii="宋体" w:hAnsi="宋体" w:eastAsia="宋体" w:cs="宋体"/>
          <w:b w:val="0"/>
          <w:i w:val="0"/>
          <w:caps w:val="0"/>
          <w:color w:val="auto"/>
          <w:spacing w:val="0"/>
          <w:w w:val="100"/>
          <w:sz w:val="24"/>
          <w:szCs w:val="24"/>
          <w:highlight w:val="none"/>
          <w:lang w:val="en-US" w:eastAsia="zh-CN"/>
        </w:rPr>
        <w:t>18.机器使用的耗材开放，</w:t>
      </w:r>
    </w:p>
    <w:p>
      <w:pPr>
        <w:pStyle w:val="43"/>
        <w:keepNext w:val="0"/>
        <w:keepLines w:val="0"/>
        <w:pageBreakBefore w:val="0"/>
        <w:widowControl/>
        <w:kinsoku/>
        <w:wordWrap/>
        <w:overflowPunct/>
        <w:topLinePunct w:val="0"/>
        <w:autoSpaceDE/>
        <w:autoSpaceDN/>
        <w:bidi w:val="0"/>
        <w:adjustRightInd/>
        <w:snapToGrid w:val="0"/>
        <w:spacing w:before="0" w:beforeAutospacing="0" w:after="0" w:afterAutospacing="0" w:line="480" w:lineRule="exact"/>
        <w:ind w:firstLine="240" w:firstLineChars="100"/>
        <w:jc w:val="left"/>
        <w:textAlignment w:val="baseline"/>
        <w:rPr>
          <w:rFonts w:hint="default" w:ascii="宋体" w:hAnsi="宋体" w:eastAsia="宋体" w:cs="宋体"/>
          <w:b w:val="0"/>
          <w:i w:val="0"/>
          <w:caps w:val="0"/>
          <w:color w:val="auto"/>
          <w:spacing w:val="0"/>
          <w:w w:val="100"/>
          <w:sz w:val="24"/>
          <w:szCs w:val="24"/>
          <w:highlight w:val="none"/>
          <w:lang w:val="en-US" w:eastAsia="zh-CN"/>
        </w:rPr>
      </w:pPr>
      <w:r>
        <w:rPr>
          <w:rFonts w:hint="eastAsia" w:ascii="宋体" w:hAnsi="宋体" w:eastAsia="宋体" w:cs="宋体"/>
          <w:b w:val="0"/>
          <w:i w:val="0"/>
          <w:caps w:val="0"/>
          <w:color w:val="auto"/>
          <w:spacing w:val="0"/>
          <w:w w:val="100"/>
          <w:sz w:val="24"/>
          <w:szCs w:val="24"/>
          <w:highlight w:val="none"/>
          <w:lang w:val="en-US" w:eastAsia="zh-CN"/>
        </w:rPr>
        <w:t>19.机器在本地区有一定客户，不少于6家（提供客户名单），出现故障能够及时响应。</w:t>
      </w:r>
    </w:p>
    <w:p>
      <w:pPr>
        <w:keepNext w:val="0"/>
        <w:keepLines w:val="0"/>
        <w:pageBreakBefore w:val="0"/>
        <w:widowControl w:val="0"/>
        <w:kinsoku/>
        <w:overflowPunct/>
        <w:topLinePunct w:val="0"/>
        <w:autoSpaceDE w:val="0"/>
        <w:autoSpaceDN w:val="0"/>
        <w:bidi w:val="0"/>
        <w:adjustRightInd/>
        <w:snapToGrid/>
        <w:spacing w:before="0" w:line="380" w:lineRule="exact"/>
        <w:ind w:left="0" w:right="0" w:firstLine="0" w:firstLineChars="0"/>
        <w:jc w:val="center"/>
        <w:textAlignment w:val="auto"/>
        <w:outlineLvl w:val="9"/>
        <w:rPr>
          <w:rFonts w:hint="default" w:ascii="宋体" w:hAnsi="宋体" w:eastAsia="宋体" w:cs="宋体"/>
          <w:b/>
          <w:bCs/>
          <w:sz w:val="30"/>
          <w:szCs w:val="30"/>
          <w:u w:val="none"/>
          <w:lang w:val="en-US" w:eastAsia="zh-CN"/>
        </w:rPr>
      </w:pPr>
      <w:r>
        <w:rPr>
          <w:rFonts w:hint="eastAsia" w:cs="宋体"/>
          <w:b/>
          <w:bCs/>
          <w:sz w:val="30"/>
          <w:szCs w:val="30"/>
          <w:u w:val="none"/>
          <w:lang w:val="en-US" w:eastAsia="zh-CN"/>
        </w:rPr>
        <w:t xml:space="preserve">5. </w:t>
      </w:r>
      <w:r>
        <w:rPr>
          <w:rFonts w:hint="default" w:ascii="宋体" w:hAnsi="宋体" w:eastAsia="宋体" w:cs="宋体"/>
          <w:b/>
          <w:bCs/>
          <w:sz w:val="30"/>
          <w:szCs w:val="30"/>
          <w:u w:val="none"/>
          <w:lang w:val="en-US" w:eastAsia="zh-CN"/>
        </w:rPr>
        <w:t>3M医用显示器</w:t>
      </w:r>
      <w:r>
        <w:rPr>
          <w:rFonts w:hint="eastAsia" w:cs="宋体"/>
          <w:b/>
          <w:bCs/>
          <w:sz w:val="30"/>
          <w:szCs w:val="30"/>
          <w:u w:val="none"/>
          <w:lang w:val="en-US" w:eastAsia="zh-CN"/>
        </w:rPr>
        <w:t>（3M的专业竖屏）</w:t>
      </w:r>
    </w:p>
    <w:p>
      <w:pPr>
        <w:pStyle w:val="43"/>
        <w:keepNext w:val="0"/>
        <w:keepLines w:val="0"/>
        <w:pageBreakBefore w:val="0"/>
        <w:widowControl/>
        <w:kinsoku/>
        <w:wordWrap/>
        <w:overflowPunct/>
        <w:topLinePunct w:val="0"/>
        <w:autoSpaceDE/>
        <w:autoSpaceDN/>
        <w:bidi w:val="0"/>
        <w:adjustRightInd/>
        <w:snapToGrid w:val="0"/>
        <w:spacing w:before="0" w:beforeAutospacing="0" w:after="0" w:afterAutospacing="0" w:line="480" w:lineRule="exact"/>
        <w:ind w:firstLine="240" w:firstLineChars="100"/>
        <w:jc w:val="left"/>
        <w:textAlignment w:val="baseline"/>
        <w:rPr>
          <w:rFonts w:hint="default" w:ascii="宋体" w:hAnsi="宋体" w:eastAsia="宋体" w:cs="宋体"/>
          <w:b w:val="0"/>
          <w:i w:val="0"/>
          <w:caps w:val="0"/>
          <w:color w:val="auto"/>
          <w:spacing w:val="0"/>
          <w:w w:val="100"/>
          <w:sz w:val="24"/>
          <w:szCs w:val="24"/>
          <w:highlight w:val="none"/>
          <w:lang w:val="en-US" w:eastAsia="zh-CN"/>
        </w:rPr>
      </w:pPr>
      <w:r>
        <w:rPr>
          <w:rFonts w:hint="default" w:ascii="宋体" w:hAnsi="宋体" w:eastAsia="宋体" w:cs="宋体"/>
          <w:b w:val="0"/>
          <w:i w:val="0"/>
          <w:caps w:val="0"/>
          <w:color w:val="auto"/>
          <w:spacing w:val="0"/>
          <w:w w:val="100"/>
          <w:sz w:val="24"/>
          <w:szCs w:val="24"/>
          <w:highlight w:val="none"/>
          <w:lang w:val="en-US" w:eastAsia="zh-CN"/>
        </w:rPr>
        <w:t>技术参数：</w:t>
      </w:r>
    </w:p>
    <w:p>
      <w:pPr>
        <w:pStyle w:val="43"/>
        <w:keepNext w:val="0"/>
        <w:keepLines w:val="0"/>
        <w:pageBreakBefore w:val="0"/>
        <w:widowControl/>
        <w:kinsoku/>
        <w:wordWrap/>
        <w:overflowPunct/>
        <w:topLinePunct w:val="0"/>
        <w:autoSpaceDE/>
        <w:autoSpaceDN/>
        <w:bidi w:val="0"/>
        <w:adjustRightInd/>
        <w:snapToGrid w:val="0"/>
        <w:spacing w:before="0" w:beforeAutospacing="0" w:after="0" w:afterAutospacing="0" w:line="480" w:lineRule="exact"/>
        <w:ind w:firstLine="240" w:firstLineChars="100"/>
        <w:jc w:val="left"/>
        <w:textAlignment w:val="baseline"/>
        <w:rPr>
          <w:rFonts w:hint="default" w:ascii="宋体" w:hAnsi="宋体" w:eastAsia="宋体" w:cs="宋体"/>
          <w:b w:val="0"/>
          <w:i w:val="0"/>
          <w:caps w:val="0"/>
          <w:color w:val="auto"/>
          <w:spacing w:val="0"/>
          <w:w w:val="100"/>
          <w:sz w:val="24"/>
          <w:szCs w:val="24"/>
          <w:highlight w:val="none"/>
          <w:lang w:val="en-US" w:eastAsia="zh-CN"/>
        </w:rPr>
      </w:pPr>
      <w:r>
        <w:rPr>
          <w:rFonts w:hint="default" w:ascii="宋体" w:hAnsi="宋体" w:eastAsia="宋体" w:cs="宋体"/>
          <w:b w:val="0"/>
          <w:i w:val="0"/>
          <w:caps w:val="0"/>
          <w:color w:val="auto"/>
          <w:spacing w:val="0"/>
          <w:w w:val="100"/>
          <w:sz w:val="24"/>
          <w:szCs w:val="24"/>
          <w:highlight w:val="none"/>
          <w:lang w:val="en-US" w:eastAsia="zh-CN"/>
        </w:rPr>
        <w:t>1. 尺寸（对角线）：21.3英寸;</w:t>
      </w:r>
    </w:p>
    <w:p>
      <w:pPr>
        <w:pStyle w:val="43"/>
        <w:keepNext w:val="0"/>
        <w:keepLines w:val="0"/>
        <w:pageBreakBefore w:val="0"/>
        <w:widowControl/>
        <w:kinsoku/>
        <w:wordWrap/>
        <w:overflowPunct/>
        <w:topLinePunct w:val="0"/>
        <w:autoSpaceDE/>
        <w:autoSpaceDN/>
        <w:bidi w:val="0"/>
        <w:adjustRightInd/>
        <w:snapToGrid w:val="0"/>
        <w:spacing w:before="0" w:beforeAutospacing="0" w:after="0" w:afterAutospacing="0" w:line="480" w:lineRule="exact"/>
        <w:ind w:firstLine="240" w:firstLineChars="100"/>
        <w:jc w:val="left"/>
        <w:textAlignment w:val="baseline"/>
        <w:rPr>
          <w:rFonts w:hint="default" w:ascii="宋体" w:hAnsi="宋体" w:eastAsia="宋体" w:cs="宋体"/>
          <w:b w:val="0"/>
          <w:i w:val="0"/>
          <w:caps w:val="0"/>
          <w:color w:val="auto"/>
          <w:spacing w:val="0"/>
          <w:w w:val="100"/>
          <w:sz w:val="24"/>
          <w:szCs w:val="24"/>
          <w:highlight w:val="none"/>
          <w:lang w:val="en-US" w:eastAsia="zh-CN"/>
        </w:rPr>
      </w:pPr>
      <w:r>
        <w:rPr>
          <w:rFonts w:hint="default" w:ascii="宋体" w:hAnsi="宋体" w:eastAsia="宋体" w:cs="宋体"/>
          <w:b w:val="0"/>
          <w:i w:val="0"/>
          <w:caps w:val="0"/>
          <w:color w:val="auto"/>
          <w:spacing w:val="0"/>
          <w:w w:val="100"/>
          <w:sz w:val="24"/>
          <w:szCs w:val="24"/>
          <w:highlight w:val="none"/>
          <w:lang w:val="en-US" w:eastAsia="zh-CN"/>
        </w:rPr>
        <w:t>2. 像素矩阵：2048x1536;</w:t>
      </w:r>
    </w:p>
    <w:p>
      <w:pPr>
        <w:pStyle w:val="43"/>
        <w:keepNext w:val="0"/>
        <w:keepLines w:val="0"/>
        <w:pageBreakBefore w:val="0"/>
        <w:widowControl/>
        <w:kinsoku/>
        <w:wordWrap/>
        <w:overflowPunct/>
        <w:topLinePunct w:val="0"/>
        <w:autoSpaceDE/>
        <w:autoSpaceDN/>
        <w:bidi w:val="0"/>
        <w:adjustRightInd/>
        <w:snapToGrid w:val="0"/>
        <w:spacing w:before="0" w:beforeAutospacing="0" w:after="0" w:afterAutospacing="0" w:line="480" w:lineRule="exact"/>
        <w:ind w:firstLine="240" w:firstLineChars="100"/>
        <w:jc w:val="left"/>
        <w:textAlignment w:val="baseline"/>
        <w:rPr>
          <w:rFonts w:hint="default" w:ascii="宋体" w:hAnsi="宋体" w:eastAsia="宋体" w:cs="宋体"/>
          <w:b w:val="0"/>
          <w:i w:val="0"/>
          <w:caps w:val="0"/>
          <w:color w:val="auto"/>
          <w:spacing w:val="0"/>
          <w:w w:val="100"/>
          <w:sz w:val="24"/>
          <w:szCs w:val="24"/>
          <w:highlight w:val="none"/>
          <w:lang w:val="en-US" w:eastAsia="zh-CN"/>
        </w:rPr>
      </w:pPr>
      <w:r>
        <w:rPr>
          <w:rFonts w:hint="default" w:ascii="宋体" w:hAnsi="宋体" w:eastAsia="宋体" w:cs="宋体"/>
          <w:b w:val="0"/>
          <w:i w:val="0"/>
          <w:caps w:val="0"/>
          <w:color w:val="auto"/>
          <w:spacing w:val="0"/>
          <w:w w:val="100"/>
          <w:sz w:val="24"/>
          <w:szCs w:val="24"/>
          <w:highlight w:val="none"/>
          <w:lang w:val="en-US" w:eastAsia="zh-CN"/>
        </w:rPr>
        <w:t>3. 色彩位深：14bit；</w:t>
      </w:r>
    </w:p>
    <w:p>
      <w:pPr>
        <w:pStyle w:val="43"/>
        <w:keepNext w:val="0"/>
        <w:keepLines w:val="0"/>
        <w:pageBreakBefore w:val="0"/>
        <w:widowControl/>
        <w:kinsoku/>
        <w:wordWrap/>
        <w:overflowPunct/>
        <w:topLinePunct w:val="0"/>
        <w:autoSpaceDE/>
        <w:autoSpaceDN/>
        <w:bidi w:val="0"/>
        <w:adjustRightInd/>
        <w:snapToGrid w:val="0"/>
        <w:spacing w:before="0" w:beforeAutospacing="0" w:after="0" w:afterAutospacing="0" w:line="480" w:lineRule="exact"/>
        <w:ind w:firstLine="240" w:firstLineChars="100"/>
        <w:jc w:val="left"/>
        <w:textAlignment w:val="baseline"/>
        <w:rPr>
          <w:rFonts w:hint="default" w:ascii="宋体" w:hAnsi="宋体" w:eastAsia="宋体" w:cs="宋体"/>
          <w:b w:val="0"/>
          <w:i w:val="0"/>
          <w:caps w:val="0"/>
          <w:color w:val="auto"/>
          <w:spacing w:val="0"/>
          <w:w w:val="100"/>
          <w:sz w:val="24"/>
          <w:szCs w:val="24"/>
          <w:highlight w:val="none"/>
          <w:lang w:val="en-US" w:eastAsia="zh-CN"/>
        </w:rPr>
      </w:pPr>
      <w:r>
        <w:rPr>
          <w:rFonts w:hint="default" w:ascii="宋体" w:hAnsi="宋体" w:eastAsia="宋体" w:cs="宋体"/>
          <w:b w:val="0"/>
          <w:i w:val="0"/>
          <w:caps w:val="0"/>
          <w:color w:val="auto"/>
          <w:spacing w:val="0"/>
          <w:w w:val="100"/>
          <w:sz w:val="24"/>
          <w:szCs w:val="24"/>
          <w:highlight w:val="none"/>
          <w:lang w:val="en-US" w:eastAsia="zh-CN"/>
        </w:rPr>
        <w:t>4. 对比度：≥1700:1;</w:t>
      </w:r>
    </w:p>
    <w:p>
      <w:pPr>
        <w:pStyle w:val="43"/>
        <w:keepNext w:val="0"/>
        <w:keepLines w:val="0"/>
        <w:pageBreakBefore w:val="0"/>
        <w:widowControl/>
        <w:kinsoku/>
        <w:wordWrap/>
        <w:overflowPunct/>
        <w:topLinePunct w:val="0"/>
        <w:autoSpaceDE/>
        <w:autoSpaceDN/>
        <w:bidi w:val="0"/>
        <w:adjustRightInd/>
        <w:snapToGrid w:val="0"/>
        <w:spacing w:before="0" w:beforeAutospacing="0" w:after="0" w:afterAutospacing="0" w:line="480" w:lineRule="exact"/>
        <w:ind w:firstLine="240" w:firstLineChars="100"/>
        <w:jc w:val="left"/>
        <w:textAlignment w:val="baseline"/>
        <w:rPr>
          <w:rFonts w:hint="default" w:ascii="宋体" w:hAnsi="宋体" w:eastAsia="宋体" w:cs="宋体"/>
          <w:b w:val="0"/>
          <w:i w:val="0"/>
          <w:caps w:val="0"/>
          <w:color w:val="auto"/>
          <w:spacing w:val="0"/>
          <w:w w:val="100"/>
          <w:sz w:val="24"/>
          <w:szCs w:val="24"/>
          <w:highlight w:val="none"/>
          <w:lang w:val="en-US" w:eastAsia="zh-CN"/>
        </w:rPr>
      </w:pPr>
      <w:r>
        <w:rPr>
          <w:rFonts w:hint="default" w:ascii="宋体" w:hAnsi="宋体" w:eastAsia="宋体" w:cs="宋体"/>
          <w:b w:val="0"/>
          <w:i w:val="0"/>
          <w:caps w:val="0"/>
          <w:color w:val="auto"/>
          <w:spacing w:val="0"/>
          <w:w w:val="100"/>
          <w:sz w:val="24"/>
          <w:szCs w:val="24"/>
          <w:highlight w:val="none"/>
          <w:lang w:val="en-US" w:eastAsia="zh-CN"/>
        </w:rPr>
        <w:t>5. 像素间距：0.2109x0.2109mm;</w:t>
      </w:r>
    </w:p>
    <w:p>
      <w:pPr>
        <w:pStyle w:val="43"/>
        <w:keepNext w:val="0"/>
        <w:keepLines w:val="0"/>
        <w:pageBreakBefore w:val="0"/>
        <w:widowControl/>
        <w:kinsoku/>
        <w:wordWrap/>
        <w:overflowPunct/>
        <w:topLinePunct w:val="0"/>
        <w:autoSpaceDE/>
        <w:autoSpaceDN/>
        <w:bidi w:val="0"/>
        <w:adjustRightInd/>
        <w:snapToGrid w:val="0"/>
        <w:spacing w:before="0" w:beforeAutospacing="0" w:after="0" w:afterAutospacing="0" w:line="480" w:lineRule="exact"/>
        <w:ind w:firstLine="240" w:firstLineChars="100"/>
        <w:jc w:val="left"/>
        <w:textAlignment w:val="baseline"/>
        <w:rPr>
          <w:rFonts w:hint="default" w:ascii="宋体" w:hAnsi="宋体" w:eastAsia="宋体" w:cs="宋体"/>
          <w:b w:val="0"/>
          <w:i w:val="0"/>
          <w:caps w:val="0"/>
          <w:color w:val="auto"/>
          <w:spacing w:val="0"/>
          <w:w w:val="100"/>
          <w:sz w:val="24"/>
          <w:szCs w:val="24"/>
          <w:highlight w:val="none"/>
          <w:lang w:val="en-US" w:eastAsia="zh-CN"/>
        </w:rPr>
      </w:pPr>
      <w:r>
        <w:rPr>
          <w:rFonts w:hint="default" w:ascii="宋体" w:hAnsi="宋体" w:eastAsia="宋体" w:cs="宋体"/>
          <w:b w:val="0"/>
          <w:i w:val="0"/>
          <w:caps w:val="0"/>
          <w:color w:val="auto"/>
          <w:spacing w:val="0"/>
          <w:w w:val="100"/>
          <w:sz w:val="24"/>
          <w:szCs w:val="24"/>
          <w:highlight w:val="none"/>
          <w:lang w:val="en-US" w:eastAsia="zh-CN"/>
        </w:rPr>
        <w:t>6. 最大亮度：2000cd/㎡;</w:t>
      </w:r>
    </w:p>
    <w:p>
      <w:pPr>
        <w:pStyle w:val="43"/>
        <w:keepNext w:val="0"/>
        <w:keepLines w:val="0"/>
        <w:pageBreakBefore w:val="0"/>
        <w:widowControl/>
        <w:kinsoku/>
        <w:wordWrap/>
        <w:overflowPunct/>
        <w:topLinePunct w:val="0"/>
        <w:autoSpaceDE/>
        <w:autoSpaceDN/>
        <w:bidi w:val="0"/>
        <w:adjustRightInd/>
        <w:snapToGrid w:val="0"/>
        <w:spacing w:before="0" w:beforeAutospacing="0" w:after="0" w:afterAutospacing="0" w:line="480" w:lineRule="exact"/>
        <w:ind w:firstLine="240" w:firstLineChars="100"/>
        <w:jc w:val="left"/>
        <w:textAlignment w:val="baseline"/>
        <w:rPr>
          <w:rFonts w:hint="default" w:ascii="宋体" w:hAnsi="宋体" w:eastAsia="宋体" w:cs="宋体"/>
          <w:b w:val="0"/>
          <w:i w:val="0"/>
          <w:caps w:val="0"/>
          <w:color w:val="auto"/>
          <w:spacing w:val="0"/>
          <w:w w:val="100"/>
          <w:sz w:val="24"/>
          <w:szCs w:val="24"/>
          <w:highlight w:val="none"/>
          <w:lang w:val="en-US" w:eastAsia="zh-CN"/>
        </w:rPr>
      </w:pPr>
      <w:r>
        <w:rPr>
          <w:rFonts w:hint="default" w:ascii="宋体" w:hAnsi="宋体" w:eastAsia="宋体" w:cs="宋体"/>
          <w:b w:val="0"/>
          <w:i w:val="0"/>
          <w:caps w:val="0"/>
          <w:color w:val="auto"/>
          <w:spacing w:val="0"/>
          <w:w w:val="100"/>
          <w:sz w:val="24"/>
          <w:szCs w:val="24"/>
          <w:highlight w:val="none"/>
          <w:lang w:val="en-US" w:eastAsia="zh-CN"/>
        </w:rPr>
        <w:t>7. 响应时间：≤13ms;</w:t>
      </w:r>
    </w:p>
    <w:p>
      <w:pPr>
        <w:pStyle w:val="43"/>
        <w:keepNext w:val="0"/>
        <w:keepLines w:val="0"/>
        <w:pageBreakBefore w:val="0"/>
        <w:widowControl/>
        <w:kinsoku/>
        <w:wordWrap/>
        <w:overflowPunct/>
        <w:topLinePunct w:val="0"/>
        <w:autoSpaceDE/>
        <w:autoSpaceDN/>
        <w:bidi w:val="0"/>
        <w:adjustRightInd/>
        <w:snapToGrid w:val="0"/>
        <w:spacing w:before="0" w:beforeAutospacing="0" w:after="0" w:afterAutospacing="0" w:line="480" w:lineRule="exact"/>
        <w:ind w:firstLine="240" w:firstLineChars="100"/>
        <w:jc w:val="left"/>
        <w:textAlignment w:val="baseline"/>
        <w:rPr>
          <w:rFonts w:hint="default" w:ascii="宋体" w:hAnsi="宋体" w:eastAsia="宋体" w:cs="宋体"/>
          <w:b w:val="0"/>
          <w:i w:val="0"/>
          <w:caps w:val="0"/>
          <w:color w:val="auto"/>
          <w:spacing w:val="0"/>
          <w:w w:val="100"/>
          <w:sz w:val="24"/>
          <w:szCs w:val="24"/>
          <w:highlight w:val="none"/>
          <w:lang w:val="en-US" w:eastAsia="zh-CN"/>
        </w:rPr>
      </w:pPr>
      <w:r>
        <w:rPr>
          <w:rFonts w:hint="default" w:ascii="宋体" w:hAnsi="宋体" w:eastAsia="宋体" w:cs="宋体"/>
          <w:b w:val="0"/>
          <w:i w:val="0"/>
          <w:caps w:val="0"/>
          <w:color w:val="auto"/>
          <w:spacing w:val="0"/>
          <w:w w:val="100"/>
          <w:sz w:val="24"/>
          <w:szCs w:val="24"/>
          <w:highlight w:val="none"/>
          <w:lang w:val="en-US" w:eastAsia="zh-CN"/>
        </w:rPr>
        <w:t>8. 可视角度：178度;</w:t>
      </w:r>
    </w:p>
    <w:p>
      <w:pPr>
        <w:pStyle w:val="43"/>
        <w:keepNext w:val="0"/>
        <w:keepLines w:val="0"/>
        <w:pageBreakBefore w:val="0"/>
        <w:widowControl/>
        <w:kinsoku/>
        <w:wordWrap/>
        <w:overflowPunct/>
        <w:topLinePunct w:val="0"/>
        <w:autoSpaceDE/>
        <w:autoSpaceDN/>
        <w:bidi w:val="0"/>
        <w:adjustRightInd/>
        <w:snapToGrid w:val="0"/>
        <w:spacing w:before="0" w:beforeAutospacing="0" w:after="0" w:afterAutospacing="0" w:line="480" w:lineRule="exact"/>
        <w:ind w:firstLine="240" w:firstLineChars="100"/>
        <w:jc w:val="left"/>
        <w:textAlignment w:val="baseline"/>
        <w:rPr>
          <w:rFonts w:hint="default" w:ascii="宋体" w:hAnsi="宋体" w:eastAsia="宋体" w:cs="宋体"/>
          <w:b w:val="0"/>
          <w:i w:val="0"/>
          <w:caps w:val="0"/>
          <w:color w:val="auto"/>
          <w:spacing w:val="0"/>
          <w:w w:val="100"/>
          <w:sz w:val="24"/>
          <w:szCs w:val="24"/>
          <w:highlight w:val="none"/>
          <w:lang w:val="en-US" w:eastAsia="zh-CN"/>
        </w:rPr>
      </w:pPr>
      <w:r>
        <w:rPr>
          <w:rFonts w:hint="default" w:ascii="宋体" w:hAnsi="宋体" w:eastAsia="宋体" w:cs="宋体"/>
          <w:b w:val="0"/>
          <w:i w:val="0"/>
          <w:caps w:val="0"/>
          <w:color w:val="auto"/>
          <w:spacing w:val="0"/>
          <w:w w:val="100"/>
          <w:sz w:val="24"/>
          <w:szCs w:val="24"/>
          <w:highlight w:val="none"/>
          <w:lang w:val="en-US" w:eastAsia="zh-CN"/>
        </w:rPr>
        <w:t>9. 输入信号接口：HDMI≧2,DVI-D≧1,DP≧1；</w:t>
      </w:r>
    </w:p>
    <w:p>
      <w:pPr>
        <w:pStyle w:val="43"/>
        <w:keepNext w:val="0"/>
        <w:keepLines w:val="0"/>
        <w:pageBreakBefore w:val="0"/>
        <w:widowControl/>
        <w:kinsoku/>
        <w:wordWrap/>
        <w:overflowPunct/>
        <w:topLinePunct w:val="0"/>
        <w:autoSpaceDE/>
        <w:autoSpaceDN/>
        <w:bidi w:val="0"/>
        <w:adjustRightInd/>
        <w:snapToGrid w:val="0"/>
        <w:spacing w:before="0" w:beforeAutospacing="0" w:after="0" w:afterAutospacing="0" w:line="480" w:lineRule="exact"/>
        <w:ind w:firstLine="240" w:firstLineChars="100"/>
        <w:jc w:val="left"/>
        <w:textAlignment w:val="baseline"/>
        <w:rPr>
          <w:rFonts w:hint="default" w:ascii="宋体" w:hAnsi="宋体" w:eastAsia="宋体" w:cs="宋体"/>
          <w:b w:val="0"/>
          <w:i w:val="0"/>
          <w:caps w:val="0"/>
          <w:color w:val="auto"/>
          <w:spacing w:val="0"/>
          <w:w w:val="100"/>
          <w:sz w:val="24"/>
          <w:szCs w:val="24"/>
          <w:highlight w:val="none"/>
          <w:lang w:val="en-US" w:eastAsia="zh-CN"/>
        </w:rPr>
      </w:pPr>
      <w:r>
        <w:rPr>
          <w:rFonts w:hint="default" w:ascii="宋体" w:hAnsi="宋体" w:eastAsia="宋体" w:cs="宋体"/>
          <w:b w:val="0"/>
          <w:i w:val="0"/>
          <w:caps w:val="0"/>
          <w:color w:val="auto"/>
          <w:spacing w:val="0"/>
          <w:w w:val="100"/>
          <w:sz w:val="24"/>
          <w:szCs w:val="24"/>
          <w:highlight w:val="none"/>
          <w:lang w:val="en-US" w:eastAsia="zh-CN"/>
        </w:rPr>
        <w:t>功能特点：</w:t>
      </w:r>
    </w:p>
    <w:p>
      <w:pPr>
        <w:pStyle w:val="43"/>
        <w:keepNext w:val="0"/>
        <w:keepLines w:val="0"/>
        <w:pageBreakBefore w:val="0"/>
        <w:widowControl/>
        <w:kinsoku/>
        <w:wordWrap/>
        <w:overflowPunct/>
        <w:topLinePunct w:val="0"/>
        <w:autoSpaceDE/>
        <w:autoSpaceDN/>
        <w:bidi w:val="0"/>
        <w:adjustRightInd/>
        <w:snapToGrid w:val="0"/>
        <w:spacing w:before="0" w:beforeAutospacing="0" w:after="0" w:afterAutospacing="0" w:line="480" w:lineRule="exact"/>
        <w:ind w:firstLine="240" w:firstLineChars="100"/>
        <w:jc w:val="left"/>
        <w:textAlignment w:val="baseline"/>
        <w:rPr>
          <w:rFonts w:hint="default" w:ascii="宋体" w:hAnsi="宋体" w:eastAsia="宋体" w:cs="宋体"/>
          <w:b w:val="0"/>
          <w:i w:val="0"/>
          <w:caps w:val="0"/>
          <w:color w:val="auto"/>
          <w:spacing w:val="0"/>
          <w:w w:val="100"/>
          <w:sz w:val="24"/>
          <w:szCs w:val="24"/>
          <w:highlight w:val="none"/>
          <w:lang w:val="en-US" w:eastAsia="zh-CN"/>
        </w:rPr>
      </w:pPr>
      <w:r>
        <w:rPr>
          <w:rFonts w:hint="default" w:ascii="宋体" w:hAnsi="宋体" w:eastAsia="宋体" w:cs="宋体"/>
          <w:b w:val="0"/>
          <w:i w:val="0"/>
          <w:caps w:val="0"/>
          <w:color w:val="auto"/>
          <w:spacing w:val="0"/>
          <w:w w:val="100"/>
          <w:sz w:val="24"/>
          <w:szCs w:val="24"/>
          <w:highlight w:val="none"/>
          <w:lang w:val="en-US" w:eastAsia="zh-CN"/>
        </w:rPr>
        <w:t>1. 灰阶曲线校正：完全支持DICOM PART3.14标准；</w:t>
      </w:r>
    </w:p>
    <w:p>
      <w:pPr>
        <w:pStyle w:val="43"/>
        <w:keepNext w:val="0"/>
        <w:keepLines w:val="0"/>
        <w:pageBreakBefore w:val="0"/>
        <w:widowControl/>
        <w:kinsoku/>
        <w:wordWrap/>
        <w:overflowPunct/>
        <w:topLinePunct w:val="0"/>
        <w:autoSpaceDE/>
        <w:autoSpaceDN/>
        <w:bidi w:val="0"/>
        <w:adjustRightInd/>
        <w:snapToGrid w:val="0"/>
        <w:spacing w:before="0" w:beforeAutospacing="0" w:after="0" w:afterAutospacing="0" w:line="480" w:lineRule="exact"/>
        <w:ind w:firstLine="240" w:firstLineChars="100"/>
        <w:jc w:val="left"/>
        <w:textAlignment w:val="baseline"/>
        <w:rPr>
          <w:rFonts w:hint="default" w:ascii="宋体" w:hAnsi="宋体" w:eastAsia="宋体" w:cs="宋体"/>
          <w:b w:val="0"/>
          <w:i w:val="0"/>
          <w:caps w:val="0"/>
          <w:color w:val="auto"/>
          <w:spacing w:val="0"/>
          <w:w w:val="100"/>
          <w:sz w:val="24"/>
          <w:szCs w:val="24"/>
          <w:highlight w:val="none"/>
          <w:lang w:val="en-US" w:eastAsia="zh-CN"/>
        </w:rPr>
      </w:pPr>
      <w:r>
        <w:rPr>
          <w:rFonts w:hint="default" w:ascii="宋体" w:hAnsi="宋体" w:eastAsia="宋体" w:cs="宋体"/>
          <w:b w:val="0"/>
          <w:i w:val="0"/>
          <w:caps w:val="0"/>
          <w:color w:val="auto"/>
          <w:spacing w:val="0"/>
          <w:w w:val="100"/>
          <w:sz w:val="24"/>
          <w:szCs w:val="24"/>
          <w:highlight w:val="none"/>
          <w:lang w:val="en-US" w:eastAsia="zh-CN"/>
        </w:rPr>
        <w:t>2. 亮度恒定技术：通过传感器侦测显示器的亮度变化而自动进行调整，使显示器在使用寿命内能随时保持亮度稳定；</w:t>
      </w:r>
    </w:p>
    <w:p>
      <w:pPr>
        <w:pStyle w:val="43"/>
        <w:keepNext w:val="0"/>
        <w:keepLines w:val="0"/>
        <w:pageBreakBefore w:val="0"/>
        <w:widowControl/>
        <w:kinsoku/>
        <w:wordWrap/>
        <w:overflowPunct/>
        <w:topLinePunct w:val="0"/>
        <w:autoSpaceDE/>
        <w:autoSpaceDN/>
        <w:bidi w:val="0"/>
        <w:adjustRightInd/>
        <w:snapToGrid w:val="0"/>
        <w:spacing w:before="0" w:beforeAutospacing="0" w:after="0" w:afterAutospacing="0" w:line="480" w:lineRule="exact"/>
        <w:ind w:firstLine="240" w:firstLineChars="100"/>
        <w:jc w:val="left"/>
        <w:textAlignment w:val="baseline"/>
        <w:rPr>
          <w:rFonts w:hint="default" w:ascii="宋体" w:hAnsi="宋体" w:eastAsia="宋体" w:cs="宋体"/>
          <w:b w:val="0"/>
          <w:i w:val="0"/>
          <w:caps w:val="0"/>
          <w:color w:val="auto"/>
          <w:spacing w:val="0"/>
          <w:w w:val="100"/>
          <w:sz w:val="24"/>
          <w:szCs w:val="24"/>
          <w:highlight w:val="none"/>
          <w:lang w:val="en-US" w:eastAsia="zh-CN"/>
        </w:rPr>
      </w:pPr>
      <w:r>
        <w:rPr>
          <w:rFonts w:hint="default" w:ascii="宋体" w:hAnsi="宋体" w:eastAsia="宋体" w:cs="宋体"/>
          <w:b w:val="0"/>
          <w:i w:val="0"/>
          <w:caps w:val="0"/>
          <w:color w:val="auto"/>
          <w:spacing w:val="0"/>
          <w:w w:val="100"/>
          <w:sz w:val="24"/>
          <w:szCs w:val="24"/>
          <w:highlight w:val="none"/>
          <w:lang w:val="en-US" w:eastAsia="zh-CN"/>
        </w:rPr>
        <w:t>3. 电源要求：必须为内置一体化电源，不接受外配电源适配器模块；</w:t>
      </w:r>
    </w:p>
    <w:p>
      <w:pPr>
        <w:pStyle w:val="43"/>
        <w:keepNext w:val="0"/>
        <w:keepLines w:val="0"/>
        <w:pageBreakBefore w:val="0"/>
        <w:widowControl/>
        <w:kinsoku/>
        <w:wordWrap/>
        <w:overflowPunct/>
        <w:topLinePunct w:val="0"/>
        <w:autoSpaceDE/>
        <w:autoSpaceDN/>
        <w:bidi w:val="0"/>
        <w:adjustRightInd/>
        <w:snapToGrid w:val="0"/>
        <w:spacing w:before="0" w:beforeAutospacing="0" w:after="0" w:afterAutospacing="0" w:line="480" w:lineRule="exact"/>
        <w:ind w:firstLine="240" w:firstLineChars="100"/>
        <w:jc w:val="left"/>
        <w:textAlignment w:val="baseline"/>
        <w:rPr>
          <w:rFonts w:hint="default" w:ascii="宋体" w:hAnsi="宋体" w:eastAsia="宋体" w:cs="宋体"/>
          <w:b w:val="0"/>
          <w:i w:val="0"/>
          <w:caps w:val="0"/>
          <w:color w:val="auto"/>
          <w:spacing w:val="0"/>
          <w:w w:val="100"/>
          <w:sz w:val="24"/>
          <w:szCs w:val="24"/>
          <w:highlight w:val="none"/>
          <w:lang w:val="en-US" w:eastAsia="zh-CN"/>
        </w:rPr>
      </w:pPr>
      <w:r>
        <w:rPr>
          <w:rFonts w:hint="default" w:ascii="宋体" w:hAnsi="宋体" w:eastAsia="宋体" w:cs="宋体"/>
          <w:b w:val="0"/>
          <w:i w:val="0"/>
          <w:caps w:val="0"/>
          <w:color w:val="auto"/>
          <w:spacing w:val="0"/>
          <w:w w:val="100"/>
          <w:sz w:val="24"/>
          <w:szCs w:val="24"/>
          <w:highlight w:val="none"/>
          <w:lang w:val="en-US" w:eastAsia="zh-CN"/>
        </w:rPr>
        <w:t>4. 超级强诊状态，提供更高的亮度和对比度，使画面更细腻，更易还原肺结节等细微影像特征；</w:t>
      </w:r>
    </w:p>
    <w:p>
      <w:pPr>
        <w:pStyle w:val="43"/>
        <w:keepNext w:val="0"/>
        <w:keepLines w:val="0"/>
        <w:pageBreakBefore w:val="0"/>
        <w:widowControl/>
        <w:kinsoku/>
        <w:wordWrap/>
        <w:overflowPunct/>
        <w:topLinePunct w:val="0"/>
        <w:autoSpaceDE/>
        <w:autoSpaceDN/>
        <w:bidi w:val="0"/>
        <w:adjustRightInd/>
        <w:snapToGrid w:val="0"/>
        <w:spacing w:before="0" w:beforeAutospacing="0" w:after="0" w:afterAutospacing="0" w:line="480" w:lineRule="exact"/>
        <w:ind w:firstLine="240" w:firstLineChars="100"/>
        <w:jc w:val="left"/>
        <w:textAlignment w:val="baseline"/>
        <w:rPr>
          <w:rFonts w:hint="default" w:ascii="宋体" w:hAnsi="宋体" w:eastAsia="宋体" w:cs="宋体"/>
          <w:b w:val="0"/>
          <w:i w:val="0"/>
          <w:caps w:val="0"/>
          <w:color w:val="auto"/>
          <w:spacing w:val="0"/>
          <w:w w:val="100"/>
          <w:sz w:val="24"/>
          <w:szCs w:val="24"/>
          <w:highlight w:val="none"/>
          <w:lang w:val="en-US" w:eastAsia="zh-CN"/>
        </w:rPr>
      </w:pPr>
      <w:r>
        <w:rPr>
          <w:rFonts w:hint="default" w:ascii="宋体" w:hAnsi="宋体" w:eastAsia="宋体" w:cs="宋体"/>
          <w:b w:val="0"/>
          <w:i w:val="0"/>
          <w:caps w:val="0"/>
          <w:color w:val="auto"/>
          <w:spacing w:val="0"/>
          <w:w w:val="100"/>
          <w:sz w:val="24"/>
          <w:szCs w:val="24"/>
          <w:highlight w:val="none"/>
          <w:lang w:val="en-US" w:eastAsia="zh-CN"/>
        </w:rPr>
        <w:t>5.OLED屏幕状态提示系统：机身侧面搭载了OLED屏用于显示整机参数和设置信息，避免调整参数时OSD界面遮挡图像（提供实物实拍照片）；</w:t>
      </w:r>
    </w:p>
    <w:p>
      <w:pPr>
        <w:pStyle w:val="43"/>
        <w:keepNext w:val="0"/>
        <w:keepLines w:val="0"/>
        <w:pageBreakBefore w:val="0"/>
        <w:widowControl/>
        <w:kinsoku/>
        <w:wordWrap/>
        <w:overflowPunct/>
        <w:topLinePunct w:val="0"/>
        <w:autoSpaceDE/>
        <w:autoSpaceDN/>
        <w:bidi w:val="0"/>
        <w:adjustRightInd/>
        <w:snapToGrid w:val="0"/>
        <w:spacing w:before="0" w:beforeAutospacing="0" w:after="0" w:afterAutospacing="0" w:line="480" w:lineRule="exact"/>
        <w:ind w:firstLine="240" w:firstLineChars="100"/>
        <w:jc w:val="left"/>
        <w:textAlignment w:val="baseline"/>
        <w:rPr>
          <w:rFonts w:hint="default" w:ascii="宋体" w:hAnsi="宋体" w:eastAsia="宋体" w:cs="宋体"/>
          <w:b w:val="0"/>
          <w:i w:val="0"/>
          <w:caps w:val="0"/>
          <w:color w:val="auto"/>
          <w:spacing w:val="0"/>
          <w:w w:val="100"/>
          <w:sz w:val="24"/>
          <w:szCs w:val="24"/>
          <w:highlight w:val="none"/>
          <w:lang w:val="en-US" w:eastAsia="zh-CN"/>
        </w:rPr>
      </w:pPr>
      <w:r>
        <w:rPr>
          <w:rFonts w:hint="default" w:ascii="宋体" w:hAnsi="宋体" w:eastAsia="宋体" w:cs="宋体"/>
          <w:b w:val="0"/>
          <w:i w:val="0"/>
          <w:caps w:val="0"/>
          <w:color w:val="auto"/>
          <w:spacing w:val="0"/>
          <w:w w:val="100"/>
          <w:sz w:val="24"/>
          <w:szCs w:val="24"/>
          <w:highlight w:val="none"/>
          <w:lang w:val="en-US" w:eastAsia="zh-CN"/>
        </w:rPr>
        <w:t>6.过压保护功能：显示器支持过压保护功能，提供实用新型专利证书；</w:t>
      </w:r>
    </w:p>
    <w:p>
      <w:pPr>
        <w:pStyle w:val="43"/>
        <w:keepNext w:val="0"/>
        <w:keepLines w:val="0"/>
        <w:pageBreakBefore w:val="0"/>
        <w:widowControl/>
        <w:kinsoku/>
        <w:wordWrap/>
        <w:overflowPunct/>
        <w:topLinePunct w:val="0"/>
        <w:autoSpaceDE/>
        <w:autoSpaceDN/>
        <w:bidi w:val="0"/>
        <w:adjustRightInd/>
        <w:snapToGrid w:val="0"/>
        <w:spacing w:before="0" w:beforeAutospacing="0" w:after="0" w:afterAutospacing="0" w:line="480" w:lineRule="exact"/>
        <w:ind w:firstLine="240" w:firstLineChars="100"/>
        <w:jc w:val="left"/>
        <w:textAlignment w:val="baseline"/>
        <w:rPr>
          <w:rFonts w:hint="default" w:ascii="宋体" w:hAnsi="宋体" w:eastAsia="宋体" w:cs="宋体"/>
          <w:sz w:val="28"/>
          <w:szCs w:val="28"/>
          <w:u w:val="none"/>
          <w:lang w:val="en-US" w:eastAsia="zh-CN"/>
        </w:rPr>
      </w:pPr>
      <w:r>
        <w:rPr>
          <w:rFonts w:hint="default" w:ascii="宋体" w:hAnsi="宋体" w:eastAsia="宋体" w:cs="宋体"/>
          <w:b w:val="0"/>
          <w:i w:val="0"/>
          <w:caps w:val="0"/>
          <w:color w:val="auto"/>
          <w:spacing w:val="0"/>
          <w:w w:val="100"/>
          <w:sz w:val="24"/>
          <w:szCs w:val="24"/>
          <w:highlight w:val="none"/>
          <w:lang w:val="en-US" w:eastAsia="zh-CN"/>
        </w:rPr>
        <w:t>7.医用显示软件：显示器内置原厂家自主研发得医用显示软件，提供软件产品证书</w:t>
      </w:r>
      <w:r>
        <w:rPr>
          <w:rFonts w:hint="eastAsia" w:ascii="宋体" w:hAnsi="宋体" w:eastAsia="宋体" w:cs="宋体"/>
          <w:b w:val="0"/>
          <w:i w:val="0"/>
          <w:caps w:val="0"/>
          <w:color w:val="auto"/>
          <w:spacing w:val="0"/>
          <w:w w:val="100"/>
          <w:sz w:val="24"/>
          <w:szCs w:val="24"/>
          <w:highlight w:val="none"/>
          <w:lang w:val="en-US" w:eastAsia="zh-CN"/>
        </w:rPr>
        <w:t>，</w:t>
      </w:r>
      <w:r>
        <w:rPr>
          <w:rFonts w:hint="eastAsia" w:ascii="宋体" w:hAnsi="宋体" w:cs="宋体"/>
          <w:b/>
          <w:bCs/>
          <w:sz w:val="24"/>
          <w:szCs w:val="24"/>
          <w:u w:val="none"/>
          <w:lang w:val="en-US" w:eastAsia="zh-CN"/>
        </w:rPr>
        <w:t>5年免费质保承诺</w:t>
      </w:r>
      <w:r>
        <w:rPr>
          <w:rFonts w:hint="eastAsia" w:ascii="宋体" w:hAnsi="宋体" w:cs="宋体"/>
          <w:sz w:val="24"/>
          <w:szCs w:val="24"/>
          <w:u w:val="none"/>
          <w:lang w:val="en-US" w:eastAsia="zh-CN"/>
        </w:rPr>
        <w:t>。</w:t>
      </w:r>
    </w:p>
    <w:p>
      <w:pPr>
        <w:pStyle w:val="43"/>
        <w:keepNext w:val="0"/>
        <w:keepLines w:val="0"/>
        <w:pageBreakBefore w:val="0"/>
        <w:widowControl/>
        <w:kinsoku/>
        <w:wordWrap/>
        <w:overflowPunct/>
        <w:topLinePunct w:val="0"/>
        <w:autoSpaceDE/>
        <w:autoSpaceDN/>
        <w:bidi w:val="0"/>
        <w:adjustRightInd/>
        <w:snapToGrid w:val="0"/>
        <w:spacing w:before="0" w:beforeAutospacing="0" w:after="0" w:afterAutospacing="0" w:line="440" w:lineRule="exact"/>
        <w:ind w:firstLine="0" w:firstLineChars="0"/>
        <w:jc w:val="left"/>
        <w:textAlignment w:val="baseline"/>
        <w:outlineLvl w:val="1"/>
        <w:rPr>
          <w:rFonts w:hint="eastAsia" w:ascii="宋体" w:hAnsi="宋体" w:eastAsia="宋体" w:cs="宋体"/>
          <w:b/>
          <w:bCs/>
          <w:i w:val="0"/>
          <w:caps w:val="0"/>
          <w:color w:val="auto"/>
          <w:spacing w:val="0"/>
          <w:w w:val="100"/>
          <w:kern w:val="0"/>
          <w:sz w:val="24"/>
          <w:szCs w:val="24"/>
          <w:highlight w:val="none"/>
          <w:lang w:val="en-US" w:eastAsia="zh-CN" w:bidi="ar-SA"/>
        </w:rPr>
      </w:pPr>
      <w:r>
        <w:rPr>
          <w:rFonts w:hint="eastAsia" w:ascii="宋体" w:hAnsi="宋体" w:eastAsia="宋体" w:cs="宋体"/>
          <w:b/>
          <w:bCs/>
          <w:i w:val="0"/>
          <w:caps w:val="0"/>
          <w:color w:val="auto"/>
          <w:spacing w:val="0"/>
          <w:w w:val="100"/>
          <w:kern w:val="0"/>
          <w:sz w:val="24"/>
          <w:szCs w:val="24"/>
          <w:highlight w:val="none"/>
          <w:lang w:val="en-US" w:eastAsia="zh-CN" w:bidi="ar-SA"/>
        </w:rPr>
        <w:t>二、项目要求</w:t>
      </w:r>
      <w:bookmarkEnd w:id="531"/>
      <w:bookmarkEnd w:id="532"/>
      <w:bookmarkEnd w:id="533"/>
      <w:bookmarkEnd w:id="534"/>
      <w:bookmarkEnd w:id="535"/>
      <w:bookmarkEnd w:id="536"/>
      <w:bookmarkEnd w:id="545"/>
    </w:p>
    <w:p>
      <w:pPr>
        <w:pStyle w:val="43"/>
        <w:keepNext w:val="0"/>
        <w:keepLines w:val="0"/>
        <w:pageBreakBefore w:val="0"/>
        <w:widowControl/>
        <w:kinsoku/>
        <w:wordWrap/>
        <w:overflowPunct/>
        <w:topLinePunct w:val="0"/>
        <w:autoSpaceDE/>
        <w:autoSpaceDN/>
        <w:bidi w:val="0"/>
        <w:adjustRightInd/>
        <w:snapToGrid w:val="0"/>
        <w:spacing w:before="0" w:beforeAutospacing="0" w:after="0" w:afterAutospacing="0" w:line="480" w:lineRule="exact"/>
        <w:ind w:firstLine="0" w:firstLineChars="0"/>
        <w:jc w:val="left"/>
        <w:textAlignment w:val="baseline"/>
        <w:rPr>
          <w:rFonts w:hint="eastAsia" w:ascii="宋体" w:hAnsi="宋体" w:eastAsia="宋体" w:cs="宋体"/>
          <w:b/>
          <w:bCs/>
          <w:i w:val="0"/>
          <w:caps w:val="0"/>
          <w:color w:val="auto"/>
          <w:spacing w:val="0"/>
          <w:w w:val="100"/>
          <w:sz w:val="24"/>
          <w:szCs w:val="24"/>
          <w:highlight w:val="none"/>
          <w:lang w:val="en-US" w:eastAsia="zh-CN"/>
        </w:rPr>
      </w:pPr>
      <w:r>
        <w:rPr>
          <w:rFonts w:hint="eastAsia" w:ascii="宋体" w:hAnsi="宋体" w:eastAsia="宋体" w:cs="宋体"/>
          <w:b/>
          <w:bCs/>
          <w:i w:val="0"/>
          <w:caps w:val="0"/>
          <w:color w:val="auto"/>
          <w:spacing w:val="0"/>
          <w:w w:val="100"/>
          <w:sz w:val="24"/>
          <w:szCs w:val="24"/>
          <w:highlight w:val="none"/>
          <w:lang w:val="en-US" w:eastAsia="zh-CN"/>
        </w:rPr>
        <w:t>（一）设备性能要求</w:t>
      </w:r>
    </w:p>
    <w:p>
      <w:pPr>
        <w:pStyle w:val="43"/>
        <w:keepNext w:val="0"/>
        <w:keepLines w:val="0"/>
        <w:pageBreakBefore w:val="0"/>
        <w:widowControl/>
        <w:kinsoku/>
        <w:wordWrap/>
        <w:overflowPunct/>
        <w:topLinePunct w:val="0"/>
        <w:autoSpaceDE/>
        <w:autoSpaceDN/>
        <w:bidi w:val="0"/>
        <w:adjustRightInd/>
        <w:snapToGrid w:val="0"/>
        <w:spacing w:before="0" w:beforeAutospacing="0" w:after="0" w:afterAutospacing="0" w:line="480" w:lineRule="exact"/>
        <w:ind w:firstLine="240" w:firstLineChars="100"/>
        <w:jc w:val="left"/>
        <w:textAlignment w:val="baseline"/>
        <w:rPr>
          <w:rFonts w:hint="eastAsia" w:ascii="宋体" w:hAnsi="宋体" w:eastAsia="宋体" w:cs="宋体"/>
          <w:b w:val="0"/>
          <w:i w:val="0"/>
          <w:caps w:val="0"/>
          <w:color w:val="auto"/>
          <w:spacing w:val="0"/>
          <w:w w:val="100"/>
          <w:sz w:val="24"/>
          <w:szCs w:val="24"/>
          <w:highlight w:val="none"/>
          <w:lang w:val="en-US" w:eastAsia="zh-CN"/>
        </w:rPr>
      </w:pPr>
      <w:r>
        <w:rPr>
          <w:rFonts w:hint="eastAsia" w:ascii="宋体" w:hAnsi="宋体" w:eastAsia="宋体" w:cs="宋体"/>
          <w:b w:val="0"/>
          <w:i w:val="0"/>
          <w:caps w:val="0"/>
          <w:color w:val="auto"/>
          <w:spacing w:val="0"/>
          <w:w w:val="100"/>
          <w:sz w:val="24"/>
          <w:szCs w:val="24"/>
          <w:highlight w:val="none"/>
          <w:lang w:val="en-US" w:eastAsia="zh-CN"/>
        </w:rPr>
        <w:t>1、</w:t>
      </w:r>
      <w:r>
        <w:rPr>
          <w:rFonts w:hint="eastAsia" w:ascii="宋体" w:hAnsi="宋体" w:eastAsia="宋体" w:cs="宋体"/>
          <w:color w:val="auto"/>
          <w:kern w:val="2"/>
          <w:sz w:val="24"/>
          <w:szCs w:val="24"/>
          <w:highlight w:val="none"/>
          <w:lang w:val="en-US" w:eastAsia="zh-CN" w:bidi="ar-SA"/>
        </w:rPr>
        <w:t>本项目技术参数均为公共参数，无指向性，技术参数中若指向某品牌</w:t>
      </w:r>
      <w:r>
        <w:rPr>
          <w:rFonts w:hint="eastAsia" w:ascii="宋体" w:hAnsi="宋体" w:eastAsia="宋体" w:cs="宋体"/>
          <w:b w:val="0"/>
          <w:i w:val="0"/>
          <w:caps w:val="0"/>
          <w:color w:val="auto"/>
          <w:spacing w:val="0"/>
          <w:w w:val="100"/>
          <w:sz w:val="24"/>
          <w:szCs w:val="24"/>
          <w:highlight w:val="none"/>
          <w:lang w:val="en-US" w:eastAsia="zh-CN"/>
        </w:rPr>
        <w:t>均为参考指标。</w:t>
      </w:r>
    </w:p>
    <w:p>
      <w:pPr>
        <w:pStyle w:val="43"/>
        <w:keepNext w:val="0"/>
        <w:keepLines w:val="0"/>
        <w:pageBreakBefore w:val="0"/>
        <w:widowControl/>
        <w:kinsoku/>
        <w:wordWrap/>
        <w:overflowPunct/>
        <w:topLinePunct w:val="0"/>
        <w:autoSpaceDE/>
        <w:autoSpaceDN/>
        <w:bidi w:val="0"/>
        <w:adjustRightInd/>
        <w:snapToGrid w:val="0"/>
        <w:spacing w:before="0" w:beforeAutospacing="0" w:after="0" w:afterAutospacing="0" w:line="480" w:lineRule="exact"/>
        <w:ind w:firstLine="240" w:firstLineChars="100"/>
        <w:jc w:val="left"/>
        <w:textAlignment w:val="baseline"/>
        <w:rPr>
          <w:rFonts w:hint="eastAsia" w:ascii="宋体" w:hAnsi="宋体" w:eastAsia="宋体" w:cs="宋体"/>
          <w:b/>
          <w:bCs/>
          <w:i w:val="0"/>
          <w:caps w:val="0"/>
          <w:color w:val="auto"/>
          <w:spacing w:val="0"/>
          <w:w w:val="100"/>
          <w:sz w:val="24"/>
          <w:szCs w:val="24"/>
          <w:highlight w:val="none"/>
          <w:lang w:val="en-US" w:eastAsia="zh-CN"/>
        </w:rPr>
      </w:pPr>
      <w:r>
        <w:rPr>
          <w:rFonts w:hint="eastAsia" w:ascii="宋体" w:hAnsi="宋体" w:eastAsia="宋体" w:cs="宋体"/>
          <w:b w:val="0"/>
          <w:i w:val="0"/>
          <w:caps w:val="0"/>
          <w:color w:val="auto"/>
          <w:spacing w:val="0"/>
          <w:w w:val="100"/>
          <w:sz w:val="24"/>
          <w:szCs w:val="24"/>
          <w:highlight w:val="none"/>
          <w:lang w:val="en-US" w:eastAsia="zh-CN"/>
        </w:rPr>
        <w:t>2、凡技术参数指标执行的国家相关标准、行业标准、地方标准或者其他标准、规范。供应商需要提供投标产品技术支持资料（或证明材料），其中技术支持资料指生产厂家公开发布的印刷资料或检测机构出具的检验报告，若生产厂家公开发布的印刷资料或检测机构出具的检验报告不一致，以检测机构出具的检验报告为准。如供应商技术响应与技术支持资料（或证明材料）不一致，将以技术支持资料（或证明材料）为准。</w:t>
      </w:r>
      <w:r>
        <w:rPr>
          <w:rFonts w:hint="eastAsia" w:ascii="宋体" w:hAnsi="宋体" w:eastAsia="宋体" w:cs="宋体"/>
          <w:b/>
          <w:bCs/>
          <w:i w:val="0"/>
          <w:caps w:val="0"/>
          <w:color w:val="auto"/>
          <w:spacing w:val="0"/>
          <w:w w:val="100"/>
          <w:sz w:val="24"/>
          <w:szCs w:val="24"/>
          <w:highlight w:val="none"/>
          <w:lang w:val="en-US" w:eastAsia="zh-CN"/>
        </w:rPr>
        <w:t>对于技术规格中标注“★”号的技术参数为重要参数，</w:t>
      </w:r>
      <w:r>
        <w:rPr>
          <w:rFonts w:hint="eastAsia" w:ascii="宋体" w:hAnsi="宋体" w:cs="宋体"/>
          <w:b/>
          <w:bCs/>
          <w:i w:val="0"/>
          <w:caps w:val="0"/>
          <w:color w:val="auto"/>
          <w:spacing w:val="0"/>
          <w:w w:val="100"/>
          <w:sz w:val="24"/>
          <w:szCs w:val="24"/>
          <w:highlight w:val="none"/>
          <w:lang w:val="en-US" w:eastAsia="zh-CN"/>
        </w:rPr>
        <w:t>投标供应商</w:t>
      </w:r>
      <w:r>
        <w:rPr>
          <w:rFonts w:hint="eastAsia" w:ascii="宋体" w:hAnsi="宋体" w:eastAsia="宋体" w:cs="宋体"/>
          <w:b/>
          <w:bCs/>
          <w:i w:val="0"/>
          <w:caps w:val="0"/>
          <w:color w:val="auto"/>
          <w:spacing w:val="0"/>
          <w:w w:val="100"/>
          <w:sz w:val="24"/>
          <w:szCs w:val="24"/>
          <w:highlight w:val="none"/>
          <w:lang w:val="en-US" w:eastAsia="zh-CN"/>
        </w:rPr>
        <w:t>须在投标文件中按照招标文件技术规格的要求提供技术应答的证明材料，如技术规格中无特殊要求则应提交本条款规定的技术支持资料。对于</w:t>
      </w:r>
      <w:r>
        <w:rPr>
          <w:rFonts w:hint="eastAsia" w:ascii="宋体" w:hAnsi="宋体" w:cs="宋体"/>
          <w:b/>
          <w:bCs/>
          <w:i w:val="0"/>
          <w:caps w:val="0"/>
          <w:color w:val="auto"/>
          <w:spacing w:val="0"/>
          <w:w w:val="100"/>
          <w:sz w:val="24"/>
          <w:szCs w:val="24"/>
          <w:highlight w:val="none"/>
          <w:lang w:val="en-US" w:eastAsia="zh-CN"/>
        </w:rPr>
        <w:t>投标供应商</w:t>
      </w:r>
      <w:r>
        <w:rPr>
          <w:rFonts w:hint="eastAsia" w:ascii="宋体" w:hAnsi="宋体" w:eastAsia="宋体" w:cs="宋体"/>
          <w:b/>
          <w:bCs/>
          <w:i w:val="0"/>
          <w:caps w:val="0"/>
          <w:color w:val="auto"/>
          <w:spacing w:val="0"/>
          <w:w w:val="100"/>
          <w:sz w:val="24"/>
          <w:szCs w:val="24"/>
          <w:highlight w:val="none"/>
          <w:lang w:val="en-US" w:eastAsia="zh-CN"/>
        </w:rPr>
        <w:t>提供的投标文件技术应答未按本条款要求提供投标产品技术支持资料（或证明材料）的，或提供的投标产品技术支持资料（或证明材料），则以负偏离处理。</w:t>
      </w:r>
    </w:p>
    <w:p>
      <w:pPr>
        <w:pStyle w:val="43"/>
        <w:keepNext w:val="0"/>
        <w:keepLines w:val="0"/>
        <w:pageBreakBefore w:val="0"/>
        <w:widowControl/>
        <w:kinsoku/>
        <w:wordWrap/>
        <w:overflowPunct/>
        <w:topLinePunct w:val="0"/>
        <w:autoSpaceDE/>
        <w:autoSpaceDN/>
        <w:bidi w:val="0"/>
        <w:adjustRightInd/>
        <w:snapToGrid w:val="0"/>
        <w:spacing w:before="0" w:beforeAutospacing="0" w:after="0" w:afterAutospacing="0" w:line="480" w:lineRule="exact"/>
        <w:ind w:firstLine="240" w:firstLineChars="100"/>
        <w:jc w:val="left"/>
        <w:textAlignment w:val="baseline"/>
        <w:rPr>
          <w:rFonts w:hint="eastAsia" w:ascii="宋体" w:hAnsi="宋体" w:eastAsia="宋体" w:cs="宋体"/>
          <w:b w:val="0"/>
          <w:i w:val="0"/>
          <w:caps w:val="0"/>
          <w:color w:val="auto"/>
          <w:spacing w:val="0"/>
          <w:w w:val="100"/>
          <w:kern w:val="2"/>
          <w:sz w:val="24"/>
          <w:szCs w:val="24"/>
          <w:highlight w:val="none"/>
          <w:lang w:val="en-US" w:eastAsia="zh-CN" w:bidi="ar-SA"/>
        </w:rPr>
      </w:pPr>
      <w:r>
        <w:rPr>
          <w:rFonts w:hint="eastAsia" w:ascii="宋体" w:hAnsi="宋体" w:eastAsia="宋体" w:cs="宋体"/>
          <w:b w:val="0"/>
          <w:i w:val="0"/>
          <w:caps w:val="0"/>
          <w:color w:val="auto"/>
          <w:spacing w:val="0"/>
          <w:w w:val="100"/>
          <w:sz w:val="24"/>
          <w:szCs w:val="24"/>
          <w:highlight w:val="none"/>
          <w:lang w:val="en-US" w:eastAsia="zh-CN"/>
        </w:rPr>
        <w:t>3、技术参数中存</w:t>
      </w:r>
      <w:r>
        <w:rPr>
          <w:rFonts w:hint="eastAsia" w:ascii="宋体" w:hAnsi="宋体" w:eastAsia="宋体" w:cs="宋体"/>
          <w:b w:val="0"/>
          <w:i w:val="0"/>
          <w:caps w:val="0"/>
          <w:color w:val="auto"/>
          <w:spacing w:val="0"/>
          <w:w w:val="100"/>
          <w:kern w:val="2"/>
          <w:sz w:val="24"/>
          <w:szCs w:val="24"/>
          <w:highlight w:val="none"/>
          <w:lang w:val="en-US" w:eastAsia="zh-CN" w:bidi="ar-SA"/>
        </w:rPr>
        <w:t>在“正偏离”需设备真实技术支持资料（或证明材料）。未提供的不得作为正偏离。</w:t>
      </w:r>
    </w:p>
    <w:p>
      <w:pPr>
        <w:pStyle w:val="43"/>
        <w:keepNext w:val="0"/>
        <w:keepLines w:val="0"/>
        <w:pageBreakBefore w:val="0"/>
        <w:widowControl/>
        <w:kinsoku/>
        <w:wordWrap/>
        <w:overflowPunct/>
        <w:topLinePunct w:val="0"/>
        <w:autoSpaceDE/>
        <w:autoSpaceDN/>
        <w:bidi w:val="0"/>
        <w:adjustRightInd/>
        <w:snapToGrid w:val="0"/>
        <w:spacing w:before="0" w:beforeAutospacing="0" w:after="0" w:afterAutospacing="0" w:line="480" w:lineRule="exact"/>
        <w:ind w:firstLine="0" w:firstLineChars="0"/>
        <w:jc w:val="left"/>
        <w:textAlignment w:val="baseline"/>
        <w:rPr>
          <w:rFonts w:hint="eastAsia" w:ascii="宋体" w:hAnsi="宋体" w:eastAsia="宋体" w:cs="宋体"/>
          <w:b/>
          <w:bCs/>
          <w:i w:val="0"/>
          <w:caps w:val="0"/>
          <w:color w:val="auto"/>
          <w:spacing w:val="0"/>
          <w:w w:val="100"/>
          <w:sz w:val="24"/>
          <w:szCs w:val="24"/>
          <w:highlight w:val="none"/>
          <w:lang w:val="en-US" w:eastAsia="zh-CN"/>
        </w:rPr>
      </w:pPr>
      <w:r>
        <w:rPr>
          <w:rFonts w:hint="eastAsia" w:ascii="宋体" w:hAnsi="宋体" w:eastAsia="宋体" w:cs="宋体"/>
          <w:b/>
          <w:bCs/>
          <w:i w:val="0"/>
          <w:caps w:val="0"/>
          <w:color w:val="auto"/>
          <w:spacing w:val="0"/>
          <w:w w:val="100"/>
          <w:sz w:val="24"/>
          <w:szCs w:val="24"/>
          <w:highlight w:val="none"/>
          <w:lang w:val="en-US" w:eastAsia="zh-CN"/>
        </w:rPr>
        <w:t>（二）项目的交货期和质保期</w:t>
      </w:r>
    </w:p>
    <w:p>
      <w:pPr>
        <w:pStyle w:val="43"/>
        <w:keepNext w:val="0"/>
        <w:keepLines w:val="0"/>
        <w:pageBreakBefore w:val="0"/>
        <w:widowControl/>
        <w:kinsoku/>
        <w:wordWrap/>
        <w:overflowPunct/>
        <w:topLinePunct w:val="0"/>
        <w:autoSpaceDE/>
        <w:autoSpaceDN/>
        <w:bidi w:val="0"/>
        <w:adjustRightInd/>
        <w:snapToGrid w:val="0"/>
        <w:spacing w:before="0" w:beforeAutospacing="0" w:after="0" w:afterAutospacing="0" w:line="480" w:lineRule="exact"/>
        <w:ind w:firstLine="240" w:firstLineChars="100"/>
        <w:jc w:val="left"/>
        <w:textAlignment w:val="baseline"/>
        <w:rPr>
          <w:rFonts w:hint="eastAsia" w:ascii="宋体" w:hAnsi="宋体" w:eastAsia="宋体" w:cs="宋体"/>
          <w:b w:val="0"/>
          <w:i w:val="0"/>
          <w:caps w:val="0"/>
          <w:color w:val="auto"/>
          <w:spacing w:val="0"/>
          <w:w w:val="100"/>
          <w:sz w:val="24"/>
          <w:szCs w:val="24"/>
          <w:highlight w:val="none"/>
          <w:lang w:val="en-US" w:eastAsia="zh-CN"/>
        </w:rPr>
      </w:pPr>
      <w:r>
        <w:rPr>
          <w:rFonts w:hint="eastAsia" w:ascii="宋体" w:hAnsi="宋体" w:eastAsia="宋体" w:cs="宋体"/>
          <w:b w:val="0"/>
          <w:i w:val="0"/>
          <w:caps w:val="0"/>
          <w:color w:val="auto"/>
          <w:spacing w:val="0"/>
          <w:w w:val="100"/>
          <w:sz w:val="24"/>
          <w:szCs w:val="24"/>
          <w:highlight w:val="none"/>
          <w:lang w:val="en-US" w:eastAsia="zh-CN"/>
        </w:rPr>
        <w:t>1、交货期：中标后</w:t>
      </w:r>
      <w:r>
        <w:rPr>
          <w:rFonts w:hint="eastAsia" w:ascii="宋体" w:hAnsi="宋体" w:cs="宋体"/>
          <w:b w:val="0"/>
          <w:i w:val="0"/>
          <w:caps w:val="0"/>
          <w:color w:val="auto"/>
          <w:spacing w:val="0"/>
          <w:w w:val="100"/>
          <w:sz w:val="24"/>
          <w:szCs w:val="24"/>
          <w:highlight w:val="none"/>
          <w:lang w:val="en-US" w:eastAsia="zh-CN"/>
        </w:rPr>
        <w:t>30</w:t>
      </w:r>
      <w:r>
        <w:rPr>
          <w:rFonts w:hint="eastAsia" w:ascii="宋体" w:hAnsi="宋体" w:eastAsia="宋体" w:cs="宋体"/>
          <w:b w:val="0"/>
          <w:i w:val="0"/>
          <w:caps w:val="0"/>
          <w:color w:val="auto"/>
          <w:spacing w:val="0"/>
          <w:w w:val="100"/>
          <w:sz w:val="24"/>
          <w:szCs w:val="24"/>
          <w:highlight w:val="none"/>
          <w:lang w:val="en-US" w:eastAsia="zh-CN"/>
        </w:rPr>
        <w:t>天内送货安装调试完毕。</w:t>
      </w:r>
    </w:p>
    <w:p>
      <w:pPr>
        <w:pStyle w:val="43"/>
        <w:keepNext w:val="0"/>
        <w:keepLines w:val="0"/>
        <w:pageBreakBefore w:val="0"/>
        <w:widowControl/>
        <w:kinsoku/>
        <w:wordWrap/>
        <w:overflowPunct/>
        <w:topLinePunct w:val="0"/>
        <w:autoSpaceDE/>
        <w:autoSpaceDN/>
        <w:bidi w:val="0"/>
        <w:adjustRightInd/>
        <w:snapToGrid w:val="0"/>
        <w:spacing w:before="0" w:beforeAutospacing="0" w:after="0" w:afterAutospacing="0" w:line="480" w:lineRule="exact"/>
        <w:ind w:firstLine="240" w:firstLineChars="100"/>
        <w:jc w:val="left"/>
        <w:textAlignment w:val="baseline"/>
        <w:rPr>
          <w:rFonts w:hint="eastAsia" w:ascii="宋体" w:hAnsi="宋体" w:eastAsia="宋体" w:cs="宋体"/>
          <w:b w:val="0"/>
          <w:i w:val="0"/>
          <w:caps w:val="0"/>
          <w:color w:val="auto"/>
          <w:spacing w:val="0"/>
          <w:w w:val="100"/>
          <w:sz w:val="24"/>
          <w:szCs w:val="24"/>
          <w:highlight w:val="none"/>
          <w:lang w:val="en-US" w:eastAsia="zh-CN"/>
        </w:rPr>
      </w:pPr>
      <w:r>
        <w:rPr>
          <w:rFonts w:hint="eastAsia" w:ascii="宋体" w:hAnsi="宋体" w:eastAsia="宋体" w:cs="宋体"/>
          <w:b w:val="0"/>
          <w:i w:val="0"/>
          <w:caps w:val="0"/>
          <w:color w:val="auto"/>
          <w:spacing w:val="0"/>
          <w:w w:val="100"/>
          <w:sz w:val="24"/>
          <w:szCs w:val="24"/>
          <w:highlight w:val="none"/>
          <w:lang w:val="en-US" w:eastAsia="zh-CN"/>
        </w:rPr>
        <w:t>2、质保期：</w:t>
      </w:r>
      <w:r>
        <w:rPr>
          <w:rFonts w:hint="eastAsia" w:ascii="宋体" w:hAnsi="宋体" w:cs="宋体"/>
          <w:b w:val="0"/>
          <w:i w:val="0"/>
          <w:caps w:val="0"/>
          <w:color w:val="auto"/>
          <w:spacing w:val="0"/>
          <w:w w:val="100"/>
          <w:sz w:val="24"/>
          <w:szCs w:val="24"/>
          <w:highlight w:val="none"/>
          <w:lang w:val="en-US" w:eastAsia="zh-CN"/>
        </w:rPr>
        <w:t>以设备质保为准。</w:t>
      </w:r>
    </w:p>
    <w:p>
      <w:pPr>
        <w:pStyle w:val="43"/>
        <w:keepNext w:val="0"/>
        <w:keepLines w:val="0"/>
        <w:pageBreakBefore w:val="0"/>
        <w:widowControl/>
        <w:kinsoku/>
        <w:wordWrap/>
        <w:overflowPunct/>
        <w:topLinePunct w:val="0"/>
        <w:autoSpaceDE/>
        <w:autoSpaceDN/>
        <w:bidi w:val="0"/>
        <w:adjustRightInd/>
        <w:snapToGrid w:val="0"/>
        <w:spacing w:before="0" w:beforeAutospacing="0" w:after="0" w:afterAutospacing="0" w:line="480" w:lineRule="exact"/>
        <w:ind w:firstLine="240" w:firstLineChars="100"/>
        <w:jc w:val="left"/>
        <w:textAlignment w:val="baseline"/>
        <w:rPr>
          <w:rFonts w:hint="eastAsia" w:ascii="宋体" w:hAnsi="宋体" w:eastAsia="宋体" w:cs="宋体"/>
          <w:b w:val="0"/>
          <w:i w:val="0"/>
          <w:caps w:val="0"/>
          <w:color w:val="auto"/>
          <w:spacing w:val="0"/>
          <w:w w:val="100"/>
          <w:sz w:val="24"/>
          <w:szCs w:val="24"/>
          <w:highlight w:val="none"/>
          <w:lang w:val="en-US" w:eastAsia="zh-CN"/>
        </w:rPr>
      </w:pPr>
      <w:r>
        <w:rPr>
          <w:rFonts w:hint="eastAsia" w:ascii="宋体" w:hAnsi="宋体" w:eastAsia="宋体" w:cs="宋体"/>
          <w:b w:val="0"/>
          <w:i w:val="0"/>
          <w:caps w:val="0"/>
          <w:color w:val="auto"/>
          <w:spacing w:val="0"/>
          <w:w w:val="100"/>
          <w:sz w:val="24"/>
          <w:szCs w:val="24"/>
          <w:highlight w:val="none"/>
          <w:lang w:val="en-US" w:eastAsia="zh-CN"/>
        </w:rPr>
        <w:t>3、</w:t>
      </w:r>
      <w:r>
        <w:rPr>
          <w:rFonts w:hint="eastAsia" w:ascii="宋体" w:hAnsi="宋体" w:cs="宋体"/>
          <w:b w:val="0"/>
          <w:i w:val="0"/>
          <w:caps w:val="0"/>
          <w:color w:val="auto"/>
          <w:spacing w:val="0"/>
          <w:w w:val="100"/>
          <w:sz w:val="24"/>
          <w:szCs w:val="24"/>
          <w:highlight w:val="none"/>
          <w:lang w:val="en-US" w:eastAsia="zh-CN"/>
        </w:rPr>
        <w:t>供应商</w:t>
      </w:r>
      <w:r>
        <w:rPr>
          <w:rFonts w:hint="eastAsia" w:ascii="宋体" w:hAnsi="宋体" w:eastAsia="宋体" w:cs="宋体"/>
          <w:b w:val="0"/>
          <w:i w:val="0"/>
          <w:caps w:val="0"/>
          <w:color w:val="auto"/>
          <w:spacing w:val="0"/>
          <w:w w:val="100"/>
          <w:sz w:val="24"/>
          <w:szCs w:val="24"/>
          <w:highlight w:val="none"/>
          <w:lang w:val="en-US" w:eastAsia="zh-CN"/>
        </w:rPr>
        <w:t>在制作响应文件时，根据自己所投</w:t>
      </w:r>
      <w:r>
        <w:rPr>
          <w:rFonts w:hint="eastAsia" w:ascii="宋体" w:hAnsi="宋体" w:cs="宋体"/>
          <w:b w:val="0"/>
          <w:i w:val="0"/>
          <w:caps w:val="0"/>
          <w:color w:val="auto"/>
          <w:spacing w:val="0"/>
          <w:w w:val="100"/>
          <w:sz w:val="24"/>
          <w:szCs w:val="24"/>
          <w:highlight w:val="none"/>
          <w:lang w:val="en-US" w:eastAsia="zh-CN"/>
        </w:rPr>
        <w:t>货物</w:t>
      </w:r>
      <w:r>
        <w:rPr>
          <w:rFonts w:hint="eastAsia" w:ascii="宋体" w:hAnsi="宋体" w:eastAsia="宋体" w:cs="宋体"/>
          <w:b w:val="0"/>
          <w:i w:val="0"/>
          <w:caps w:val="0"/>
          <w:color w:val="auto"/>
          <w:spacing w:val="0"/>
          <w:w w:val="100"/>
          <w:sz w:val="24"/>
          <w:szCs w:val="24"/>
          <w:highlight w:val="none"/>
          <w:lang w:val="en-US" w:eastAsia="zh-CN"/>
        </w:rPr>
        <w:t>实际指标来撰写响应于招标文件要求的指标。</w:t>
      </w:r>
    </w:p>
    <w:p>
      <w:pPr>
        <w:pStyle w:val="43"/>
        <w:keepNext w:val="0"/>
        <w:keepLines w:val="0"/>
        <w:pageBreakBefore w:val="0"/>
        <w:widowControl/>
        <w:kinsoku/>
        <w:wordWrap/>
        <w:overflowPunct/>
        <w:topLinePunct w:val="0"/>
        <w:autoSpaceDE/>
        <w:autoSpaceDN/>
        <w:bidi w:val="0"/>
        <w:adjustRightInd/>
        <w:snapToGrid w:val="0"/>
        <w:spacing w:before="0" w:beforeAutospacing="0" w:after="0" w:afterAutospacing="0" w:line="480" w:lineRule="exact"/>
        <w:ind w:firstLine="0" w:firstLineChars="0"/>
        <w:jc w:val="left"/>
        <w:textAlignment w:val="baseline"/>
        <w:rPr>
          <w:rFonts w:hint="eastAsia" w:ascii="宋体" w:hAnsi="宋体" w:eastAsia="宋体" w:cs="宋体"/>
          <w:b/>
          <w:bCs/>
          <w:i w:val="0"/>
          <w:caps w:val="0"/>
          <w:color w:val="auto"/>
          <w:spacing w:val="0"/>
          <w:w w:val="100"/>
          <w:sz w:val="24"/>
          <w:szCs w:val="24"/>
          <w:highlight w:val="none"/>
          <w:lang w:val="en-US" w:eastAsia="zh-CN"/>
        </w:rPr>
      </w:pPr>
      <w:r>
        <w:rPr>
          <w:rFonts w:hint="eastAsia" w:ascii="宋体" w:hAnsi="宋体" w:eastAsia="宋体" w:cs="宋体"/>
          <w:b/>
          <w:bCs/>
          <w:i w:val="0"/>
          <w:caps w:val="0"/>
          <w:color w:val="auto"/>
          <w:spacing w:val="0"/>
          <w:w w:val="100"/>
          <w:sz w:val="24"/>
          <w:szCs w:val="24"/>
          <w:highlight w:val="none"/>
          <w:lang w:val="en-US" w:eastAsia="zh-CN"/>
        </w:rPr>
        <w:t>（三）付款方式和交货地点</w:t>
      </w:r>
    </w:p>
    <w:p>
      <w:pPr>
        <w:pStyle w:val="43"/>
        <w:keepNext w:val="0"/>
        <w:keepLines w:val="0"/>
        <w:pageBreakBefore w:val="0"/>
        <w:widowControl/>
        <w:kinsoku/>
        <w:wordWrap/>
        <w:overflowPunct/>
        <w:topLinePunct w:val="0"/>
        <w:autoSpaceDE/>
        <w:autoSpaceDN/>
        <w:bidi w:val="0"/>
        <w:adjustRightInd/>
        <w:snapToGrid w:val="0"/>
        <w:spacing w:before="0" w:beforeAutospacing="0" w:after="0" w:afterAutospacing="0" w:line="480" w:lineRule="exact"/>
        <w:ind w:firstLine="240" w:firstLineChars="100"/>
        <w:jc w:val="left"/>
        <w:textAlignment w:val="baseline"/>
        <w:rPr>
          <w:rFonts w:hint="eastAsia" w:ascii="宋体" w:hAnsi="宋体" w:eastAsia="宋体" w:cs="宋体"/>
          <w:b w:val="0"/>
          <w:i w:val="0"/>
          <w:caps w:val="0"/>
          <w:color w:val="auto"/>
          <w:spacing w:val="0"/>
          <w:w w:val="100"/>
          <w:sz w:val="24"/>
          <w:szCs w:val="24"/>
          <w:highlight w:val="none"/>
          <w:lang w:val="en-US" w:eastAsia="zh-CN"/>
        </w:rPr>
      </w:pPr>
      <w:r>
        <w:rPr>
          <w:rFonts w:hint="eastAsia" w:ascii="宋体" w:hAnsi="宋体" w:eastAsia="宋体" w:cs="宋体"/>
          <w:b w:val="0"/>
          <w:i w:val="0"/>
          <w:caps w:val="0"/>
          <w:color w:val="auto"/>
          <w:spacing w:val="0"/>
          <w:w w:val="100"/>
          <w:sz w:val="24"/>
          <w:szCs w:val="24"/>
          <w:highlight w:val="none"/>
          <w:lang w:val="en-US" w:eastAsia="zh-CN"/>
        </w:rPr>
        <w:t>1、付款方式：设备安装调试验收合格后付50%</w:t>
      </w:r>
      <w:r>
        <w:rPr>
          <w:rFonts w:hint="eastAsia" w:ascii="宋体" w:hAnsi="宋体" w:cs="宋体"/>
          <w:b w:val="0"/>
          <w:i w:val="0"/>
          <w:caps w:val="0"/>
          <w:color w:val="auto"/>
          <w:spacing w:val="0"/>
          <w:w w:val="100"/>
          <w:sz w:val="24"/>
          <w:szCs w:val="24"/>
          <w:highlight w:val="none"/>
          <w:lang w:val="en-US" w:eastAsia="zh-CN"/>
        </w:rPr>
        <w:t>，</w:t>
      </w:r>
      <w:r>
        <w:rPr>
          <w:rFonts w:hint="eastAsia" w:ascii="宋体" w:hAnsi="宋体" w:eastAsia="宋体" w:cs="宋体"/>
          <w:b w:val="0"/>
          <w:i w:val="0"/>
          <w:caps w:val="0"/>
          <w:color w:val="auto"/>
          <w:spacing w:val="0"/>
          <w:w w:val="100"/>
          <w:sz w:val="24"/>
          <w:szCs w:val="24"/>
          <w:highlight w:val="none"/>
          <w:lang w:val="en-US" w:eastAsia="zh-CN"/>
        </w:rPr>
        <w:t>一年以后付45%</w:t>
      </w:r>
      <w:r>
        <w:rPr>
          <w:rFonts w:hint="eastAsia" w:ascii="宋体" w:hAnsi="宋体" w:cs="宋体"/>
          <w:b w:val="0"/>
          <w:i w:val="0"/>
          <w:caps w:val="0"/>
          <w:color w:val="auto"/>
          <w:spacing w:val="0"/>
          <w:w w:val="100"/>
          <w:sz w:val="24"/>
          <w:szCs w:val="24"/>
          <w:highlight w:val="none"/>
          <w:lang w:val="en-US" w:eastAsia="zh-CN"/>
        </w:rPr>
        <w:t>，三年</w:t>
      </w:r>
      <w:r>
        <w:rPr>
          <w:rFonts w:hint="eastAsia" w:ascii="宋体" w:hAnsi="宋体" w:eastAsia="宋体" w:cs="宋体"/>
          <w:b w:val="0"/>
          <w:i w:val="0"/>
          <w:caps w:val="0"/>
          <w:color w:val="auto"/>
          <w:spacing w:val="0"/>
          <w:w w:val="100"/>
          <w:sz w:val="24"/>
          <w:szCs w:val="24"/>
          <w:highlight w:val="none"/>
          <w:lang w:val="en-US" w:eastAsia="zh-CN"/>
        </w:rPr>
        <w:t>质保期结束后付5%。</w:t>
      </w:r>
    </w:p>
    <w:p>
      <w:pPr>
        <w:pStyle w:val="43"/>
        <w:keepNext w:val="0"/>
        <w:keepLines w:val="0"/>
        <w:pageBreakBefore w:val="0"/>
        <w:widowControl/>
        <w:kinsoku/>
        <w:wordWrap/>
        <w:overflowPunct/>
        <w:topLinePunct w:val="0"/>
        <w:autoSpaceDE/>
        <w:autoSpaceDN/>
        <w:bidi w:val="0"/>
        <w:adjustRightInd/>
        <w:snapToGrid w:val="0"/>
        <w:spacing w:before="0" w:beforeAutospacing="0" w:after="0" w:afterAutospacing="0" w:line="480" w:lineRule="exact"/>
        <w:ind w:firstLine="240" w:firstLineChars="100"/>
        <w:jc w:val="left"/>
        <w:textAlignment w:val="baseline"/>
        <w:rPr>
          <w:rFonts w:hint="eastAsia" w:ascii="宋体" w:hAnsi="宋体" w:eastAsia="宋体" w:cs="宋体"/>
          <w:b w:val="0"/>
          <w:i w:val="0"/>
          <w:caps w:val="0"/>
          <w:color w:val="auto"/>
          <w:spacing w:val="0"/>
          <w:w w:val="100"/>
          <w:sz w:val="24"/>
          <w:szCs w:val="24"/>
          <w:highlight w:val="none"/>
          <w:lang w:val="en-US" w:eastAsia="zh-CN"/>
        </w:rPr>
      </w:pPr>
      <w:r>
        <w:rPr>
          <w:rFonts w:hint="eastAsia" w:ascii="宋体" w:hAnsi="宋体" w:eastAsia="宋体" w:cs="宋体"/>
          <w:b w:val="0"/>
          <w:i w:val="0"/>
          <w:caps w:val="0"/>
          <w:color w:val="auto"/>
          <w:spacing w:val="0"/>
          <w:w w:val="100"/>
          <w:sz w:val="24"/>
          <w:szCs w:val="24"/>
          <w:highlight w:val="none"/>
          <w:lang w:val="en-US" w:eastAsia="zh-CN"/>
        </w:rPr>
        <w:t>2、交货地点：采购人指定地点</w:t>
      </w:r>
      <w:r>
        <w:rPr>
          <w:rFonts w:hint="eastAsia" w:ascii="宋体" w:hAnsi="宋体" w:cs="宋体"/>
          <w:b w:val="0"/>
          <w:i w:val="0"/>
          <w:caps w:val="0"/>
          <w:color w:val="auto"/>
          <w:spacing w:val="0"/>
          <w:w w:val="100"/>
          <w:sz w:val="24"/>
          <w:szCs w:val="24"/>
          <w:highlight w:val="none"/>
          <w:lang w:val="en-US" w:eastAsia="zh-CN"/>
        </w:rPr>
        <w:t>。</w:t>
      </w:r>
    </w:p>
    <w:p>
      <w:pPr>
        <w:pStyle w:val="43"/>
        <w:keepNext w:val="0"/>
        <w:keepLines w:val="0"/>
        <w:pageBreakBefore w:val="0"/>
        <w:widowControl/>
        <w:kinsoku/>
        <w:wordWrap/>
        <w:overflowPunct/>
        <w:topLinePunct w:val="0"/>
        <w:autoSpaceDE/>
        <w:autoSpaceDN/>
        <w:bidi w:val="0"/>
        <w:adjustRightInd/>
        <w:snapToGrid w:val="0"/>
        <w:spacing w:before="0" w:beforeAutospacing="0" w:after="0" w:afterAutospacing="0" w:line="480" w:lineRule="exact"/>
        <w:ind w:firstLine="0" w:firstLineChars="0"/>
        <w:jc w:val="left"/>
        <w:textAlignment w:val="baseline"/>
        <w:rPr>
          <w:rFonts w:hint="eastAsia" w:ascii="宋体" w:hAnsi="宋体" w:eastAsia="宋体" w:cs="宋体"/>
          <w:b/>
          <w:bCs/>
          <w:i w:val="0"/>
          <w:caps w:val="0"/>
          <w:color w:val="auto"/>
          <w:spacing w:val="0"/>
          <w:w w:val="100"/>
          <w:sz w:val="24"/>
          <w:szCs w:val="24"/>
          <w:highlight w:val="none"/>
          <w:lang w:val="en-US" w:eastAsia="zh-CN"/>
        </w:rPr>
      </w:pPr>
      <w:r>
        <w:rPr>
          <w:rFonts w:hint="eastAsia" w:ascii="宋体" w:hAnsi="宋体" w:eastAsia="宋体" w:cs="宋体"/>
          <w:b/>
          <w:bCs/>
          <w:i w:val="0"/>
          <w:caps w:val="0"/>
          <w:color w:val="auto"/>
          <w:spacing w:val="0"/>
          <w:w w:val="100"/>
          <w:sz w:val="24"/>
          <w:szCs w:val="24"/>
          <w:highlight w:val="none"/>
          <w:lang w:val="en-US" w:eastAsia="zh-CN"/>
        </w:rPr>
        <w:t>（四）售后服务</w:t>
      </w:r>
    </w:p>
    <w:p>
      <w:pPr>
        <w:pStyle w:val="43"/>
        <w:keepNext w:val="0"/>
        <w:keepLines w:val="0"/>
        <w:pageBreakBefore w:val="0"/>
        <w:widowControl/>
        <w:kinsoku/>
        <w:wordWrap/>
        <w:overflowPunct/>
        <w:topLinePunct w:val="0"/>
        <w:autoSpaceDE/>
        <w:autoSpaceDN/>
        <w:bidi w:val="0"/>
        <w:adjustRightInd/>
        <w:snapToGrid w:val="0"/>
        <w:spacing w:before="0" w:beforeAutospacing="0" w:after="0" w:afterAutospacing="0" w:line="480" w:lineRule="exact"/>
        <w:ind w:firstLine="240" w:firstLineChars="100"/>
        <w:jc w:val="left"/>
        <w:textAlignment w:val="baseline"/>
        <w:rPr>
          <w:rFonts w:hint="eastAsia" w:ascii="宋体" w:hAnsi="宋体" w:eastAsia="宋体" w:cs="宋体"/>
          <w:b w:val="0"/>
          <w:i w:val="0"/>
          <w:caps w:val="0"/>
          <w:color w:val="auto"/>
          <w:spacing w:val="0"/>
          <w:w w:val="100"/>
          <w:sz w:val="24"/>
          <w:szCs w:val="24"/>
          <w:highlight w:val="none"/>
          <w:lang w:val="en-US" w:eastAsia="zh-CN"/>
        </w:rPr>
      </w:pPr>
      <w:r>
        <w:rPr>
          <w:rFonts w:hint="eastAsia" w:ascii="宋体" w:hAnsi="宋体" w:eastAsia="宋体" w:cs="宋体"/>
          <w:b w:val="0"/>
          <w:i w:val="0"/>
          <w:caps w:val="0"/>
          <w:color w:val="auto"/>
          <w:spacing w:val="0"/>
          <w:w w:val="100"/>
          <w:sz w:val="24"/>
          <w:szCs w:val="24"/>
          <w:highlight w:val="none"/>
          <w:lang w:val="en-US" w:eastAsia="zh-CN"/>
        </w:rPr>
        <w:t>1、卖方须到买方提供的现场免费安装、调试设备，进行操作试验，直至运行正常，为仪器操作人员提供免费的操作及维护培训。维修响应4小时响应，在质保期内出现故障中标单位在接到故障报修电话后，48小时内必须赶到现场解决故障，如当日无法修复，安装备品备件供甲方使用（具体服务可参考各设备技术参数的相关要求）。</w:t>
      </w:r>
    </w:p>
    <w:p>
      <w:pPr>
        <w:pStyle w:val="43"/>
        <w:keepNext w:val="0"/>
        <w:keepLines w:val="0"/>
        <w:pageBreakBefore w:val="0"/>
        <w:widowControl/>
        <w:kinsoku/>
        <w:wordWrap/>
        <w:overflowPunct/>
        <w:topLinePunct w:val="0"/>
        <w:autoSpaceDE/>
        <w:autoSpaceDN/>
        <w:bidi w:val="0"/>
        <w:adjustRightInd/>
        <w:snapToGrid w:val="0"/>
        <w:spacing w:before="0" w:beforeAutospacing="0" w:after="0" w:afterAutospacing="0" w:line="480" w:lineRule="exact"/>
        <w:ind w:firstLine="240" w:firstLineChars="100"/>
        <w:jc w:val="left"/>
        <w:textAlignment w:val="baseline"/>
        <w:rPr>
          <w:rFonts w:hint="eastAsia" w:ascii="宋体" w:hAnsi="宋体" w:cs="宋体"/>
          <w:b w:val="0"/>
          <w:i w:val="0"/>
          <w:caps w:val="0"/>
          <w:color w:val="auto"/>
          <w:spacing w:val="0"/>
          <w:w w:val="100"/>
          <w:sz w:val="24"/>
          <w:szCs w:val="24"/>
          <w:highlight w:val="none"/>
          <w:lang w:val="en-US" w:eastAsia="zh-CN"/>
        </w:rPr>
      </w:pPr>
      <w:r>
        <w:rPr>
          <w:rFonts w:hint="eastAsia" w:ascii="宋体" w:hAnsi="宋体" w:eastAsia="宋体" w:cs="宋体"/>
          <w:b w:val="0"/>
          <w:i w:val="0"/>
          <w:caps w:val="0"/>
          <w:color w:val="auto"/>
          <w:spacing w:val="0"/>
          <w:w w:val="100"/>
          <w:sz w:val="24"/>
          <w:szCs w:val="24"/>
          <w:highlight w:val="none"/>
          <w:lang w:val="en-US" w:eastAsia="zh-CN"/>
        </w:rPr>
        <w:t>2、为保证项目的正常运行，</w:t>
      </w:r>
      <w:r>
        <w:rPr>
          <w:rFonts w:hint="eastAsia" w:ascii="宋体" w:hAnsi="宋体" w:cs="宋体"/>
          <w:b w:val="0"/>
          <w:i w:val="0"/>
          <w:caps w:val="0"/>
          <w:color w:val="auto"/>
          <w:spacing w:val="0"/>
          <w:w w:val="100"/>
          <w:sz w:val="24"/>
          <w:szCs w:val="24"/>
          <w:highlight w:val="none"/>
          <w:lang w:val="en-US" w:eastAsia="zh-CN"/>
        </w:rPr>
        <w:t>须在疆内有固定</w:t>
      </w:r>
      <w:r>
        <w:rPr>
          <w:rFonts w:hint="eastAsia" w:ascii="宋体" w:hAnsi="宋体" w:eastAsia="宋体" w:cs="宋体"/>
          <w:b w:val="0"/>
          <w:i w:val="0"/>
          <w:caps w:val="0"/>
          <w:color w:val="auto"/>
          <w:spacing w:val="0"/>
          <w:w w:val="100"/>
          <w:sz w:val="24"/>
          <w:szCs w:val="24"/>
          <w:highlight w:val="none"/>
          <w:lang w:val="en-US" w:eastAsia="zh-CN"/>
        </w:rPr>
        <w:t>CT维修工程师，随时排除设备故障</w:t>
      </w:r>
      <w:r>
        <w:rPr>
          <w:rFonts w:hint="eastAsia" w:ascii="宋体" w:hAnsi="宋体" w:cs="宋体"/>
          <w:b w:val="0"/>
          <w:i w:val="0"/>
          <w:caps w:val="0"/>
          <w:color w:val="auto"/>
          <w:spacing w:val="0"/>
          <w:w w:val="100"/>
          <w:sz w:val="24"/>
          <w:szCs w:val="24"/>
          <w:highlight w:val="none"/>
          <w:lang w:val="en-US" w:eastAsia="zh-CN"/>
        </w:rPr>
        <w:t>。</w:t>
      </w:r>
    </w:p>
    <w:p>
      <w:pPr>
        <w:pStyle w:val="43"/>
        <w:keepNext w:val="0"/>
        <w:keepLines w:val="0"/>
        <w:pageBreakBefore w:val="0"/>
        <w:widowControl/>
        <w:kinsoku/>
        <w:wordWrap/>
        <w:overflowPunct/>
        <w:topLinePunct w:val="0"/>
        <w:autoSpaceDE/>
        <w:autoSpaceDN/>
        <w:bidi w:val="0"/>
        <w:adjustRightInd/>
        <w:snapToGrid w:val="0"/>
        <w:spacing w:before="0" w:beforeAutospacing="0" w:after="0" w:afterAutospacing="0" w:line="480" w:lineRule="exact"/>
        <w:ind w:firstLine="240" w:firstLineChars="100"/>
        <w:jc w:val="left"/>
        <w:textAlignment w:val="baseline"/>
        <w:rPr>
          <w:rFonts w:hint="eastAsia" w:ascii="宋体" w:hAnsi="宋体" w:eastAsia="宋体" w:cs="宋体"/>
          <w:b w:val="0"/>
          <w:i w:val="0"/>
          <w:caps w:val="0"/>
          <w:color w:val="auto"/>
          <w:spacing w:val="0"/>
          <w:w w:val="100"/>
          <w:sz w:val="24"/>
          <w:szCs w:val="24"/>
          <w:highlight w:val="none"/>
          <w:lang w:val="en-US" w:eastAsia="zh-CN"/>
        </w:rPr>
      </w:pPr>
      <w:r>
        <w:rPr>
          <w:rFonts w:hint="eastAsia" w:ascii="宋体" w:hAnsi="宋体" w:eastAsia="宋体" w:cs="宋体"/>
          <w:b w:val="0"/>
          <w:i w:val="0"/>
          <w:caps w:val="0"/>
          <w:color w:val="auto"/>
          <w:spacing w:val="0"/>
          <w:w w:val="100"/>
          <w:sz w:val="24"/>
          <w:szCs w:val="24"/>
          <w:highlight w:val="none"/>
          <w:lang w:val="en-US" w:eastAsia="zh-CN"/>
        </w:rPr>
        <w:t>3、在质保期内，派遣维修或技术人员巡访设备使用单位，协助并指导运维人员进行日常维护保养工作，并与直接使用人交流设备使用相关事宜。</w:t>
      </w:r>
    </w:p>
    <w:p>
      <w:pPr>
        <w:pStyle w:val="43"/>
        <w:keepNext w:val="0"/>
        <w:keepLines w:val="0"/>
        <w:pageBreakBefore w:val="0"/>
        <w:widowControl/>
        <w:kinsoku/>
        <w:wordWrap/>
        <w:overflowPunct/>
        <w:topLinePunct w:val="0"/>
        <w:autoSpaceDE/>
        <w:autoSpaceDN/>
        <w:bidi w:val="0"/>
        <w:adjustRightInd/>
        <w:snapToGrid w:val="0"/>
        <w:spacing w:before="0" w:beforeAutospacing="0" w:after="0" w:afterAutospacing="0" w:line="480" w:lineRule="exact"/>
        <w:ind w:firstLine="240" w:firstLineChars="100"/>
        <w:jc w:val="left"/>
        <w:textAlignment w:val="baseline"/>
        <w:rPr>
          <w:rFonts w:hint="eastAsia" w:ascii="宋体" w:hAnsi="宋体" w:eastAsia="宋体" w:cs="宋体"/>
          <w:b w:val="0"/>
          <w:i w:val="0"/>
          <w:caps w:val="0"/>
          <w:color w:val="auto"/>
          <w:spacing w:val="0"/>
          <w:w w:val="100"/>
          <w:sz w:val="24"/>
          <w:szCs w:val="24"/>
          <w:highlight w:val="none"/>
          <w:lang w:val="en-US" w:eastAsia="zh-CN"/>
        </w:rPr>
      </w:pPr>
      <w:r>
        <w:rPr>
          <w:rFonts w:hint="eastAsia" w:ascii="宋体" w:hAnsi="宋体" w:eastAsia="宋体" w:cs="宋体"/>
          <w:b w:val="0"/>
          <w:i w:val="0"/>
          <w:caps w:val="0"/>
          <w:color w:val="auto"/>
          <w:spacing w:val="0"/>
          <w:w w:val="100"/>
          <w:sz w:val="24"/>
          <w:szCs w:val="24"/>
          <w:highlight w:val="none"/>
          <w:lang w:val="en-US" w:eastAsia="zh-CN"/>
        </w:rPr>
        <w:t>4、供应商必须积极配合采购人共同参与项目验收。主动向采购方有关技术人员在使用现场提供全套技术指导及培训。</w:t>
      </w:r>
    </w:p>
    <w:p>
      <w:pPr>
        <w:pStyle w:val="43"/>
        <w:keepNext w:val="0"/>
        <w:keepLines w:val="0"/>
        <w:pageBreakBefore w:val="0"/>
        <w:widowControl/>
        <w:kinsoku/>
        <w:wordWrap/>
        <w:overflowPunct/>
        <w:topLinePunct w:val="0"/>
        <w:autoSpaceDE/>
        <w:autoSpaceDN/>
        <w:bidi w:val="0"/>
        <w:adjustRightInd/>
        <w:snapToGrid w:val="0"/>
        <w:spacing w:before="0" w:beforeAutospacing="0" w:after="0" w:afterAutospacing="0" w:line="480" w:lineRule="exact"/>
        <w:ind w:left="0" w:leftChars="0" w:firstLine="240" w:firstLineChars="100"/>
        <w:jc w:val="left"/>
        <w:textAlignment w:val="baseline"/>
        <w:rPr>
          <w:rFonts w:hint="eastAsia" w:ascii="宋体" w:hAnsi="宋体" w:cs="宋体"/>
          <w:b w:val="0"/>
          <w:i w:val="0"/>
          <w:caps w:val="0"/>
          <w:color w:val="auto"/>
          <w:spacing w:val="0"/>
          <w:w w:val="100"/>
          <w:sz w:val="24"/>
          <w:szCs w:val="24"/>
          <w:highlight w:val="yellow"/>
          <w:lang w:val="en-US" w:eastAsia="zh-CN"/>
        </w:rPr>
      </w:pPr>
      <w:r>
        <w:rPr>
          <w:rFonts w:hint="eastAsia" w:ascii="宋体" w:hAnsi="宋体" w:eastAsia="宋体" w:cs="宋体"/>
          <w:b w:val="0"/>
          <w:i w:val="0"/>
          <w:caps w:val="0"/>
          <w:color w:val="auto"/>
          <w:spacing w:val="0"/>
          <w:w w:val="100"/>
          <w:sz w:val="24"/>
          <w:szCs w:val="24"/>
          <w:highlight w:val="none"/>
          <w:lang w:val="en-US" w:eastAsia="zh-CN"/>
        </w:rPr>
        <w:t>5、售后服务承诺：供应商应对质保期内及其以后的服务做出承诺，并具有切实可行的措施,不能及时兑现服务承诺内容而影响使用方使用，供应商应</w:t>
      </w:r>
      <w:r>
        <w:rPr>
          <w:rFonts w:hint="eastAsia" w:ascii="宋体" w:hAnsi="宋体" w:cs="宋体"/>
          <w:b w:val="0"/>
          <w:i w:val="0"/>
          <w:caps w:val="0"/>
          <w:color w:val="auto"/>
          <w:spacing w:val="0"/>
          <w:w w:val="100"/>
          <w:sz w:val="24"/>
          <w:szCs w:val="24"/>
          <w:highlight w:val="none"/>
          <w:lang w:val="en-US" w:eastAsia="zh-CN"/>
        </w:rPr>
        <w:t>当</w:t>
      </w:r>
      <w:r>
        <w:rPr>
          <w:rFonts w:hint="eastAsia" w:ascii="宋体" w:hAnsi="宋体" w:eastAsia="宋体" w:cs="宋体"/>
          <w:b w:val="0"/>
          <w:i w:val="0"/>
          <w:caps w:val="0"/>
          <w:color w:val="auto"/>
          <w:spacing w:val="0"/>
          <w:w w:val="100"/>
          <w:sz w:val="24"/>
          <w:szCs w:val="24"/>
          <w:highlight w:val="none"/>
          <w:lang w:val="en-US" w:eastAsia="zh-CN"/>
        </w:rPr>
        <w:t>给予补偿；供应商在疆内应设有或指派的售后服务机构，维修人员应是供应商派出的具有一定专业技术水平的人员，并具有供应商的法人授权委托，并在投标书中均应明确说明。</w:t>
      </w:r>
    </w:p>
    <w:p>
      <w:pPr>
        <w:pStyle w:val="43"/>
        <w:keepNext w:val="0"/>
        <w:keepLines w:val="0"/>
        <w:pageBreakBefore w:val="0"/>
        <w:widowControl/>
        <w:kinsoku/>
        <w:wordWrap/>
        <w:overflowPunct/>
        <w:topLinePunct w:val="0"/>
        <w:autoSpaceDE/>
        <w:autoSpaceDN/>
        <w:bidi w:val="0"/>
        <w:adjustRightInd/>
        <w:snapToGrid w:val="0"/>
        <w:spacing w:before="0" w:beforeAutospacing="0" w:after="0" w:afterAutospacing="0" w:line="480" w:lineRule="exact"/>
        <w:ind w:left="0" w:leftChars="0" w:firstLine="240" w:firstLineChars="100"/>
        <w:jc w:val="left"/>
        <w:textAlignment w:val="baseline"/>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6</w:t>
      </w:r>
      <w:r>
        <w:rPr>
          <w:rFonts w:hint="eastAsia" w:ascii="宋体" w:hAnsi="宋体" w:eastAsia="宋体" w:cs="宋体"/>
          <w:color w:val="auto"/>
          <w:sz w:val="24"/>
          <w:szCs w:val="24"/>
          <w:highlight w:val="none"/>
          <w:lang w:val="en-US" w:eastAsia="zh-CN"/>
        </w:rPr>
        <w:t>、备品备件：</w:t>
      </w:r>
      <w:r>
        <w:rPr>
          <w:rFonts w:hint="eastAsia" w:ascii="宋体" w:hAnsi="宋体" w:cs="宋体"/>
          <w:color w:val="auto"/>
          <w:sz w:val="24"/>
          <w:szCs w:val="24"/>
          <w:highlight w:val="none"/>
          <w:lang w:val="en-US" w:eastAsia="zh-CN"/>
        </w:rPr>
        <w:t>供应商</w:t>
      </w:r>
      <w:r>
        <w:rPr>
          <w:rFonts w:hint="eastAsia" w:ascii="宋体" w:hAnsi="宋体" w:eastAsia="宋体" w:cs="宋体"/>
          <w:color w:val="auto"/>
          <w:sz w:val="24"/>
          <w:szCs w:val="24"/>
          <w:highlight w:val="none"/>
          <w:lang w:val="en-US" w:eastAsia="zh-CN"/>
        </w:rPr>
        <w:t>根据自身所投产品提供相对应的部件之间及设备之间的连线或接插件等，均视为备品备件的种类。</w:t>
      </w:r>
    </w:p>
    <w:p>
      <w:pPr>
        <w:pStyle w:val="43"/>
        <w:keepNext w:val="0"/>
        <w:keepLines w:val="0"/>
        <w:pageBreakBefore w:val="0"/>
        <w:widowControl/>
        <w:kinsoku/>
        <w:wordWrap/>
        <w:overflowPunct/>
        <w:topLinePunct w:val="0"/>
        <w:autoSpaceDE/>
        <w:autoSpaceDN/>
        <w:bidi w:val="0"/>
        <w:adjustRightInd/>
        <w:snapToGrid w:val="0"/>
        <w:spacing w:before="0" w:beforeAutospacing="0" w:after="0" w:afterAutospacing="0" w:line="480" w:lineRule="exact"/>
        <w:ind w:left="0" w:leftChars="0" w:firstLine="240" w:firstLineChars="100"/>
        <w:jc w:val="left"/>
        <w:textAlignment w:val="baseline"/>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7</w:t>
      </w:r>
      <w:r>
        <w:rPr>
          <w:rFonts w:hint="eastAsia" w:ascii="宋体" w:hAnsi="宋体" w:eastAsia="宋体" w:cs="宋体"/>
          <w:color w:val="auto"/>
          <w:sz w:val="24"/>
          <w:szCs w:val="24"/>
          <w:highlight w:val="none"/>
          <w:lang w:val="en-US" w:eastAsia="zh-CN"/>
        </w:rPr>
        <w:t>、如有未尽事宜或收到货物需求不合要求情况，可双方协商决定，但决定权在购买方，购买方有权利退回所购买产品。</w:t>
      </w:r>
    </w:p>
    <w:p>
      <w:pPr>
        <w:pStyle w:val="43"/>
        <w:keepNext w:val="0"/>
        <w:keepLines w:val="0"/>
        <w:pageBreakBefore w:val="0"/>
        <w:widowControl/>
        <w:kinsoku/>
        <w:wordWrap/>
        <w:overflowPunct/>
        <w:topLinePunct w:val="0"/>
        <w:autoSpaceDE/>
        <w:autoSpaceDN/>
        <w:bidi w:val="0"/>
        <w:adjustRightInd/>
        <w:snapToGrid w:val="0"/>
        <w:spacing w:before="0" w:beforeAutospacing="0" w:after="0" w:afterAutospacing="0" w:line="480" w:lineRule="exact"/>
        <w:ind w:left="0" w:leftChars="0" w:firstLine="240" w:firstLineChars="100"/>
        <w:jc w:val="left"/>
        <w:textAlignment w:val="baseline"/>
        <w:rPr>
          <w:rFonts w:hint="eastAsia" w:ascii="宋体" w:hAnsi="宋体" w:eastAsia="宋体" w:cs="宋体"/>
          <w:color w:val="auto"/>
          <w:sz w:val="24"/>
          <w:szCs w:val="24"/>
          <w:highlight w:val="none"/>
          <w:lang w:val="en-US" w:eastAsia="zh-CN"/>
        </w:rPr>
      </w:pPr>
      <w:r>
        <w:rPr>
          <w:rFonts w:hint="eastAsia" w:ascii="宋体" w:hAnsi="宋体" w:cs="宋体"/>
          <w:b w:val="0"/>
          <w:i w:val="0"/>
          <w:caps w:val="0"/>
          <w:color w:val="auto"/>
          <w:spacing w:val="0"/>
          <w:w w:val="100"/>
          <w:sz w:val="24"/>
          <w:szCs w:val="24"/>
          <w:highlight w:val="none"/>
          <w:lang w:val="en-US" w:eastAsia="zh-CN"/>
        </w:rPr>
        <w:t>8、在质保期内三年的年检费用及出具检测报告都由投标供应商承担。</w:t>
      </w:r>
    </w:p>
    <w:p>
      <w:pPr>
        <w:pStyle w:val="43"/>
        <w:keepNext w:val="0"/>
        <w:keepLines w:val="0"/>
        <w:pageBreakBefore w:val="0"/>
        <w:widowControl/>
        <w:kinsoku/>
        <w:wordWrap/>
        <w:overflowPunct/>
        <w:topLinePunct w:val="0"/>
        <w:autoSpaceDE/>
        <w:autoSpaceDN/>
        <w:bidi w:val="0"/>
        <w:adjustRightInd/>
        <w:snapToGrid w:val="0"/>
        <w:spacing w:before="0" w:beforeAutospacing="0" w:after="0" w:afterAutospacing="0" w:line="480" w:lineRule="exact"/>
        <w:ind w:firstLine="0" w:firstLineChars="0"/>
        <w:jc w:val="left"/>
        <w:textAlignment w:val="baseline"/>
        <w:rPr>
          <w:rFonts w:hint="eastAsia" w:ascii="宋体" w:hAnsi="宋体" w:eastAsia="宋体" w:cs="宋体"/>
          <w:b/>
          <w:bCs/>
          <w:i w:val="0"/>
          <w:caps w:val="0"/>
          <w:color w:val="auto"/>
          <w:spacing w:val="0"/>
          <w:w w:val="100"/>
          <w:sz w:val="24"/>
          <w:szCs w:val="24"/>
          <w:highlight w:val="none"/>
          <w:lang w:val="en-US" w:eastAsia="zh-CN"/>
        </w:rPr>
      </w:pPr>
      <w:r>
        <w:rPr>
          <w:rFonts w:hint="eastAsia" w:ascii="宋体" w:hAnsi="宋体" w:eastAsia="宋体" w:cs="宋体"/>
          <w:b/>
          <w:bCs/>
          <w:i w:val="0"/>
          <w:caps w:val="0"/>
          <w:color w:val="auto"/>
          <w:spacing w:val="0"/>
          <w:w w:val="100"/>
          <w:sz w:val="24"/>
          <w:szCs w:val="24"/>
          <w:highlight w:val="none"/>
          <w:lang w:val="en-US" w:eastAsia="zh-CN"/>
        </w:rPr>
        <w:t>（五）实施方案及培训方案</w:t>
      </w:r>
    </w:p>
    <w:p>
      <w:pPr>
        <w:pStyle w:val="43"/>
        <w:keepNext w:val="0"/>
        <w:keepLines w:val="0"/>
        <w:pageBreakBefore w:val="0"/>
        <w:widowControl/>
        <w:kinsoku/>
        <w:wordWrap/>
        <w:overflowPunct/>
        <w:topLinePunct w:val="0"/>
        <w:autoSpaceDE/>
        <w:autoSpaceDN/>
        <w:bidi w:val="0"/>
        <w:adjustRightInd/>
        <w:snapToGrid w:val="0"/>
        <w:spacing w:before="0" w:beforeAutospacing="0" w:after="0" w:afterAutospacing="0" w:line="480" w:lineRule="exact"/>
        <w:ind w:left="0" w:leftChars="0" w:firstLine="240" w:firstLineChars="100"/>
        <w:jc w:val="left"/>
        <w:textAlignment w:val="baseline"/>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w:t>
      </w:r>
      <w:r>
        <w:rPr>
          <w:rFonts w:hint="eastAsia" w:ascii="宋体" w:hAnsi="宋体" w:cs="宋体"/>
          <w:color w:val="auto"/>
          <w:sz w:val="24"/>
          <w:szCs w:val="24"/>
          <w:highlight w:val="none"/>
          <w:lang w:val="en-US" w:eastAsia="zh-CN"/>
        </w:rPr>
        <w:t>供应商</w:t>
      </w:r>
      <w:r>
        <w:rPr>
          <w:rFonts w:hint="eastAsia" w:ascii="宋体" w:hAnsi="宋体" w:eastAsia="宋体" w:cs="宋体"/>
          <w:color w:val="auto"/>
          <w:sz w:val="24"/>
          <w:szCs w:val="24"/>
          <w:highlight w:val="none"/>
          <w:lang w:val="en-US" w:eastAsia="zh-CN"/>
        </w:rPr>
        <w:t>应保证供货设备在项目实施过程中的实施方案、设备质量、供货安装、项目安全措施、应急处理、进度安排等五方面进行拓展，本包属于医疗设备</w:t>
      </w:r>
      <w:r>
        <w:rPr>
          <w:rFonts w:hint="eastAsia" w:ascii="宋体" w:hAnsi="宋体" w:cs="宋体"/>
          <w:color w:val="auto"/>
          <w:sz w:val="24"/>
          <w:szCs w:val="24"/>
          <w:highlight w:val="none"/>
          <w:lang w:val="en-US" w:eastAsia="zh-CN"/>
        </w:rPr>
        <w:t>，</w:t>
      </w:r>
      <w:r>
        <w:rPr>
          <w:rFonts w:hint="eastAsia" w:ascii="宋体" w:hAnsi="宋体" w:eastAsia="宋体" w:cs="宋体"/>
          <w:color w:val="auto"/>
          <w:sz w:val="24"/>
          <w:szCs w:val="24"/>
          <w:highlight w:val="none"/>
          <w:lang w:val="en-US" w:eastAsia="zh-CN"/>
        </w:rPr>
        <w:t>供应商能够在设备运输中保障设备的功能不被破坏，在发货前保证对货物的质量、规格、性能、数量和重量等进行准确而全面的检验，并出具一份产品检验合格证书。在项目供货安装时进行核对，本次购买设备如若发生设备不能正常运行，供应商必须在突发应急时给予响应并在最快时间内处理。</w:t>
      </w:r>
    </w:p>
    <w:p>
      <w:pPr>
        <w:pStyle w:val="43"/>
        <w:keepNext w:val="0"/>
        <w:keepLines w:val="0"/>
        <w:pageBreakBefore w:val="0"/>
        <w:widowControl/>
        <w:kinsoku/>
        <w:wordWrap/>
        <w:overflowPunct/>
        <w:topLinePunct w:val="0"/>
        <w:autoSpaceDE/>
        <w:autoSpaceDN/>
        <w:bidi w:val="0"/>
        <w:adjustRightInd/>
        <w:snapToGrid w:val="0"/>
        <w:spacing w:before="0" w:beforeAutospacing="0" w:after="0" w:afterAutospacing="0" w:line="480" w:lineRule="exact"/>
        <w:ind w:left="0" w:leftChars="0" w:firstLine="240" w:firstLineChars="100"/>
        <w:jc w:val="left"/>
        <w:textAlignment w:val="baseline"/>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2、该项目属于医疗设备，须提供培训，培训是指涉及产品基本原理、安装、调试、操作使用和保养维修等有关内容的学习。在质保期内常驻 2 名工程师，并为采购人提供至少三人的培训服务，确保用户方至少两名操作人员可熟悉使用，</w:t>
      </w:r>
      <w:r>
        <w:rPr>
          <w:rFonts w:hint="eastAsia" w:ascii="宋体" w:hAnsi="宋体" w:cs="宋体"/>
          <w:color w:val="auto"/>
          <w:sz w:val="24"/>
          <w:szCs w:val="24"/>
          <w:highlight w:val="none"/>
          <w:lang w:val="en-US" w:eastAsia="zh-CN"/>
        </w:rPr>
        <w:t>供应商</w:t>
      </w:r>
      <w:r>
        <w:rPr>
          <w:rFonts w:hint="eastAsia" w:ascii="宋体" w:hAnsi="宋体" w:eastAsia="宋体" w:cs="宋体"/>
          <w:color w:val="auto"/>
          <w:sz w:val="24"/>
          <w:szCs w:val="24"/>
          <w:highlight w:val="none"/>
          <w:lang w:val="en-US" w:eastAsia="zh-CN"/>
        </w:rPr>
        <w:t>应保证在采购人指定交货地点对每包（品目）最终用户设备操作人员提供不少于 1 天的免费培训。</w:t>
      </w:r>
      <w:r>
        <w:rPr>
          <w:rFonts w:hint="eastAsia" w:ascii="宋体" w:hAnsi="宋体" w:cs="宋体"/>
          <w:color w:val="auto"/>
          <w:sz w:val="24"/>
          <w:szCs w:val="24"/>
          <w:highlight w:val="none"/>
          <w:lang w:val="en-US" w:eastAsia="zh-CN"/>
        </w:rPr>
        <w:t>供应商</w:t>
      </w:r>
      <w:r>
        <w:rPr>
          <w:rFonts w:hint="eastAsia" w:ascii="宋体" w:hAnsi="宋体" w:eastAsia="宋体" w:cs="宋体"/>
          <w:color w:val="auto"/>
          <w:sz w:val="24"/>
          <w:szCs w:val="24"/>
          <w:highlight w:val="none"/>
          <w:lang w:val="en-US" w:eastAsia="zh-CN"/>
        </w:rPr>
        <w:t>投标时应提供详细的培训方案。培训教员的差旅费、食宿费、培训教材等费用，应计入投标报价， 随时排除所有设备故障进行明确的计划阐述，并对所有设备保修期过后维保进行阐述。</w:t>
      </w:r>
    </w:p>
    <w:p>
      <w:pPr>
        <w:pStyle w:val="43"/>
        <w:keepNext w:val="0"/>
        <w:keepLines w:val="0"/>
        <w:pageBreakBefore w:val="0"/>
        <w:widowControl/>
        <w:kinsoku/>
        <w:wordWrap/>
        <w:overflowPunct/>
        <w:topLinePunct w:val="0"/>
        <w:autoSpaceDE/>
        <w:autoSpaceDN/>
        <w:bidi w:val="0"/>
        <w:adjustRightInd/>
        <w:snapToGrid w:val="0"/>
        <w:spacing w:before="0" w:beforeAutospacing="0" w:after="0" w:afterAutospacing="0" w:line="480" w:lineRule="exact"/>
        <w:ind w:firstLine="0" w:firstLineChars="0"/>
        <w:jc w:val="left"/>
        <w:textAlignment w:val="baseline"/>
        <w:rPr>
          <w:rFonts w:hint="eastAsia" w:ascii="宋体" w:hAnsi="宋体" w:eastAsia="宋体" w:cs="宋体"/>
          <w:b/>
          <w:bCs/>
          <w:i w:val="0"/>
          <w:caps w:val="0"/>
          <w:color w:val="auto"/>
          <w:spacing w:val="0"/>
          <w:w w:val="100"/>
          <w:sz w:val="24"/>
          <w:szCs w:val="24"/>
          <w:highlight w:val="none"/>
          <w:lang w:val="en-US" w:eastAsia="zh-CN"/>
        </w:rPr>
      </w:pPr>
      <w:r>
        <w:rPr>
          <w:rFonts w:hint="eastAsia" w:ascii="宋体" w:hAnsi="宋体" w:eastAsia="宋体" w:cs="宋体"/>
          <w:b/>
          <w:bCs/>
          <w:i w:val="0"/>
          <w:caps w:val="0"/>
          <w:color w:val="auto"/>
          <w:spacing w:val="0"/>
          <w:w w:val="100"/>
          <w:sz w:val="24"/>
          <w:szCs w:val="24"/>
          <w:highlight w:val="none"/>
          <w:lang w:val="en-US" w:eastAsia="zh-CN"/>
        </w:rPr>
        <w:t>（六）验收</w:t>
      </w:r>
    </w:p>
    <w:p>
      <w:pPr>
        <w:pStyle w:val="43"/>
        <w:keepNext w:val="0"/>
        <w:keepLines w:val="0"/>
        <w:pageBreakBefore w:val="0"/>
        <w:widowControl/>
        <w:kinsoku/>
        <w:wordWrap/>
        <w:overflowPunct/>
        <w:topLinePunct w:val="0"/>
        <w:autoSpaceDE/>
        <w:autoSpaceDN/>
        <w:bidi w:val="0"/>
        <w:adjustRightInd/>
        <w:snapToGrid w:val="0"/>
        <w:spacing w:before="0" w:beforeAutospacing="0" w:after="0" w:afterAutospacing="0" w:line="480" w:lineRule="exact"/>
        <w:ind w:left="0" w:leftChars="0" w:firstLine="240" w:firstLineChars="100"/>
        <w:jc w:val="left"/>
        <w:textAlignment w:val="baseline"/>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1、项目业主按标准、技术要求在现场验收，货物验收按照国家最新标准及招标文件中所提出的要求，如供方实际执行的标准高于国家标准和机械行业标准则按买方标准验收。</w:t>
      </w:r>
    </w:p>
    <w:p>
      <w:pPr>
        <w:pStyle w:val="43"/>
        <w:keepNext w:val="0"/>
        <w:keepLines w:val="0"/>
        <w:pageBreakBefore w:val="0"/>
        <w:widowControl/>
        <w:kinsoku/>
        <w:wordWrap/>
        <w:overflowPunct/>
        <w:topLinePunct w:val="0"/>
        <w:autoSpaceDE/>
        <w:autoSpaceDN/>
        <w:bidi w:val="0"/>
        <w:adjustRightInd/>
        <w:snapToGrid w:val="0"/>
        <w:spacing w:before="0" w:beforeAutospacing="0" w:after="0" w:afterAutospacing="0" w:line="480" w:lineRule="exact"/>
        <w:ind w:left="0" w:leftChars="0" w:firstLine="240" w:firstLineChars="100"/>
        <w:jc w:val="left"/>
        <w:textAlignment w:val="baseline"/>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2、项目业主在货物抵达交货地点之日起3日内完成初步验收，这种验收只是数量上的和外观感觉上的，最终验收依据国家标准。</w:t>
      </w:r>
    </w:p>
    <w:p>
      <w:pPr>
        <w:pStyle w:val="43"/>
        <w:keepNext w:val="0"/>
        <w:keepLines w:val="0"/>
        <w:pageBreakBefore w:val="0"/>
        <w:widowControl/>
        <w:kinsoku/>
        <w:wordWrap/>
        <w:overflowPunct/>
        <w:topLinePunct w:val="0"/>
        <w:autoSpaceDE/>
        <w:autoSpaceDN/>
        <w:bidi w:val="0"/>
        <w:adjustRightInd/>
        <w:snapToGrid w:val="0"/>
        <w:spacing w:before="0" w:beforeAutospacing="0" w:after="0" w:afterAutospacing="0" w:line="480" w:lineRule="exact"/>
        <w:ind w:left="0" w:leftChars="0" w:firstLine="240" w:firstLineChars="100"/>
        <w:jc w:val="left"/>
        <w:textAlignment w:val="baseline"/>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3、项目所有内容实施并完工后，双方共同派员参加验收，如承包方在接到项目业主通知之日起三日内无法派员抵达现场，则视为同意买方自行验收的结果。</w:t>
      </w:r>
    </w:p>
    <w:p>
      <w:pPr>
        <w:pStyle w:val="43"/>
        <w:keepNext w:val="0"/>
        <w:keepLines w:val="0"/>
        <w:pageBreakBefore w:val="0"/>
        <w:widowControl/>
        <w:kinsoku/>
        <w:wordWrap/>
        <w:overflowPunct/>
        <w:topLinePunct w:val="0"/>
        <w:autoSpaceDE/>
        <w:autoSpaceDN/>
        <w:bidi w:val="0"/>
        <w:adjustRightInd/>
        <w:snapToGrid w:val="0"/>
        <w:spacing w:before="0" w:beforeAutospacing="0" w:after="0" w:afterAutospacing="0" w:line="480" w:lineRule="exact"/>
        <w:ind w:left="0" w:leftChars="0" w:firstLine="240" w:firstLineChars="100"/>
        <w:jc w:val="left"/>
        <w:textAlignment w:val="baseline"/>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4、上述检验和验收不能代替质保期内设备制造性能质量考核。</w:t>
      </w:r>
    </w:p>
    <w:p>
      <w:pPr>
        <w:pStyle w:val="43"/>
        <w:keepNext w:val="0"/>
        <w:keepLines w:val="0"/>
        <w:pageBreakBefore w:val="0"/>
        <w:widowControl/>
        <w:kinsoku/>
        <w:wordWrap/>
        <w:overflowPunct/>
        <w:topLinePunct w:val="0"/>
        <w:autoSpaceDE/>
        <w:autoSpaceDN/>
        <w:bidi w:val="0"/>
        <w:adjustRightInd/>
        <w:snapToGrid w:val="0"/>
        <w:spacing w:before="0" w:beforeAutospacing="0" w:after="0" w:afterAutospacing="0" w:line="480" w:lineRule="exact"/>
        <w:ind w:firstLine="0" w:firstLineChars="0"/>
        <w:jc w:val="left"/>
        <w:textAlignment w:val="baseline"/>
        <w:rPr>
          <w:rFonts w:hint="eastAsia" w:ascii="宋体" w:hAnsi="宋体" w:eastAsia="宋体" w:cs="宋体"/>
          <w:b/>
          <w:bCs/>
          <w:i w:val="0"/>
          <w:caps w:val="0"/>
          <w:color w:val="auto"/>
          <w:spacing w:val="0"/>
          <w:w w:val="100"/>
          <w:sz w:val="24"/>
          <w:szCs w:val="24"/>
          <w:highlight w:val="none"/>
          <w:lang w:val="en-US" w:eastAsia="zh-CN"/>
        </w:rPr>
      </w:pPr>
      <w:r>
        <w:rPr>
          <w:rFonts w:hint="eastAsia" w:ascii="宋体" w:hAnsi="宋体" w:eastAsia="宋体" w:cs="宋体"/>
          <w:b/>
          <w:bCs/>
          <w:i w:val="0"/>
          <w:caps w:val="0"/>
          <w:color w:val="auto"/>
          <w:spacing w:val="0"/>
          <w:w w:val="100"/>
          <w:sz w:val="24"/>
          <w:szCs w:val="24"/>
          <w:highlight w:val="none"/>
          <w:lang w:val="en-US" w:eastAsia="zh-CN"/>
        </w:rPr>
        <w:t>（七）其他要求</w:t>
      </w:r>
    </w:p>
    <w:p>
      <w:pPr>
        <w:pStyle w:val="43"/>
        <w:keepNext w:val="0"/>
        <w:keepLines w:val="0"/>
        <w:pageBreakBefore w:val="0"/>
        <w:widowControl/>
        <w:kinsoku/>
        <w:wordWrap/>
        <w:overflowPunct/>
        <w:topLinePunct w:val="0"/>
        <w:autoSpaceDE/>
        <w:autoSpaceDN/>
        <w:bidi w:val="0"/>
        <w:adjustRightInd/>
        <w:snapToGrid w:val="0"/>
        <w:spacing w:before="0" w:beforeAutospacing="0" w:after="0" w:afterAutospacing="0" w:line="480" w:lineRule="exact"/>
        <w:ind w:firstLine="240" w:firstLineChars="100"/>
        <w:jc w:val="left"/>
        <w:textAlignment w:val="baseline"/>
        <w:rPr>
          <w:rFonts w:hint="eastAsia" w:ascii="宋体" w:hAnsi="宋体" w:eastAsia="宋体" w:cs="宋体"/>
          <w:b w:val="0"/>
          <w:i w:val="0"/>
          <w:caps w:val="0"/>
          <w:color w:val="auto"/>
          <w:spacing w:val="0"/>
          <w:w w:val="100"/>
          <w:sz w:val="24"/>
          <w:szCs w:val="24"/>
          <w:highlight w:val="none"/>
          <w:lang w:val="en-US" w:eastAsia="zh-CN"/>
        </w:rPr>
      </w:pPr>
      <w:r>
        <w:rPr>
          <w:rFonts w:hint="eastAsia" w:ascii="宋体" w:hAnsi="宋体" w:eastAsia="宋体" w:cs="宋体"/>
          <w:b w:val="0"/>
          <w:i w:val="0"/>
          <w:caps w:val="0"/>
          <w:color w:val="auto"/>
          <w:spacing w:val="0"/>
          <w:w w:val="100"/>
          <w:sz w:val="24"/>
          <w:szCs w:val="24"/>
          <w:highlight w:val="none"/>
          <w:lang w:val="en-US" w:eastAsia="zh-CN"/>
        </w:rPr>
        <w:t>1、提供近三年内类似业绩证明材料中标通知书或合同。</w:t>
      </w:r>
    </w:p>
    <w:p>
      <w:pPr>
        <w:pStyle w:val="2"/>
        <w:keepNext w:val="0"/>
        <w:keepLines w:val="0"/>
        <w:pageBreakBefore w:val="0"/>
        <w:kinsoku/>
        <w:wordWrap/>
        <w:overflowPunct/>
        <w:topLinePunct w:val="0"/>
        <w:autoSpaceDE/>
        <w:autoSpaceDN/>
        <w:bidi w:val="0"/>
        <w:adjustRightInd/>
        <w:snapToGrid w:val="0"/>
        <w:spacing w:line="480" w:lineRule="exact"/>
        <w:ind w:firstLine="240" w:firstLineChars="100"/>
        <w:outlineLvl w:val="9"/>
        <w:rPr>
          <w:rFonts w:hint="eastAsia" w:ascii="宋体" w:hAnsi="宋体" w:eastAsia="宋体" w:cs="宋体"/>
          <w:b w:val="0"/>
          <w:i w:val="0"/>
          <w:caps w:val="0"/>
          <w:color w:val="auto"/>
          <w:spacing w:val="0"/>
          <w:w w:val="100"/>
          <w:sz w:val="24"/>
          <w:szCs w:val="24"/>
          <w:highlight w:val="none"/>
          <w:lang w:val="en-US" w:eastAsia="zh-CN"/>
        </w:rPr>
      </w:pPr>
      <w:r>
        <w:rPr>
          <w:rFonts w:hint="eastAsia" w:ascii="宋体" w:hAnsi="宋体" w:eastAsia="宋体" w:cs="宋体"/>
          <w:b w:val="0"/>
          <w:i w:val="0"/>
          <w:caps w:val="0"/>
          <w:color w:val="auto"/>
          <w:spacing w:val="0"/>
          <w:w w:val="100"/>
          <w:sz w:val="24"/>
          <w:szCs w:val="24"/>
          <w:highlight w:val="none"/>
          <w:lang w:val="en-US" w:eastAsia="zh-CN"/>
        </w:rPr>
        <w:t>2、为保证质量须提供国家认可的检测报告。</w:t>
      </w:r>
    </w:p>
    <w:p>
      <w:pPr>
        <w:keepNext w:val="0"/>
        <w:keepLines w:val="0"/>
        <w:pageBreakBefore w:val="0"/>
        <w:kinsoku/>
        <w:wordWrap/>
        <w:overflowPunct/>
        <w:topLinePunct w:val="0"/>
        <w:autoSpaceDE/>
        <w:autoSpaceDN/>
        <w:bidi w:val="0"/>
        <w:adjustRightInd/>
        <w:spacing w:line="480" w:lineRule="exact"/>
        <w:jc w:val="left"/>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  </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lang w:val="en-US" w:eastAsia="zh-CN"/>
        </w:rPr>
        <w:t>、投标文件目录清晰、页码连续、目录与页码对应准确，评审内容便于查找，正副本内容一样清晰可辨。</w:t>
      </w:r>
    </w:p>
    <w:p>
      <w:pPr>
        <w:pStyle w:val="2"/>
        <w:rPr>
          <w:rFonts w:hint="eastAsia" w:ascii="宋体" w:hAnsi="宋体" w:eastAsia="宋体" w:cs="宋体"/>
          <w:color w:val="auto"/>
          <w:sz w:val="24"/>
          <w:szCs w:val="24"/>
          <w:highlight w:val="none"/>
          <w:lang w:val="en-US" w:eastAsia="zh-CN"/>
        </w:rPr>
      </w:pPr>
    </w:p>
    <w:p>
      <w:pPr>
        <w:pStyle w:val="2"/>
        <w:rPr>
          <w:rFonts w:hint="eastAsia" w:ascii="宋体" w:hAnsi="宋体" w:eastAsia="宋体" w:cs="宋体"/>
          <w:color w:val="auto"/>
          <w:sz w:val="24"/>
          <w:szCs w:val="24"/>
          <w:highlight w:val="none"/>
          <w:lang w:val="en-US" w:eastAsia="zh-CN"/>
        </w:rPr>
      </w:pPr>
    </w:p>
    <w:p>
      <w:pPr>
        <w:jc w:val="center"/>
        <w:outlineLvl w:val="0"/>
        <w:rPr>
          <w:rFonts w:hint="eastAsia" w:ascii="宋体" w:hAnsi="宋体" w:eastAsia="宋体" w:cs="宋体"/>
          <w:color w:val="auto"/>
          <w:highlight w:val="none"/>
        </w:rPr>
      </w:pPr>
      <w:bookmarkStart w:id="546" w:name="_Toc27603"/>
      <w:r>
        <w:rPr>
          <w:rStyle w:val="27"/>
          <w:rFonts w:hint="eastAsia" w:ascii="宋体" w:hAnsi="宋体" w:eastAsia="宋体" w:cs="宋体"/>
          <w:color w:val="auto"/>
          <w:highlight w:val="none"/>
        </w:rPr>
        <w:t>第6章  评标方法和标准</w:t>
      </w:r>
      <w:bookmarkEnd w:id="518"/>
      <w:bookmarkEnd w:id="519"/>
      <w:bookmarkEnd w:id="520"/>
      <w:bookmarkEnd w:id="521"/>
      <w:bookmarkEnd w:id="522"/>
      <w:bookmarkEnd w:id="523"/>
      <w:bookmarkEnd w:id="524"/>
      <w:bookmarkEnd w:id="537"/>
      <w:bookmarkEnd w:id="546"/>
    </w:p>
    <w:p>
      <w:pPr>
        <w:pStyle w:val="9"/>
        <w:keepNext w:val="0"/>
        <w:keepLines w:val="0"/>
        <w:pageBreakBefore w:val="0"/>
        <w:widowControl w:val="0"/>
        <w:tabs>
          <w:tab w:val="clear" w:pos="567"/>
        </w:tabs>
        <w:kinsoku/>
        <w:wordWrap/>
        <w:overflowPunct/>
        <w:topLinePunct w:val="0"/>
        <w:bidi w:val="0"/>
        <w:snapToGrid/>
        <w:spacing w:before="0" w:line="400" w:lineRule="exact"/>
        <w:ind w:firstLine="540" w:firstLineChars="22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本项目将按照招标文件第一章</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须知中“五 开标及评标”、“六 确定中标”及本章的规定评标。</w:t>
      </w:r>
    </w:p>
    <w:p>
      <w:pPr>
        <w:pStyle w:val="9"/>
        <w:tabs>
          <w:tab w:val="clear" w:pos="567"/>
        </w:tabs>
        <w:spacing w:before="0" w:line="400" w:lineRule="exact"/>
        <w:ind w:firstLine="540" w:firstLineChars="225"/>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注：1.投标无效的情形：</w:t>
      </w:r>
    </w:p>
    <w:p>
      <w:pPr>
        <w:pStyle w:val="9"/>
        <w:tabs>
          <w:tab w:val="clear" w:pos="567"/>
        </w:tabs>
        <w:spacing w:before="0" w:line="400" w:lineRule="exact"/>
        <w:ind w:firstLine="540" w:firstLineChars="225"/>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（1）单位负责人为同一人或者存在直接控股、管理关系的不同供应商，其相关投标将被认定为投标无效。</w:t>
      </w:r>
    </w:p>
    <w:p>
      <w:pPr>
        <w:pStyle w:val="9"/>
        <w:tabs>
          <w:tab w:val="clear" w:pos="567"/>
        </w:tabs>
        <w:spacing w:before="0" w:line="400" w:lineRule="exact"/>
        <w:ind w:firstLine="540" w:firstLineChars="225"/>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（2）若供应商须知资料表中未写明允许采购进口产品，如供应商所投产品为进口产品，其投标将被认定为投标无效。</w:t>
      </w:r>
    </w:p>
    <w:p>
      <w:pPr>
        <w:pStyle w:val="9"/>
        <w:tabs>
          <w:tab w:val="clear" w:pos="567"/>
        </w:tabs>
        <w:spacing w:before="0" w:line="400" w:lineRule="exact"/>
        <w:ind w:firstLine="540" w:firstLineChars="225"/>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 （3）为本项目提供过整体设计、规范编制或者项目管理、监理、检测等服务的供应商，不得再参加本项目上述服务以外的其他采购活动。否则其投标将被认定为投标无效。</w:t>
      </w:r>
    </w:p>
    <w:p>
      <w:pPr>
        <w:pStyle w:val="9"/>
        <w:tabs>
          <w:tab w:val="clear" w:pos="567"/>
        </w:tabs>
        <w:spacing w:before="0" w:line="400" w:lineRule="exact"/>
        <w:ind w:firstLine="540" w:firstLineChars="225"/>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供应商在投标过程中不得向采购人提供、给予任何有价值的物品，影响其正常决策行为。一经发现，其将被认定为投标无效。</w:t>
      </w:r>
    </w:p>
    <w:p>
      <w:pPr>
        <w:pStyle w:val="9"/>
        <w:tabs>
          <w:tab w:val="clear" w:pos="567"/>
        </w:tabs>
        <w:spacing w:before="0" w:line="400" w:lineRule="exact"/>
        <w:ind w:firstLine="540" w:firstLineChars="225"/>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（4）供应商报价超过招标文件规定的预算金额或者分项、分包最高限价的，其投标将被认定为投标无效。</w:t>
      </w:r>
    </w:p>
    <w:p>
      <w:pPr>
        <w:pStyle w:val="9"/>
        <w:tabs>
          <w:tab w:val="clear" w:pos="567"/>
        </w:tabs>
        <w:spacing w:before="0" w:line="400" w:lineRule="exact"/>
        <w:ind w:firstLine="540" w:firstLineChars="225"/>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供应商应认真阅读招标文件所有的事项、格式、条款和技术规范等。如供应商没有按照招标文件要求提交全部资料，或者投标文件没有对招标文件在各方面都做出实质性响应，可能导致其投标将被认定为投标无效。</w:t>
      </w:r>
    </w:p>
    <w:p>
      <w:pPr>
        <w:pStyle w:val="9"/>
        <w:tabs>
          <w:tab w:val="clear" w:pos="567"/>
        </w:tabs>
        <w:spacing w:before="0" w:line="400" w:lineRule="exact"/>
        <w:ind w:firstLine="540" w:firstLineChars="225"/>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 （6）供应商应当对所投分包招标文件中“货物需求”所列的所有内容进行投标，如仅响应某一包中的部分内容，其该包投标将被认定为投标无效。</w:t>
      </w:r>
    </w:p>
    <w:p>
      <w:pPr>
        <w:pStyle w:val="9"/>
        <w:tabs>
          <w:tab w:val="clear" w:pos="567"/>
        </w:tabs>
        <w:spacing w:before="0" w:line="400" w:lineRule="exact"/>
        <w:ind w:firstLine="540" w:firstLineChars="225"/>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（7）供应商未按本须知第12.1和12.3条规定提交投标保证金的，其投标将被认定为投标无效。</w:t>
      </w:r>
    </w:p>
    <w:p>
      <w:pPr>
        <w:pStyle w:val="9"/>
        <w:tabs>
          <w:tab w:val="clear" w:pos="567"/>
        </w:tabs>
        <w:spacing w:before="0" w:line="400" w:lineRule="exact"/>
        <w:ind w:firstLine="540" w:firstLineChars="225"/>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8）所有投标均以人民币报价。供应商的投标报价应遵守《中华人民共和国价格法》。同时，根据《中华人民共和国政府采购法》第二条的规定，为保证公平竞争，如有货物主体部分的赠与行为，其投标将被认定为投标无效。</w:t>
      </w:r>
    </w:p>
    <w:p>
      <w:pPr>
        <w:pStyle w:val="9"/>
        <w:tabs>
          <w:tab w:val="clear" w:pos="567"/>
        </w:tabs>
        <w:spacing w:before="0" w:line="400" w:lineRule="exact"/>
        <w:ind w:firstLine="540" w:firstLineChars="225"/>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（9）供应商所报的各分项投标单价在合同履行过程中是固定不变的，不得以任何理由予以变更。任何包含价格调整要求的投标，其投标将被认定为投标无效。</w:t>
      </w:r>
    </w:p>
    <w:p>
      <w:pPr>
        <w:pStyle w:val="9"/>
        <w:tabs>
          <w:tab w:val="clear" w:pos="567"/>
        </w:tabs>
        <w:spacing w:before="0" w:line="400" w:lineRule="exact"/>
        <w:ind w:firstLine="540" w:firstLineChars="225"/>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（10）投标应在供应商须知资料表中规定时间内保持有效。投标有效期不满足要求的投标，其投标将被认定为投标无效。</w:t>
      </w:r>
    </w:p>
    <w:p>
      <w:pPr>
        <w:pStyle w:val="9"/>
        <w:tabs>
          <w:tab w:val="clear" w:pos="567"/>
        </w:tabs>
        <w:spacing w:before="0" w:line="400" w:lineRule="exact"/>
        <w:ind w:firstLine="540" w:firstLineChars="225"/>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（11）所有投标文件采用不可拆装的胶订方式装订，否则其投标将被认定为投标无效。</w:t>
      </w:r>
    </w:p>
    <w:p>
      <w:pPr>
        <w:pStyle w:val="9"/>
        <w:tabs>
          <w:tab w:val="clear" w:pos="567"/>
        </w:tabs>
        <w:spacing w:before="0" w:line="400" w:lineRule="exact"/>
        <w:ind w:firstLine="540" w:firstLineChars="225"/>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（12）采购人或采购代理机构将在开标前1个工作日至投标截止后1小时的期间内查询供应商的信用记录。供应商存在不良信用记录的，其投标将被认定为投标无效。</w:t>
      </w:r>
    </w:p>
    <w:p>
      <w:pPr>
        <w:pStyle w:val="9"/>
        <w:tabs>
          <w:tab w:val="clear" w:pos="567"/>
        </w:tabs>
        <w:spacing w:before="0" w:line="400" w:lineRule="exact"/>
        <w:ind w:firstLine="540" w:firstLineChars="225"/>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13）总价金额与按单价汇总金额不一致的，以单价金额计算结果为准。同时出现两种以上不一致的，按照前款规定的顺序修正。修正后的报价按照第20.2条的规定经供应商确认后产生约束力，供应商不确认的，其投标将被认定为投标无效。</w:t>
      </w:r>
    </w:p>
    <w:p>
      <w:pPr>
        <w:pStyle w:val="9"/>
        <w:tabs>
          <w:tab w:val="clear" w:pos="567"/>
        </w:tabs>
        <w:spacing w:before="0" w:line="400" w:lineRule="exact"/>
        <w:ind w:firstLine="540" w:firstLineChars="225"/>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14）在比较与评价之前，根据本须知的规定，评标委员会要审查每份投标文件是否实质上响应了招标文件的要求。实质上响应的投标应该是与招标文件要求的全部条款、条件和规格相符，没有重大偏离的投标。对关键条款的偏离，将被认定为投标无效。</w:t>
      </w:r>
    </w:p>
    <w:p>
      <w:pPr>
        <w:pStyle w:val="9"/>
        <w:tabs>
          <w:tab w:val="clear" w:pos="567"/>
        </w:tabs>
        <w:spacing w:before="0" w:line="400" w:lineRule="exact"/>
        <w:ind w:firstLine="540" w:firstLineChars="225"/>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（15）如发现下列情况之一的，其投标将被认定为投标无效：</w:t>
      </w:r>
    </w:p>
    <w:p>
      <w:pPr>
        <w:pStyle w:val="9"/>
        <w:tabs>
          <w:tab w:val="clear" w:pos="567"/>
        </w:tabs>
        <w:spacing w:before="0" w:line="400" w:lineRule="exact"/>
        <w:ind w:firstLine="540" w:firstLineChars="225"/>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未按招标文件规定的形式和金额提交投标保证金的；未按照招标文件规定要求签署、盖章的；未满足招标文件中技术条款的实质性要求；与其他供应商串通投标，或者与</w:t>
      </w:r>
      <w:r>
        <w:rPr>
          <w:rFonts w:hint="eastAsia" w:cs="宋体"/>
          <w:color w:val="auto"/>
          <w:sz w:val="24"/>
          <w:szCs w:val="24"/>
          <w:highlight w:val="none"/>
          <w:lang w:val="en-US" w:eastAsia="zh-CN"/>
        </w:rPr>
        <w:t>采购人</w:t>
      </w:r>
      <w:r>
        <w:rPr>
          <w:rFonts w:hint="eastAsia" w:ascii="宋体" w:hAnsi="宋体" w:eastAsia="宋体" w:cs="宋体"/>
          <w:color w:val="auto"/>
          <w:sz w:val="24"/>
          <w:szCs w:val="24"/>
          <w:highlight w:val="none"/>
          <w:lang w:val="en-US" w:eastAsia="zh-CN"/>
        </w:rPr>
        <w:t>串通投标；属于招标文件规定的其他投标无效情形；评标委员会认为供应商的报价明显低于其他通过符合性检查供应商的报价，有可能影响履约的，且供应商未按照规定证明其报价合理性的；投标文件含有采购人不能接受的附加条件的；不符合法规和招标文件中规定的其他实质性要求的。</w:t>
      </w:r>
    </w:p>
    <w:p>
      <w:pPr>
        <w:pStyle w:val="9"/>
        <w:tabs>
          <w:tab w:val="clear" w:pos="567"/>
        </w:tabs>
        <w:spacing w:before="0" w:line="400" w:lineRule="exact"/>
        <w:ind w:firstLine="540" w:firstLineChars="225"/>
        <w:rPr>
          <w:rFonts w:hint="eastAsia" w:ascii="宋体" w:hAnsi="宋体" w:eastAsia="宋体" w:cs="宋体"/>
          <w:b/>
          <w:bCs/>
          <w:color w:val="auto"/>
          <w:highlight w:val="none"/>
        </w:rPr>
      </w:pPr>
      <w:r>
        <w:rPr>
          <w:rFonts w:hint="eastAsia" w:ascii="宋体" w:hAnsi="宋体" w:eastAsia="宋体" w:cs="宋体"/>
          <w:color w:val="auto"/>
          <w:highlight w:val="none"/>
        </w:rPr>
        <w:t>2.</w:t>
      </w:r>
      <w:r>
        <w:rPr>
          <w:rFonts w:hint="eastAsia" w:ascii="宋体" w:hAnsi="宋体" w:eastAsia="宋体" w:cs="宋体"/>
          <w:b/>
          <w:bCs/>
          <w:color w:val="auto"/>
          <w:highlight w:val="none"/>
        </w:rPr>
        <w:t>根据《政府采购促进中小企业发展管理办法》（财库[2020]46号）、《财政部司法部关于政府采购支持监狱企业发展有关问题的通知》（财库〔2014〕68号）和《三部门联合发布关于促进残疾人就业政府采购政策的通知》（财库〔2017〕141号）的规定，对满足价格扣除条件且在投标文件中提交了《中小企业声明函》、《残疾人福利性单位声明函》或省级以上监狱管理局、戒毒管理局（含新疆生产建设兵团）出具的属于监狱企业的证明文件的供应商，其投标报价扣除</w:t>
      </w:r>
      <w:r>
        <w:rPr>
          <w:rFonts w:hint="eastAsia" w:cs="宋体"/>
          <w:b/>
          <w:bCs/>
          <w:color w:val="auto"/>
          <w:highlight w:val="none"/>
          <w:lang w:val="en-US" w:eastAsia="zh-CN"/>
        </w:rPr>
        <w:t>10</w:t>
      </w:r>
      <w:r>
        <w:rPr>
          <w:rFonts w:hint="eastAsia" w:ascii="宋体" w:hAnsi="宋体" w:eastAsia="宋体" w:cs="宋体"/>
          <w:b/>
          <w:bCs/>
          <w:color w:val="auto"/>
          <w:highlight w:val="none"/>
        </w:rPr>
        <w:t>%后参与评审。对于同时属于小微企业、监狱企业或残疾人福利性单位的，不重复进行投标报价扣除。</w:t>
      </w:r>
    </w:p>
    <w:p>
      <w:pPr>
        <w:pStyle w:val="9"/>
        <w:tabs>
          <w:tab w:val="clear" w:pos="567"/>
        </w:tabs>
        <w:spacing w:before="0" w:line="400" w:lineRule="exact"/>
        <w:ind w:firstLine="540" w:firstLineChars="225"/>
        <w:rPr>
          <w:rFonts w:hint="eastAsia" w:ascii="宋体" w:hAnsi="宋体" w:eastAsia="宋体" w:cs="宋体"/>
          <w:color w:val="auto"/>
          <w:highlight w:val="none"/>
        </w:rPr>
      </w:pPr>
      <w:r>
        <w:rPr>
          <w:rFonts w:hint="eastAsia" w:ascii="宋体" w:hAnsi="宋体" w:eastAsia="宋体" w:cs="宋体"/>
          <w:color w:val="auto"/>
          <w:highlight w:val="none"/>
        </w:rPr>
        <w:t>3.联合协议中约定，小型、微型企业和监狱企业的协议合同金额占到联合体协议合同总金额30%以上的，可给予联合体2-3%的价格扣除。（本项目不适用）</w:t>
      </w:r>
    </w:p>
    <w:p>
      <w:pPr>
        <w:pStyle w:val="9"/>
        <w:tabs>
          <w:tab w:val="clear" w:pos="567"/>
        </w:tabs>
        <w:spacing w:before="0" w:line="400" w:lineRule="exact"/>
        <w:ind w:firstLine="540" w:firstLineChars="225"/>
        <w:rPr>
          <w:rFonts w:hint="eastAsia" w:ascii="宋体" w:hAnsi="宋体" w:eastAsia="宋体" w:cs="宋体"/>
          <w:color w:val="auto"/>
          <w:highlight w:val="none"/>
        </w:rPr>
      </w:pPr>
      <w:r>
        <w:rPr>
          <w:rFonts w:hint="eastAsia" w:ascii="宋体" w:hAnsi="宋体" w:eastAsia="宋体" w:cs="宋体"/>
          <w:color w:val="auto"/>
          <w:highlight w:val="none"/>
        </w:rPr>
        <w:t>联合体各方均为小型、微型企业和监狱企业的，联合体视同为小型、微型企业和监狱企业。</w:t>
      </w:r>
    </w:p>
    <w:p>
      <w:pPr>
        <w:pStyle w:val="9"/>
        <w:tabs>
          <w:tab w:val="clear" w:pos="567"/>
        </w:tabs>
        <w:spacing w:before="0" w:line="400" w:lineRule="exact"/>
        <w:ind w:firstLine="540" w:firstLineChars="225"/>
        <w:rPr>
          <w:rFonts w:hint="eastAsia" w:ascii="宋体" w:hAnsi="宋体" w:eastAsia="宋体" w:cs="宋体"/>
          <w:color w:val="auto"/>
          <w:highlight w:val="none"/>
        </w:rPr>
      </w:pPr>
      <w:r>
        <w:rPr>
          <w:rFonts w:hint="eastAsia" w:ascii="宋体" w:hAnsi="宋体" w:eastAsia="宋体" w:cs="宋体"/>
          <w:color w:val="auto"/>
          <w:highlight w:val="none"/>
        </w:rPr>
        <w:t>4.供应商所投产品如被列入财政部与国家主管部门颁发的节能产品目录或环境标志产品目录或无线局域网产品目录，应提供相关证明，在评标时予以优先采购，具体优惠措施为： 投标商所投产品应优先选择《财政部 国家发展改革委关于调整公布第二十四期节能产品政府采购清单的通知》（财库〔2018〕73号）、《财政部 环境保护部关于调整公布第二十二期环境标志产品政府采购清单的通知》（财库〔2018〕70号）目录内的产品（须提供节能、环保认证证书复印件加盖公章）。</w:t>
      </w:r>
    </w:p>
    <w:p>
      <w:pPr>
        <w:pStyle w:val="9"/>
        <w:tabs>
          <w:tab w:val="clear" w:pos="567"/>
        </w:tabs>
        <w:spacing w:before="0" w:line="400" w:lineRule="exact"/>
        <w:ind w:firstLine="540" w:firstLineChars="225"/>
        <w:rPr>
          <w:rFonts w:hint="eastAsia" w:ascii="宋体" w:hAnsi="宋体" w:eastAsia="宋体" w:cs="宋体"/>
          <w:color w:val="auto"/>
          <w:highlight w:val="none"/>
        </w:rPr>
      </w:pPr>
      <w:r>
        <w:rPr>
          <w:rFonts w:hint="eastAsia" w:ascii="宋体" w:hAnsi="宋体" w:eastAsia="宋体" w:cs="宋体"/>
          <w:color w:val="auto"/>
          <w:highlight w:val="none"/>
        </w:rPr>
        <w:t>5.如采购人所采购产品为政府强制采购的节能产品，供应商所投产品的品牌及型号必须为清单中有效期内产品并提供证明文件，否则其投标将被认定为投标无效。</w:t>
      </w:r>
    </w:p>
    <w:p>
      <w:pPr>
        <w:pStyle w:val="9"/>
        <w:tabs>
          <w:tab w:val="clear" w:pos="567"/>
        </w:tabs>
        <w:spacing w:before="0" w:line="400" w:lineRule="exact"/>
        <w:ind w:firstLine="540" w:firstLineChars="225"/>
        <w:rPr>
          <w:rFonts w:hint="eastAsia" w:ascii="宋体" w:hAnsi="宋体" w:eastAsia="宋体" w:cs="宋体"/>
          <w:color w:val="auto"/>
          <w:highlight w:val="none"/>
        </w:rPr>
      </w:pPr>
      <w:r>
        <w:rPr>
          <w:rFonts w:hint="eastAsia" w:ascii="宋体" w:hAnsi="宋体" w:eastAsia="宋体" w:cs="宋体"/>
          <w:color w:val="auto"/>
          <w:highlight w:val="none"/>
        </w:rPr>
        <w:t xml:space="preserve">6.对创新产品或创新性企业的优惠措施为：    /       </w:t>
      </w:r>
    </w:p>
    <w:p>
      <w:pPr>
        <w:pStyle w:val="9"/>
        <w:tabs>
          <w:tab w:val="clear" w:pos="567"/>
        </w:tabs>
        <w:spacing w:before="0" w:line="400" w:lineRule="exact"/>
        <w:ind w:firstLine="540" w:firstLineChars="225"/>
        <w:rPr>
          <w:rFonts w:hint="eastAsia" w:ascii="宋体" w:hAnsi="宋体" w:eastAsia="宋体" w:cs="宋体"/>
          <w:color w:val="auto"/>
          <w:highlight w:val="none"/>
        </w:rPr>
      </w:pPr>
      <w:r>
        <w:rPr>
          <w:rFonts w:hint="eastAsia" w:ascii="宋体" w:hAnsi="宋体" w:eastAsia="宋体" w:cs="宋体"/>
          <w:color w:val="auto"/>
          <w:highlight w:val="none"/>
        </w:rPr>
        <w:t>7.开标：</w:t>
      </w:r>
    </w:p>
    <w:p>
      <w:pPr>
        <w:pStyle w:val="9"/>
        <w:tabs>
          <w:tab w:val="clear" w:pos="567"/>
        </w:tabs>
        <w:spacing w:before="0" w:line="400" w:lineRule="exact"/>
        <w:ind w:firstLine="540" w:firstLineChars="225"/>
        <w:rPr>
          <w:rFonts w:hint="eastAsia" w:ascii="宋体" w:hAnsi="宋体" w:eastAsia="宋体" w:cs="宋体"/>
          <w:color w:val="auto"/>
          <w:highlight w:val="none"/>
        </w:rPr>
      </w:pPr>
      <w:r>
        <w:rPr>
          <w:rFonts w:hint="eastAsia" w:ascii="宋体" w:hAnsi="宋体" w:eastAsia="宋体" w:cs="宋体"/>
          <w:color w:val="auto"/>
          <w:highlight w:val="none"/>
        </w:rPr>
        <w:t>（1）采购人和采购代理机构将按</w:t>
      </w:r>
      <w:r>
        <w:rPr>
          <w:rFonts w:hint="eastAsia" w:cs="宋体"/>
          <w:color w:val="auto"/>
          <w:highlight w:val="none"/>
          <w:lang w:eastAsia="zh-CN"/>
        </w:rPr>
        <w:t>供应商</w:t>
      </w:r>
      <w:r>
        <w:rPr>
          <w:rFonts w:hint="eastAsia" w:ascii="宋体" w:hAnsi="宋体" w:eastAsia="宋体" w:cs="宋体"/>
          <w:color w:val="auto"/>
          <w:highlight w:val="none"/>
        </w:rPr>
        <w:t>须知资料表中规定的开标时间和地点组织公开开标并邀请所有</w:t>
      </w:r>
      <w:r>
        <w:rPr>
          <w:rFonts w:hint="eastAsia" w:cs="宋体"/>
          <w:color w:val="auto"/>
          <w:highlight w:val="none"/>
          <w:lang w:eastAsia="zh-CN"/>
        </w:rPr>
        <w:t>供应商</w:t>
      </w:r>
      <w:r>
        <w:rPr>
          <w:rFonts w:hint="eastAsia" w:ascii="宋体" w:hAnsi="宋体" w:eastAsia="宋体" w:cs="宋体"/>
          <w:color w:val="auto"/>
          <w:highlight w:val="none"/>
        </w:rPr>
        <w:t>代表参加。</w:t>
      </w:r>
    </w:p>
    <w:p>
      <w:pPr>
        <w:pStyle w:val="9"/>
        <w:tabs>
          <w:tab w:val="clear" w:pos="567"/>
        </w:tabs>
        <w:spacing w:before="0" w:line="400" w:lineRule="exact"/>
        <w:ind w:firstLine="540" w:firstLineChars="225"/>
        <w:rPr>
          <w:rFonts w:hint="eastAsia" w:ascii="宋体" w:hAnsi="宋体" w:eastAsia="宋体" w:cs="宋体"/>
          <w:color w:val="auto"/>
          <w:highlight w:val="none"/>
        </w:rPr>
      </w:pPr>
      <w:r>
        <w:rPr>
          <w:rFonts w:hint="eastAsia" w:ascii="宋体" w:hAnsi="宋体" w:eastAsia="宋体" w:cs="宋体"/>
          <w:color w:val="auto"/>
          <w:highlight w:val="none"/>
        </w:rPr>
        <w:t>（2）开标前，工作人员收走所有参会人员的手机，主持人宣布开标纪律.</w:t>
      </w:r>
    </w:p>
    <w:p>
      <w:pPr>
        <w:pStyle w:val="9"/>
        <w:tabs>
          <w:tab w:val="clear" w:pos="567"/>
        </w:tabs>
        <w:spacing w:before="0" w:line="400" w:lineRule="exact"/>
        <w:ind w:firstLine="540" w:firstLineChars="225"/>
        <w:rPr>
          <w:rFonts w:hint="eastAsia" w:ascii="宋体" w:hAnsi="宋体" w:eastAsia="宋体" w:cs="宋体"/>
          <w:color w:val="auto"/>
          <w:highlight w:val="none"/>
        </w:rPr>
      </w:pPr>
      <w:r>
        <w:rPr>
          <w:rFonts w:hint="eastAsia" w:ascii="宋体" w:hAnsi="宋体" w:eastAsia="宋体" w:cs="宋体"/>
          <w:color w:val="auto"/>
          <w:highlight w:val="none"/>
        </w:rPr>
        <w:t>（3）开标时，由采购人或采购代理机构依据法律法规和招标文件中规定的内容，对</w:t>
      </w:r>
      <w:r>
        <w:rPr>
          <w:rFonts w:hint="eastAsia" w:cs="宋体"/>
          <w:color w:val="auto"/>
          <w:highlight w:val="none"/>
          <w:lang w:eastAsia="zh-CN"/>
        </w:rPr>
        <w:t>供应商</w:t>
      </w:r>
      <w:r>
        <w:rPr>
          <w:rFonts w:hint="eastAsia" w:ascii="宋体" w:hAnsi="宋体" w:eastAsia="宋体" w:cs="宋体"/>
          <w:color w:val="auto"/>
          <w:highlight w:val="none"/>
        </w:rPr>
        <w:t>的资格进行审查，并让</w:t>
      </w:r>
      <w:r>
        <w:rPr>
          <w:rFonts w:hint="eastAsia" w:cs="宋体"/>
          <w:color w:val="auto"/>
          <w:highlight w:val="none"/>
          <w:lang w:eastAsia="zh-CN"/>
        </w:rPr>
        <w:t>供应商</w:t>
      </w:r>
      <w:r>
        <w:rPr>
          <w:rFonts w:hint="eastAsia" w:ascii="宋体" w:hAnsi="宋体" w:eastAsia="宋体" w:cs="宋体"/>
          <w:color w:val="auto"/>
          <w:highlight w:val="none"/>
        </w:rPr>
        <w:t>对资格审查结果签字确认。</w:t>
      </w:r>
    </w:p>
    <w:p>
      <w:pPr>
        <w:pStyle w:val="9"/>
        <w:tabs>
          <w:tab w:val="clear" w:pos="567"/>
        </w:tabs>
        <w:spacing w:before="0" w:line="400" w:lineRule="exact"/>
        <w:ind w:firstLine="540" w:firstLineChars="225"/>
        <w:rPr>
          <w:rFonts w:hint="eastAsia" w:ascii="宋体" w:hAnsi="宋体" w:eastAsia="宋体" w:cs="宋体"/>
          <w:color w:val="auto"/>
          <w:highlight w:val="none"/>
        </w:rPr>
      </w:pPr>
      <w:r>
        <w:rPr>
          <w:rFonts w:hint="eastAsia" w:ascii="宋体" w:hAnsi="宋体" w:eastAsia="宋体" w:cs="宋体"/>
          <w:color w:val="auto"/>
          <w:highlight w:val="none"/>
        </w:rPr>
        <w:t>（4）</w:t>
      </w:r>
      <w:r>
        <w:rPr>
          <w:rFonts w:hint="eastAsia" w:cs="宋体"/>
          <w:color w:val="auto"/>
          <w:highlight w:val="none"/>
          <w:lang w:eastAsia="zh-CN"/>
        </w:rPr>
        <w:t>供应商</w:t>
      </w:r>
      <w:r>
        <w:rPr>
          <w:rFonts w:hint="eastAsia" w:ascii="宋体" w:hAnsi="宋体" w:eastAsia="宋体" w:cs="宋体"/>
          <w:color w:val="auto"/>
          <w:highlight w:val="none"/>
        </w:rPr>
        <w:t>或其推选的代表检查自己或所有投标供应商的投标文件的密封情况，并对密封情况签字确认。经记录后，由采购人或采购代理机构当众拆封投标文件第一部分，宣读</w:t>
      </w:r>
      <w:r>
        <w:rPr>
          <w:rFonts w:hint="eastAsia" w:cs="宋体"/>
          <w:color w:val="auto"/>
          <w:highlight w:val="none"/>
          <w:lang w:eastAsia="zh-CN"/>
        </w:rPr>
        <w:t>供应商</w:t>
      </w:r>
      <w:r>
        <w:rPr>
          <w:rFonts w:hint="eastAsia" w:ascii="宋体" w:hAnsi="宋体" w:eastAsia="宋体" w:cs="宋体"/>
          <w:color w:val="auto"/>
          <w:highlight w:val="none"/>
        </w:rPr>
        <w:t>名称、投标价格及招标文件规定的内容。对于</w:t>
      </w:r>
      <w:r>
        <w:rPr>
          <w:rFonts w:hint="eastAsia" w:cs="宋体"/>
          <w:color w:val="auto"/>
          <w:highlight w:val="none"/>
          <w:lang w:eastAsia="zh-CN"/>
        </w:rPr>
        <w:t>供应商</w:t>
      </w:r>
      <w:r>
        <w:rPr>
          <w:rFonts w:hint="eastAsia" w:ascii="宋体" w:hAnsi="宋体" w:eastAsia="宋体" w:cs="宋体"/>
          <w:color w:val="auto"/>
          <w:highlight w:val="none"/>
        </w:rPr>
        <w:t>在投标截止期前递交的投标声明，在开标时当众宣读，评标时有效。</w:t>
      </w:r>
    </w:p>
    <w:p>
      <w:pPr>
        <w:pStyle w:val="9"/>
        <w:tabs>
          <w:tab w:val="clear" w:pos="567"/>
        </w:tabs>
        <w:spacing w:before="0" w:line="400" w:lineRule="exact"/>
        <w:ind w:firstLine="540" w:firstLineChars="225"/>
        <w:rPr>
          <w:rFonts w:hint="eastAsia" w:ascii="宋体" w:hAnsi="宋体" w:eastAsia="宋体" w:cs="宋体"/>
          <w:color w:val="auto"/>
          <w:highlight w:val="none"/>
        </w:rPr>
      </w:pPr>
      <w:r>
        <w:rPr>
          <w:rFonts w:hint="eastAsia" w:ascii="宋体" w:hAnsi="宋体" w:eastAsia="宋体" w:cs="宋体"/>
          <w:color w:val="auto"/>
          <w:highlight w:val="none"/>
        </w:rPr>
        <w:t>（5）未宣读投标价格、价格折扣等实质内容，评标时不予承认。</w:t>
      </w:r>
    </w:p>
    <w:p>
      <w:pPr>
        <w:pStyle w:val="9"/>
        <w:tabs>
          <w:tab w:val="clear" w:pos="567"/>
        </w:tabs>
        <w:spacing w:before="0" w:line="400" w:lineRule="exact"/>
        <w:ind w:firstLine="540" w:firstLineChars="225"/>
        <w:rPr>
          <w:rFonts w:hint="eastAsia" w:ascii="宋体" w:hAnsi="宋体" w:eastAsia="宋体" w:cs="宋体"/>
          <w:color w:val="auto"/>
          <w:highlight w:val="none"/>
        </w:rPr>
      </w:pPr>
      <w:r>
        <w:rPr>
          <w:rFonts w:hint="eastAsia" w:ascii="宋体" w:hAnsi="宋体" w:eastAsia="宋体" w:cs="宋体"/>
          <w:color w:val="auto"/>
          <w:highlight w:val="none"/>
        </w:rPr>
        <w:t>（6）采购人或采购代理机构将对开标过程进行记录，由参加开标的各</w:t>
      </w:r>
      <w:r>
        <w:rPr>
          <w:rFonts w:hint="eastAsia" w:cs="宋体"/>
          <w:color w:val="auto"/>
          <w:highlight w:val="none"/>
          <w:lang w:eastAsia="zh-CN"/>
        </w:rPr>
        <w:t>供应商</w:t>
      </w:r>
      <w:r>
        <w:rPr>
          <w:rFonts w:hint="eastAsia" w:ascii="宋体" w:hAnsi="宋体" w:eastAsia="宋体" w:cs="宋体"/>
          <w:color w:val="auto"/>
          <w:highlight w:val="none"/>
        </w:rPr>
        <w:t>代表和相关工作人员签字确认，并存档备查。</w:t>
      </w:r>
    </w:p>
    <w:p>
      <w:pPr>
        <w:pStyle w:val="9"/>
        <w:tabs>
          <w:tab w:val="clear" w:pos="567"/>
        </w:tabs>
        <w:spacing w:before="0" w:line="400" w:lineRule="exact"/>
        <w:ind w:firstLine="540" w:firstLineChars="225"/>
        <w:rPr>
          <w:rFonts w:hint="eastAsia" w:ascii="宋体" w:hAnsi="宋体" w:eastAsia="宋体" w:cs="宋体"/>
          <w:color w:val="auto"/>
          <w:highlight w:val="none"/>
        </w:rPr>
      </w:pPr>
      <w:r>
        <w:rPr>
          <w:rFonts w:hint="eastAsia" w:ascii="宋体" w:hAnsi="宋体" w:eastAsia="宋体" w:cs="宋体"/>
          <w:color w:val="auto"/>
          <w:highlight w:val="none"/>
        </w:rPr>
        <w:t>（7）</w:t>
      </w:r>
      <w:r>
        <w:rPr>
          <w:rFonts w:hint="eastAsia" w:cs="宋体"/>
          <w:color w:val="auto"/>
          <w:highlight w:val="none"/>
          <w:lang w:eastAsia="zh-CN"/>
        </w:rPr>
        <w:t>供应商</w:t>
      </w:r>
      <w:r>
        <w:rPr>
          <w:rFonts w:hint="eastAsia" w:ascii="宋体" w:hAnsi="宋体" w:eastAsia="宋体" w:cs="宋体"/>
          <w:color w:val="auto"/>
          <w:highlight w:val="none"/>
        </w:rPr>
        <w:t>代表对开标过程和开标记录有疑义，以及认为采购人、采购代理机构相关工作人员有需要回避的情形的，应当场提出询问或者回避申请。</w:t>
      </w:r>
    </w:p>
    <w:p>
      <w:pPr>
        <w:pStyle w:val="9"/>
        <w:tabs>
          <w:tab w:val="clear" w:pos="567"/>
        </w:tabs>
        <w:spacing w:before="0" w:line="400" w:lineRule="exact"/>
        <w:ind w:firstLine="540" w:firstLineChars="225"/>
        <w:rPr>
          <w:rFonts w:hint="eastAsia" w:ascii="宋体" w:hAnsi="宋体" w:eastAsia="宋体" w:cs="宋体"/>
          <w:color w:val="auto"/>
          <w:highlight w:val="none"/>
        </w:rPr>
      </w:pPr>
      <w:r>
        <w:rPr>
          <w:rFonts w:hint="eastAsia" w:ascii="宋体" w:hAnsi="宋体" w:eastAsia="宋体" w:cs="宋体"/>
          <w:color w:val="auto"/>
          <w:highlight w:val="none"/>
        </w:rPr>
        <w:t>8.评标：</w:t>
      </w:r>
    </w:p>
    <w:p>
      <w:pPr>
        <w:pStyle w:val="9"/>
        <w:tabs>
          <w:tab w:val="clear" w:pos="567"/>
        </w:tabs>
        <w:spacing w:before="0" w:line="400" w:lineRule="exact"/>
        <w:ind w:firstLine="540" w:firstLineChars="225"/>
        <w:rPr>
          <w:rFonts w:hint="eastAsia" w:ascii="宋体" w:hAnsi="宋体" w:eastAsia="宋体" w:cs="宋体"/>
          <w:color w:val="auto"/>
          <w:highlight w:val="none"/>
        </w:rPr>
      </w:pPr>
      <w:r>
        <w:rPr>
          <w:rFonts w:hint="eastAsia" w:ascii="宋体" w:hAnsi="宋体" w:eastAsia="宋体" w:cs="宋体"/>
          <w:color w:val="auto"/>
          <w:highlight w:val="none"/>
        </w:rPr>
        <w:t>（1）采购人或采购代理机构依据法律法规和招标文件中规定的内容，对</w:t>
      </w:r>
      <w:r>
        <w:rPr>
          <w:rFonts w:hint="eastAsia" w:cs="宋体"/>
          <w:color w:val="auto"/>
          <w:highlight w:val="none"/>
          <w:lang w:eastAsia="zh-CN"/>
        </w:rPr>
        <w:t>供应商</w:t>
      </w:r>
      <w:r>
        <w:rPr>
          <w:rFonts w:hint="eastAsia" w:ascii="宋体" w:hAnsi="宋体" w:eastAsia="宋体" w:cs="宋体"/>
          <w:color w:val="auto"/>
          <w:highlight w:val="none"/>
        </w:rPr>
        <w:t>的投标文件进行资格性审查。</w:t>
      </w:r>
    </w:p>
    <w:p>
      <w:pPr>
        <w:pStyle w:val="9"/>
        <w:tabs>
          <w:tab w:val="clear" w:pos="567"/>
        </w:tabs>
        <w:spacing w:before="0" w:line="400" w:lineRule="exact"/>
        <w:ind w:firstLine="540" w:firstLineChars="225"/>
        <w:rPr>
          <w:rFonts w:hint="eastAsia" w:ascii="宋体" w:hAnsi="宋体" w:eastAsia="宋体" w:cs="宋体"/>
          <w:color w:val="auto"/>
          <w:highlight w:val="none"/>
        </w:rPr>
      </w:pPr>
      <w:r>
        <w:rPr>
          <w:rFonts w:hint="eastAsia" w:ascii="宋体" w:hAnsi="宋体" w:eastAsia="宋体" w:cs="宋体"/>
          <w:color w:val="auto"/>
          <w:highlight w:val="none"/>
        </w:rPr>
        <w:t>（2）未通过资格审查的</w:t>
      </w:r>
      <w:r>
        <w:rPr>
          <w:rFonts w:hint="eastAsia" w:cs="宋体"/>
          <w:color w:val="auto"/>
          <w:highlight w:val="none"/>
          <w:lang w:eastAsia="zh-CN"/>
        </w:rPr>
        <w:t>供应商</w:t>
      </w:r>
      <w:r>
        <w:rPr>
          <w:rFonts w:hint="eastAsia" w:ascii="宋体" w:hAnsi="宋体" w:eastAsia="宋体" w:cs="宋体"/>
          <w:color w:val="auto"/>
          <w:highlight w:val="none"/>
        </w:rPr>
        <w:t>不进入评标；通过资格审查的</w:t>
      </w:r>
      <w:r>
        <w:rPr>
          <w:rFonts w:hint="eastAsia" w:cs="宋体"/>
          <w:color w:val="auto"/>
          <w:highlight w:val="none"/>
          <w:lang w:eastAsia="zh-CN"/>
        </w:rPr>
        <w:t>供应商</w:t>
      </w:r>
      <w:r>
        <w:rPr>
          <w:rFonts w:hint="eastAsia" w:ascii="宋体" w:hAnsi="宋体" w:eastAsia="宋体" w:cs="宋体"/>
          <w:color w:val="auto"/>
          <w:highlight w:val="none"/>
        </w:rPr>
        <w:t>少于不足三家的，不得评标。</w:t>
      </w:r>
    </w:p>
    <w:p>
      <w:pPr>
        <w:pStyle w:val="9"/>
        <w:tabs>
          <w:tab w:val="clear" w:pos="567"/>
        </w:tabs>
        <w:spacing w:before="0" w:line="400" w:lineRule="exact"/>
        <w:ind w:firstLine="540" w:firstLineChars="225"/>
        <w:rPr>
          <w:rFonts w:hint="eastAsia" w:ascii="宋体" w:hAnsi="宋体" w:eastAsia="宋体" w:cs="宋体"/>
          <w:color w:val="auto"/>
          <w:highlight w:val="none"/>
        </w:rPr>
      </w:pPr>
      <w:r>
        <w:rPr>
          <w:rFonts w:hint="eastAsia" w:ascii="宋体" w:hAnsi="宋体" w:eastAsia="宋体" w:cs="宋体"/>
          <w:color w:val="auto"/>
          <w:highlight w:val="none"/>
        </w:rPr>
        <w:t>（3）符合性审查是指依据招标文件的规定，从投标文件的有效性和完整性对招标文件的响应程度进行审查，以确定是否对招标文件的实质性要求做出响应。</w:t>
      </w:r>
    </w:p>
    <w:p>
      <w:pPr>
        <w:pStyle w:val="9"/>
        <w:tabs>
          <w:tab w:val="clear" w:pos="567"/>
        </w:tabs>
        <w:spacing w:before="0" w:line="400" w:lineRule="exact"/>
        <w:ind w:firstLine="540" w:firstLineChars="225"/>
        <w:rPr>
          <w:rFonts w:hint="eastAsia" w:ascii="宋体" w:hAnsi="宋体" w:eastAsia="宋体" w:cs="宋体"/>
          <w:color w:val="auto"/>
          <w:highlight w:val="none"/>
        </w:rPr>
      </w:pPr>
      <w:r>
        <w:rPr>
          <w:rFonts w:hint="eastAsia" w:ascii="宋体" w:hAnsi="宋体" w:eastAsia="宋体" w:cs="宋体"/>
          <w:color w:val="auto"/>
          <w:highlight w:val="none"/>
        </w:rPr>
        <w:t>（4）经符合性审查合格的投标文件，评标委员会将根据招标文件确定的评标方法和标准，对其技术部分和商务部分作进一步的比较和评价。</w:t>
      </w:r>
    </w:p>
    <w:p>
      <w:pPr>
        <w:pStyle w:val="9"/>
        <w:tabs>
          <w:tab w:val="clear" w:pos="567"/>
        </w:tabs>
        <w:spacing w:before="0" w:line="400" w:lineRule="exact"/>
        <w:ind w:firstLine="540" w:firstLineChars="225"/>
        <w:rPr>
          <w:rFonts w:hint="eastAsia" w:ascii="宋体" w:hAnsi="宋体" w:eastAsia="宋体" w:cs="宋体"/>
          <w:color w:val="auto"/>
          <w:highlight w:val="none"/>
        </w:rPr>
      </w:pPr>
      <w:r>
        <w:rPr>
          <w:rFonts w:hint="eastAsia" w:ascii="宋体" w:hAnsi="宋体" w:eastAsia="宋体" w:cs="宋体"/>
          <w:color w:val="auto"/>
          <w:highlight w:val="none"/>
        </w:rPr>
        <w:t>（5）评标严格按照招标文件的要求和条件进行：综合评分法，是指投标文件满足招标文件全部实质性要求，且按照评审因素的量化指标评审得分最高的</w:t>
      </w:r>
      <w:r>
        <w:rPr>
          <w:rFonts w:hint="eastAsia" w:cs="宋体"/>
          <w:color w:val="auto"/>
          <w:highlight w:val="none"/>
          <w:lang w:eastAsia="zh-CN"/>
        </w:rPr>
        <w:t>供应商</w:t>
      </w:r>
      <w:r>
        <w:rPr>
          <w:rFonts w:hint="eastAsia" w:ascii="宋体" w:hAnsi="宋体" w:eastAsia="宋体" w:cs="宋体"/>
          <w:color w:val="auto"/>
          <w:highlight w:val="none"/>
        </w:rPr>
        <w:t>为中标候选人的评标方法。</w:t>
      </w:r>
    </w:p>
    <w:p>
      <w:pPr>
        <w:pStyle w:val="9"/>
        <w:tabs>
          <w:tab w:val="clear" w:pos="567"/>
        </w:tabs>
        <w:spacing w:before="0" w:line="400" w:lineRule="exact"/>
        <w:ind w:firstLine="540" w:firstLineChars="225"/>
        <w:rPr>
          <w:rFonts w:hint="eastAsia" w:ascii="宋体" w:hAnsi="宋体" w:eastAsia="宋体" w:cs="宋体"/>
          <w:color w:val="auto"/>
          <w:highlight w:val="none"/>
        </w:rPr>
      </w:pPr>
      <w:r>
        <w:rPr>
          <w:rFonts w:hint="eastAsia" w:ascii="宋体" w:hAnsi="宋体" w:eastAsia="宋体" w:cs="宋体"/>
          <w:color w:val="auto"/>
          <w:highlight w:val="none"/>
        </w:rPr>
        <w:t>同品牌处理办法：提供相同品牌产品且通过资格审查、符合性审查的不同供应商参加同一合同项下投标的，按一家供应商计算，评审后得分最高的同品牌供应商获得中标人推荐资格;评审得分相同的，由采购人或者采购人委托评标委员会按照招标文件规定的方式确定一个供应商获得中标人推荐资格，招标文件未规定的采取随机抽取方式确定，其他同品牌供应商不作为中标候选人。</w:t>
      </w:r>
    </w:p>
    <w:p>
      <w:pPr>
        <w:pStyle w:val="9"/>
        <w:tabs>
          <w:tab w:val="clear" w:pos="567"/>
        </w:tabs>
        <w:spacing w:before="0" w:line="400" w:lineRule="exact"/>
        <w:ind w:firstLine="540" w:firstLineChars="225"/>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p>
      <w:pPr>
        <w:spacing w:line="300" w:lineRule="auto"/>
        <w:jc w:val="center"/>
        <w:outlineLvl w:val="0"/>
        <w:rPr>
          <w:rFonts w:hint="eastAsia" w:ascii="宋体" w:hAnsi="宋体" w:eastAsia="宋体" w:cs="宋体"/>
          <w:b/>
          <w:bCs/>
          <w:color w:val="auto"/>
          <w:szCs w:val="21"/>
          <w:highlight w:val="none"/>
        </w:rPr>
      </w:pPr>
      <w:bookmarkStart w:id="547" w:name="_Toc1545"/>
      <w:bookmarkStart w:id="548" w:name="_Toc8137"/>
      <w:bookmarkStart w:id="549" w:name="_Toc13711"/>
      <w:bookmarkStart w:id="550" w:name="_Toc18687"/>
      <w:bookmarkStart w:id="551" w:name="_Toc3470"/>
      <w:bookmarkStart w:id="552" w:name="_Toc1126"/>
      <w:bookmarkStart w:id="553" w:name="_Toc12716"/>
      <w:bookmarkStart w:id="554" w:name="_Toc12438"/>
      <w:bookmarkStart w:id="555" w:name="_Toc27829"/>
      <w:bookmarkStart w:id="556" w:name="_Toc32167"/>
      <w:bookmarkStart w:id="557" w:name="_Toc26572"/>
      <w:bookmarkStart w:id="558" w:name="_Toc19540"/>
      <w:bookmarkStart w:id="559" w:name="_Toc13647"/>
      <w:bookmarkStart w:id="560" w:name="_Toc7781"/>
      <w:bookmarkStart w:id="561" w:name="_Toc19633"/>
      <w:bookmarkStart w:id="562" w:name="_Toc26971"/>
      <w:r>
        <w:rPr>
          <w:rFonts w:hint="eastAsia" w:ascii="宋体" w:hAnsi="宋体" w:eastAsia="宋体" w:cs="宋体"/>
          <w:b/>
          <w:bCs/>
          <w:color w:val="auto"/>
          <w:szCs w:val="21"/>
          <w:highlight w:val="none"/>
        </w:rPr>
        <w:t>初步评审—资格性审查表</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tbl>
      <w:tblPr>
        <w:tblStyle w:val="20"/>
        <w:tblpPr w:leftFromText="180" w:rightFromText="180" w:vertAnchor="text" w:horzAnchor="page" w:tblpXSpec="center" w:tblpY="234"/>
        <w:tblOverlap w:val="never"/>
        <w:tblW w:w="101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6136"/>
        <w:gridCol w:w="1125"/>
        <w:gridCol w:w="1140"/>
        <w:gridCol w:w="1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69" w:type="dxa"/>
            <w:vMerge w:val="restart"/>
            <w:vAlign w:val="center"/>
          </w:tcPr>
          <w:p>
            <w:pPr>
              <w:spacing w:line="400" w:lineRule="exact"/>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序号</w:t>
            </w:r>
          </w:p>
        </w:tc>
        <w:tc>
          <w:tcPr>
            <w:tcW w:w="6136" w:type="dxa"/>
            <w:vMerge w:val="restart"/>
            <w:vAlign w:val="center"/>
          </w:tcPr>
          <w:p>
            <w:pPr>
              <w:spacing w:line="400" w:lineRule="exact"/>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评审内容</w:t>
            </w:r>
          </w:p>
        </w:tc>
        <w:tc>
          <w:tcPr>
            <w:tcW w:w="3355" w:type="dxa"/>
            <w:gridSpan w:val="3"/>
            <w:vAlign w:val="center"/>
          </w:tcPr>
          <w:p>
            <w:pPr>
              <w:spacing w:line="400" w:lineRule="exact"/>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669" w:type="dxa"/>
            <w:vMerge w:val="continue"/>
            <w:vAlign w:val="center"/>
          </w:tcPr>
          <w:p>
            <w:pPr>
              <w:spacing w:line="400" w:lineRule="exact"/>
              <w:rPr>
                <w:rFonts w:hint="eastAsia" w:ascii="宋体" w:hAnsi="宋体" w:eastAsia="宋体" w:cs="宋体"/>
                <w:b/>
                <w:bCs/>
                <w:color w:val="auto"/>
                <w:szCs w:val="21"/>
                <w:highlight w:val="none"/>
              </w:rPr>
            </w:pPr>
          </w:p>
        </w:tc>
        <w:tc>
          <w:tcPr>
            <w:tcW w:w="6136" w:type="dxa"/>
            <w:vMerge w:val="continue"/>
            <w:vAlign w:val="center"/>
          </w:tcPr>
          <w:p>
            <w:pPr>
              <w:spacing w:line="400" w:lineRule="exact"/>
              <w:rPr>
                <w:rFonts w:hint="eastAsia" w:ascii="宋体" w:hAnsi="宋体" w:eastAsia="宋体" w:cs="宋体"/>
                <w:b/>
                <w:bCs/>
                <w:color w:val="auto"/>
                <w:szCs w:val="21"/>
                <w:highlight w:val="none"/>
              </w:rPr>
            </w:pPr>
          </w:p>
        </w:tc>
        <w:tc>
          <w:tcPr>
            <w:tcW w:w="1125" w:type="dxa"/>
            <w:vAlign w:val="center"/>
          </w:tcPr>
          <w:p>
            <w:pPr>
              <w:spacing w:line="400" w:lineRule="exact"/>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是否合格</w:t>
            </w:r>
          </w:p>
        </w:tc>
        <w:tc>
          <w:tcPr>
            <w:tcW w:w="1140" w:type="dxa"/>
            <w:vAlign w:val="center"/>
          </w:tcPr>
          <w:p>
            <w:pPr>
              <w:spacing w:line="400" w:lineRule="exact"/>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是否合格</w:t>
            </w:r>
          </w:p>
        </w:tc>
        <w:tc>
          <w:tcPr>
            <w:tcW w:w="1090" w:type="dxa"/>
            <w:vAlign w:val="center"/>
          </w:tcPr>
          <w:p>
            <w:pPr>
              <w:spacing w:line="400" w:lineRule="exact"/>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是否合格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69" w:type="dxa"/>
            <w:vAlign w:val="center"/>
          </w:tcPr>
          <w:p>
            <w:pPr>
              <w:spacing w:line="3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6136" w:type="dxa"/>
            <w:vAlign w:val="center"/>
          </w:tcPr>
          <w:p>
            <w:pPr>
              <w:pStyle w:val="6"/>
              <w:keepNext w:val="0"/>
              <w:keepLines w:val="0"/>
              <w:pageBreakBefore w:val="0"/>
              <w:widowControl w:val="0"/>
              <w:kinsoku/>
              <w:wordWrap/>
              <w:overflowPunct/>
              <w:topLinePunct w:val="0"/>
              <w:bidi w:val="0"/>
              <w:snapToGrid/>
              <w:spacing w:line="400" w:lineRule="exact"/>
              <w:ind w:firstLine="0" w:firstLineChars="0"/>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具有有效的独立法人营业执照；</w:t>
            </w:r>
          </w:p>
        </w:tc>
        <w:tc>
          <w:tcPr>
            <w:tcW w:w="1125" w:type="dxa"/>
            <w:vAlign w:val="center"/>
          </w:tcPr>
          <w:p>
            <w:pPr>
              <w:spacing w:line="400" w:lineRule="exact"/>
              <w:rPr>
                <w:rFonts w:hint="eastAsia" w:ascii="宋体" w:hAnsi="宋体" w:eastAsia="宋体" w:cs="宋体"/>
                <w:color w:val="auto"/>
                <w:szCs w:val="21"/>
                <w:highlight w:val="none"/>
              </w:rPr>
            </w:pPr>
          </w:p>
        </w:tc>
        <w:tc>
          <w:tcPr>
            <w:tcW w:w="1140" w:type="dxa"/>
            <w:vAlign w:val="center"/>
          </w:tcPr>
          <w:p>
            <w:pPr>
              <w:spacing w:line="400" w:lineRule="exact"/>
              <w:rPr>
                <w:rFonts w:hint="eastAsia" w:ascii="宋体" w:hAnsi="宋体" w:eastAsia="宋体" w:cs="宋体"/>
                <w:color w:val="auto"/>
                <w:szCs w:val="21"/>
                <w:highlight w:val="none"/>
              </w:rPr>
            </w:pPr>
          </w:p>
        </w:tc>
        <w:tc>
          <w:tcPr>
            <w:tcW w:w="1090" w:type="dxa"/>
            <w:vAlign w:val="center"/>
          </w:tcPr>
          <w:p>
            <w:pPr>
              <w:spacing w:line="400" w:lineRule="exact"/>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69" w:type="dxa"/>
            <w:vAlign w:val="center"/>
          </w:tcPr>
          <w:p>
            <w:pPr>
              <w:spacing w:line="380" w:lineRule="exact"/>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2</w:t>
            </w:r>
          </w:p>
        </w:tc>
        <w:tc>
          <w:tcPr>
            <w:tcW w:w="6136" w:type="dxa"/>
            <w:vAlign w:val="center"/>
          </w:tcPr>
          <w:p>
            <w:pPr>
              <w:pStyle w:val="6"/>
              <w:keepNext w:val="0"/>
              <w:keepLines w:val="0"/>
              <w:pageBreakBefore w:val="0"/>
              <w:widowControl w:val="0"/>
              <w:kinsoku/>
              <w:wordWrap/>
              <w:overflowPunct/>
              <w:topLinePunct w:val="0"/>
              <w:bidi w:val="0"/>
              <w:snapToGrid/>
              <w:spacing w:line="400" w:lineRule="exact"/>
              <w:ind w:firstLine="0" w:firstLineChars="0"/>
              <w:textAlignment w:val="auto"/>
              <w:rPr>
                <w:rFonts w:hint="eastAsia" w:ascii="宋体" w:hAnsi="宋体" w:eastAsia="宋体" w:cs="宋体"/>
                <w:b w:val="0"/>
                <w:bCs w:val="0"/>
                <w:color w:val="auto"/>
                <w:kern w:val="2"/>
                <w:sz w:val="21"/>
                <w:szCs w:val="21"/>
                <w:highlight w:val="none"/>
                <w:lang w:val="en-US" w:eastAsia="zh-CN" w:bidi="ar-SA"/>
              </w:rPr>
            </w:pPr>
            <w:r>
              <w:rPr>
                <w:rFonts w:hint="eastAsia" w:hAnsi="宋体" w:cs="宋体"/>
                <w:b w:val="0"/>
                <w:bCs w:val="0"/>
                <w:color w:val="auto"/>
                <w:kern w:val="2"/>
                <w:sz w:val="21"/>
                <w:szCs w:val="21"/>
                <w:highlight w:val="none"/>
                <w:lang w:val="en-US" w:eastAsia="zh-CN" w:bidi="ar-SA"/>
              </w:rPr>
              <w:t>提供有效的《医疗器械生产许可证》及《医疗器械经营许可证》（二类医疗器械须提供医疗器械备案凭证及医疗器械注册证）</w:t>
            </w:r>
            <w:r>
              <w:rPr>
                <w:rFonts w:hint="eastAsia" w:ascii="宋体" w:hAnsi="宋体" w:eastAsia="宋体" w:cs="宋体"/>
                <w:b w:val="0"/>
                <w:bCs w:val="0"/>
                <w:color w:val="auto"/>
                <w:kern w:val="2"/>
                <w:sz w:val="21"/>
                <w:szCs w:val="21"/>
                <w:highlight w:val="none"/>
                <w:lang w:val="en-US" w:eastAsia="zh-CN" w:bidi="ar-SA"/>
              </w:rPr>
              <w:t>；</w:t>
            </w:r>
          </w:p>
        </w:tc>
        <w:tc>
          <w:tcPr>
            <w:tcW w:w="1125" w:type="dxa"/>
            <w:vAlign w:val="center"/>
          </w:tcPr>
          <w:p>
            <w:pPr>
              <w:spacing w:line="400" w:lineRule="exact"/>
              <w:rPr>
                <w:rFonts w:hint="eastAsia" w:ascii="宋体" w:hAnsi="宋体" w:eastAsia="宋体" w:cs="宋体"/>
                <w:color w:val="auto"/>
                <w:szCs w:val="21"/>
                <w:highlight w:val="none"/>
              </w:rPr>
            </w:pPr>
          </w:p>
        </w:tc>
        <w:tc>
          <w:tcPr>
            <w:tcW w:w="1140" w:type="dxa"/>
            <w:vAlign w:val="center"/>
          </w:tcPr>
          <w:p>
            <w:pPr>
              <w:spacing w:line="400" w:lineRule="exact"/>
              <w:rPr>
                <w:rFonts w:hint="eastAsia" w:ascii="宋体" w:hAnsi="宋体" w:eastAsia="宋体" w:cs="宋体"/>
                <w:color w:val="auto"/>
                <w:szCs w:val="21"/>
                <w:highlight w:val="none"/>
              </w:rPr>
            </w:pPr>
          </w:p>
        </w:tc>
        <w:tc>
          <w:tcPr>
            <w:tcW w:w="1090" w:type="dxa"/>
            <w:vAlign w:val="center"/>
          </w:tcPr>
          <w:p>
            <w:pPr>
              <w:spacing w:line="400" w:lineRule="exact"/>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669" w:type="dxa"/>
            <w:vAlign w:val="center"/>
          </w:tcPr>
          <w:p>
            <w:pPr>
              <w:spacing w:line="380" w:lineRule="exact"/>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val="en-US" w:eastAsia="zh-CN"/>
              </w:rPr>
              <w:t>3</w:t>
            </w:r>
          </w:p>
        </w:tc>
        <w:tc>
          <w:tcPr>
            <w:tcW w:w="6136" w:type="dxa"/>
            <w:vAlign w:val="center"/>
          </w:tcPr>
          <w:p>
            <w:pPr>
              <w:pStyle w:val="6"/>
              <w:keepNext w:val="0"/>
              <w:keepLines w:val="0"/>
              <w:pageBreakBefore w:val="0"/>
              <w:widowControl w:val="0"/>
              <w:kinsoku/>
              <w:wordWrap/>
              <w:overflowPunct/>
              <w:topLinePunct w:val="0"/>
              <w:bidi w:val="0"/>
              <w:snapToGrid/>
              <w:spacing w:line="400" w:lineRule="exact"/>
              <w:ind w:firstLine="0" w:firstLineChars="0"/>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法人代表身份证明及授权书、被授权人身份证；(法人投标需提供法人身份证复印件)；</w:t>
            </w:r>
          </w:p>
        </w:tc>
        <w:tc>
          <w:tcPr>
            <w:tcW w:w="1125" w:type="dxa"/>
            <w:vAlign w:val="center"/>
          </w:tcPr>
          <w:p>
            <w:pPr>
              <w:spacing w:line="400" w:lineRule="exact"/>
              <w:rPr>
                <w:rFonts w:hint="eastAsia" w:ascii="宋体" w:hAnsi="宋体" w:eastAsia="宋体" w:cs="宋体"/>
                <w:color w:val="auto"/>
                <w:szCs w:val="21"/>
                <w:highlight w:val="none"/>
              </w:rPr>
            </w:pPr>
          </w:p>
        </w:tc>
        <w:tc>
          <w:tcPr>
            <w:tcW w:w="1140" w:type="dxa"/>
            <w:vAlign w:val="center"/>
          </w:tcPr>
          <w:p>
            <w:pPr>
              <w:spacing w:line="400" w:lineRule="exact"/>
              <w:rPr>
                <w:rFonts w:hint="eastAsia" w:ascii="宋体" w:hAnsi="宋体" w:eastAsia="宋体" w:cs="宋体"/>
                <w:color w:val="auto"/>
                <w:szCs w:val="21"/>
                <w:highlight w:val="none"/>
              </w:rPr>
            </w:pPr>
          </w:p>
        </w:tc>
        <w:tc>
          <w:tcPr>
            <w:tcW w:w="1090" w:type="dxa"/>
            <w:vAlign w:val="center"/>
          </w:tcPr>
          <w:p>
            <w:pPr>
              <w:spacing w:line="400" w:lineRule="exact"/>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669" w:type="dxa"/>
            <w:vAlign w:val="center"/>
          </w:tcPr>
          <w:p>
            <w:pPr>
              <w:spacing w:line="380" w:lineRule="exact"/>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val="en-US" w:eastAsia="zh-CN"/>
              </w:rPr>
              <w:t>4</w:t>
            </w:r>
          </w:p>
        </w:tc>
        <w:tc>
          <w:tcPr>
            <w:tcW w:w="6136" w:type="dxa"/>
            <w:vAlign w:val="center"/>
          </w:tcPr>
          <w:p>
            <w:pPr>
              <w:pStyle w:val="6"/>
              <w:keepNext w:val="0"/>
              <w:keepLines w:val="0"/>
              <w:pageBreakBefore w:val="0"/>
              <w:widowControl w:val="0"/>
              <w:kinsoku/>
              <w:wordWrap/>
              <w:overflowPunct/>
              <w:topLinePunct w:val="0"/>
              <w:bidi w:val="0"/>
              <w:snapToGrid/>
              <w:spacing w:line="400" w:lineRule="exact"/>
              <w:ind w:firstLine="0" w:firstLineChars="0"/>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依法缴纳最近6个月中任意1个月的社会保险的凭据；</w:t>
            </w:r>
          </w:p>
        </w:tc>
        <w:tc>
          <w:tcPr>
            <w:tcW w:w="1125" w:type="dxa"/>
            <w:vAlign w:val="center"/>
          </w:tcPr>
          <w:p>
            <w:pPr>
              <w:spacing w:line="400" w:lineRule="exact"/>
              <w:rPr>
                <w:rFonts w:hint="eastAsia" w:ascii="宋体" w:hAnsi="宋体" w:eastAsia="宋体" w:cs="宋体"/>
                <w:color w:val="auto"/>
                <w:szCs w:val="21"/>
                <w:highlight w:val="none"/>
              </w:rPr>
            </w:pPr>
          </w:p>
        </w:tc>
        <w:tc>
          <w:tcPr>
            <w:tcW w:w="1140" w:type="dxa"/>
            <w:vAlign w:val="center"/>
          </w:tcPr>
          <w:p>
            <w:pPr>
              <w:spacing w:line="400" w:lineRule="exact"/>
              <w:rPr>
                <w:rFonts w:hint="eastAsia" w:ascii="宋体" w:hAnsi="宋体" w:eastAsia="宋体" w:cs="宋体"/>
                <w:color w:val="auto"/>
                <w:szCs w:val="21"/>
                <w:highlight w:val="none"/>
              </w:rPr>
            </w:pPr>
          </w:p>
        </w:tc>
        <w:tc>
          <w:tcPr>
            <w:tcW w:w="1090" w:type="dxa"/>
            <w:vAlign w:val="center"/>
          </w:tcPr>
          <w:p>
            <w:pPr>
              <w:spacing w:line="400" w:lineRule="exact"/>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669" w:type="dxa"/>
            <w:vAlign w:val="center"/>
          </w:tcPr>
          <w:p>
            <w:pPr>
              <w:spacing w:line="380" w:lineRule="exact"/>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val="en-US" w:eastAsia="zh-CN"/>
              </w:rPr>
              <w:t>5</w:t>
            </w:r>
          </w:p>
        </w:tc>
        <w:tc>
          <w:tcPr>
            <w:tcW w:w="6136" w:type="dxa"/>
            <w:vAlign w:val="center"/>
          </w:tcPr>
          <w:p>
            <w:pPr>
              <w:pStyle w:val="6"/>
              <w:keepNext w:val="0"/>
              <w:keepLines w:val="0"/>
              <w:pageBreakBefore w:val="0"/>
              <w:widowControl w:val="0"/>
              <w:kinsoku/>
              <w:wordWrap/>
              <w:overflowPunct/>
              <w:topLinePunct w:val="0"/>
              <w:bidi w:val="0"/>
              <w:snapToGrid/>
              <w:spacing w:line="400" w:lineRule="exact"/>
              <w:ind w:firstLine="0" w:firstLineChars="0"/>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税务部门出具的最近6个月中任意1个月的完税证明；</w:t>
            </w:r>
          </w:p>
        </w:tc>
        <w:tc>
          <w:tcPr>
            <w:tcW w:w="1125" w:type="dxa"/>
            <w:vAlign w:val="center"/>
          </w:tcPr>
          <w:p>
            <w:pPr>
              <w:spacing w:line="400" w:lineRule="exact"/>
              <w:rPr>
                <w:rFonts w:hint="eastAsia" w:ascii="宋体" w:hAnsi="宋体" w:eastAsia="宋体" w:cs="宋体"/>
                <w:color w:val="auto"/>
                <w:szCs w:val="21"/>
                <w:highlight w:val="none"/>
              </w:rPr>
            </w:pPr>
          </w:p>
        </w:tc>
        <w:tc>
          <w:tcPr>
            <w:tcW w:w="1140" w:type="dxa"/>
            <w:vAlign w:val="center"/>
          </w:tcPr>
          <w:p>
            <w:pPr>
              <w:spacing w:line="400" w:lineRule="exact"/>
              <w:rPr>
                <w:rFonts w:hint="eastAsia" w:ascii="宋体" w:hAnsi="宋体" w:eastAsia="宋体" w:cs="宋体"/>
                <w:color w:val="auto"/>
                <w:szCs w:val="21"/>
                <w:highlight w:val="none"/>
              </w:rPr>
            </w:pPr>
          </w:p>
        </w:tc>
        <w:tc>
          <w:tcPr>
            <w:tcW w:w="1090" w:type="dxa"/>
            <w:vAlign w:val="center"/>
          </w:tcPr>
          <w:p>
            <w:pPr>
              <w:spacing w:line="400" w:lineRule="exact"/>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669" w:type="dxa"/>
            <w:vAlign w:val="center"/>
          </w:tcPr>
          <w:p>
            <w:pPr>
              <w:spacing w:line="380" w:lineRule="exact"/>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val="en-US" w:eastAsia="zh-CN"/>
              </w:rPr>
              <w:t>6</w:t>
            </w:r>
          </w:p>
        </w:tc>
        <w:tc>
          <w:tcPr>
            <w:tcW w:w="6136" w:type="dxa"/>
            <w:vAlign w:val="center"/>
          </w:tcPr>
          <w:p>
            <w:pPr>
              <w:pStyle w:val="6"/>
              <w:keepNext w:val="0"/>
              <w:keepLines w:val="0"/>
              <w:pageBreakBefore w:val="0"/>
              <w:widowControl w:val="0"/>
              <w:kinsoku/>
              <w:wordWrap/>
              <w:overflowPunct/>
              <w:topLinePunct w:val="0"/>
              <w:bidi w:val="0"/>
              <w:snapToGrid/>
              <w:spacing w:line="400" w:lineRule="exact"/>
              <w:ind w:firstLine="0" w:firstLineChars="0"/>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近两年任意一年的财务审计报告；</w:t>
            </w:r>
          </w:p>
        </w:tc>
        <w:tc>
          <w:tcPr>
            <w:tcW w:w="1125" w:type="dxa"/>
            <w:vAlign w:val="center"/>
          </w:tcPr>
          <w:p>
            <w:pPr>
              <w:spacing w:line="400" w:lineRule="exact"/>
              <w:rPr>
                <w:rFonts w:hint="eastAsia" w:ascii="宋体" w:hAnsi="宋体" w:eastAsia="宋体" w:cs="宋体"/>
                <w:color w:val="auto"/>
                <w:szCs w:val="21"/>
                <w:highlight w:val="none"/>
              </w:rPr>
            </w:pPr>
          </w:p>
        </w:tc>
        <w:tc>
          <w:tcPr>
            <w:tcW w:w="1140" w:type="dxa"/>
            <w:vAlign w:val="center"/>
          </w:tcPr>
          <w:p>
            <w:pPr>
              <w:spacing w:line="400" w:lineRule="exact"/>
              <w:rPr>
                <w:rFonts w:hint="eastAsia" w:ascii="宋体" w:hAnsi="宋体" w:eastAsia="宋体" w:cs="宋体"/>
                <w:color w:val="auto"/>
                <w:szCs w:val="21"/>
                <w:highlight w:val="none"/>
              </w:rPr>
            </w:pPr>
          </w:p>
        </w:tc>
        <w:tc>
          <w:tcPr>
            <w:tcW w:w="1090" w:type="dxa"/>
            <w:vAlign w:val="center"/>
          </w:tcPr>
          <w:p>
            <w:pPr>
              <w:spacing w:line="400" w:lineRule="exact"/>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669" w:type="dxa"/>
            <w:vAlign w:val="center"/>
          </w:tcPr>
          <w:p>
            <w:pPr>
              <w:spacing w:line="380" w:lineRule="exact"/>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val="en-US" w:eastAsia="zh-CN"/>
              </w:rPr>
              <w:t>7</w:t>
            </w:r>
          </w:p>
        </w:tc>
        <w:tc>
          <w:tcPr>
            <w:tcW w:w="6136" w:type="dxa"/>
            <w:vAlign w:val="center"/>
          </w:tcPr>
          <w:p>
            <w:pPr>
              <w:pStyle w:val="6"/>
              <w:keepNext w:val="0"/>
              <w:keepLines w:val="0"/>
              <w:pageBreakBefore w:val="0"/>
              <w:widowControl w:val="0"/>
              <w:kinsoku/>
              <w:wordWrap/>
              <w:overflowPunct/>
              <w:topLinePunct w:val="0"/>
              <w:bidi w:val="0"/>
              <w:snapToGrid/>
              <w:spacing w:line="400" w:lineRule="exact"/>
              <w:ind w:firstLine="0" w:firstLineChars="0"/>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根据《财政部关于在政府采购活动中查询及使用信用记录有关问题的通知》（财库﹝2016﹞125号）的要求，凡拟参加本次招标项目的供应商，如在“信用中国”网站（ www.creditchina.gov.cn） 被列入失信被执行人、重大税收违法案件当事人名单(信用服务-失信惩戒对象查询-搜索栏输入单位全称-截图)、中国政府采购网（http://www.ccgp.gov.cn/search/cr/）严重违法失信行为记录名单的（尚在处罚期内的），“国家企业信用信息公示系统（http://www.gsxt.gov.cn）”列入严重违法失信企业名单（黑名单）信息及企业信用信息公示报告；将拒绝其参加本次招标活动；（以招标代理或</w:t>
            </w:r>
            <w:r>
              <w:rPr>
                <w:rFonts w:hint="eastAsia" w:hAnsi="宋体" w:cs="宋体"/>
                <w:b w:val="0"/>
                <w:bCs w:val="0"/>
                <w:color w:val="auto"/>
                <w:kern w:val="2"/>
                <w:sz w:val="21"/>
                <w:szCs w:val="21"/>
                <w:highlight w:val="none"/>
                <w:lang w:val="en-US" w:eastAsia="zh-CN" w:bidi="ar-SA"/>
              </w:rPr>
              <w:t>采购人</w:t>
            </w:r>
            <w:r>
              <w:rPr>
                <w:rFonts w:hint="eastAsia" w:ascii="宋体" w:hAnsi="宋体" w:eastAsia="宋体" w:cs="宋体"/>
                <w:b w:val="0"/>
                <w:bCs w:val="0"/>
                <w:color w:val="auto"/>
                <w:kern w:val="2"/>
                <w:sz w:val="21"/>
                <w:szCs w:val="21"/>
                <w:highlight w:val="none"/>
                <w:lang w:val="en-US" w:eastAsia="zh-CN" w:bidi="ar-SA"/>
              </w:rPr>
              <w:t>查询为准）</w:t>
            </w:r>
          </w:p>
        </w:tc>
        <w:tc>
          <w:tcPr>
            <w:tcW w:w="1125" w:type="dxa"/>
            <w:vAlign w:val="center"/>
          </w:tcPr>
          <w:p>
            <w:pPr>
              <w:spacing w:line="400" w:lineRule="exact"/>
              <w:rPr>
                <w:rFonts w:hint="eastAsia" w:ascii="宋体" w:hAnsi="宋体" w:eastAsia="宋体" w:cs="宋体"/>
                <w:color w:val="auto"/>
                <w:szCs w:val="21"/>
                <w:highlight w:val="none"/>
              </w:rPr>
            </w:pPr>
          </w:p>
        </w:tc>
        <w:tc>
          <w:tcPr>
            <w:tcW w:w="1140" w:type="dxa"/>
            <w:vAlign w:val="center"/>
          </w:tcPr>
          <w:p>
            <w:pPr>
              <w:spacing w:line="400" w:lineRule="exact"/>
              <w:rPr>
                <w:rFonts w:hint="eastAsia" w:ascii="宋体" w:hAnsi="宋体" w:eastAsia="宋体" w:cs="宋体"/>
                <w:color w:val="auto"/>
                <w:szCs w:val="21"/>
                <w:highlight w:val="none"/>
              </w:rPr>
            </w:pPr>
          </w:p>
        </w:tc>
        <w:tc>
          <w:tcPr>
            <w:tcW w:w="1090" w:type="dxa"/>
            <w:vAlign w:val="center"/>
          </w:tcPr>
          <w:p>
            <w:pPr>
              <w:spacing w:line="400" w:lineRule="exact"/>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669" w:type="dxa"/>
            <w:vAlign w:val="center"/>
          </w:tcPr>
          <w:p>
            <w:pPr>
              <w:spacing w:line="380" w:lineRule="exact"/>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8</w:t>
            </w:r>
          </w:p>
        </w:tc>
        <w:tc>
          <w:tcPr>
            <w:tcW w:w="6136" w:type="dxa"/>
            <w:vAlign w:val="center"/>
          </w:tcPr>
          <w:p>
            <w:pPr>
              <w:pStyle w:val="6"/>
              <w:keepNext w:val="0"/>
              <w:keepLines w:val="0"/>
              <w:pageBreakBefore w:val="0"/>
              <w:widowControl w:val="0"/>
              <w:kinsoku/>
              <w:wordWrap/>
              <w:overflowPunct/>
              <w:topLinePunct w:val="0"/>
              <w:bidi w:val="0"/>
              <w:snapToGrid/>
              <w:spacing w:line="400" w:lineRule="exact"/>
              <w:ind w:firstLine="0" w:firstLineChars="0"/>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参与政府采购活动前3年内未被列入失信、重大税收违法案件、财政部门禁止参加政府采购活动的承诺书；</w:t>
            </w:r>
          </w:p>
        </w:tc>
        <w:tc>
          <w:tcPr>
            <w:tcW w:w="1125" w:type="dxa"/>
            <w:vAlign w:val="center"/>
          </w:tcPr>
          <w:p>
            <w:pPr>
              <w:spacing w:line="400" w:lineRule="exact"/>
              <w:rPr>
                <w:rFonts w:hint="eastAsia" w:ascii="宋体" w:hAnsi="宋体" w:eastAsia="宋体" w:cs="宋体"/>
                <w:color w:val="auto"/>
                <w:szCs w:val="21"/>
                <w:highlight w:val="none"/>
              </w:rPr>
            </w:pPr>
          </w:p>
        </w:tc>
        <w:tc>
          <w:tcPr>
            <w:tcW w:w="1140" w:type="dxa"/>
            <w:vAlign w:val="center"/>
          </w:tcPr>
          <w:p>
            <w:pPr>
              <w:spacing w:line="400" w:lineRule="exact"/>
              <w:rPr>
                <w:rFonts w:hint="eastAsia" w:ascii="宋体" w:hAnsi="宋体" w:eastAsia="宋体" w:cs="宋体"/>
                <w:color w:val="auto"/>
                <w:szCs w:val="21"/>
                <w:highlight w:val="none"/>
              </w:rPr>
            </w:pPr>
          </w:p>
        </w:tc>
        <w:tc>
          <w:tcPr>
            <w:tcW w:w="1090" w:type="dxa"/>
            <w:vAlign w:val="center"/>
          </w:tcPr>
          <w:p>
            <w:pPr>
              <w:spacing w:line="400" w:lineRule="exact"/>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669" w:type="dxa"/>
            <w:vAlign w:val="center"/>
          </w:tcPr>
          <w:p>
            <w:pPr>
              <w:spacing w:line="380" w:lineRule="exact"/>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9</w:t>
            </w:r>
          </w:p>
        </w:tc>
        <w:tc>
          <w:tcPr>
            <w:tcW w:w="6136" w:type="dxa"/>
            <w:vAlign w:val="center"/>
          </w:tcPr>
          <w:p>
            <w:pPr>
              <w:pStyle w:val="6"/>
              <w:keepNext w:val="0"/>
              <w:keepLines w:val="0"/>
              <w:pageBreakBefore w:val="0"/>
              <w:widowControl w:val="0"/>
              <w:kinsoku/>
              <w:wordWrap/>
              <w:overflowPunct/>
              <w:topLinePunct w:val="0"/>
              <w:bidi w:val="0"/>
              <w:snapToGrid/>
              <w:spacing w:line="400" w:lineRule="exact"/>
              <w:ind w:firstLine="0" w:firstLineChars="0"/>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提供针对本次项目《反商业贿赂承诺书》；</w:t>
            </w:r>
          </w:p>
        </w:tc>
        <w:tc>
          <w:tcPr>
            <w:tcW w:w="1125" w:type="dxa"/>
            <w:vAlign w:val="center"/>
          </w:tcPr>
          <w:p>
            <w:pPr>
              <w:spacing w:line="400" w:lineRule="exact"/>
              <w:rPr>
                <w:rFonts w:hint="eastAsia" w:ascii="宋体" w:hAnsi="宋体" w:eastAsia="宋体" w:cs="宋体"/>
                <w:color w:val="auto"/>
                <w:szCs w:val="21"/>
                <w:highlight w:val="none"/>
              </w:rPr>
            </w:pPr>
          </w:p>
        </w:tc>
        <w:tc>
          <w:tcPr>
            <w:tcW w:w="1140" w:type="dxa"/>
            <w:vAlign w:val="center"/>
          </w:tcPr>
          <w:p>
            <w:pPr>
              <w:spacing w:line="400" w:lineRule="exact"/>
              <w:rPr>
                <w:rFonts w:hint="eastAsia" w:ascii="宋体" w:hAnsi="宋体" w:eastAsia="宋体" w:cs="宋体"/>
                <w:color w:val="auto"/>
                <w:szCs w:val="21"/>
                <w:highlight w:val="none"/>
              </w:rPr>
            </w:pPr>
          </w:p>
        </w:tc>
        <w:tc>
          <w:tcPr>
            <w:tcW w:w="1090" w:type="dxa"/>
            <w:vAlign w:val="center"/>
          </w:tcPr>
          <w:p>
            <w:pPr>
              <w:spacing w:line="400" w:lineRule="exact"/>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669" w:type="dxa"/>
            <w:vAlign w:val="center"/>
          </w:tcPr>
          <w:p>
            <w:pPr>
              <w:spacing w:line="400" w:lineRule="exact"/>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10</w:t>
            </w:r>
          </w:p>
        </w:tc>
        <w:tc>
          <w:tcPr>
            <w:tcW w:w="6136" w:type="dxa"/>
            <w:vAlign w:val="center"/>
          </w:tcPr>
          <w:p>
            <w:pPr>
              <w:spacing w:line="400" w:lineRule="exact"/>
              <w:rPr>
                <w:rFonts w:hint="eastAsia" w:ascii="宋体" w:hAnsi="宋体" w:eastAsia="宋体" w:cs="宋体"/>
                <w:b w:val="0"/>
                <w:bCs w:val="0"/>
                <w:color w:val="auto"/>
                <w:kern w:val="2"/>
                <w:sz w:val="21"/>
                <w:szCs w:val="21"/>
                <w:highlight w:val="none"/>
                <w:lang w:val="en-US" w:eastAsia="zh-CN" w:bidi="ar-SA"/>
              </w:rPr>
            </w:pPr>
            <w:r>
              <w:rPr>
                <w:rFonts w:hint="eastAsia" w:ascii="宋体" w:hAnsi="宋体" w:cs="宋体"/>
                <w:b w:val="0"/>
                <w:bCs w:val="0"/>
                <w:color w:val="auto"/>
                <w:kern w:val="2"/>
                <w:sz w:val="21"/>
                <w:szCs w:val="21"/>
                <w:highlight w:val="none"/>
                <w:lang w:val="en-US" w:eastAsia="zh-CN" w:bidi="ar-SA"/>
              </w:rPr>
              <w:t>提供缴纳投标保证金的银行转账回执单。</w:t>
            </w:r>
          </w:p>
        </w:tc>
        <w:tc>
          <w:tcPr>
            <w:tcW w:w="1125" w:type="dxa"/>
            <w:vAlign w:val="center"/>
          </w:tcPr>
          <w:p>
            <w:pPr>
              <w:spacing w:line="400" w:lineRule="exact"/>
              <w:rPr>
                <w:rFonts w:hint="eastAsia" w:ascii="宋体" w:hAnsi="宋体" w:eastAsia="宋体" w:cs="宋体"/>
                <w:color w:val="auto"/>
                <w:szCs w:val="21"/>
                <w:highlight w:val="none"/>
              </w:rPr>
            </w:pPr>
          </w:p>
        </w:tc>
        <w:tc>
          <w:tcPr>
            <w:tcW w:w="1140" w:type="dxa"/>
            <w:vAlign w:val="center"/>
          </w:tcPr>
          <w:p>
            <w:pPr>
              <w:spacing w:line="400" w:lineRule="exact"/>
              <w:rPr>
                <w:rFonts w:hint="eastAsia" w:ascii="宋体" w:hAnsi="宋体" w:eastAsia="宋体" w:cs="宋体"/>
                <w:color w:val="auto"/>
                <w:szCs w:val="21"/>
                <w:highlight w:val="none"/>
              </w:rPr>
            </w:pPr>
          </w:p>
        </w:tc>
        <w:tc>
          <w:tcPr>
            <w:tcW w:w="1090" w:type="dxa"/>
            <w:vAlign w:val="center"/>
          </w:tcPr>
          <w:p>
            <w:pPr>
              <w:spacing w:line="400" w:lineRule="exact"/>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669" w:type="dxa"/>
            <w:vAlign w:val="center"/>
          </w:tcPr>
          <w:p>
            <w:pPr>
              <w:spacing w:line="400" w:lineRule="exact"/>
              <w:rPr>
                <w:rFonts w:hint="eastAsia" w:ascii="宋体" w:hAnsi="宋体" w:eastAsia="宋体" w:cs="宋体"/>
                <w:color w:val="auto"/>
                <w:szCs w:val="21"/>
                <w:highlight w:val="none"/>
              </w:rPr>
            </w:pPr>
          </w:p>
        </w:tc>
        <w:tc>
          <w:tcPr>
            <w:tcW w:w="6136" w:type="dxa"/>
            <w:vAlign w:val="center"/>
          </w:tcPr>
          <w:p>
            <w:pPr>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结论</w:t>
            </w:r>
          </w:p>
        </w:tc>
        <w:tc>
          <w:tcPr>
            <w:tcW w:w="1125" w:type="dxa"/>
            <w:vAlign w:val="center"/>
          </w:tcPr>
          <w:p>
            <w:pPr>
              <w:spacing w:line="400" w:lineRule="exact"/>
              <w:rPr>
                <w:rFonts w:hint="eastAsia" w:ascii="宋体" w:hAnsi="宋体" w:eastAsia="宋体" w:cs="宋体"/>
                <w:color w:val="auto"/>
                <w:szCs w:val="21"/>
                <w:highlight w:val="none"/>
              </w:rPr>
            </w:pPr>
          </w:p>
        </w:tc>
        <w:tc>
          <w:tcPr>
            <w:tcW w:w="1140" w:type="dxa"/>
            <w:vAlign w:val="center"/>
          </w:tcPr>
          <w:p>
            <w:pPr>
              <w:spacing w:line="400" w:lineRule="exact"/>
              <w:rPr>
                <w:rFonts w:hint="eastAsia" w:ascii="宋体" w:hAnsi="宋体" w:eastAsia="宋体" w:cs="宋体"/>
                <w:color w:val="auto"/>
                <w:szCs w:val="21"/>
                <w:highlight w:val="none"/>
              </w:rPr>
            </w:pPr>
          </w:p>
        </w:tc>
        <w:tc>
          <w:tcPr>
            <w:tcW w:w="1090" w:type="dxa"/>
            <w:vAlign w:val="center"/>
          </w:tcPr>
          <w:p>
            <w:pPr>
              <w:spacing w:line="400" w:lineRule="exact"/>
              <w:rPr>
                <w:rFonts w:hint="eastAsia" w:ascii="宋体" w:hAnsi="宋体" w:eastAsia="宋体" w:cs="宋体"/>
                <w:color w:val="auto"/>
                <w:szCs w:val="21"/>
                <w:highlight w:val="none"/>
              </w:rPr>
            </w:pPr>
          </w:p>
        </w:tc>
      </w:tr>
    </w:tbl>
    <w:p>
      <w:pPr>
        <w:pStyle w:val="6"/>
        <w:ind w:firstLine="0"/>
        <w:rPr>
          <w:rFonts w:hint="eastAsia" w:ascii="宋体" w:hAnsi="宋体" w:eastAsia="宋体" w:cs="宋体"/>
          <w:b/>
          <w:bCs/>
          <w:color w:val="auto"/>
          <w:sz w:val="21"/>
          <w:szCs w:val="21"/>
          <w:highlight w:val="none"/>
        </w:rPr>
      </w:pPr>
    </w:p>
    <w:p>
      <w:pPr>
        <w:spacing w:line="30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说明：（1）上述各项中用“√”表示通过，“×”表示不通过；</w:t>
      </w:r>
    </w:p>
    <w:p>
      <w:pPr>
        <w:spacing w:line="30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（2）上述各项中如有一项为“×”，则结论为“×”，表示该投标文件中存在重大偏差，不能通过初步评审；评委对某一分项评审认为不合格时，必须要写明原因。</w:t>
      </w:r>
    </w:p>
    <w:p>
      <w:pPr>
        <w:spacing w:line="300" w:lineRule="auto"/>
        <w:ind w:left="60"/>
        <w:rPr>
          <w:rFonts w:hint="eastAsia" w:ascii="宋体" w:hAnsi="宋体" w:eastAsia="宋体" w:cs="宋体"/>
          <w:color w:val="auto"/>
          <w:szCs w:val="21"/>
          <w:highlight w:val="none"/>
        </w:rPr>
      </w:pPr>
      <w:r>
        <w:rPr>
          <w:rFonts w:hint="eastAsia" w:ascii="宋体" w:hAnsi="宋体" w:eastAsia="宋体" w:cs="宋体"/>
          <w:color w:val="auto"/>
          <w:szCs w:val="21"/>
          <w:highlight w:val="none"/>
        </w:rPr>
        <w:t>（3）投标文件最终合格与否，以所有评委的评审意见中少数服从多数为原则定论。</w:t>
      </w:r>
    </w:p>
    <w:p>
      <w:pPr>
        <w:spacing w:line="240" w:lineRule="atLeast"/>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未通过资格审查的</w:t>
      </w:r>
      <w:r>
        <w:rPr>
          <w:rFonts w:hint="eastAsia" w:ascii="宋体" w:hAnsi="宋体" w:eastAsia="宋体" w:cs="宋体"/>
          <w:b/>
          <w:bCs/>
          <w:color w:val="auto"/>
          <w:szCs w:val="21"/>
          <w:highlight w:val="none"/>
          <w:lang w:eastAsia="zh-CN"/>
        </w:rPr>
        <w:t>供应商</w:t>
      </w:r>
      <w:r>
        <w:rPr>
          <w:rFonts w:hint="eastAsia" w:ascii="宋体" w:hAnsi="宋体" w:eastAsia="宋体" w:cs="宋体"/>
          <w:b/>
          <w:bCs/>
          <w:color w:val="auto"/>
          <w:szCs w:val="21"/>
          <w:highlight w:val="none"/>
        </w:rPr>
        <w:t>不进入评标；通过资格审查的</w:t>
      </w:r>
      <w:r>
        <w:rPr>
          <w:rFonts w:hint="eastAsia" w:ascii="宋体" w:hAnsi="宋体" w:eastAsia="宋体" w:cs="宋体"/>
          <w:b/>
          <w:bCs/>
          <w:color w:val="auto"/>
          <w:szCs w:val="21"/>
          <w:highlight w:val="none"/>
          <w:lang w:eastAsia="zh-CN"/>
        </w:rPr>
        <w:t>供应商</w:t>
      </w:r>
      <w:r>
        <w:rPr>
          <w:rFonts w:hint="eastAsia" w:ascii="宋体" w:hAnsi="宋体" w:eastAsia="宋体" w:cs="宋体"/>
          <w:b/>
          <w:bCs/>
          <w:color w:val="auto"/>
          <w:szCs w:val="21"/>
          <w:highlight w:val="none"/>
        </w:rPr>
        <w:t>少于不足三家的，不得评标。</w:t>
      </w:r>
    </w:p>
    <w:p>
      <w:pPr>
        <w:pStyle w:val="6"/>
        <w:spacing w:line="300" w:lineRule="auto"/>
        <w:ind w:firstLine="0"/>
        <w:jc w:val="both"/>
        <w:rPr>
          <w:rFonts w:hint="eastAsia" w:ascii="宋体" w:hAnsi="宋体" w:eastAsia="宋体" w:cs="宋体"/>
          <w:b/>
          <w:bCs/>
          <w:color w:val="auto"/>
          <w:sz w:val="21"/>
          <w:szCs w:val="21"/>
          <w:highlight w:val="none"/>
        </w:rPr>
      </w:pPr>
    </w:p>
    <w:p>
      <w:pPr>
        <w:pStyle w:val="6"/>
        <w:spacing w:line="300" w:lineRule="auto"/>
        <w:ind w:firstLine="0"/>
        <w:jc w:val="center"/>
        <w:outlineLvl w:val="0"/>
        <w:rPr>
          <w:rFonts w:hint="eastAsia" w:ascii="宋体" w:hAnsi="宋体" w:eastAsia="宋体" w:cs="宋体"/>
          <w:b/>
          <w:bCs/>
          <w:color w:val="auto"/>
          <w:sz w:val="21"/>
          <w:szCs w:val="21"/>
          <w:highlight w:val="none"/>
        </w:rPr>
      </w:pPr>
      <w:bookmarkStart w:id="563" w:name="_Toc12276"/>
      <w:bookmarkStart w:id="564" w:name="_Toc22718"/>
      <w:bookmarkStart w:id="565" w:name="_Toc11241"/>
      <w:bookmarkStart w:id="566" w:name="_Toc946"/>
      <w:bookmarkStart w:id="567" w:name="_Toc12096"/>
      <w:bookmarkStart w:id="568" w:name="_Toc19523"/>
      <w:bookmarkStart w:id="569" w:name="_Toc7343"/>
      <w:bookmarkStart w:id="570" w:name="_Toc28345"/>
      <w:bookmarkStart w:id="571" w:name="_Toc8771"/>
      <w:bookmarkStart w:id="572" w:name="_Toc23770"/>
      <w:bookmarkStart w:id="573" w:name="_Toc2556"/>
      <w:bookmarkStart w:id="574" w:name="_Toc8628"/>
      <w:bookmarkStart w:id="575" w:name="_Toc20613"/>
      <w:bookmarkStart w:id="576" w:name="_Toc29061"/>
      <w:bookmarkStart w:id="577" w:name="_Toc70"/>
      <w:bookmarkStart w:id="578" w:name="_Toc28681"/>
      <w:r>
        <w:rPr>
          <w:rFonts w:hint="eastAsia" w:ascii="宋体" w:hAnsi="宋体" w:eastAsia="宋体" w:cs="宋体"/>
          <w:b/>
          <w:bCs/>
          <w:color w:val="auto"/>
          <w:sz w:val="21"/>
          <w:szCs w:val="21"/>
          <w:highlight w:val="none"/>
        </w:rPr>
        <w:t>初步评审—符合性审查表</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p>
    <w:tbl>
      <w:tblPr>
        <w:tblStyle w:val="20"/>
        <w:tblpPr w:leftFromText="180" w:rightFromText="180" w:vertAnchor="text" w:horzAnchor="page" w:tblpXSpec="center" w:tblpY="262"/>
        <w:tblOverlap w:val="never"/>
        <w:tblW w:w="94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
        <w:gridCol w:w="6887"/>
        <w:gridCol w:w="1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751" w:type="dxa"/>
            <w:gridSpan w:val="2"/>
            <w:vAlign w:val="center"/>
          </w:tcPr>
          <w:p>
            <w:pPr>
              <w:spacing w:line="300" w:lineRule="auto"/>
              <w:jc w:val="center"/>
              <w:rPr>
                <w:rFonts w:hint="eastAsia" w:ascii="宋体" w:hAnsi="宋体" w:eastAsia="宋体" w:cs="宋体"/>
                <w:color w:val="auto"/>
                <w:spacing w:val="-2"/>
                <w:sz w:val="24"/>
                <w:highlight w:val="none"/>
              </w:rPr>
            </w:pPr>
            <w:r>
              <w:rPr>
                <w:rFonts w:hint="eastAsia" w:ascii="宋体" w:hAnsi="宋体" w:eastAsia="宋体" w:cs="宋体"/>
                <w:color w:val="auto"/>
                <w:spacing w:val="-2"/>
                <w:sz w:val="24"/>
                <w:highlight w:val="none"/>
              </w:rPr>
              <w:t>评审内容</w:t>
            </w:r>
          </w:p>
        </w:tc>
        <w:tc>
          <w:tcPr>
            <w:tcW w:w="1668" w:type="dxa"/>
            <w:vAlign w:val="center"/>
          </w:tcPr>
          <w:p>
            <w:pPr>
              <w:spacing w:line="300" w:lineRule="auto"/>
              <w:jc w:val="center"/>
              <w:rPr>
                <w:rFonts w:hint="eastAsia" w:ascii="宋体" w:hAnsi="宋体" w:eastAsia="宋体" w:cs="宋体"/>
                <w:color w:val="auto"/>
                <w:spacing w:val="-2"/>
                <w:sz w:val="24"/>
                <w:highlight w:val="none"/>
              </w:rPr>
            </w:pPr>
            <w:r>
              <w:rPr>
                <w:rFonts w:hint="eastAsia" w:ascii="宋体" w:hAnsi="宋体" w:eastAsia="宋体" w:cs="宋体"/>
                <w:b/>
                <w:color w:val="auto"/>
                <w:sz w:val="24"/>
                <w:highlight w:val="none"/>
              </w:rPr>
              <w:t>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64" w:type="dxa"/>
            <w:vAlign w:val="center"/>
          </w:tcPr>
          <w:p>
            <w:pPr>
              <w:spacing w:line="30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序号</w:t>
            </w:r>
          </w:p>
        </w:tc>
        <w:tc>
          <w:tcPr>
            <w:tcW w:w="6887" w:type="dxa"/>
            <w:vAlign w:val="center"/>
          </w:tcPr>
          <w:p>
            <w:pPr>
              <w:spacing w:line="300" w:lineRule="auto"/>
              <w:rPr>
                <w:rFonts w:hint="eastAsia" w:ascii="宋体" w:hAnsi="宋体" w:eastAsia="宋体" w:cs="宋体"/>
                <w:color w:val="auto"/>
                <w:spacing w:val="-2"/>
                <w:sz w:val="24"/>
                <w:highlight w:val="none"/>
              </w:rPr>
            </w:pPr>
          </w:p>
        </w:tc>
        <w:tc>
          <w:tcPr>
            <w:tcW w:w="1668" w:type="dxa"/>
            <w:vAlign w:val="center"/>
          </w:tcPr>
          <w:p>
            <w:pPr>
              <w:spacing w:line="300" w:lineRule="auto"/>
              <w:jc w:val="center"/>
              <w:rPr>
                <w:rFonts w:hint="eastAsia" w:ascii="宋体" w:hAnsi="宋体" w:eastAsia="宋体" w:cs="宋体"/>
                <w:color w:val="auto"/>
                <w:spacing w:val="-2"/>
                <w:sz w:val="24"/>
                <w:highlight w:val="none"/>
              </w:rPr>
            </w:pPr>
            <w:r>
              <w:rPr>
                <w:rFonts w:hint="eastAsia" w:ascii="宋体" w:hAnsi="宋体" w:eastAsia="宋体" w:cs="宋体"/>
                <w:color w:val="auto"/>
                <w:spacing w:val="-2"/>
                <w:sz w:val="24"/>
                <w:highlight w:val="none"/>
              </w:rPr>
              <w:t>是否合格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864" w:type="dxa"/>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6887" w:type="dxa"/>
            <w:vAlign w:val="center"/>
          </w:tcPr>
          <w:p>
            <w:pPr>
              <w:spacing w:line="300" w:lineRule="auto"/>
              <w:jc w:val="left"/>
              <w:rPr>
                <w:rFonts w:hint="eastAsia" w:ascii="宋体" w:hAnsi="宋体" w:eastAsia="宋体" w:cs="宋体"/>
                <w:color w:val="auto"/>
                <w:spacing w:val="-2"/>
                <w:sz w:val="24"/>
                <w:highlight w:val="none"/>
                <w:lang w:eastAsia="zh-CN"/>
              </w:rPr>
            </w:pPr>
            <w:r>
              <w:rPr>
                <w:rFonts w:hint="eastAsia" w:ascii="宋体" w:hAnsi="宋体" w:eastAsia="宋体" w:cs="宋体"/>
                <w:color w:val="auto"/>
                <w:spacing w:val="-2"/>
                <w:sz w:val="24"/>
                <w:highlight w:val="none"/>
              </w:rPr>
              <w:t>各</w:t>
            </w:r>
            <w:r>
              <w:rPr>
                <w:rFonts w:hint="eastAsia" w:ascii="宋体" w:hAnsi="宋体" w:eastAsia="宋体" w:cs="宋体"/>
                <w:color w:val="auto"/>
                <w:spacing w:val="-2"/>
                <w:sz w:val="24"/>
                <w:highlight w:val="none"/>
                <w:lang w:eastAsia="zh-CN"/>
              </w:rPr>
              <w:t>供应商</w:t>
            </w:r>
            <w:r>
              <w:rPr>
                <w:rFonts w:hint="eastAsia" w:ascii="宋体" w:hAnsi="宋体" w:eastAsia="宋体" w:cs="宋体"/>
                <w:color w:val="auto"/>
                <w:spacing w:val="-2"/>
                <w:sz w:val="24"/>
                <w:highlight w:val="none"/>
              </w:rPr>
              <w:t>投标报价未高于预算金额</w:t>
            </w:r>
            <w:r>
              <w:rPr>
                <w:rFonts w:hint="eastAsia" w:ascii="宋体" w:hAnsi="宋体" w:cs="宋体"/>
                <w:color w:val="auto"/>
                <w:spacing w:val="-2"/>
                <w:sz w:val="24"/>
                <w:highlight w:val="none"/>
                <w:lang w:eastAsia="zh-CN"/>
              </w:rPr>
              <w:t>；</w:t>
            </w:r>
          </w:p>
        </w:tc>
        <w:tc>
          <w:tcPr>
            <w:tcW w:w="1668" w:type="dxa"/>
            <w:vAlign w:val="center"/>
          </w:tcPr>
          <w:p>
            <w:pPr>
              <w:spacing w:line="300" w:lineRule="auto"/>
              <w:rPr>
                <w:rFonts w:hint="eastAsia" w:ascii="宋体" w:hAnsi="宋体" w:eastAsia="宋体" w:cs="宋体"/>
                <w:color w:val="auto"/>
                <w:spacing w:val="-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5" w:hRule="atLeast"/>
          <w:jc w:val="center"/>
        </w:trPr>
        <w:tc>
          <w:tcPr>
            <w:tcW w:w="864" w:type="dxa"/>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c>
          <w:tcPr>
            <w:tcW w:w="6887" w:type="dxa"/>
            <w:vAlign w:val="center"/>
          </w:tcPr>
          <w:p>
            <w:pPr>
              <w:spacing w:line="300" w:lineRule="auto"/>
              <w:jc w:val="left"/>
              <w:rPr>
                <w:rFonts w:hint="eastAsia" w:ascii="宋体" w:hAnsi="宋体" w:eastAsia="宋体" w:cs="宋体"/>
                <w:color w:val="auto"/>
                <w:spacing w:val="-2"/>
                <w:sz w:val="24"/>
                <w:highlight w:val="none"/>
                <w:lang w:eastAsia="zh-CN"/>
              </w:rPr>
            </w:pPr>
            <w:r>
              <w:rPr>
                <w:rFonts w:hint="eastAsia" w:ascii="宋体" w:hAnsi="宋体" w:eastAsia="宋体" w:cs="宋体"/>
                <w:color w:val="auto"/>
                <w:spacing w:val="-2"/>
                <w:sz w:val="24"/>
                <w:highlight w:val="none"/>
              </w:rPr>
              <w:t>评标委员会认为</w:t>
            </w:r>
            <w:r>
              <w:rPr>
                <w:rFonts w:hint="eastAsia" w:ascii="宋体" w:hAnsi="宋体" w:eastAsia="宋体" w:cs="宋体"/>
                <w:color w:val="auto"/>
                <w:spacing w:val="-2"/>
                <w:sz w:val="24"/>
                <w:highlight w:val="none"/>
                <w:lang w:eastAsia="zh-CN"/>
              </w:rPr>
              <w:t>供应商</w:t>
            </w:r>
            <w:r>
              <w:rPr>
                <w:rFonts w:hint="eastAsia" w:ascii="宋体" w:hAnsi="宋体" w:eastAsia="宋体" w:cs="宋体"/>
                <w:color w:val="auto"/>
                <w:spacing w:val="-2"/>
                <w:sz w:val="24"/>
                <w:highlight w:val="none"/>
              </w:rPr>
              <w:t>的报价无明显低于其他通过</w:t>
            </w:r>
            <w:r>
              <w:rPr>
                <w:rFonts w:hint="eastAsia" w:ascii="宋体" w:hAnsi="宋体" w:eastAsia="宋体" w:cs="宋体"/>
                <w:color w:val="auto"/>
                <w:spacing w:val="-2"/>
                <w:sz w:val="24"/>
                <w:highlight w:val="none"/>
                <w:lang w:val="en-US" w:eastAsia="zh-CN"/>
              </w:rPr>
              <w:t>资格性</w:t>
            </w:r>
            <w:r>
              <w:rPr>
                <w:rFonts w:hint="eastAsia" w:ascii="宋体" w:hAnsi="宋体" w:eastAsia="宋体" w:cs="宋体"/>
                <w:color w:val="auto"/>
                <w:spacing w:val="-2"/>
                <w:sz w:val="24"/>
                <w:highlight w:val="none"/>
              </w:rPr>
              <w:t>审查</w:t>
            </w:r>
            <w:r>
              <w:rPr>
                <w:rFonts w:hint="eastAsia" w:ascii="宋体" w:hAnsi="宋体" w:eastAsia="宋体" w:cs="宋体"/>
                <w:color w:val="auto"/>
                <w:spacing w:val="-2"/>
                <w:sz w:val="24"/>
                <w:highlight w:val="none"/>
                <w:lang w:eastAsia="zh-CN"/>
              </w:rPr>
              <w:t>供应商</w:t>
            </w:r>
            <w:r>
              <w:rPr>
                <w:rFonts w:hint="eastAsia" w:ascii="宋体" w:hAnsi="宋体" w:eastAsia="宋体" w:cs="宋体"/>
                <w:color w:val="auto"/>
                <w:spacing w:val="-2"/>
                <w:sz w:val="24"/>
                <w:highlight w:val="none"/>
              </w:rPr>
              <w:t>的报价的，</w:t>
            </w:r>
            <w:r>
              <w:rPr>
                <w:rFonts w:hint="eastAsia" w:ascii="宋体" w:hAnsi="宋体" w:eastAsia="宋体" w:cs="宋体"/>
                <w:color w:val="auto"/>
                <w:spacing w:val="-2"/>
                <w:sz w:val="24"/>
                <w:highlight w:val="none"/>
                <w:lang w:eastAsia="zh-CN"/>
              </w:rPr>
              <w:t>供应商</w:t>
            </w:r>
            <w:r>
              <w:rPr>
                <w:rFonts w:hint="eastAsia" w:ascii="宋体" w:hAnsi="宋体" w:eastAsia="宋体" w:cs="宋体"/>
                <w:color w:val="auto"/>
                <w:spacing w:val="-2"/>
                <w:sz w:val="24"/>
                <w:highlight w:val="none"/>
              </w:rPr>
              <w:t>的报价不存在异常一致并成规律性的，其报价合理</w:t>
            </w:r>
            <w:r>
              <w:rPr>
                <w:rFonts w:hint="eastAsia" w:ascii="宋体" w:hAnsi="宋体" w:cs="宋体"/>
                <w:color w:val="auto"/>
                <w:spacing w:val="-2"/>
                <w:sz w:val="24"/>
                <w:highlight w:val="none"/>
                <w:lang w:eastAsia="zh-CN"/>
              </w:rPr>
              <w:t>；</w:t>
            </w:r>
          </w:p>
        </w:tc>
        <w:tc>
          <w:tcPr>
            <w:tcW w:w="1668" w:type="dxa"/>
            <w:vAlign w:val="center"/>
          </w:tcPr>
          <w:p>
            <w:pPr>
              <w:spacing w:line="300" w:lineRule="auto"/>
              <w:rPr>
                <w:rFonts w:hint="eastAsia" w:ascii="宋体" w:hAnsi="宋体" w:eastAsia="宋体" w:cs="宋体"/>
                <w:color w:val="auto"/>
                <w:spacing w:val="-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5" w:hRule="atLeast"/>
          <w:jc w:val="center"/>
        </w:trPr>
        <w:tc>
          <w:tcPr>
            <w:tcW w:w="864" w:type="dxa"/>
            <w:vAlign w:val="center"/>
          </w:tcPr>
          <w:p>
            <w:pPr>
              <w:spacing w:line="360" w:lineRule="auto"/>
              <w:jc w:val="center"/>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val="en-US" w:eastAsia="zh-CN"/>
              </w:rPr>
              <w:t>3</w:t>
            </w:r>
          </w:p>
        </w:tc>
        <w:tc>
          <w:tcPr>
            <w:tcW w:w="6887" w:type="dxa"/>
            <w:vAlign w:val="center"/>
          </w:tcPr>
          <w:p>
            <w:pPr>
              <w:spacing w:line="300" w:lineRule="auto"/>
              <w:jc w:val="left"/>
              <w:rPr>
                <w:rFonts w:hint="eastAsia" w:ascii="宋体" w:hAnsi="宋体" w:eastAsia="宋体" w:cs="宋体"/>
                <w:color w:val="auto"/>
                <w:spacing w:val="-2"/>
                <w:sz w:val="24"/>
                <w:highlight w:val="none"/>
                <w:lang w:eastAsia="zh-CN"/>
              </w:rPr>
            </w:pPr>
            <w:r>
              <w:rPr>
                <w:rFonts w:hint="eastAsia" w:ascii="宋体" w:hAnsi="宋体" w:eastAsia="宋体" w:cs="宋体"/>
                <w:color w:val="auto"/>
                <w:spacing w:val="-2"/>
                <w:sz w:val="24"/>
                <w:highlight w:val="none"/>
              </w:rPr>
              <w:t>投标文件按照招标文件的规定编制、标记及签署盖章的，法定代表人或其授权代表签字（章）和加盖</w:t>
            </w:r>
            <w:r>
              <w:rPr>
                <w:rFonts w:hint="eastAsia" w:ascii="宋体" w:hAnsi="宋体" w:eastAsia="宋体" w:cs="宋体"/>
                <w:color w:val="auto"/>
                <w:spacing w:val="-2"/>
                <w:sz w:val="24"/>
                <w:highlight w:val="none"/>
                <w:lang w:eastAsia="zh-CN"/>
              </w:rPr>
              <w:t>供应商</w:t>
            </w:r>
            <w:r>
              <w:rPr>
                <w:rFonts w:hint="eastAsia" w:ascii="宋体" w:hAnsi="宋体" w:eastAsia="宋体" w:cs="宋体"/>
                <w:color w:val="auto"/>
                <w:spacing w:val="-2"/>
                <w:sz w:val="24"/>
                <w:highlight w:val="none"/>
              </w:rPr>
              <w:t>公章的（投标文件正本的印章和签字不能为复印件）</w:t>
            </w:r>
            <w:r>
              <w:rPr>
                <w:rFonts w:hint="eastAsia" w:ascii="宋体" w:hAnsi="宋体" w:cs="宋体"/>
                <w:color w:val="auto"/>
                <w:spacing w:val="-2"/>
                <w:sz w:val="24"/>
                <w:highlight w:val="none"/>
                <w:lang w:eastAsia="zh-CN"/>
              </w:rPr>
              <w:t>；</w:t>
            </w:r>
          </w:p>
        </w:tc>
        <w:tc>
          <w:tcPr>
            <w:tcW w:w="1668" w:type="dxa"/>
            <w:vAlign w:val="center"/>
          </w:tcPr>
          <w:p>
            <w:pPr>
              <w:spacing w:line="300" w:lineRule="auto"/>
              <w:rPr>
                <w:rFonts w:hint="eastAsia" w:ascii="宋体" w:hAnsi="宋体" w:eastAsia="宋体" w:cs="宋体"/>
                <w:color w:val="auto"/>
                <w:spacing w:val="-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64" w:type="dxa"/>
            <w:vAlign w:val="center"/>
          </w:tcPr>
          <w:p>
            <w:pPr>
              <w:spacing w:line="360" w:lineRule="auto"/>
              <w:jc w:val="center"/>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val="en-US" w:eastAsia="zh-CN"/>
              </w:rPr>
              <w:t>4</w:t>
            </w:r>
          </w:p>
        </w:tc>
        <w:tc>
          <w:tcPr>
            <w:tcW w:w="6887" w:type="dxa"/>
            <w:vAlign w:val="center"/>
          </w:tcPr>
          <w:p>
            <w:pPr>
              <w:spacing w:line="300" w:lineRule="auto"/>
              <w:jc w:val="left"/>
              <w:rPr>
                <w:rFonts w:hint="eastAsia" w:ascii="宋体" w:hAnsi="宋体" w:eastAsia="宋体" w:cs="宋体"/>
                <w:color w:val="auto"/>
                <w:spacing w:val="-2"/>
                <w:sz w:val="24"/>
                <w:highlight w:val="none"/>
                <w:lang w:val="en-US" w:eastAsia="zh-CN"/>
              </w:rPr>
            </w:pPr>
            <w:r>
              <w:rPr>
                <w:rFonts w:hint="eastAsia" w:ascii="宋体" w:hAnsi="宋体" w:eastAsia="宋体" w:cs="宋体"/>
                <w:color w:val="auto"/>
                <w:spacing w:val="-2"/>
                <w:sz w:val="24"/>
                <w:highlight w:val="none"/>
                <w:lang w:val="en-US" w:eastAsia="zh-CN"/>
              </w:rPr>
              <w:t>按招标文件规定的格式填写，内容全或关键字迹清晰、数量等齐全的；</w:t>
            </w:r>
          </w:p>
        </w:tc>
        <w:tc>
          <w:tcPr>
            <w:tcW w:w="1668" w:type="dxa"/>
            <w:vAlign w:val="center"/>
          </w:tcPr>
          <w:p>
            <w:pPr>
              <w:spacing w:line="300" w:lineRule="auto"/>
              <w:rPr>
                <w:rFonts w:hint="eastAsia" w:ascii="宋体" w:hAnsi="宋体" w:eastAsia="宋体" w:cs="宋体"/>
                <w:color w:val="auto"/>
                <w:spacing w:val="-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64" w:type="dxa"/>
            <w:vAlign w:val="center"/>
          </w:tcPr>
          <w:p>
            <w:pPr>
              <w:spacing w:line="360" w:lineRule="auto"/>
              <w:jc w:val="center"/>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val="en-US" w:eastAsia="zh-CN"/>
              </w:rPr>
              <w:t>5</w:t>
            </w:r>
          </w:p>
        </w:tc>
        <w:tc>
          <w:tcPr>
            <w:tcW w:w="6887" w:type="dxa"/>
            <w:vAlign w:val="center"/>
          </w:tcPr>
          <w:p>
            <w:pPr>
              <w:spacing w:line="300" w:lineRule="auto"/>
              <w:jc w:val="left"/>
              <w:rPr>
                <w:rFonts w:hint="eastAsia" w:ascii="宋体" w:hAnsi="宋体" w:eastAsia="宋体" w:cs="宋体"/>
                <w:color w:val="auto"/>
                <w:spacing w:val="-2"/>
                <w:sz w:val="24"/>
                <w:highlight w:val="none"/>
                <w:lang w:eastAsia="zh-CN"/>
              </w:rPr>
            </w:pPr>
            <w:r>
              <w:rPr>
                <w:rFonts w:hint="eastAsia" w:ascii="宋体" w:hAnsi="宋体" w:eastAsia="宋体" w:cs="宋体"/>
                <w:color w:val="auto"/>
                <w:spacing w:val="-2"/>
                <w:sz w:val="24"/>
                <w:highlight w:val="none"/>
              </w:rPr>
              <w:t>符合招标文件中规定的实质性要求</w:t>
            </w:r>
            <w:r>
              <w:rPr>
                <w:rFonts w:hint="eastAsia" w:ascii="宋体" w:hAnsi="宋体" w:eastAsia="宋体" w:cs="宋体"/>
                <w:b/>
                <w:bCs/>
                <w:color w:val="auto"/>
                <w:spacing w:val="-2"/>
                <w:sz w:val="24"/>
                <w:highlight w:val="none"/>
                <w:lang w:eastAsia="zh-CN"/>
              </w:rPr>
              <w:t>（</w:t>
            </w:r>
            <w:r>
              <w:rPr>
                <w:rFonts w:hint="eastAsia" w:ascii="宋体" w:hAnsi="宋体" w:eastAsia="宋体" w:cs="宋体"/>
                <w:b/>
                <w:bCs/>
                <w:color w:val="auto"/>
                <w:spacing w:val="-2"/>
                <w:sz w:val="24"/>
                <w:highlight w:val="none"/>
                <w:lang w:val="en-US" w:eastAsia="zh-CN"/>
              </w:rPr>
              <w:t>交货期、质保期</w:t>
            </w:r>
            <w:r>
              <w:rPr>
                <w:rFonts w:hint="eastAsia" w:ascii="宋体" w:hAnsi="宋体" w:eastAsia="宋体" w:cs="宋体"/>
                <w:b/>
                <w:bCs/>
                <w:color w:val="auto"/>
                <w:spacing w:val="-2"/>
                <w:sz w:val="24"/>
                <w:highlight w:val="none"/>
                <w:lang w:eastAsia="zh-CN"/>
              </w:rPr>
              <w:t>）</w:t>
            </w:r>
            <w:r>
              <w:rPr>
                <w:rFonts w:hint="eastAsia" w:ascii="宋体" w:hAnsi="宋体" w:cs="宋体"/>
                <w:b/>
                <w:bCs/>
                <w:color w:val="auto"/>
                <w:spacing w:val="-2"/>
                <w:sz w:val="24"/>
                <w:highlight w:val="none"/>
                <w:lang w:eastAsia="zh-CN"/>
              </w:rPr>
              <w:t>；</w:t>
            </w:r>
          </w:p>
        </w:tc>
        <w:tc>
          <w:tcPr>
            <w:tcW w:w="1668" w:type="dxa"/>
            <w:vAlign w:val="center"/>
          </w:tcPr>
          <w:p>
            <w:pPr>
              <w:spacing w:line="300" w:lineRule="auto"/>
              <w:rPr>
                <w:rFonts w:hint="eastAsia" w:ascii="宋体" w:hAnsi="宋体" w:eastAsia="宋体" w:cs="宋体"/>
                <w:color w:val="auto"/>
                <w:spacing w:val="-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864" w:type="dxa"/>
            <w:vAlign w:val="center"/>
          </w:tcPr>
          <w:p>
            <w:pPr>
              <w:spacing w:line="360" w:lineRule="auto"/>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6</w:t>
            </w:r>
          </w:p>
        </w:tc>
        <w:tc>
          <w:tcPr>
            <w:tcW w:w="6887" w:type="dxa"/>
            <w:vAlign w:val="center"/>
          </w:tcPr>
          <w:p>
            <w:pPr>
              <w:spacing w:line="300" w:lineRule="auto"/>
              <w:jc w:val="left"/>
              <w:rPr>
                <w:rFonts w:hint="eastAsia" w:ascii="宋体" w:hAnsi="宋体" w:eastAsia="宋体" w:cs="宋体"/>
                <w:color w:val="auto"/>
                <w:spacing w:val="-2"/>
                <w:sz w:val="24"/>
                <w:highlight w:val="none"/>
                <w:lang w:eastAsia="zh-CN"/>
              </w:rPr>
            </w:pPr>
            <w:r>
              <w:rPr>
                <w:rFonts w:hint="eastAsia" w:ascii="宋体" w:hAnsi="宋体" w:eastAsia="宋体" w:cs="宋体"/>
                <w:color w:val="auto"/>
                <w:spacing w:val="-2"/>
                <w:sz w:val="24"/>
                <w:highlight w:val="none"/>
              </w:rPr>
              <w:t>没有采购人不能接受的附加条件的</w:t>
            </w:r>
            <w:r>
              <w:rPr>
                <w:rFonts w:hint="eastAsia" w:ascii="宋体" w:hAnsi="宋体" w:cs="宋体"/>
                <w:color w:val="auto"/>
                <w:spacing w:val="-2"/>
                <w:sz w:val="24"/>
                <w:highlight w:val="none"/>
                <w:lang w:eastAsia="zh-CN"/>
              </w:rPr>
              <w:t>；</w:t>
            </w:r>
          </w:p>
        </w:tc>
        <w:tc>
          <w:tcPr>
            <w:tcW w:w="1668" w:type="dxa"/>
            <w:vAlign w:val="center"/>
          </w:tcPr>
          <w:p>
            <w:pPr>
              <w:spacing w:line="300" w:lineRule="auto"/>
              <w:rPr>
                <w:rFonts w:hint="eastAsia" w:ascii="宋体" w:hAnsi="宋体" w:eastAsia="宋体" w:cs="宋体"/>
                <w:color w:val="auto"/>
                <w:spacing w:val="-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864" w:type="dxa"/>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7</w:t>
            </w:r>
          </w:p>
        </w:tc>
        <w:tc>
          <w:tcPr>
            <w:tcW w:w="6887" w:type="dxa"/>
            <w:vAlign w:val="center"/>
          </w:tcPr>
          <w:p>
            <w:pPr>
              <w:spacing w:line="300" w:lineRule="auto"/>
              <w:jc w:val="left"/>
              <w:rPr>
                <w:rFonts w:hint="eastAsia" w:ascii="宋体" w:hAnsi="宋体" w:eastAsia="宋体" w:cs="宋体"/>
                <w:color w:val="auto"/>
                <w:spacing w:val="-2"/>
                <w:sz w:val="24"/>
                <w:highlight w:val="none"/>
                <w:lang w:eastAsia="zh-CN"/>
              </w:rPr>
            </w:pPr>
            <w:r>
              <w:rPr>
                <w:rFonts w:hint="eastAsia" w:ascii="宋体" w:hAnsi="宋体" w:eastAsia="宋体" w:cs="宋体"/>
                <w:color w:val="auto"/>
                <w:spacing w:val="-2"/>
                <w:sz w:val="24"/>
                <w:highlight w:val="none"/>
              </w:rPr>
              <w:t>不同</w:t>
            </w:r>
            <w:r>
              <w:rPr>
                <w:rFonts w:hint="eastAsia" w:ascii="宋体" w:hAnsi="宋体" w:eastAsia="宋体" w:cs="宋体"/>
                <w:color w:val="auto"/>
                <w:spacing w:val="-2"/>
                <w:sz w:val="24"/>
                <w:highlight w:val="none"/>
                <w:lang w:eastAsia="zh-CN"/>
              </w:rPr>
              <w:t>供应商</w:t>
            </w:r>
            <w:r>
              <w:rPr>
                <w:rFonts w:hint="eastAsia" w:ascii="宋体" w:hAnsi="宋体" w:eastAsia="宋体" w:cs="宋体"/>
                <w:color w:val="auto"/>
                <w:spacing w:val="-2"/>
                <w:sz w:val="24"/>
                <w:highlight w:val="none"/>
              </w:rPr>
              <w:t>的投标文件没有错漏一致的情况</w:t>
            </w:r>
            <w:r>
              <w:rPr>
                <w:rFonts w:hint="eastAsia" w:ascii="宋体" w:hAnsi="宋体" w:cs="宋体"/>
                <w:color w:val="auto"/>
                <w:spacing w:val="-2"/>
                <w:sz w:val="24"/>
                <w:highlight w:val="none"/>
                <w:lang w:eastAsia="zh-CN"/>
              </w:rPr>
              <w:t>；</w:t>
            </w:r>
          </w:p>
        </w:tc>
        <w:tc>
          <w:tcPr>
            <w:tcW w:w="1668" w:type="dxa"/>
            <w:vAlign w:val="center"/>
          </w:tcPr>
          <w:p>
            <w:pPr>
              <w:spacing w:line="300" w:lineRule="auto"/>
              <w:rPr>
                <w:rFonts w:hint="eastAsia" w:ascii="宋体" w:hAnsi="宋体" w:eastAsia="宋体" w:cs="宋体"/>
                <w:color w:val="auto"/>
                <w:spacing w:val="-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64" w:type="dxa"/>
            <w:vAlign w:val="center"/>
          </w:tcPr>
          <w:p>
            <w:pPr>
              <w:spacing w:line="360" w:lineRule="auto"/>
              <w:jc w:val="center"/>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val="en-US" w:eastAsia="zh-CN"/>
              </w:rPr>
              <w:t>8</w:t>
            </w:r>
          </w:p>
        </w:tc>
        <w:tc>
          <w:tcPr>
            <w:tcW w:w="6887" w:type="dxa"/>
            <w:vAlign w:val="center"/>
          </w:tcPr>
          <w:p>
            <w:pPr>
              <w:spacing w:line="300" w:lineRule="auto"/>
              <w:jc w:val="left"/>
              <w:rPr>
                <w:rFonts w:hint="eastAsia" w:ascii="宋体" w:hAnsi="宋体" w:eastAsia="宋体" w:cs="宋体"/>
                <w:color w:val="auto"/>
                <w:spacing w:val="-2"/>
                <w:sz w:val="24"/>
                <w:highlight w:val="none"/>
              </w:rPr>
            </w:pPr>
            <w:r>
              <w:rPr>
                <w:rFonts w:hint="eastAsia" w:ascii="宋体" w:hAnsi="宋体" w:eastAsia="宋体" w:cs="宋体"/>
                <w:color w:val="auto"/>
                <w:spacing w:val="-2"/>
                <w:sz w:val="24"/>
                <w:highlight w:val="none"/>
                <w:lang w:eastAsia="zh-CN"/>
              </w:rPr>
              <w:t>供应商</w:t>
            </w:r>
            <w:r>
              <w:rPr>
                <w:rFonts w:hint="eastAsia" w:ascii="宋体" w:hAnsi="宋体" w:eastAsia="宋体" w:cs="宋体"/>
                <w:color w:val="auto"/>
                <w:spacing w:val="-2"/>
                <w:sz w:val="24"/>
                <w:highlight w:val="none"/>
              </w:rPr>
              <w:t>附有详细地址、联系人、电话标明的。</w:t>
            </w:r>
          </w:p>
        </w:tc>
        <w:tc>
          <w:tcPr>
            <w:tcW w:w="1668" w:type="dxa"/>
            <w:vAlign w:val="center"/>
          </w:tcPr>
          <w:p>
            <w:pPr>
              <w:spacing w:line="300" w:lineRule="auto"/>
              <w:rPr>
                <w:rFonts w:hint="eastAsia" w:ascii="宋体" w:hAnsi="宋体" w:eastAsia="宋体" w:cs="宋体"/>
                <w:color w:val="auto"/>
                <w:spacing w:val="-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7751" w:type="dxa"/>
            <w:gridSpan w:val="2"/>
            <w:vAlign w:val="center"/>
          </w:tcPr>
          <w:p>
            <w:pPr>
              <w:spacing w:line="300" w:lineRule="auto"/>
              <w:ind w:firstLine="424" w:firstLineChars="180"/>
              <w:rPr>
                <w:rFonts w:hint="eastAsia" w:ascii="宋体" w:hAnsi="宋体" w:eastAsia="宋体" w:cs="宋体"/>
                <w:color w:val="auto"/>
                <w:spacing w:val="-2"/>
                <w:sz w:val="24"/>
                <w:highlight w:val="none"/>
              </w:rPr>
            </w:pPr>
            <w:r>
              <w:rPr>
                <w:rFonts w:hint="eastAsia" w:ascii="宋体" w:hAnsi="宋体" w:eastAsia="宋体" w:cs="宋体"/>
                <w:color w:val="auto"/>
                <w:spacing w:val="-2"/>
                <w:sz w:val="24"/>
                <w:highlight w:val="none"/>
              </w:rPr>
              <w:t>结论：通过评审打“√”，未通过评审打“×”</w:t>
            </w:r>
          </w:p>
        </w:tc>
        <w:tc>
          <w:tcPr>
            <w:tcW w:w="1668" w:type="dxa"/>
            <w:vAlign w:val="center"/>
          </w:tcPr>
          <w:p>
            <w:pPr>
              <w:spacing w:line="300" w:lineRule="auto"/>
              <w:ind w:firstLine="424" w:firstLineChars="180"/>
              <w:rPr>
                <w:rFonts w:hint="eastAsia" w:ascii="宋体" w:hAnsi="宋体" w:eastAsia="宋体" w:cs="宋体"/>
                <w:color w:val="auto"/>
                <w:spacing w:val="-2"/>
                <w:sz w:val="24"/>
                <w:highlight w:val="none"/>
              </w:rPr>
            </w:pPr>
          </w:p>
        </w:tc>
      </w:tr>
    </w:tbl>
    <w:p>
      <w:pPr>
        <w:spacing w:line="300" w:lineRule="auto"/>
        <w:ind w:left="60"/>
        <w:rPr>
          <w:rFonts w:hint="eastAsia" w:ascii="宋体" w:hAnsi="宋体" w:eastAsia="宋体" w:cs="宋体"/>
          <w:color w:val="auto"/>
          <w:szCs w:val="21"/>
          <w:highlight w:val="none"/>
        </w:rPr>
      </w:pPr>
      <w:r>
        <w:rPr>
          <w:rFonts w:hint="eastAsia" w:ascii="宋体" w:hAnsi="宋体" w:eastAsia="宋体" w:cs="宋体"/>
          <w:color w:val="auto"/>
          <w:szCs w:val="21"/>
          <w:highlight w:val="none"/>
        </w:rPr>
        <w:t>说明：</w:t>
      </w:r>
    </w:p>
    <w:p>
      <w:pPr>
        <w:spacing w:line="300" w:lineRule="auto"/>
        <w:ind w:left="60"/>
        <w:rPr>
          <w:rFonts w:hint="eastAsia" w:ascii="宋体" w:hAnsi="宋体" w:eastAsia="宋体" w:cs="宋体"/>
          <w:color w:val="auto"/>
          <w:szCs w:val="21"/>
          <w:highlight w:val="none"/>
        </w:rPr>
      </w:pPr>
      <w:r>
        <w:rPr>
          <w:rFonts w:hint="eastAsia" w:ascii="宋体" w:hAnsi="宋体" w:eastAsia="宋体" w:cs="宋体"/>
          <w:color w:val="auto"/>
          <w:szCs w:val="21"/>
          <w:highlight w:val="none"/>
        </w:rPr>
        <w:t>（1）上述各项中用“√”表示合格，“×”表示不合格；</w:t>
      </w:r>
    </w:p>
    <w:p>
      <w:pPr>
        <w:spacing w:line="300" w:lineRule="auto"/>
        <w:ind w:left="689" w:leftChars="28" w:hanging="630" w:hangingChars="3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（2）上述各项中如有一项为“×”，则结论为“×”，表示该投标文件中存在重大偏差，不能通过初步评审；评委对某一分项评审认为不合格时，必须要写明原因。</w:t>
      </w:r>
    </w:p>
    <w:p>
      <w:pPr>
        <w:pStyle w:val="6"/>
        <w:spacing w:line="300" w:lineRule="auto"/>
        <w:ind w:firstLine="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（3）投标文件最终合格与否，以所有评委的评审意见中少数服从多数为原则定论。</w:t>
      </w:r>
    </w:p>
    <w:p>
      <w:pPr>
        <w:spacing w:line="240" w:lineRule="atLeast"/>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未通过</w:t>
      </w:r>
      <w:r>
        <w:rPr>
          <w:rFonts w:hint="eastAsia" w:ascii="宋体" w:hAnsi="宋体" w:eastAsia="宋体" w:cs="宋体"/>
          <w:b/>
          <w:bCs/>
          <w:color w:val="auto"/>
          <w:sz w:val="21"/>
          <w:szCs w:val="21"/>
          <w:highlight w:val="none"/>
        </w:rPr>
        <w:t>符合性审查</w:t>
      </w:r>
      <w:r>
        <w:rPr>
          <w:rFonts w:hint="eastAsia" w:ascii="宋体" w:hAnsi="宋体" w:eastAsia="宋体" w:cs="宋体"/>
          <w:b/>
          <w:bCs/>
          <w:color w:val="auto"/>
          <w:szCs w:val="21"/>
          <w:highlight w:val="none"/>
        </w:rPr>
        <w:t>的</w:t>
      </w:r>
      <w:r>
        <w:rPr>
          <w:rFonts w:hint="eastAsia" w:ascii="宋体" w:hAnsi="宋体" w:eastAsia="宋体" w:cs="宋体"/>
          <w:b/>
          <w:bCs/>
          <w:color w:val="auto"/>
          <w:szCs w:val="21"/>
          <w:highlight w:val="none"/>
          <w:lang w:eastAsia="zh-CN"/>
        </w:rPr>
        <w:t>供应商</w:t>
      </w:r>
      <w:r>
        <w:rPr>
          <w:rFonts w:hint="eastAsia" w:ascii="宋体" w:hAnsi="宋体" w:eastAsia="宋体" w:cs="宋体"/>
          <w:b/>
          <w:bCs/>
          <w:color w:val="auto"/>
          <w:szCs w:val="21"/>
          <w:highlight w:val="none"/>
        </w:rPr>
        <w:t>不进入评标；通过</w:t>
      </w:r>
      <w:r>
        <w:rPr>
          <w:rFonts w:hint="eastAsia" w:ascii="宋体" w:hAnsi="宋体" w:eastAsia="宋体" w:cs="宋体"/>
          <w:b/>
          <w:bCs/>
          <w:color w:val="auto"/>
          <w:sz w:val="21"/>
          <w:szCs w:val="21"/>
          <w:highlight w:val="none"/>
        </w:rPr>
        <w:t>符合性审查</w:t>
      </w:r>
      <w:r>
        <w:rPr>
          <w:rFonts w:hint="eastAsia" w:ascii="宋体" w:hAnsi="宋体" w:eastAsia="宋体" w:cs="宋体"/>
          <w:b/>
          <w:bCs/>
          <w:color w:val="auto"/>
          <w:szCs w:val="21"/>
          <w:highlight w:val="none"/>
        </w:rPr>
        <w:t>的</w:t>
      </w:r>
      <w:r>
        <w:rPr>
          <w:rFonts w:hint="eastAsia" w:ascii="宋体" w:hAnsi="宋体" w:eastAsia="宋体" w:cs="宋体"/>
          <w:b/>
          <w:bCs/>
          <w:color w:val="auto"/>
          <w:szCs w:val="21"/>
          <w:highlight w:val="none"/>
          <w:lang w:eastAsia="zh-CN"/>
        </w:rPr>
        <w:t>供应商</w:t>
      </w:r>
      <w:r>
        <w:rPr>
          <w:rFonts w:hint="eastAsia" w:ascii="宋体" w:hAnsi="宋体" w:eastAsia="宋体" w:cs="宋体"/>
          <w:b/>
          <w:bCs/>
          <w:color w:val="auto"/>
          <w:szCs w:val="21"/>
          <w:highlight w:val="none"/>
        </w:rPr>
        <w:t>少于不足三家的，不得评标。</w:t>
      </w:r>
    </w:p>
    <w:p>
      <w:pPr>
        <w:pStyle w:val="2"/>
        <w:rPr>
          <w:rFonts w:hint="eastAsia" w:ascii="宋体" w:hAnsi="宋体" w:eastAsia="宋体" w:cs="宋体"/>
          <w:b/>
          <w:bCs/>
          <w:color w:val="auto"/>
          <w:szCs w:val="21"/>
          <w:highlight w:val="none"/>
        </w:rPr>
      </w:pPr>
    </w:p>
    <w:p>
      <w:pPr>
        <w:pStyle w:val="2"/>
        <w:rPr>
          <w:rFonts w:hint="eastAsia" w:ascii="宋体" w:hAnsi="宋体" w:eastAsia="宋体" w:cs="宋体"/>
          <w:b/>
          <w:bCs/>
          <w:color w:val="auto"/>
          <w:szCs w:val="21"/>
          <w:highlight w:val="none"/>
        </w:rPr>
      </w:pPr>
    </w:p>
    <w:p>
      <w:pPr>
        <w:pStyle w:val="2"/>
        <w:rPr>
          <w:rFonts w:hint="eastAsia" w:ascii="宋体" w:hAnsi="宋体" w:eastAsia="宋体" w:cs="宋体"/>
          <w:b/>
          <w:bCs/>
          <w:color w:val="auto"/>
          <w:szCs w:val="21"/>
          <w:highlight w:val="none"/>
        </w:rPr>
      </w:pPr>
    </w:p>
    <w:p>
      <w:pPr>
        <w:pStyle w:val="2"/>
        <w:rPr>
          <w:rFonts w:hint="eastAsia" w:ascii="宋体" w:hAnsi="宋体" w:eastAsia="宋体" w:cs="宋体"/>
          <w:b/>
          <w:bCs/>
          <w:color w:val="auto"/>
          <w:szCs w:val="21"/>
          <w:highlight w:val="none"/>
        </w:rPr>
      </w:pPr>
    </w:p>
    <w:p>
      <w:pPr>
        <w:pStyle w:val="2"/>
        <w:rPr>
          <w:rFonts w:hint="eastAsia" w:ascii="宋体" w:hAnsi="宋体" w:eastAsia="宋体" w:cs="宋体"/>
          <w:b/>
          <w:bCs/>
          <w:color w:val="auto"/>
          <w:szCs w:val="21"/>
          <w:highlight w:val="none"/>
        </w:rPr>
      </w:pPr>
    </w:p>
    <w:p>
      <w:pPr>
        <w:pStyle w:val="2"/>
        <w:rPr>
          <w:rFonts w:hint="eastAsia" w:ascii="宋体" w:hAnsi="宋体" w:eastAsia="宋体" w:cs="宋体"/>
          <w:b/>
          <w:bCs/>
          <w:color w:val="auto"/>
          <w:szCs w:val="21"/>
          <w:highlight w:val="none"/>
        </w:rPr>
      </w:pPr>
    </w:p>
    <w:p>
      <w:pPr>
        <w:pStyle w:val="2"/>
        <w:rPr>
          <w:rFonts w:hint="eastAsia" w:ascii="宋体" w:hAnsi="宋体" w:eastAsia="宋体" w:cs="宋体"/>
          <w:b/>
          <w:bCs/>
          <w:color w:val="auto"/>
          <w:szCs w:val="21"/>
          <w:highlight w:val="none"/>
        </w:rPr>
      </w:pPr>
    </w:p>
    <w:p>
      <w:pPr>
        <w:pStyle w:val="2"/>
        <w:rPr>
          <w:rFonts w:hint="eastAsia" w:ascii="宋体" w:hAnsi="宋体" w:eastAsia="宋体" w:cs="宋体"/>
          <w:b/>
          <w:bCs/>
          <w:color w:val="auto"/>
          <w:szCs w:val="21"/>
          <w:highlight w:val="none"/>
        </w:rPr>
      </w:pPr>
    </w:p>
    <w:p>
      <w:pPr>
        <w:pStyle w:val="2"/>
        <w:rPr>
          <w:rFonts w:hint="eastAsia" w:ascii="宋体" w:hAnsi="宋体" w:eastAsia="宋体" w:cs="宋体"/>
          <w:b/>
          <w:bCs/>
          <w:color w:val="auto"/>
          <w:szCs w:val="21"/>
          <w:highlight w:val="none"/>
        </w:rPr>
      </w:pPr>
    </w:p>
    <w:p>
      <w:pPr>
        <w:pStyle w:val="2"/>
        <w:rPr>
          <w:rFonts w:hint="eastAsia" w:ascii="宋体" w:hAnsi="宋体" w:eastAsia="宋体" w:cs="宋体"/>
          <w:b/>
          <w:bCs/>
          <w:color w:val="auto"/>
          <w:szCs w:val="21"/>
          <w:highlight w:val="none"/>
        </w:rPr>
      </w:pPr>
    </w:p>
    <w:p>
      <w:pPr>
        <w:pStyle w:val="2"/>
        <w:rPr>
          <w:rFonts w:hint="eastAsia" w:ascii="宋体" w:hAnsi="宋体" w:eastAsia="宋体" w:cs="宋体"/>
          <w:b/>
          <w:bCs/>
          <w:color w:val="auto"/>
          <w:szCs w:val="21"/>
          <w:highlight w:val="none"/>
        </w:rPr>
      </w:pPr>
    </w:p>
    <w:p>
      <w:pPr>
        <w:pStyle w:val="2"/>
        <w:rPr>
          <w:rFonts w:hint="eastAsia" w:ascii="宋体" w:hAnsi="宋体" w:eastAsia="宋体" w:cs="宋体"/>
          <w:b/>
          <w:bCs/>
          <w:color w:val="auto"/>
          <w:szCs w:val="21"/>
          <w:highlight w:val="none"/>
        </w:rPr>
      </w:pPr>
    </w:p>
    <w:tbl>
      <w:tblPr>
        <w:tblStyle w:val="20"/>
        <w:tblW w:w="8700" w:type="dxa"/>
        <w:tblInd w:w="108" w:type="dxa"/>
        <w:tblLayout w:type="fixed"/>
        <w:tblCellMar>
          <w:top w:w="0" w:type="dxa"/>
          <w:left w:w="108" w:type="dxa"/>
          <w:bottom w:w="0" w:type="dxa"/>
          <w:right w:w="108" w:type="dxa"/>
        </w:tblCellMar>
      </w:tblPr>
      <w:tblGrid>
        <w:gridCol w:w="2126"/>
        <w:gridCol w:w="4137"/>
        <w:gridCol w:w="765"/>
        <w:gridCol w:w="855"/>
        <w:gridCol w:w="817"/>
      </w:tblGrid>
      <w:tr>
        <w:tblPrEx>
          <w:tblCellMar>
            <w:top w:w="0" w:type="dxa"/>
            <w:left w:w="108" w:type="dxa"/>
            <w:bottom w:w="0" w:type="dxa"/>
            <w:right w:w="108" w:type="dxa"/>
          </w:tblCellMar>
        </w:tblPrEx>
        <w:trPr>
          <w:trHeight w:val="585" w:hRule="atLeast"/>
        </w:trPr>
        <w:tc>
          <w:tcPr>
            <w:tcW w:w="8700" w:type="dxa"/>
            <w:gridSpan w:val="5"/>
            <w:tcBorders>
              <w:top w:val="nil"/>
              <w:left w:val="nil"/>
              <w:bottom w:val="single" w:color="auto" w:sz="4" w:space="0"/>
              <w:right w:val="nil"/>
            </w:tcBorders>
            <w:vAlign w:val="center"/>
          </w:tcPr>
          <w:p>
            <w:pPr>
              <w:widowControl/>
              <w:jc w:val="center"/>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一、商务符合性审查表</w:t>
            </w:r>
          </w:p>
        </w:tc>
      </w:tr>
      <w:tr>
        <w:tblPrEx>
          <w:tblCellMar>
            <w:top w:w="0" w:type="dxa"/>
            <w:left w:w="108" w:type="dxa"/>
            <w:bottom w:w="0" w:type="dxa"/>
            <w:right w:w="108" w:type="dxa"/>
          </w:tblCellMar>
        </w:tblPrEx>
        <w:trPr>
          <w:trHeight w:val="754" w:hRule="atLeast"/>
        </w:trPr>
        <w:tc>
          <w:tcPr>
            <w:tcW w:w="626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审查事项</w:t>
            </w:r>
          </w:p>
        </w:tc>
        <w:tc>
          <w:tcPr>
            <w:tcW w:w="2437"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lang w:eastAsia="zh-CN"/>
              </w:rPr>
              <w:t>供应商</w:t>
            </w:r>
            <w:r>
              <w:rPr>
                <w:rFonts w:hint="eastAsia" w:ascii="宋体" w:hAnsi="宋体" w:eastAsia="宋体" w:cs="宋体"/>
                <w:b/>
                <w:color w:val="auto"/>
                <w:kern w:val="0"/>
                <w:sz w:val="24"/>
                <w:szCs w:val="24"/>
                <w:highlight w:val="none"/>
              </w:rPr>
              <w:t>名称及审查情况</w:t>
            </w:r>
          </w:p>
        </w:tc>
      </w:tr>
      <w:tr>
        <w:tblPrEx>
          <w:tblCellMar>
            <w:top w:w="0" w:type="dxa"/>
            <w:left w:w="108" w:type="dxa"/>
            <w:bottom w:w="0" w:type="dxa"/>
            <w:right w:w="108" w:type="dxa"/>
          </w:tblCellMar>
        </w:tblPrEx>
        <w:trPr>
          <w:trHeight w:val="570" w:hRule="atLeast"/>
        </w:trPr>
        <w:tc>
          <w:tcPr>
            <w:tcW w:w="212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招标文件条款（</w:t>
            </w:r>
            <w:r>
              <w:rPr>
                <w:rFonts w:hint="eastAsia" w:ascii="宋体" w:hAnsi="宋体" w:eastAsia="宋体" w:cs="宋体"/>
                <w:b/>
                <w:color w:val="auto"/>
                <w:kern w:val="0"/>
                <w:sz w:val="24"/>
                <w:szCs w:val="24"/>
                <w:highlight w:val="none"/>
                <w:lang w:eastAsia="zh-CN"/>
              </w:rPr>
              <w:t>供应商</w:t>
            </w:r>
            <w:r>
              <w:rPr>
                <w:rFonts w:hint="eastAsia" w:ascii="宋体" w:hAnsi="宋体" w:eastAsia="宋体" w:cs="宋体"/>
                <w:b/>
                <w:color w:val="auto"/>
                <w:kern w:val="0"/>
                <w:sz w:val="24"/>
                <w:szCs w:val="24"/>
                <w:highlight w:val="none"/>
              </w:rPr>
              <w:t>须知、</w:t>
            </w:r>
            <w:r>
              <w:rPr>
                <w:rFonts w:hint="eastAsia" w:ascii="宋体" w:hAnsi="宋体" w:eastAsia="宋体" w:cs="宋体"/>
                <w:b/>
                <w:color w:val="auto"/>
                <w:kern w:val="0"/>
                <w:sz w:val="24"/>
                <w:szCs w:val="24"/>
                <w:highlight w:val="none"/>
                <w:lang w:eastAsia="zh-CN"/>
              </w:rPr>
              <w:t>供应商</w:t>
            </w:r>
            <w:r>
              <w:rPr>
                <w:rFonts w:hint="eastAsia" w:ascii="宋体" w:hAnsi="宋体" w:eastAsia="宋体" w:cs="宋体"/>
                <w:b/>
                <w:color w:val="auto"/>
                <w:kern w:val="0"/>
                <w:sz w:val="24"/>
                <w:szCs w:val="24"/>
                <w:highlight w:val="none"/>
              </w:rPr>
              <w:t>须知资料表条款号）</w:t>
            </w:r>
          </w:p>
        </w:tc>
        <w:tc>
          <w:tcPr>
            <w:tcW w:w="41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本项目要求</w:t>
            </w:r>
          </w:p>
        </w:tc>
        <w:tc>
          <w:tcPr>
            <w:tcW w:w="76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5"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17"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r>
      <w:tr>
        <w:tblPrEx>
          <w:tblCellMar>
            <w:top w:w="0" w:type="dxa"/>
            <w:left w:w="108" w:type="dxa"/>
            <w:bottom w:w="0" w:type="dxa"/>
            <w:right w:w="108" w:type="dxa"/>
          </w:tblCellMar>
        </w:tblPrEx>
        <w:trPr>
          <w:trHeight w:val="90" w:hRule="atLeast"/>
        </w:trPr>
        <w:tc>
          <w:tcPr>
            <w:tcW w:w="212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中小企业投标要求（1.3.6）</w:t>
            </w:r>
          </w:p>
        </w:tc>
        <w:tc>
          <w:tcPr>
            <w:tcW w:w="4137"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本项目</w:t>
            </w:r>
            <w:r>
              <w:rPr>
                <w:rFonts w:hint="eastAsia" w:ascii="宋体" w:hAnsi="宋体" w:eastAsia="宋体" w:cs="宋体"/>
                <w:i/>
                <w:iCs/>
                <w:color w:val="auto"/>
                <w:kern w:val="0"/>
                <w:sz w:val="24"/>
                <w:szCs w:val="24"/>
                <w:highlight w:val="none"/>
                <w:u w:val="single"/>
              </w:rPr>
              <w:t>适用</w:t>
            </w:r>
          </w:p>
        </w:tc>
        <w:tc>
          <w:tcPr>
            <w:tcW w:w="765"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highlight w:val="none"/>
              </w:rPr>
            </w:pPr>
          </w:p>
        </w:tc>
        <w:tc>
          <w:tcPr>
            <w:tcW w:w="855"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highlight w:val="none"/>
              </w:rPr>
            </w:pPr>
          </w:p>
        </w:tc>
        <w:tc>
          <w:tcPr>
            <w:tcW w:w="817"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510" w:hRule="atLeast"/>
        </w:trPr>
        <w:tc>
          <w:tcPr>
            <w:tcW w:w="212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联合体投标规定</w:t>
            </w:r>
          </w:p>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（1.4）</w:t>
            </w:r>
          </w:p>
        </w:tc>
        <w:tc>
          <w:tcPr>
            <w:tcW w:w="4137"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本项目</w:t>
            </w:r>
            <w:r>
              <w:rPr>
                <w:rFonts w:hint="eastAsia" w:ascii="宋体" w:hAnsi="宋体" w:eastAsia="宋体" w:cs="宋体"/>
                <w:i/>
                <w:iCs/>
                <w:color w:val="auto"/>
                <w:kern w:val="0"/>
                <w:sz w:val="24"/>
                <w:szCs w:val="24"/>
                <w:highlight w:val="none"/>
                <w:u w:val="single"/>
              </w:rPr>
              <w:t>不接受</w:t>
            </w:r>
            <w:r>
              <w:rPr>
                <w:rFonts w:hint="eastAsia" w:ascii="宋体" w:hAnsi="宋体" w:eastAsia="宋体" w:cs="宋体"/>
                <w:color w:val="auto"/>
                <w:kern w:val="0"/>
                <w:sz w:val="24"/>
                <w:szCs w:val="24"/>
                <w:highlight w:val="none"/>
              </w:rPr>
              <w:t>联合体投标</w:t>
            </w:r>
          </w:p>
        </w:tc>
        <w:tc>
          <w:tcPr>
            <w:tcW w:w="765"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5"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17"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r>
      <w:tr>
        <w:tblPrEx>
          <w:tblCellMar>
            <w:top w:w="0" w:type="dxa"/>
            <w:left w:w="108" w:type="dxa"/>
            <w:bottom w:w="0" w:type="dxa"/>
            <w:right w:w="108" w:type="dxa"/>
          </w:tblCellMar>
        </w:tblPrEx>
        <w:trPr>
          <w:trHeight w:val="90" w:hRule="atLeast"/>
        </w:trPr>
        <w:tc>
          <w:tcPr>
            <w:tcW w:w="212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的关联性</w:t>
            </w:r>
          </w:p>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（1.5）</w:t>
            </w:r>
          </w:p>
        </w:tc>
        <w:tc>
          <w:tcPr>
            <w:tcW w:w="4137"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在同一标包内，单位负责人为非同一人或者不存在直接控股、管理关系的不同供应商。</w:t>
            </w:r>
          </w:p>
        </w:tc>
        <w:tc>
          <w:tcPr>
            <w:tcW w:w="765"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5"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17"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r>
      <w:tr>
        <w:tblPrEx>
          <w:tblCellMar>
            <w:top w:w="0" w:type="dxa"/>
            <w:left w:w="108" w:type="dxa"/>
            <w:bottom w:w="0" w:type="dxa"/>
            <w:right w:w="108" w:type="dxa"/>
          </w:tblCellMar>
        </w:tblPrEx>
        <w:trPr>
          <w:trHeight w:val="510" w:hRule="atLeast"/>
        </w:trPr>
        <w:tc>
          <w:tcPr>
            <w:tcW w:w="212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未发现影响采购人决策行为（1.5）</w:t>
            </w:r>
          </w:p>
        </w:tc>
        <w:tc>
          <w:tcPr>
            <w:tcW w:w="4137"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在投标过程中未向采购人提供、给予任何有价值的物品，影响其正常决策行为。</w:t>
            </w:r>
          </w:p>
        </w:tc>
        <w:tc>
          <w:tcPr>
            <w:tcW w:w="765"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highlight w:val="none"/>
              </w:rPr>
            </w:pPr>
          </w:p>
        </w:tc>
        <w:tc>
          <w:tcPr>
            <w:tcW w:w="855"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highlight w:val="none"/>
              </w:rPr>
            </w:pPr>
          </w:p>
        </w:tc>
        <w:tc>
          <w:tcPr>
            <w:tcW w:w="817"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510" w:hRule="atLeast"/>
        </w:trPr>
        <w:tc>
          <w:tcPr>
            <w:tcW w:w="212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满足投标范围的完整性要求（8.1）</w:t>
            </w:r>
          </w:p>
        </w:tc>
        <w:tc>
          <w:tcPr>
            <w:tcW w:w="4137"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对所投分包招标文件中所列的所有内容进行投标。</w:t>
            </w:r>
          </w:p>
        </w:tc>
        <w:tc>
          <w:tcPr>
            <w:tcW w:w="765"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highlight w:val="none"/>
              </w:rPr>
            </w:pPr>
          </w:p>
        </w:tc>
        <w:tc>
          <w:tcPr>
            <w:tcW w:w="855"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highlight w:val="none"/>
              </w:rPr>
            </w:pPr>
          </w:p>
        </w:tc>
        <w:tc>
          <w:tcPr>
            <w:tcW w:w="817"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510" w:hRule="atLeast"/>
        </w:trPr>
        <w:tc>
          <w:tcPr>
            <w:tcW w:w="212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未包含价格调整要求（11.4）</w:t>
            </w:r>
          </w:p>
        </w:tc>
        <w:tc>
          <w:tcPr>
            <w:tcW w:w="4137"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所报的各分项投标报价在合同履行过程中是固定不变的，不得以任何理由予以变更。</w:t>
            </w:r>
          </w:p>
        </w:tc>
        <w:tc>
          <w:tcPr>
            <w:tcW w:w="765"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5"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17"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r>
      <w:tr>
        <w:tblPrEx>
          <w:tblCellMar>
            <w:top w:w="0" w:type="dxa"/>
            <w:left w:w="108" w:type="dxa"/>
            <w:bottom w:w="0" w:type="dxa"/>
            <w:right w:w="108" w:type="dxa"/>
          </w:tblCellMar>
        </w:tblPrEx>
        <w:trPr>
          <w:trHeight w:val="510" w:hRule="atLeast"/>
        </w:trPr>
        <w:tc>
          <w:tcPr>
            <w:tcW w:w="212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投标保证金（12.1）</w:t>
            </w:r>
          </w:p>
        </w:tc>
        <w:tc>
          <w:tcPr>
            <w:tcW w:w="4137"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符合招标文件要求</w:t>
            </w:r>
          </w:p>
        </w:tc>
        <w:tc>
          <w:tcPr>
            <w:tcW w:w="765"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highlight w:val="none"/>
              </w:rPr>
            </w:pPr>
          </w:p>
        </w:tc>
        <w:tc>
          <w:tcPr>
            <w:tcW w:w="855"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highlight w:val="none"/>
              </w:rPr>
            </w:pPr>
          </w:p>
        </w:tc>
        <w:tc>
          <w:tcPr>
            <w:tcW w:w="817"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510" w:hRule="atLeast"/>
        </w:trPr>
        <w:tc>
          <w:tcPr>
            <w:tcW w:w="212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投标有效期满足要求（13.1）</w:t>
            </w:r>
          </w:p>
        </w:tc>
        <w:tc>
          <w:tcPr>
            <w:tcW w:w="4137"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自提交投标文件截止之日起</w:t>
            </w:r>
            <w:r>
              <w:rPr>
                <w:rFonts w:hint="eastAsia" w:ascii="宋体" w:hAnsi="宋体" w:eastAsia="宋体" w:cs="宋体"/>
                <w:color w:val="auto"/>
                <w:sz w:val="24"/>
                <w:szCs w:val="24"/>
                <w:highlight w:val="none"/>
                <w:u w:val="single"/>
              </w:rPr>
              <w:t xml:space="preserve"> 60  日</w:t>
            </w:r>
            <w:r>
              <w:rPr>
                <w:rFonts w:hint="eastAsia" w:ascii="宋体" w:hAnsi="宋体" w:eastAsia="宋体" w:cs="宋体"/>
                <w:color w:val="auto"/>
                <w:sz w:val="24"/>
                <w:szCs w:val="24"/>
                <w:highlight w:val="none"/>
              </w:rPr>
              <w:t>历日内</w:t>
            </w:r>
          </w:p>
        </w:tc>
        <w:tc>
          <w:tcPr>
            <w:tcW w:w="765"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5"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17"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r>
      <w:tr>
        <w:tblPrEx>
          <w:tblCellMar>
            <w:top w:w="0" w:type="dxa"/>
            <w:left w:w="108" w:type="dxa"/>
            <w:bottom w:w="0" w:type="dxa"/>
            <w:right w:w="108" w:type="dxa"/>
          </w:tblCellMar>
        </w:tblPrEx>
        <w:trPr>
          <w:trHeight w:val="570" w:hRule="atLeast"/>
        </w:trPr>
        <w:tc>
          <w:tcPr>
            <w:tcW w:w="212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投标文件的装订方式（14.3）</w:t>
            </w:r>
          </w:p>
        </w:tc>
        <w:tc>
          <w:tcPr>
            <w:tcW w:w="4137"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所有投标文件采用不可拆装的胶订方式装订</w:t>
            </w:r>
          </w:p>
        </w:tc>
        <w:tc>
          <w:tcPr>
            <w:tcW w:w="765"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5"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17"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r>
      <w:tr>
        <w:tblPrEx>
          <w:tblCellMar>
            <w:top w:w="0" w:type="dxa"/>
            <w:left w:w="108" w:type="dxa"/>
            <w:bottom w:w="0" w:type="dxa"/>
            <w:right w:w="108" w:type="dxa"/>
          </w:tblCellMar>
        </w:tblPrEx>
        <w:trPr>
          <w:trHeight w:val="570" w:hRule="atLeast"/>
        </w:trPr>
        <w:tc>
          <w:tcPr>
            <w:tcW w:w="212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投标文件的签署和盖章符合要求</w:t>
            </w:r>
          </w:p>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（14.2、14.4）</w:t>
            </w:r>
          </w:p>
        </w:tc>
        <w:tc>
          <w:tcPr>
            <w:tcW w:w="4137"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按照招标文件规定要求签署、盖章。</w:t>
            </w:r>
          </w:p>
        </w:tc>
        <w:tc>
          <w:tcPr>
            <w:tcW w:w="765"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highlight w:val="none"/>
              </w:rPr>
            </w:pPr>
          </w:p>
        </w:tc>
        <w:tc>
          <w:tcPr>
            <w:tcW w:w="855"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highlight w:val="none"/>
              </w:rPr>
            </w:pPr>
          </w:p>
        </w:tc>
        <w:tc>
          <w:tcPr>
            <w:tcW w:w="817"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510" w:hRule="atLeast"/>
        </w:trPr>
        <w:tc>
          <w:tcPr>
            <w:tcW w:w="212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接受价格的算术修正（20.3）</w:t>
            </w:r>
          </w:p>
        </w:tc>
        <w:tc>
          <w:tcPr>
            <w:tcW w:w="4137"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投标文件报价出现前后不一致的，应按照招标文件规定的顺序修正。修正后的报价经</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确认后产生约束力。</w:t>
            </w:r>
          </w:p>
        </w:tc>
        <w:tc>
          <w:tcPr>
            <w:tcW w:w="765"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5"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17"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r>
      <w:tr>
        <w:tblPrEx>
          <w:tblCellMar>
            <w:top w:w="0" w:type="dxa"/>
            <w:left w:w="108" w:type="dxa"/>
            <w:bottom w:w="0" w:type="dxa"/>
            <w:right w:w="108" w:type="dxa"/>
          </w:tblCellMar>
        </w:tblPrEx>
        <w:trPr>
          <w:trHeight w:val="510" w:hRule="atLeast"/>
        </w:trPr>
        <w:tc>
          <w:tcPr>
            <w:tcW w:w="212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符合强制采购节能产品要求（20.6）</w:t>
            </w:r>
          </w:p>
        </w:tc>
        <w:tc>
          <w:tcPr>
            <w:tcW w:w="4137"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本项目</w:t>
            </w:r>
            <w:r>
              <w:rPr>
                <w:rFonts w:hint="eastAsia" w:ascii="宋体" w:hAnsi="宋体" w:eastAsia="宋体" w:cs="宋体"/>
                <w:i/>
                <w:iCs/>
                <w:color w:val="auto"/>
                <w:kern w:val="0"/>
                <w:sz w:val="24"/>
                <w:szCs w:val="24"/>
                <w:highlight w:val="none"/>
                <w:u w:val="single"/>
              </w:rPr>
              <w:t>适用</w:t>
            </w:r>
          </w:p>
        </w:tc>
        <w:tc>
          <w:tcPr>
            <w:tcW w:w="765"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5"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17"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r>
      <w:tr>
        <w:tblPrEx>
          <w:tblCellMar>
            <w:top w:w="0" w:type="dxa"/>
            <w:left w:w="108" w:type="dxa"/>
            <w:bottom w:w="0" w:type="dxa"/>
            <w:right w:w="108" w:type="dxa"/>
          </w:tblCellMar>
        </w:tblPrEx>
        <w:trPr>
          <w:trHeight w:val="510" w:hRule="atLeast"/>
        </w:trPr>
        <w:tc>
          <w:tcPr>
            <w:tcW w:w="212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未发现串通投标（22.2）</w:t>
            </w:r>
          </w:p>
        </w:tc>
        <w:tc>
          <w:tcPr>
            <w:tcW w:w="4137"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未与其他</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串通投标，或者与</w:t>
            </w:r>
            <w:r>
              <w:rPr>
                <w:rFonts w:hint="eastAsia" w:ascii="宋体" w:hAnsi="宋体" w:cs="宋体"/>
                <w:color w:val="auto"/>
                <w:sz w:val="24"/>
                <w:szCs w:val="24"/>
                <w:highlight w:val="none"/>
                <w:lang w:eastAsia="zh-CN"/>
              </w:rPr>
              <w:t>采购人</w:t>
            </w:r>
            <w:r>
              <w:rPr>
                <w:rFonts w:hint="eastAsia" w:ascii="宋体" w:hAnsi="宋体" w:eastAsia="宋体" w:cs="宋体"/>
                <w:color w:val="auto"/>
                <w:sz w:val="24"/>
                <w:szCs w:val="24"/>
                <w:highlight w:val="none"/>
              </w:rPr>
              <w:t>串通投标。</w:t>
            </w:r>
          </w:p>
        </w:tc>
        <w:tc>
          <w:tcPr>
            <w:tcW w:w="765"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5"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17"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r>
      <w:tr>
        <w:tblPrEx>
          <w:tblCellMar>
            <w:top w:w="0" w:type="dxa"/>
            <w:left w:w="108" w:type="dxa"/>
            <w:bottom w:w="0" w:type="dxa"/>
            <w:right w:w="108" w:type="dxa"/>
          </w:tblCellMar>
        </w:tblPrEx>
        <w:trPr>
          <w:trHeight w:val="510" w:hRule="atLeast"/>
        </w:trPr>
        <w:tc>
          <w:tcPr>
            <w:tcW w:w="212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报价说明可以接受（22.2）</w:t>
            </w:r>
          </w:p>
        </w:tc>
        <w:tc>
          <w:tcPr>
            <w:tcW w:w="4137"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的报价明显低于其他通过符合性检查</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的报价，有可能影响履约的，</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能按照规定证明其报价合理性。</w:t>
            </w:r>
          </w:p>
        </w:tc>
        <w:tc>
          <w:tcPr>
            <w:tcW w:w="765"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5"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17"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r>
      <w:tr>
        <w:tblPrEx>
          <w:tblCellMar>
            <w:top w:w="0" w:type="dxa"/>
            <w:left w:w="108" w:type="dxa"/>
            <w:bottom w:w="0" w:type="dxa"/>
            <w:right w:w="108" w:type="dxa"/>
          </w:tblCellMar>
        </w:tblPrEx>
        <w:trPr>
          <w:trHeight w:val="510" w:hRule="atLeast"/>
        </w:trPr>
        <w:tc>
          <w:tcPr>
            <w:tcW w:w="212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无采购人不能接受的附加条件（22.2）</w:t>
            </w:r>
          </w:p>
        </w:tc>
        <w:tc>
          <w:tcPr>
            <w:tcW w:w="4137"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投标文件未含有采购人不能接受的附加条件。</w:t>
            </w:r>
          </w:p>
        </w:tc>
        <w:tc>
          <w:tcPr>
            <w:tcW w:w="765"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highlight w:val="none"/>
              </w:rPr>
            </w:pPr>
          </w:p>
        </w:tc>
        <w:tc>
          <w:tcPr>
            <w:tcW w:w="855"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highlight w:val="none"/>
              </w:rPr>
            </w:pPr>
          </w:p>
        </w:tc>
        <w:tc>
          <w:tcPr>
            <w:tcW w:w="817"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774" w:hRule="atLeast"/>
        </w:trPr>
        <w:tc>
          <w:tcPr>
            <w:tcW w:w="626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color w:val="auto"/>
                <w:sz w:val="24"/>
                <w:szCs w:val="24"/>
                <w:highlight w:val="none"/>
              </w:rPr>
            </w:pPr>
            <w:r>
              <w:rPr>
                <w:rFonts w:hint="eastAsia" w:ascii="宋体" w:hAnsi="宋体" w:eastAsia="宋体" w:cs="宋体"/>
                <w:b/>
                <w:color w:val="auto"/>
                <w:kern w:val="0"/>
                <w:sz w:val="24"/>
                <w:szCs w:val="24"/>
                <w:highlight w:val="none"/>
              </w:rPr>
              <w:t>结论</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highlight w:val="none"/>
              </w:rPr>
            </w:pPr>
          </w:p>
        </w:tc>
        <w:tc>
          <w:tcPr>
            <w:tcW w:w="85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highlight w:val="none"/>
              </w:rPr>
            </w:pPr>
          </w:p>
        </w:tc>
        <w:tc>
          <w:tcPr>
            <w:tcW w:w="817"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highlight w:val="none"/>
              </w:rPr>
            </w:pPr>
          </w:p>
        </w:tc>
      </w:tr>
    </w:tbl>
    <w:p>
      <w:pPr>
        <w:pStyle w:val="9"/>
        <w:tabs>
          <w:tab w:val="clear" w:pos="567"/>
        </w:tabs>
        <w:spacing w:before="0" w:line="360" w:lineRule="auto"/>
        <w:ind w:left="-181" w:leftChars="-86" w:firstLine="577" w:firstLineChars="275"/>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br w:type="page"/>
      </w:r>
    </w:p>
    <w:tbl>
      <w:tblPr>
        <w:tblStyle w:val="20"/>
        <w:tblW w:w="8700" w:type="dxa"/>
        <w:tblInd w:w="108" w:type="dxa"/>
        <w:tblLayout w:type="fixed"/>
        <w:tblCellMar>
          <w:top w:w="0" w:type="dxa"/>
          <w:left w:w="108" w:type="dxa"/>
          <w:bottom w:w="0" w:type="dxa"/>
          <w:right w:w="108" w:type="dxa"/>
        </w:tblCellMar>
      </w:tblPr>
      <w:tblGrid>
        <w:gridCol w:w="2820"/>
        <w:gridCol w:w="920"/>
        <w:gridCol w:w="1505"/>
        <w:gridCol w:w="1843"/>
        <w:gridCol w:w="1612"/>
      </w:tblGrid>
      <w:tr>
        <w:tblPrEx>
          <w:tblCellMar>
            <w:top w:w="0" w:type="dxa"/>
            <w:left w:w="108" w:type="dxa"/>
            <w:bottom w:w="0" w:type="dxa"/>
            <w:right w:w="108" w:type="dxa"/>
          </w:tblCellMar>
        </w:tblPrEx>
        <w:trPr>
          <w:trHeight w:val="585" w:hRule="atLeast"/>
        </w:trPr>
        <w:tc>
          <w:tcPr>
            <w:tcW w:w="8700" w:type="dxa"/>
            <w:gridSpan w:val="5"/>
            <w:tcBorders>
              <w:top w:val="nil"/>
              <w:left w:val="nil"/>
              <w:bottom w:val="single" w:color="auto" w:sz="4" w:space="0"/>
              <w:right w:val="nil"/>
            </w:tcBorders>
            <w:vAlign w:val="center"/>
          </w:tcPr>
          <w:p>
            <w:pPr>
              <w:widowControl/>
              <w:jc w:val="center"/>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技术符合性审查表</w:t>
            </w:r>
          </w:p>
        </w:tc>
      </w:tr>
      <w:tr>
        <w:tblPrEx>
          <w:tblCellMar>
            <w:top w:w="0" w:type="dxa"/>
            <w:left w:w="108" w:type="dxa"/>
            <w:bottom w:w="0" w:type="dxa"/>
            <w:right w:w="108" w:type="dxa"/>
          </w:tblCellMar>
        </w:tblPrEx>
        <w:trPr>
          <w:trHeight w:val="390" w:hRule="atLeast"/>
        </w:trPr>
        <w:tc>
          <w:tcPr>
            <w:tcW w:w="3740" w:type="dxa"/>
            <w:gridSpan w:val="2"/>
            <w:vMerge w:val="restart"/>
            <w:tcBorders>
              <w:top w:val="single" w:color="auto" w:sz="4" w:space="0"/>
              <w:left w:val="single" w:color="auto" w:sz="4" w:space="0"/>
              <w:bottom w:val="single" w:color="000000" w:sz="4" w:space="0"/>
              <w:right w:val="single" w:color="000000" w:sz="4" w:space="0"/>
            </w:tcBorders>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审查事项</w:t>
            </w:r>
          </w:p>
        </w:tc>
        <w:tc>
          <w:tcPr>
            <w:tcW w:w="150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名称</w:t>
            </w:r>
          </w:p>
        </w:tc>
        <w:tc>
          <w:tcPr>
            <w:tcW w:w="1843"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名称</w:t>
            </w:r>
          </w:p>
        </w:tc>
        <w:tc>
          <w:tcPr>
            <w:tcW w:w="1612"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名称</w:t>
            </w:r>
          </w:p>
        </w:tc>
      </w:tr>
      <w:tr>
        <w:tblPrEx>
          <w:tblCellMar>
            <w:top w:w="0" w:type="dxa"/>
            <w:left w:w="108" w:type="dxa"/>
            <w:bottom w:w="0" w:type="dxa"/>
            <w:right w:w="108" w:type="dxa"/>
          </w:tblCellMar>
        </w:tblPrEx>
        <w:trPr>
          <w:trHeight w:val="570" w:hRule="atLeast"/>
        </w:trPr>
        <w:tc>
          <w:tcPr>
            <w:tcW w:w="3740"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hint="eastAsia" w:ascii="宋体" w:hAnsi="宋体" w:eastAsia="宋体" w:cs="宋体"/>
                <w:color w:val="auto"/>
                <w:kern w:val="0"/>
                <w:szCs w:val="21"/>
                <w:highlight w:val="none"/>
              </w:rPr>
            </w:pPr>
          </w:p>
        </w:tc>
        <w:tc>
          <w:tcPr>
            <w:tcW w:w="150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tc>
        <w:tc>
          <w:tcPr>
            <w:tcW w:w="1843"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tc>
        <w:tc>
          <w:tcPr>
            <w:tcW w:w="1612"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tc>
      </w:tr>
      <w:tr>
        <w:tblPrEx>
          <w:tblCellMar>
            <w:top w:w="0" w:type="dxa"/>
            <w:left w:w="108" w:type="dxa"/>
            <w:bottom w:w="0" w:type="dxa"/>
            <w:right w:w="108" w:type="dxa"/>
          </w:tblCellMar>
        </w:tblPrEx>
        <w:trPr>
          <w:trHeight w:val="570" w:hRule="atLeast"/>
        </w:trPr>
        <w:tc>
          <w:tcPr>
            <w:tcW w:w="282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招标文件要求</w:t>
            </w:r>
          </w:p>
        </w:tc>
        <w:tc>
          <w:tcPr>
            <w:tcW w:w="92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条款号</w:t>
            </w:r>
          </w:p>
        </w:tc>
        <w:tc>
          <w:tcPr>
            <w:tcW w:w="150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tc>
        <w:tc>
          <w:tcPr>
            <w:tcW w:w="1843"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tc>
        <w:tc>
          <w:tcPr>
            <w:tcW w:w="1612"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tc>
      </w:tr>
      <w:tr>
        <w:tblPrEx>
          <w:tblCellMar>
            <w:top w:w="0" w:type="dxa"/>
            <w:left w:w="108" w:type="dxa"/>
            <w:bottom w:w="0" w:type="dxa"/>
            <w:right w:w="108" w:type="dxa"/>
          </w:tblCellMar>
        </w:tblPrEx>
        <w:trPr>
          <w:trHeight w:val="570" w:hRule="atLeast"/>
        </w:trPr>
        <w:tc>
          <w:tcPr>
            <w:tcW w:w="282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货物需求一览表</w:t>
            </w:r>
          </w:p>
        </w:tc>
        <w:tc>
          <w:tcPr>
            <w:tcW w:w="92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第5章</w:t>
            </w:r>
          </w:p>
        </w:tc>
        <w:tc>
          <w:tcPr>
            <w:tcW w:w="150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tc>
        <w:tc>
          <w:tcPr>
            <w:tcW w:w="1843"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　</w:t>
            </w:r>
          </w:p>
        </w:tc>
        <w:tc>
          <w:tcPr>
            <w:tcW w:w="1612"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　</w:t>
            </w:r>
          </w:p>
        </w:tc>
      </w:tr>
      <w:tr>
        <w:tblPrEx>
          <w:tblCellMar>
            <w:top w:w="0" w:type="dxa"/>
            <w:left w:w="108" w:type="dxa"/>
            <w:bottom w:w="0" w:type="dxa"/>
            <w:right w:w="108" w:type="dxa"/>
          </w:tblCellMar>
        </w:tblPrEx>
        <w:trPr>
          <w:trHeight w:val="570" w:hRule="atLeast"/>
        </w:trPr>
        <w:tc>
          <w:tcPr>
            <w:tcW w:w="282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highlight w:val="none"/>
              </w:rPr>
            </w:pPr>
          </w:p>
        </w:tc>
        <w:tc>
          <w:tcPr>
            <w:tcW w:w="92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highlight w:val="none"/>
              </w:rPr>
            </w:pPr>
          </w:p>
        </w:tc>
        <w:tc>
          <w:tcPr>
            <w:tcW w:w="150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tc>
        <w:tc>
          <w:tcPr>
            <w:tcW w:w="1843"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tc>
        <w:tc>
          <w:tcPr>
            <w:tcW w:w="1612"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tc>
      </w:tr>
      <w:tr>
        <w:tblPrEx>
          <w:tblCellMar>
            <w:top w:w="0" w:type="dxa"/>
            <w:left w:w="108" w:type="dxa"/>
            <w:bottom w:w="0" w:type="dxa"/>
            <w:right w:w="108" w:type="dxa"/>
          </w:tblCellMar>
        </w:tblPrEx>
        <w:trPr>
          <w:trHeight w:val="570" w:hRule="atLeast"/>
        </w:trPr>
        <w:tc>
          <w:tcPr>
            <w:tcW w:w="282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highlight w:val="none"/>
              </w:rPr>
            </w:pPr>
          </w:p>
        </w:tc>
        <w:tc>
          <w:tcPr>
            <w:tcW w:w="92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highlight w:val="none"/>
              </w:rPr>
            </w:pPr>
          </w:p>
        </w:tc>
        <w:tc>
          <w:tcPr>
            <w:tcW w:w="150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tc>
        <w:tc>
          <w:tcPr>
            <w:tcW w:w="1843"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tc>
        <w:tc>
          <w:tcPr>
            <w:tcW w:w="1612"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tc>
      </w:tr>
      <w:tr>
        <w:tblPrEx>
          <w:tblCellMar>
            <w:top w:w="0" w:type="dxa"/>
            <w:left w:w="108" w:type="dxa"/>
            <w:bottom w:w="0" w:type="dxa"/>
            <w:right w:w="108" w:type="dxa"/>
          </w:tblCellMar>
        </w:tblPrEx>
        <w:trPr>
          <w:trHeight w:val="570" w:hRule="atLeast"/>
        </w:trPr>
        <w:tc>
          <w:tcPr>
            <w:tcW w:w="2820" w:type="dxa"/>
            <w:tcBorders>
              <w:top w:val="nil"/>
              <w:left w:val="single" w:color="auto" w:sz="4" w:space="0"/>
              <w:bottom w:val="nil"/>
              <w:right w:val="single" w:color="auto" w:sz="4" w:space="0"/>
            </w:tcBorders>
            <w:vAlign w:val="center"/>
          </w:tcPr>
          <w:p>
            <w:pPr>
              <w:widowControl/>
              <w:jc w:val="center"/>
              <w:rPr>
                <w:rFonts w:hint="eastAsia" w:ascii="宋体" w:hAnsi="宋体" w:eastAsia="宋体" w:cs="宋体"/>
                <w:color w:val="auto"/>
                <w:kern w:val="0"/>
                <w:szCs w:val="21"/>
                <w:highlight w:val="none"/>
              </w:rPr>
            </w:pPr>
          </w:p>
        </w:tc>
        <w:tc>
          <w:tcPr>
            <w:tcW w:w="920" w:type="dxa"/>
            <w:tcBorders>
              <w:top w:val="nil"/>
              <w:left w:val="nil"/>
              <w:bottom w:val="nil"/>
              <w:right w:val="single" w:color="auto" w:sz="4" w:space="0"/>
            </w:tcBorders>
            <w:vAlign w:val="center"/>
          </w:tcPr>
          <w:p>
            <w:pPr>
              <w:widowControl/>
              <w:jc w:val="center"/>
              <w:rPr>
                <w:rFonts w:hint="eastAsia" w:ascii="宋体" w:hAnsi="宋体" w:eastAsia="宋体" w:cs="宋体"/>
                <w:color w:val="auto"/>
                <w:kern w:val="0"/>
                <w:szCs w:val="21"/>
                <w:highlight w:val="none"/>
              </w:rPr>
            </w:pPr>
          </w:p>
        </w:tc>
        <w:tc>
          <w:tcPr>
            <w:tcW w:w="1505" w:type="dxa"/>
            <w:tcBorders>
              <w:top w:val="nil"/>
              <w:left w:val="nil"/>
              <w:bottom w:val="nil"/>
              <w:right w:val="single" w:color="auto" w:sz="4" w:space="0"/>
            </w:tcBorders>
            <w:vAlign w:val="center"/>
          </w:tcPr>
          <w:p>
            <w:pPr>
              <w:widowControl/>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tc>
        <w:tc>
          <w:tcPr>
            <w:tcW w:w="1843" w:type="dxa"/>
            <w:tcBorders>
              <w:top w:val="nil"/>
              <w:left w:val="nil"/>
              <w:bottom w:val="nil"/>
              <w:right w:val="single" w:color="auto" w:sz="4" w:space="0"/>
            </w:tcBorders>
            <w:vAlign w:val="center"/>
          </w:tcPr>
          <w:p>
            <w:pPr>
              <w:widowControl/>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tc>
        <w:tc>
          <w:tcPr>
            <w:tcW w:w="1612" w:type="dxa"/>
            <w:tcBorders>
              <w:top w:val="nil"/>
              <w:left w:val="nil"/>
              <w:bottom w:val="nil"/>
              <w:right w:val="single" w:color="auto" w:sz="4" w:space="0"/>
            </w:tcBorders>
            <w:vAlign w:val="center"/>
          </w:tcPr>
          <w:p>
            <w:pPr>
              <w:widowControl/>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tc>
      </w:tr>
      <w:tr>
        <w:trPr>
          <w:trHeight w:val="570" w:hRule="atLeast"/>
        </w:trPr>
        <w:tc>
          <w:tcPr>
            <w:tcW w:w="28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highlight w:val="none"/>
              </w:rPr>
            </w:pPr>
          </w:p>
        </w:tc>
        <w:tc>
          <w:tcPr>
            <w:tcW w:w="92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highlight w:val="none"/>
              </w:rPr>
            </w:pPr>
          </w:p>
        </w:tc>
        <w:tc>
          <w:tcPr>
            <w:tcW w:w="1505"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tc>
        <w:tc>
          <w:tcPr>
            <w:tcW w:w="1843"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tc>
        <w:tc>
          <w:tcPr>
            <w:tcW w:w="1612"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tc>
      </w:tr>
      <w:tr>
        <w:tblPrEx>
          <w:tblCellMar>
            <w:top w:w="0" w:type="dxa"/>
            <w:left w:w="108" w:type="dxa"/>
            <w:bottom w:w="0" w:type="dxa"/>
            <w:right w:w="108" w:type="dxa"/>
          </w:tblCellMar>
        </w:tblPrEx>
        <w:trPr>
          <w:trHeight w:val="570" w:hRule="atLeast"/>
        </w:trPr>
        <w:tc>
          <w:tcPr>
            <w:tcW w:w="282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highlight w:val="none"/>
              </w:rPr>
            </w:pPr>
          </w:p>
        </w:tc>
        <w:tc>
          <w:tcPr>
            <w:tcW w:w="92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highlight w:val="none"/>
              </w:rPr>
            </w:pPr>
          </w:p>
        </w:tc>
        <w:tc>
          <w:tcPr>
            <w:tcW w:w="150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tc>
        <w:tc>
          <w:tcPr>
            <w:tcW w:w="1843"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tc>
        <w:tc>
          <w:tcPr>
            <w:tcW w:w="1612"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tc>
      </w:tr>
      <w:tr>
        <w:tblPrEx>
          <w:tblCellMar>
            <w:top w:w="0" w:type="dxa"/>
            <w:left w:w="108" w:type="dxa"/>
            <w:bottom w:w="0" w:type="dxa"/>
            <w:right w:w="108" w:type="dxa"/>
          </w:tblCellMar>
        </w:tblPrEx>
        <w:trPr>
          <w:trHeight w:val="570" w:hRule="atLeast"/>
        </w:trPr>
        <w:tc>
          <w:tcPr>
            <w:tcW w:w="282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highlight w:val="none"/>
              </w:rPr>
            </w:pPr>
          </w:p>
        </w:tc>
        <w:tc>
          <w:tcPr>
            <w:tcW w:w="92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highlight w:val="none"/>
              </w:rPr>
            </w:pPr>
          </w:p>
        </w:tc>
        <w:tc>
          <w:tcPr>
            <w:tcW w:w="150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tc>
        <w:tc>
          <w:tcPr>
            <w:tcW w:w="1843"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tc>
        <w:tc>
          <w:tcPr>
            <w:tcW w:w="1612"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tc>
      </w:tr>
      <w:tr>
        <w:tblPrEx>
          <w:tblCellMar>
            <w:top w:w="0" w:type="dxa"/>
            <w:left w:w="108" w:type="dxa"/>
            <w:bottom w:w="0" w:type="dxa"/>
            <w:right w:w="108" w:type="dxa"/>
          </w:tblCellMar>
        </w:tblPrEx>
        <w:trPr>
          <w:trHeight w:val="570" w:hRule="atLeast"/>
        </w:trPr>
        <w:tc>
          <w:tcPr>
            <w:tcW w:w="282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highlight w:val="none"/>
              </w:rPr>
            </w:pPr>
          </w:p>
        </w:tc>
        <w:tc>
          <w:tcPr>
            <w:tcW w:w="92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highlight w:val="none"/>
              </w:rPr>
            </w:pPr>
          </w:p>
        </w:tc>
        <w:tc>
          <w:tcPr>
            <w:tcW w:w="150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tc>
        <w:tc>
          <w:tcPr>
            <w:tcW w:w="1843"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tc>
        <w:tc>
          <w:tcPr>
            <w:tcW w:w="1612"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tc>
      </w:tr>
      <w:tr>
        <w:tblPrEx>
          <w:tblCellMar>
            <w:top w:w="0" w:type="dxa"/>
            <w:left w:w="108" w:type="dxa"/>
            <w:bottom w:w="0" w:type="dxa"/>
            <w:right w:w="108" w:type="dxa"/>
          </w:tblCellMar>
        </w:tblPrEx>
        <w:trPr>
          <w:trHeight w:val="570" w:hRule="atLeast"/>
        </w:trPr>
        <w:tc>
          <w:tcPr>
            <w:tcW w:w="282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highlight w:val="none"/>
              </w:rPr>
            </w:pPr>
          </w:p>
        </w:tc>
        <w:tc>
          <w:tcPr>
            <w:tcW w:w="92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highlight w:val="none"/>
              </w:rPr>
            </w:pPr>
          </w:p>
        </w:tc>
        <w:tc>
          <w:tcPr>
            <w:tcW w:w="150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tc>
        <w:tc>
          <w:tcPr>
            <w:tcW w:w="1843"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tc>
        <w:tc>
          <w:tcPr>
            <w:tcW w:w="1612"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tc>
      </w:tr>
      <w:tr>
        <w:trPr>
          <w:trHeight w:val="570" w:hRule="atLeast"/>
        </w:trPr>
        <w:tc>
          <w:tcPr>
            <w:tcW w:w="282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highlight w:val="none"/>
              </w:rPr>
            </w:pPr>
          </w:p>
        </w:tc>
        <w:tc>
          <w:tcPr>
            <w:tcW w:w="92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highlight w:val="none"/>
              </w:rPr>
            </w:pPr>
          </w:p>
        </w:tc>
        <w:tc>
          <w:tcPr>
            <w:tcW w:w="150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tc>
        <w:tc>
          <w:tcPr>
            <w:tcW w:w="1843"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tc>
        <w:tc>
          <w:tcPr>
            <w:tcW w:w="1612"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tc>
      </w:tr>
      <w:tr>
        <w:tblPrEx>
          <w:tblCellMar>
            <w:top w:w="0" w:type="dxa"/>
            <w:left w:w="108" w:type="dxa"/>
            <w:bottom w:w="0" w:type="dxa"/>
            <w:right w:w="108" w:type="dxa"/>
          </w:tblCellMar>
        </w:tblPrEx>
        <w:trPr>
          <w:trHeight w:val="570" w:hRule="atLeast"/>
        </w:trPr>
        <w:tc>
          <w:tcPr>
            <w:tcW w:w="282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highlight w:val="none"/>
              </w:rPr>
            </w:pPr>
          </w:p>
        </w:tc>
        <w:tc>
          <w:tcPr>
            <w:tcW w:w="92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highlight w:val="none"/>
              </w:rPr>
            </w:pPr>
          </w:p>
        </w:tc>
        <w:tc>
          <w:tcPr>
            <w:tcW w:w="150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tc>
        <w:tc>
          <w:tcPr>
            <w:tcW w:w="1843"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tc>
        <w:tc>
          <w:tcPr>
            <w:tcW w:w="1612"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tc>
      </w:tr>
      <w:tr>
        <w:tblPrEx>
          <w:tblCellMar>
            <w:top w:w="0" w:type="dxa"/>
            <w:left w:w="108" w:type="dxa"/>
            <w:bottom w:w="0" w:type="dxa"/>
            <w:right w:w="108" w:type="dxa"/>
          </w:tblCellMar>
        </w:tblPrEx>
        <w:trPr>
          <w:trHeight w:val="570" w:hRule="atLeast"/>
        </w:trPr>
        <w:tc>
          <w:tcPr>
            <w:tcW w:w="282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highlight w:val="none"/>
              </w:rPr>
            </w:pPr>
          </w:p>
        </w:tc>
        <w:tc>
          <w:tcPr>
            <w:tcW w:w="92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highlight w:val="none"/>
              </w:rPr>
            </w:pPr>
          </w:p>
        </w:tc>
        <w:tc>
          <w:tcPr>
            <w:tcW w:w="150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tc>
        <w:tc>
          <w:tcPr>
            <w:tcW w:w="1843"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tc>
        <w:tc>
          <w:tcPr>
            <w:tcW w:w="1612"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tc>
      </w:tr>
      <w:tr>
        <w:tblPrEx>
          <w:tblCellMar>
            <w:top w:w="0" w:type="dxa"/>
            <w:left w:w="108" w:type="dxa"/>
            <w:bottom w:w="0" w:type="dxa"/>
            <w:right w:w="108" w:type="dxa"/>
          </w:tblCellMar>
        </w:tblPrEx>
        <w:trPr>
          <w:trHeight w:val="570" w:hRule="atLeast"/>
        </w:trPr>
        <w:tc>
          <w:tcPr>
            <w:tcW w:w="282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highlight w:val="none"/>
              </w:rPr>
            </w:pPr>
          </w:p>
        </w:tc>
        <w:tc>
          <w:tcPr>
            <w:tcW w:w="92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highlight w:val="none"/>
              </w:rPr>
            </w:pPr>
          </w:p>
        </w:tc>
        <w:tc>
          <w:tcPr>
            <w:tcW w:w="150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tc>
        <w:tc>
          <w:tcPr>
            <w:tcW w:w="1843"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tc>
        <w:tc>
          <w:tcPr>
            <w:tcW w:w="1612"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tc>
      </w:tr>
      <w:tr>
        <w:tblPrEx>
          <w:tblCellMar>
            <w:top w:w="0" w:type="dxa"/>
            <w:left w:w="108" w:type="dxa"/>
            <w:bottom w:w="0" w:type="dxa"/>
            <w:right w:w="108" w:type="dxa"/>
          </w:tblCellMar>
        </w:tblPrEx>
        <w:trPr>
          <w:trHeight w:val="570" w:hRule="atLeast"/>
        </w:trPr>
        <w:tc>
          <w:tcPr>
            <w:tcW w:w="282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highlight w:val="none"/>
              </w:rPr>
            </w:pPr>
          </w:p>
        </w:tc>
        <w:tc>
          <w:tcPr>
            <w:tcW w:w="92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highlight w:val="none"/>
              </w:rPr>
            </w:pPr>
          </w:p>
        </w:tc>
        <w:tc>
          <w:tcPr>
            <w:tcW w:w="150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tc>
        <w:tc>
          <w:tcPr>
            <w:tcW w:w="1843"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tc>
        <w:tc>
          <w:tcPr>
            <w:tcW w:w="1612"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tc>
      </w:tr>
      <w:tr>
        <w:trPr>
          <w:trHeight w:val="570" w:hRule="atLeast"/>
        </w:trPr>
        <w:tc>
          <w:tcPr>
            <w:tcW w:w="374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结论</w:t>
            </w:r>
          </w:p>
        </w:tc>
        <w:tc>
          <w:tcPr>
            <w:tcW w:w="150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tc>
        <w:tc>
          <w:tcPr>
            <w:tcW w:w="1843"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tc>
        <w:tc>
          <w:tcPr>
            <w:tcW w:w="1612"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tc>
      </w:tr>
      <w:tr>
        <w:tblPrEx>
          <w:tblCellMar>
            <w:top w:w="0" w:type="dxa"/>
            <w:left w:w="108" w:type="dxa"/>
            <w:bottom w:w="0" w:type="dxa"/>
            <w:right w:w="108" w:type="dxa"/>
          </w:tblCellMar>
        </w:tblPrEx>
        <w:trPr>
          <w:trHeight w:val="1264" w:hRule="atLeast"/>
        </w:trPr>
        <w:tc>
          <w:tcPr>
            <w:tcW w:w="2820" w:type="dxa"/>
            <w:tcBorders>
              <w:top w:val="nil"/>
              <w:left w:val="nil"/>
              <w:bottom w:val="nil"/>
              <w:right w:val="nil"/>
            </w:tcBorders>
            <w:vAlign w:val="center"/>
          </w:tcPr>
          <w:p>
            <w:pPr>
              <w:widowControl/>
              <w:jc w:val="center"/>
              <w:rPr>
                <w:rFonts w:hint="eastAsia" w:ascii="宋体" w:hAnsi="宋体" w:eastAsia="宋体" w:cs="宋体"/>
                <w:color w:val="auto"/>
                <w:highlight w:val="none"/>
              </w:rPr>
            </w:pPr>
          </w:p>
          <w:p>
            <w:pPr>
              <w:pStyle w:val="6"/>
              <w:rPr>
                <w:rFonts w:hint="eastAsia" w:ascii="宋体" w:hAnsi="宋体" w:eastAsia="宋体" w:cs="宋体"/>
                <w:color w:val="auto"/>
                <w:sz w:val="21"/>
                <w:szCs w:val="21"/>
                <w:highlight w:val="none"/>
              </w:rPr>
            </w:pPr>
          </w:p>
          <w:p>
            <w:pPr>
              <w:pStyle w:val="6"/>
              <w:rPr>
                <w:rFonts w:hint="eastAsia" w:ascii="宋体" w:hAnsi="宋体" w:eastAsia="宋体" w:cs="宋体"/>
                <w:color w:val="auto"/>
                <w:sz w:val="21"/>
                <w:szCs w:val="21"/>
                <w:highlight w:val="none"/>
              </w:rPr>
            </w:pPr>
          </w:p>
          <w:p>
            <w:pPr>
              <w:pStyle w:val="6"/>
              <w:rPr>
                <w:rFonts w:hint="eastAsia" w:ascii="宋体" w:hAnsi="宋体" w:eastAsia="宋体" w:cs="宋体"/>
                <w:color w:val="auto"/>
                <w:sz w:val="21"/>
                <w:szCs w:val="21"/>
                <w:highlight w:val="none"/>
              </w:rPr>
            </w:pPr>
          </w:p>
          <w:p>
            <w:pPr>
              <w:pStyle w:val="6"/>
              <w:rPr>
                <w:rFonts w:hint="eastAsia" w:ascii="宋体" w:hAnsi="宋体" w:eastAsia="宋体" w:cs="宋体"/>
                <w:color w:val="auto"/>
                <w:sz w:val="21"/>
                <w:szCs w:val="21"/>
                <w:highlight w:val="none"/>
              </w:rPr>
            </w:pPr>
          </w:p>
          <w:p>
            <w:pPr>
              <w:pStyle w:val="6"/>
              <w:rPr>
                <w:rFonts w:hint="eastAsia" w:ascii="宋体" w:hAnsi="宋体" w:eastAsia="宋体" w:cs="宋体"/>
                <w:color w:val="auto"/>
                <w:sz w:val="21"/>
                <w:szCs w:val="21"/>
                <w:highlight w:val="none"/>
              </w:rPr>
            </w:pPr>
          </w:p>
        </w:tc>
        <w:tc>
          <w:tcPr>
            <w:tcW w:w="920" w:type="dxa"/>
            <w:tcBorders>
              <w:top w:val="nil"/>
              <w:left w:val="nil"/>
              <w:bottom w:val="nil"/>
              <w:right w:val="nil"/>
            </w:tcBorders>
            <w:vAlign w:val="center"/>
          </w:tcPr>
          <w:p>
            <w:pPr>
              <w:widowControl/>
              <w:jc w:val="center"/>
              <w:rPr>
                <w:rFonts w:hint="eastAsia" w:ascii="宋体" w:hAnsi="宋体" w:eastAsia="宋体" w:cs="宋体"/>
                <w:color w:val="auto"/>
                <w:highlight w:val="none"/>
              </w:rPr>
            </w:pPr>
          </w:p>
          <w:p>
            <w:pPr>
              <w:pStyle w:val="6"/>
              <w:rPr>
                <w:rFonts w:hint="eastAsia" w:ascii="宋体" w:hAnsi="宋体" w:eastAsia="宋体" w:cs="宋体"/>
                <w:color w:val="auto"/>
                <w:sz w:val="21"/>
                <w:szCs w:val="21"/>
                <w:highlight w:val="none"/>
              </w:rPr>
            </w:pPr>
          </w:p>
          <w:p>
            <w:pPr>
              <w:pStyle w:val="6"/>
              <w:rPr>
                <w:rFonts w:hint="eastAsia" w:ascii="宋体" w:hAnsi="宋体" w:eastAsia="宋体" w:cs="宋体"/>
                <w:color w:val="auto"/>
                <w:sz w:val="21"/>
                <w:szCs w:val="21"/>
                <w:highlight w:val="none"/>
              </w:rPr>
            </w:pPr>
          </w:p>
          <w:p>
            <w:pPr>
              <w:pStyle w:val="6"/>
              <w:rPr>
                <w:rFonts w:hint="eastAsia" w:ascii="宋体" w:hAnsi="宋体" w:eastAsia="宋体" w:cs="宋体"/>
                <w:color w:val="auto"/>
                <w:sz w:val="21"/>
                <w:szCs w:val="21"/>
                <w:highlight w:val="none"/>
              </w:rPr>
            </w:pPr>
          </w:p>
          <w:p>
            <w:pPr>
              <w:pStyle w:val="6"/>
              <w:rPr>
                <w:rFonts w:hint="eastAsia" w:ascii="宋体" w:hAnsi="宋体" w:eastAsia="宋体" w:cs="宋体"/>
                <w:color w:val="auto"/>
                <w:sz w:val="21"/>
                <w:szCs w:val="21"/>
                <w:highlight w:val="none"/>
              </w:rPr>
            </w:pPr>
          </w:p>
        </w:tc>
        <w:tc>
          <w:tcPr>
            <w:tcW w:w="1505" w:type="dxa"/>
            <w:tcBorders>
              <w:top w:val="nil"/>
              <w:left w:val="nil"/>
              <w:bottom w:val="nil"/>
              <w:right w:val="nil"/>
            </w:tcBorders>
            <w:vAlign w:val="center"/>
          </w:tcPr>
          <w:p>
            <w:pPr>
              <w:widowControl/>
              <w:jc w:val="center"/>
              <w:rPr>
                <w:rFonts w:hint="eastAsia" w:ascii="宋体" w:hAnsi="宋体" w:eastAsia="宋体" w:cs="宋体"/>
                <w:color w:val="auto"/>
                <w:kern w:val="0"/>
                <w:szCs w:val="21"/>
                <w:highlight w:val="none"/>
              </w:rPr>
            </w:pPr>
          </w:p>
        </w:tc>
        <w:tc>
          <w:tcPr>
            <w:tcW w:w="1843" w:type="dxa"/>
            <w:tcBorders>
              <w:top w:val="nil"/>
              <w:left w:val="nil"/>
              <w:bottom w:val="nil"/>
              <w:right w:val="nil"/>
            </w:tcBorders>
            <w:vAlign w:val="center"/>
          </w:tcPr>
          <w:p>
            <w:pPr>
              <w:widowControl/>
              <w:jc w:val="left"/>
              <w:rPr>
                <w:rFonts w:hint="eastAsia" w:ascii="宋体" w:hAnsi="宋体" w:eastAsia="宋体" w:cs="宋体"/>
                <w:color w:val="auto"/>
                <w:kern w:val="0"/>
                <w:szCs w:val="21"/>
                <w:highlight w:val="none"/>
              </w:rPr>
            </w:pPr>
          </w:p>
        </w:tc>
        <w:tc>
          <w:tcPr>
            <w:tcW w:w="1612" w:type="dxa"/>
            <w:tcBorders>
              <w:top w:val="nil"/>
              <w:left w:val="nil"/>
              <w:bottom w:val="nil"/>
              <w:right w:val="nil"/>
            </w:tcBorders>
            <w:vAlign w:val="center"/>
          </w:tcPr>
          <w:p>
            <w:pPr>
              <w:widowControl/>
              <w:jc w:val="left"/>
              <w:rPr>
                <w:rFonts w:hint="eastAsia" w:ascii="宋体" w:hAnsi="宋体" w:eastAsia="宋体" w:cs="宋体"/>
                <w:color w:val="auto"/>
                <w:kern w:val="0"/>
                <w:szCs w:val="21"/>
                <w:highlight w:val="none"/>
              </w:rPr>
            </w:pPr>
          </w:p>
        </w:tc>
      </w:tr>
    </w:tbl>
    <w:p>
      <w:pPr>
        <w:spacing w:line="300" w:lineRule="auto"/>
        <w:jc w:val="center"/>
        <w:rPr>
          <w:rFonts w:hint="eastAsia" w:ascii="宋体" w:hAnsi="宋体" w:eastAsia="宋体" w:cs="宋体"/>
          <w:b/>
          <w:bCs/>
          <w:color w:val="auto"/>
          <w:szCs w:val="21"/>
          <w:highlight w:val="none"/>
        </w:rPr>
      </w:pPr>
    </w:p>
    <w:p>
      <w:pPr>
        <w:pStyle w:val="6"/>
        <w:ind w:firstLine="0"/>
        <w:rPr>
          <w:rFonts w:hint="eastAsia" w:ascii="宋体" w:hAnsi="宋体" w:eastAsia="宋体" w:cs="宋体"/>
          <w:color w:val="auto"/>
          <w:highlight w:val="none"/>
        </w:rPr>
      </w:pPr>
    </w:p>
    <w:p>
      <w:pPr>
        <w:pStyle w:val="6"/>
        <w:ind w:firstLine="0"/>
        <w:jc w:val="center"/>
        <w:outlineLvl w:val="1"/>
        <w:rPr>
          <w:rFonts w:hint="eastAsia" w:ascii="宋体" w:hAnsi="宋体" w:eastAsia="宋体" w:cs="宋体"/>
          <w:b/>
          <w:bCs/>
          <w:color w:val="auto"/>
          <w:sz w:val="21"/>
          <w:szCs w:val="21"/>
          <w:highlight w:val="none"/>
        </w:rPr>
      </w:pPr>
      <w:bookmarkStart w:id="579" w:name="_Toc29006"/>
      <w:bookmarkStart w:id="580" w:name="_Toc21350"/>
      <w:bookmarkStart w:id="581" w:name="_Toc3812"/>
      <w:bookmarkStart w:id="582" w:name="_Toc31737"/>
      <w:bookmarkStart w:id="583" w:name="_Toc4034"/>
      <w:bookmarkStart w:id="584" w:name="_Toc11449"/>
      <w:bookmarkStart w:id="585" w:name="_Toc4748"/>
      <w:bookmarkStart w:id="586" w:name="_Toc26924"/>
      <w:bookmarkStart w:id="587" w:name="_Toc17586"/>
      <w:bookmarkStart w:id="588" w:name="_Toc19967"/>
      <w:bookmarkStart w:id="589" w:name="_Toc21392"/>
      <w:bookmarkStart w:id="590" w:name="_Toc31042"/>
      <w:bookmarkStart w:id="591" w:name="_Toc20505"/>
      <w:bookmarkStart w:id="592" w:name="_Toc5375"/>
      <w:bookmarkStart w:id="593" w:name="_Toc359"/>
      <w:bookmarkStart w:id="594" w:name="_Toc28087"/>
      <w:r>
        <w:rPr>
          <w:rFonts w:hint="eastAsia" w:ascii="宋体" w:hAnsi="宋体" w:eastAsia="宋体" w:cs="宋体"/>
          <w:b/>
          <w:color w:val="auto"/>
          <w:sz w:val="32"/>
          <w:highlight w:val="none"/>
        </w:rPr>
        <w:t>综合评分表</w:t>
      </w:r>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Start w:id="595" w:name="_Toc507399904"/>
    </w:p>
    <w:tbl>
      <w:tblPr>
        <w:tblStyle w:val="20"/>
        <w:tblpPr w:leftFromText="180" w:rightFromText="180" w:vertAnchor="text" w:horzAnchor="page" w:tblpX="1004" w:tblpY="317"/>
        <w:tblOverlap w:val="never"/>
        <w:tblW w:w="100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080"/>
        <w:gridCol w:w="752"/>
        <w:gridCol w:w="6077"/>
        <w:gridCol w:w="1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0" w:hRule="atLeast"/>
        </w:trPr>
        <w:tc>
          <w:tcPr>
            <w:tcW w:w="846" w:type="dxa"/>
            <w:noWrap w:val="0"/>
            <w:vAlign w:val="center"/>
          </w:tcPr>
          <w:p>
            <w:pPr>
              <w:spacing w:line="300" w:lineRule="exact"/>
              <w:ind w:firstLine="28"/>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序号</w:t>
            </w:r>
          </w:p>
        </w:tc>
        <w:tc>
          <w:tcPr>
            <w:tcW w:w="1080" w:type="dxa"/>
            <w:noWrap w:val="0"/>
            <w:vAlign w:val="center"/>
          </w:tcPr>
          <w:p>
            <w:pPr>
              <w:spacing w:line="300" w:lineRule="exact"/>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评分因素及权重</w:t>
            </w:r>
          </w:p>
        </w:tc>
        <w:tc>
          <w:tcPr>
            <w:tcW w:w="752" w:type="dxa"/>
            <w:noWrap w:val="0"/>
            <w:vAlign w:val="center"/>
          </w:tcPr>
          <w:p>
            <w:pPr>
              <w:spacing w:line="300" w:lineRule="exact"/>
              <w:ind w:firstLine="28"/>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分值</w:t>
            </w:r>
          </w:p>
        </w:tc>
        <w:tc>
          <w:tcPr>
            <w:tcW w:w="6077" w:type="dxa"/>
            <w:noWrap w:val="0"/>
            <w:vAlign w:val="center"/>
          </w:tcPr>
          <w:p>
            <w:pPr>
              <w:spacing w:line="300" w:lineRule="exact"/>
              <w:ind w:firstLine="28"/>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评分标准</w:t>
            </w:r>
          </w:p>
          <w:p>
            <w:pPr>
              <w:spacing w:line="300" w:lineRule="exact"/>
              <w:ind w:firstLine="28"/>
              <w:jc w:val="center"/>
              <w:rPr>
                <w:rFonts w:hint="eastAsia" w:ascii="宋体" w:hAnsi="宋体" w:eastAsia="宋体" w:cs="宋体"/>
                <w:b/>
                <w:color w:val="auto"/>
                <w:szCs w:val="21"/>
                <w:highlight w:val="none"/>
              </w:rPr>
            </w:pPr>
            <w:r>
              <w:rPr>
                <w:rFonts w:hint="eastAsia" w:ascii="宋体" w:hAnsi="宋体" w:eastAsia="宋体" w:cs="宋体"/>
                <w:color w:val="auto"/>
                <w:szCs w:val="21"/>
                <w:highlight w:val="none"/>
              </w:rPr>
              <w:t>价   格：30分  商   务：</w:t>
            </w:r>
            <w:r>
              <w:rPr>
                <w:rFonts w:hint="eastAsia" w:ascii="宋体" w:hAnsi="宋体" w:eastAsia="宋体" w:cs="宋体"/>
                <w:color w:val="auto"/>
                <w:szCs w:val="21"/>
                <w:highlight w:val="none"/>
                <w:lang w:val="en-US" w:eastAsia="zh-CN"/>
              </w:rPr>
              <w:t>6</w:t>
            </w:r>
            <w:r>
              <w:rPr>
                <w:rFonts w:hint="eastAsia" w:ascii="宋体" w:hAnsi="宋体" w:eastAsia="宋体" w:cs="宋体"/>
                <w:color w:val="auto"/>
                <w:szCs w:val="21"/>
                <w:highlight w:val="none"/>
              </w:rPr>
              <w:t>分   技   术：</w:t>
            </w:r>
            <w:r>
              <w:rPr>
                <w:rFonts w:hint="eastAsia" w:ascii="宋体" w:hAnsi="宋体" w:eastAsia="宋体" w:cs="宋体"/>
                <w:color w:val="auto"/>
                <w:szCs w:val="21"/>
                <w:highlight w:val="none"/>
                <w:lang w:val="en-US" w:eastAsia="zh-CN"/>
              </w:rPr>
              <w:t>6</w:t>
            </w:r>
            <w:r>
              <w:rPr>
                <w:rFonts w:hint="eastAsia" w:ascii="宋体" w:hAnsi="宋体" w:cs="宋体"/>
                <w:color w:val="auto"/>
                <w:szCs w:val="21"/>
                <w:highlight w:val="none"/>
                <w:lang w:val="en-US" w:eastAsia="zh-CN"/>
              </w:rPr>
              <w:t>4</w:t>
            </w:r>
            <w:r>
              <w:rPr>
                <w:rFonts w:hint="eastAsia" w:ascii="宋体" w:hAnsi="宋体" w:eastAsia="宋体" w:cs="宋体"/>
                <w:color w:val="auto"/>
                <w:szCs w:val="21"/>
                <w:highlight w:val="none"/>
              </w:rPr>
              <w:t xml:space="preserve">分              </w:t>
            </w:r>
          </w:p>
        </w:tc>
        <w:tc>
          <w:tcPr>
            <w:tcW w:w="1343" w:type="dxa"/>
            <w:noWrap w:val="0"/>
            <w:vAlign w:val="center"/>
          </w:tcPr>
          <w:p>
            <w:pPr>
              <w:pStyle w:val="34"/>
              <w:spacing w:before="0" w:after="0" w:line="30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6" w:hRule="atLeast"/>
        </w:trPr>
        <w:tc>
          <w:tcPr>
            <w:tcW w:w="846" w:type="dxa"/>
            <w:noWrap w:val="0"/>
            <w:vAlign w:val="center"/>
          </w:tcPr>
          <w:p>
            <w:pPr>
              <w:spacing w:line="3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价格评分标准</w:t>
            </w:r>
          </w:p>
        </w:tc>
        <w:tc>
          <w:tcPr>
            <w:tcW w:w="1080" w:type="dxa"/>
            <w:noWrap w:val="0"/>
            <w:vAlign w:val="center"/>
          </w:tcPr>
          <w:p>
            <w:pPr>
              <w:spacing w:line="3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投标报价</w:t>
            </w:r>
          </w:p>
        </w:tc>
        <w:tc>
          <w:tcPr>
            <w:tcW w:w="752" w:type="dxa"/>
            <w:noWrap w:val="0"/>
            <w:vAlign w:val="center"/>
          </w:tcPr>
          <w:p>
            <w:pPr>
              <w:spacing w:line="3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30</w:t>
            </w:r>
          </w:p>
        </w:tc>
        <w:tc>
          <w:tcPr>
            <w:tcW w:w="6077" w:type="dxa"/>
            <w:noWrap w:val="0"/>
            <w:vAlign w:val="center"/>
          </w:tcPr>
          <w:p>
            <w:pPr>
              <w:spacing w:line="3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完全满足招标文件参数的投标报价中的最低价为评标基准价，按照下列公式计算每个</w:t>
            </w:r>
            <w:r>
              <w:rPr>
                <w:rFonts w:hint="eastAsia" w:ascii="宋体" w:hAnsi="宋体" w:cs="宋体"/>
                <w:color w:val="auto"/>
                <w:szCs w:val="21"/>
                <w:highlight w:val="none"/>
                <w:lang w:eastAsia="zh-CN"/>
              </w:rPr>
              <w:t>投标供应商</w:t>
            </w:r>
            <w:r>
              <w:rPr>
                <w:rFonts w:hint="eastAsia" w:ascii="宋体" w:hAnsi="宋体" w:eastAsia="宋体" w:cs="宋体"/>
                <w:color w:val="auto"/>
                <w:szCs w:val="21"/>
                <w:highlight w:val="none"/>
              </w:rPr>
              <w:t>的投标价格得分。投标报价得分＝（基准价/投标报价）×价格权重×100。</w:t>
            </w:r>
          </w:p>
        </w:tc>
        <w:tc>
          <w:tcPr>
            <w:tcW w:w="1343" w:type="dxa"/>
            <w:noWrap w:val="0"/>
            <w:vAlign w:val="center"/>
          </w:tcPr>
          <w:p>
            <w:pPr>
              <w:spacing w:line="3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投标报价超过采购预算价的按废标处理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0" w:hRule="atLeast"/>
        </w:trPr>
        <w:tc>
          <w:tcPr>
            <w:tcW w:w="846" w:type="dxa"/>
            <w:noWrap w:val="0"/>
            <w:vAlign w:val="center"/>
          </w:tcPr>
          <w:p>
            <w:pPr>
              <w:spacing w:line="3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商务评分标准</w:t>
            </w:r>
          </w:p>
        </w:tc>
        <w:tc>
          <w:tcPr>
            <w:tcW w:w="1080" w:type="dxa"/>
            <w:noWrap w:val="0"/>
            <w:vAlign w:val="center"/>
          </w:tcPr>
          <w:p>
            <w:pPr>
              <w:spacing w:line="3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业绩</w:t>
            </w:r>
          </w:p>
        </w:tc>
        <w:tc>
          <w:tcPr>
            <w:tcW w:w="752" w:type="dxa"/>
            <w:noWrap w:val="0"/>
            <w:vAlign w:val="center"/>
          </w:tcPr>
          <w:p>
            <w:pPr>
              <w:spacing w:line="300" w:lineRule="exact"/>
              <w:jc w:val="center"/>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6</w:t>
            </w:r>
          </w:p>
        </w:tc>
        <w:tc>
          <w:tcPr>
            <w:tcW w:w="6077" w:type="dxa"/>
            <w:noWrap w:val="0"/>
            <w:vAlign w:val="center"/>
          </w:tcPr>
          <w:p>
            <w:pPr>
              <w:spacing w:line="300" w:lineRule="exact"/>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提供近三年相关设备类似业绩证明材料中标</w:t>
            </w:r>
            <w:r>
              <w:rPr>
                <w:rFonts w:hint="eastAsia" w:ascii="宋体" w:hAnsi="宋体" w:cs="宋体"/>
                <w:color w:val="auto"/>
                <w:szCs w:val="21"/>
                <w:highlight w:val="none"/>
                <w:lang w:val="en-US" w:eastAsia="zh-CN"/>
              </w:rPr>
              <w:t>/</w:t>
            </w:r>
            <w:r>
              <w:rPr>
                <w:rFonts w:hint="eastAsia" w:ascii="宋体" w:hAnsi="宋体" w:eastAsia="宋体" w:cs="宋体"/>
                <w:color w:val="auto"/>
                <w:szCs w:val="21"/>
                <w:highlight w:val="none"/>
                <w:lang w:eastAsia="zh-CN"/>
              </w:rPr>
              <w:t>成交</w:t>
            </w:r>
            <w:r>
              <w:rPr>
                <w:rFonts w:hint="eastAsia" w:ascii="宋体" w:hAnsi="宋体" w:eastAsia="宋体" w:cs="宋体"/>
                <w:color w:val="auto"/>
                <w:szCs w:val="21"/>
                <w:highlight w:val="none"/>
              </w:rPr>
              <w:t>通知书</w:t>
            </w:r>
            <w:r>
              <w:rPr>
                <w:rFonts w:hint="eastAsia" w:ascii="宋体" w:hAnsi="宋体" w:cs="宋体"/>
                <w:color w:val="auto"/>
                <w:szCs w:val="21"/>
                <w:highlight w:val="none"/>
                <w:lang w:val="en-US" w:eastAsia="zh-CN"/>
              </w:rPr>
              <w:t>和</w:t>
            </w:r>
            <w:r>
              <w:rPr>
                <w:rFonts w:hint="eastAsia" w:ascii="宋体" w:hAnsi="宋体" w:eastAsia="宋体" w:cs="宋体"/>
                <w:color w:val="auto"/>
                <w:szCs w:val="21"/>
                <w:highlight w:val="none"/>
              </w:rPr>
              <w:t>合同，每提供一个得</w:t>
            </w:r>
            <w:r>
              <w:rPr>
                <w:rFonts w:hint="eastAsia" w:ascii="宋体" w:hAnsi="宋体" w:eastAsia="宋体" w:cs="宋体"/>
                <w:color w:val="auto"/>
                <w:szCs w:val="21"/>
                <w:highlight w:val="none"/>
                <w:lang w:val="en-US" w:eastAsia="zh-CN"/>
              </w:rPr>
              <w:t>2</w:t>
            </w:r>
            <w:r>
              <w:rPr>
                <w:rFonts w:hint="eastAsia" w:ascii="宋体" w:hAnsi="宋体" w:eastAsia="宋体" w:cs="宋体"/>
                <w:color w:val="auto"/>
                <w:szCs w:val="21"/>
                <w:highlight w:val="none"/>
              </w:rPr>
              <w:t>分，共</w:t>
            </w:r>
            <w:r>
              <w:rPr>
                <w:rFonts w:hint="eastAsia" w:ascii="宋体" w:hAnsi="宋体" w:eastAsia="宋体" w:cs="宋体"/>
                <w:color w:val="auto"/>
                <w:szCs w:val="21"/>
                <w:highlight w:val="none"/>
                <w:lang w:val="en-US" w:eastAsia="zh-CN"/>
              </w:rPr>
              <w:t>6</w:t>
            </w:r>
            <w:r>
              <w:rPr>
                <w:rFonts w:hint="eastAsia" w:ascii="宋体" w:hAnsi="宋体" w:eastAsia="宋体" w:cs="宋体"/>
                <w:color w:val="auto"/>
                <w:szCs w:val="21"/>
                <w:highlight w:val="none"/>
              </w:rPr>
              <w:t>分。</w:t>
            </w:r>
            <w:r>
              <w:rPr>
                <w:rFonts w:hint="eastAsia" w:ascii="宋体" w:hAnsi="宋体" w:eastAsia="宋体" w:cs="宋体"/>
                <w:color w:val="auto"/>
                <w:szCs w:val="21"/>
                <w:highlight w:val="none"/>
                <w:lang w:val="en-US" w:eastAsia="zh-CN"/>
              </w:rPr>
              <w:t>不提供</w:t>
            </w:r>
            <w:r>
              <w:rPr>
                <w:rFonts w:hint="eastAsia" w:ascii="宋体" w:hAnsi="宋体" w:eastAsia="宋体" w:cs="宋体"/>
                <w:color w:val="auto"/>
                <w:szCs w:val="21"/>
                <w:highlight w:val="none"/>
              </w:rPr>
              <w:t>此项不得分</w:t>
            </w:r>
            <w:r>
              <w:rPr>
                <w:rFonts w:hint="eastAsia" w:ascii="宋体" w:hAnsi="宋体" w:eastAsia="宋体" w:cs="宋体"/>
                <w:color w:val="auto"/>
                <w:szCs w:val="21"/>
                <w:highlight w:val="none"/>
                <w:lang w:eastAsia="zh-CN"/>
              </w:rPr>
              <w:t>。</w:t>
            </w:r>
          </w:p>
        </w:tc>
        <w:tc>
          <w:tcPr>
            <w:tcW w:w="1343" w:type="dxa"/>
            <w:noWrap w:val="0"/>
            <w:vAlign w:val="center"/>
          </w:tcPr>
          <w:p>
            <w:pPr>
              <w:spacing w:line="300" w:lineRule="exact"/>
              <w:rPr>
                <w:rFonts w:hint="eastAsia" w:ascii="宋体" w:hAnsi="宋体" w:eastAsia="宋体" w:cs="宋体"/>
                <w:color w:val="auto"/>
                <w:szCs w:val="21"/>
                <w:highlight w:val="none"/>
              </w:rPr>
            </w:pPr>
            <w:r>
              <w:rPr>
                <w:rFonts w:hint="eastAsia" w:ascii="宋体" w:hAnsi="宋体" w:eastAsia="宋体" w:cs="宋体"/>
                <w:b/>
                <w:bCs/>
                <w:color w:val="auto"/>
                <w:szCs w:val="21"/>
                <w:highlight w:val="none"/>
              </w:rPr>
              <w:t>根据需求提供必要的证明资料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5" w:hRule="atLeast"/>
        </w:trPr>
        <w:tc>
          <w:tcPr>
            <w:tcW w:w="846" w:type="dxa"/>
            <w:vMerge w:val="restart"/>
            <w:noWrap w:val="0"/>
            <w:vAlign w:val="center"/>
          </w:tcPr>
          <w:p>
            <w:pPr>
              <w:spacing w:line="300" w:lineRule="exact"/>
              <w:rPr>
                <w:rFonts w:hint="eastAsia" w:ascii="宋体" w:hAnsi="宋体" w:eastAsia="宋体" w:cs="宋体"/>
                <w:color w:val="auto"/>
                <w:szCs w:val="21"/>
                <w:highlight w:val="none"/>
              </w:rPr>
            </w:pPr>
          </w:p>
          <w:p>
            <w:pPr>
              <w:spacing w:line="3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技术评分标准</w:t>
            </w:r>
          </w:p>
        </w:tc>
        <w:tc>
          <w:tcPr>
            <w:tcW w:w="1080" w:type="dxa"/>
            <w:noWrap w:val="0"/>
            <w:vAlign w:val="center"/>
          </w:tcPr>
          <w:p>
            <w:pPr>
              <w:spacing w:line="3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配置及性能指标</w:t>
            </w:r>
          </w:p>
        </w:tc>
        <w:tc>
          <w:tcPr>
            <w:tcW w:w="752" w:type="dxa"/>
            <w:noWrap w:val="0"/>
            <w:vAlign w:val="center"/>
          </w:tcPr>
          <w:p>
            <w:pPr>
              <w:spacing w:line="300" w:lineRule="exact"/>
              <w:jc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30</w:t>
            </w:r>
          </w:p>
        </w:tc>
        <w:tc>
          <w:tcPr>
            <w:tcW w:w="6077" w:type="dxa"/>
            <w:noWrap w:val="0"/>
            <w:vAlign w:val="center"/>
          </w:tcPr>
          <w:p>
            <w:pPr>
              <w:spacing w:line="3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根据所投产品的技术参数配置与性能指标的响应程度打分，全部响应招标文件的得</w:t>
            </w:r>
            <w:r>
              <w:rPr>
                <w:rFonts w:hint="eastAsia" w:ascii="宋体" w:hAnsi="宋体" w:cs="宋体"/>
                <w:color w:val="auto"/>
                <w:szCs w:val="21"/>
                <w:highlight w:val="none"/>
                <w:lang w:val="en-US" w:eastAsia="zh-CN"/>
              </w:rPr>
              <w:t>30</w:t>
            </w:r>
            <w:r>
              <w:rPr>
                <w:rFonts w:hint="eastAsia" w:ascii="宋体" w:hAnsi="宋体" w:eastAsia="宋体" w:cs="宋体"/>
                <w:color w:val="auto"/>
                <w:szCs w:val="21"/>
                <w:highlight w:val="none"/>
              </w:rPr>
              <w:t>分。每有一项</w:t>
            </w:r>
            <w:r>
              <w:rPr>
                <w:rFonts w:hint="eastAsia" w:ascii="宋体" w:hAnsi="宋体" w:eastAsia="宋体" w:cs="宋体"/>
                <w:color w:val="auto"/>
                <w:szCs w:val="21"/>
                <w:highlight w:val="none"/>
                <w:lang w:eastAsia="zh-CN"/>
              </w:rPr>
              <w:t>带“</w:t>
            </w:r>
            <w:r>
              <w:rPr>
                <w:rFonts w:hint="eastAsia" w:ascii="宋体" w:hAnsi="宋体" w:eastAsia="微软雅黑" w:cs="宋体"/>
                <w:color w:val="auto"/>
                <w:sz w:val="24"/>
                <w:highlight w:val="none"/>
                <w:lang w:eastAsia="zh-CN"/>
              </w:rPr>
              <w:t>★</w:t>
            </w:r>
            <w:r>
              <w:rPr>
                <w:rFonts w:hint="eastAsia" w:ascii="宋体" w:hAnsi="宋体" w:eastAsia="宋体" w:cs="宋体"/>
                <w:color w:val="auto"/>
                <w:szCs w:val="21"/>
                <w:highlight w:val="none"/>
                <w:lang w:eastAsia="zh-CN"/>
              </w:rPr>
              <w:t>”参数</w:t>
            </w:r>
            <w:r>
              <w:rPr>
                <w:rFonts w:hint="eastAsia" w:ascii="宋体" w:hAnsi="宋体" w:eastAsia="宋体" w:cs="宋体"/>
                <w:color w:val="auto"/>
                <w:szCs w:val="21"/>
                <w:highlight w:val="none"/>
              </w:rPr>
              <w:t>指标未满足招标参数的扣5分；</w:t>
            </w:r>
            <w:r>
              <w:rPr>
                <w:rFonts w:hint="eastAsia" w:ascii="宋体" w:hAnsi="宋体" w:eastAsia="宋体" w:cs="宋体"/>
                <w:color w:val="auto"/>
                <w:szCs w:val="21"/>
                <w:highlight w:val="none"/>
                <w:lang w:eastAsia="zh-CN"/>
              </w:rPr>
              <w:t>其余</w:t>
            </w:r>
            <w:r>
              <w:rPr>
                <w:rFonts w:hint="eastAsia" w:ascii="宋体" w:hAnsi="宋体" w:eastAsia="宋体" w:cs="宋体"/>
                <w:color w:val="auto"/>
                <w:szCs w:val="21"/>
                <w:highlight w:val="none"/>
              </w:rPr>
              <w:t>参数</w:t>
            </w:r>
            <w:r>
              <w:rPr>
                <w:rFonts w:hint="eastAsia" w:ascii="宋体" w:hAnsi="宋体" w:eastAsia="宋体" w:cs="宋体"/>
                <w:color w:val="auto"/>
                <w:szCs w:val="21"/>
                <w:highlight w:val="none"/>
                <w:lang w:eastAsia="zh-CN"/>
              </w:rPr>
              <w:t>指标</w:t>
            </w:r>
            <w:r>
              <w:rPr>
                <w:rFonts w:hint="eastAsia" w:ascii="宋体" w:hAnsi="宋体" w:eastAsia="宋体" w:cs="宋体"/>
                <w:color w:val="auto"/>
                <w:szCs w:val="21"/>
                <w:highlight w:val="none"/>
              </w:rPr>
              <w:t>每</w:t>
            </w:r>
            <w:r>
              <w:rPr>
                <w:rFonts w:hint="eastAsia" w:ascii="宋体" w:hAnsi="宋体" w:eastAsia="宋体" w:cs="宋体"/>
                <w:color w:val="auto"/>
                <w:szCs w:val="21"/>
                <w:highlight w:val="none"/>
                <w:lang w:eastAsia="zh-CN"/>
              </w:rPr>
              <w:t>有一</w:t>
            </w:r>
            <w:r>
              <w:rPr>
                <w:rFonts w:hint="eastAsia" w:ascii="宋体" w:hAnsi="宋体" w:eastAsia="宋体" w:cs="宋体"/>
                <w:color w:val="auto"/>
                <w:szCs w:val="21"/>
                <w:highlight w:val="none"/>
              </w:rPr>
              <w:t>项负偏离扣3分，直至扣完为止。</w:t>
            </w:r>
          </w:p>
        </w:tc>
        <w:tc>
          <w:tcPr>
            <w:tcW w:w="1343" w:type="dxa"/>
            <w:vMerge w:val="restart"/>
            <w:noWrap w:val="0"/>
            <w:vAlign w:val="center"/>
          </w:tcPr>
          <w:p>
            <w:pPr>
              <w:spacing w:line="300" w:lineRule="exact"/>
              <w:rPr>
                <w:rFonts w:hint="eastAsia" w:ascii="宋体" w:hAnsi="宋体" w:eastAsia="宋体" w:cs="宋体"/>
                <w:color w:val="auto"/>
                <w:szCs w:val="21"/>
                <w:highlight w:val="none"/>
              </w:rPr>
            </w:pPr>
            <w:r>
              <w:rPr>
                <w:rFonts w:hint="eastAsia" w:ascii="宋体" w:hAnsi="宋体" w:eastAsia="宋体" w:cs="宋体"/>
                <w:b/>
                <w:bCs/>
                <w:color w:val="auto"/>
                <w:szCs w:val="21"/>
                <w:highlight w:val="none"/>
              </w:rPr>
              <w:t>根据需求提供必要的证明资料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6" w:hRule="atLeast"/>
        </w:trPr>
        <w:tc>
          <w:tcPr>
            <w:tcW w:w="846" w:type="dxa"/>
            <w:vMerge w:val="continue"/>
            <w:noWrap w:val="0"/>
            <w:vAlign w:val="center"/>
          </w:tcPr>
          <w:p>
            <w:pPr>
              <w:spacing w:line="300" w:lineRule="exact"/>
              <w:rPr>
                <w:rFonts w:hint="eastAsia" w:ascii="宋体" w:hAnsi="宋体" w:eastAsia="宋体" w:cs="宋体"/>
                <w:color w:val="auto"/>
                <w:szCs w:val="21"/>
                <w:highlight w:val="none"/>
              </w:rPr>
            </w:pPr>
          </w:p>
        </w:tc>
        <w:tc>
          <w:tcPr>
            <w:tcW w:w="1080" w:type="dxa"/>
            <w:noWrap w:val="0"/>
            <w:vAlign w:val="center"/>
          </w:tcPr>
          <w:p>
            <w:pPr>
              <w:spacing w:line="3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检测报告</w:t>
            </w:r>
          </w:p>
        </w:tc>
        <w:tc>
          <w:tcPr>
            <w:tcW w:w="752" w:type="dxa"/>
            <w:noWrap w:val="0"/>
            <w:vAlign w:val="center"/>
          </w:tcPr>
          <w:p>
            <w:pPr>
              <w:spacing w:line="300" w:lineRule="exact"/>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5</w:t>
            </w:r>
          </w:p>
        </w:tc>
        <w:tc>
          <w:tcPr>
            <w:tcW w:w="6077" w:type="dxa"/>
            <w:noWrap w:val="0"/>
            <w:vAlign w:val="center"/>
          </w:tcPr>
          <w:p>
            <w:pPr>
              <w:spacing w:line="300" w:lineRule="exact"/>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提供所有所投设备的国家</w:t>
            </w:r>
            <w:r>
              <w:rPr>
                <w:rFonts w:hint="eastAsia" w:ascii="宋体" w:hAnsi="宋体" w:cs="宋体"/>
                <w:color w:val="auto"/>
                <w:szCs w:val="21"/>
                <w:highlight w:val="none"/>
                <w:lang w:val="en-US" w:eastAsia="zh-Hans"/>
              </w:rPr>
              <w:t>质检部门</w:t>
            </w:r>
            <w:r>
              <w:rPr>
                <w:rFonts w:hint="eastAsia" w:ascii="宋体" w:hAnsi="宋体" w:eastAsia="宋体" w:cs="宋体"/>
                <w:color w:val="auto"/>
                <w:szCs w:val="21"/>
                <w:highlight w:val="none"/>
              </w:rPr>
              <w:t>出具</w:t>
            </w:r>
            <w:r>
              <w:rPr>
                <w:rFonts w:hint="eastAsia" w:ascii="宋体" w:hAnsi="宋体" w:cs="宋体"/>
                <w:color w:val="auto"/>
                <w:szCs w:val="21"/>
                <w:highlight w:val="none"/>
                <w:lang w:val="en-US" w:eastAsia="zh-CN"/>
              </w:rPr>
              <w:t>完整</w:t>
            </w:r>
            <w:r>
              <w:rPr>
                <w:rFonts w:hint="eastAsia" w:ascii="宋体" w:hAnsi="宋体" w:eastAsia="宋体" w:cs="宋体"/>
                <w:color w:val="auto"/>
                <w:szCs w:val="21"/>
                <w:highlight w:val="none"/>
              </w:rPr>
              <w:t>的检验检测报告得</w:t>
            </w:r>
            <w:r>
              <w:rPr>
                <w:rFonts w:hint="eastAsia" w:ascii="宋体" w:hAnsi="宋体" w:cs="宋体"/>
                <w:color w:val="auto"/>
                <w:szCs w:val="21"/>
                <w:highlight w:val="none"/>
                <w:lang w:val="en-US" w:eastAsia="zh-CN"/>
              </w:rPr>
              <w:t>5</w:t>
            </w:r>
            <w:r>
              <w:rPr>
                <w:rFonts w:hint="eastAsia" w:ascii="宋体" w:hAnsi="宋体" w:eastAsia="宋体" w:cs="宋体"/>
                <w:color w:val="auto"/>
                <w:szCs w:val="21"/>
                <w:highlight w:val="none"/>
              </w:rPr>
              <w:t>分，不提供或提供不全不得分。</w:t>
            </w:r>
          </w:p>
        </w:tc>
        <w:tc>
          <w:tcPr>
            <w:tcW w:w="1343" w:type="dxa"/>
            <w:vMerge w:val="continue"/>
            <w:noWrap w:val="0"/>
            <w:vAlign w:val="center"/>
          </w:tcPr>
          <w:p>
            <w:pPr>
              <w:spacing w:line="300" w:lineRule="exact"/>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2" w:hRule="atLeast"/>
        </w:trPr>
        <w:tc>
          <w:tcPr>
            <w:tcW w:w="846" w:type="dxa"/>
            <w:vMerge w:val="continue"/>
            <w:noWrap w:val="0"/>
            <w:vAlign w:val="center"/>
          </w:tcPr>
          <w:p>
            <w:pPr>
              <w:spacing w:line="300" w:lineRule="exact"/>
              <w:rPr>
                <w:rFonts w:hint="eastAsia" w:ascii="宋体" w:hAnsi="宋体" w:eastAsia="宋体" w:cs="宋体"/>
                <w:color w:val="auto"/>
                <w:szCs w:val="21"/>
                <w:highlight w:val="none"/>
              </w:rPr>
            </w:pPr>
          </w:p>
        </w:tc>
        <w:tc>
          <w:tcPr>
            <w:tcW w:w="1080" w:type="dxa"/>
            <w:vMerge w:val="restart"/>
            <w:noWrap w:val="0"/>
            <w:vAlign w:val="center"/>
          </w:tcPr>
          <w:p>
            <w:pPr>
              <w:spacing w:line="3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实施方案</w:t>
            </w:r>
          </w:p>
        </w:tc>
        <w:tc>
          <w:tcPr>
            <w:tcW w:w="752" w:type="dxa"/>
            <w:noWrap w:val="0"/>
            <w:vAlign w:val="center"/>
          </w:tcPr>
          <w:p>
            <w:pPr>
              <w:spacing w:line="300" w:lineRule="exact"/>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8</w:t>
            </w:r>
          </w:p>
        </w:tc>
        <w:tc>
          <w:tcPr>
            <w:tcW w:w="6077" w:type="dxa"/>
            <w:noWrap w:val="0"/>
            <w:vAlign w:val="center"/>
          </w:tcPr>
          <w:p>
            <w:pPr>
              <w:spacing w:line="3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根据供应商针对本项目的设备质量保证措施、项目实施安全措施、突发事件处理措施、各个阶段时间安排进行评议并打分，</w:t>
            </w:r>
            <w:r>
              <w:rPr>
                <w:rFonts w:hint="eastAsia" w:ascii="宋体" w:hAnsi="宋体" w:eastAsia="宋体" w:cs="宋体"/>
                <w:color w:val="auto"/>
                <w:szCs w:val="21"/>
                <w:highlight w:val="none"/>
                <w:lang w:eastAsia="zh-CN"/>
              </w:rPr>
              <w:t>完全满足招标要求</w:t>
            </w:r>
            <w:r>
              <w:rPr>
                <w:rFonts w:hint="eastAsia" w:ascii="宋体" w:hAnsi="宋体" w:eastAsia="宋体" w:cs="宋体"/>
                <w:color w:val="auto"/>
                <w:szCs w:val="21"/>
                <w:highlight w:val="none"/>
              </w:rPr>
              <w:t>得</w:t>
            </w:r>
            <w:r>
              <w:rPr>
                <w:rFonts w:hint="eastAsia" w:ascii="宋体" w:hAnsi="宋体" w:cs="宋体"/>
                <w:color w:val="auto"/>
                <w:szCs w:val="21"/>
                <w:highlight w:val="none"/>
                <w:lang w:val="en-US" w:eastAsia="zh-CN"/>
              </w:rPr>
              <w:t>8</w:t>
            </w:r>
            <w:r>
              <w:rPr>
                <w:rFonts w:hint="eastAsia" w:ascii="宋体" w:hAnsi="宋体" w:eastAsia="宋体" w:cs="宋体"/>
                <w:color w:val="auto"/>
                <w:szCs w:val="21"/>
                <w:highlight w:val="none"/>
              </w:rPr>
              <w:t>分，</w:t>
            </w:r>
            <w:r>
              <w:rPr>
                <w:rFonts w:hint="eastAsia" w:ascii="宋体" w:hAnsi="宋体" w:eastAsia="宋体" w:cs="宋体"/>
                <w:color w:val="auto"/>
                <w:szCs w:val="21"/>
                <w:highlight w:val="none"/>
                <w:lang w:eastAsia="zh-CN"/>
              </w:rPr>
              <w:t>基本满足招标要求</w:t>
            </w:r>
            <w:r>
              <w:rPr>
                <w:rFonts w:hint="eastAsia" w:ascii="宋体" w:hAnsi="宋体" w:eastAsia="宋体" w:cs="宋体"/>
                <w:color w:val="auto"/>
                <w:szCs w:val="21"/>
                <w:highlight w:val="none"/>
              </w:rPr>
              <w:t>得6分，</w:t>
            </w:r>
            <w:r>
              <w:rPr>
                <w:rFonts w:hint="eastAsia" w:ascii="宋体" w:hAnsi="宋体" w:eastAsia="宋体" w:cs="宋体"/>
                <w:color w:val="auto"/>
                <w:szCs w:val="21"/>
                <w:highlight w:val="none"/>
                <w:lang w:eastAsia="zh-CN"/>
              </w:rPr>
              <w:t>提供方案不全面不能满足招标要求</w:t>
            </w:r>
            <w:r>
              <w:rPr>
                <w:rFonts w:hint="eastAsia" w:ascii="宋体" w:hAnsi="宋体" w:eastAsia="宋体" w:cs="宋体"/>
                <w:color w:val="auto"/>
                <w:szCs w:val="21"/>
                <w:highlight w:val="none"/>
              </w:rPr>
              <w:t>得</w:t>
            </w:r>
            <w:r>
              <w:rPr>
                <w:rFonts w:hint="eastAsia" w:ascii="宋体" w:hAnsi="宋体" w:cs="宋体"/>
                <w:color w:val="auto"/>
                <w:szCs w:val="21"/>
                <w:highlight w:val="none"/>
                <w:lang w:val="en-US" w:eastAsia="zh-CN"/>
              </w:rPr>
              <w:t>4</w:t>
            </w:r>
            <w:r>
              <w:rPr>
                <w:rFonts w:hint="eastAsia" w:ascii="宋体" w:hAnsi="宋体" w:eastAsia="宋体" w:cs="宋体"/>
                <w:color w:val="auto"/>
                <w:szCs w:val="21"/>
                <w:highlight w:val="none"/>
              </w:rPr>
              <w:t>分，</w:t>
            </w:r>
            <w:r>
              <w:rPr>
                <w:rFonts w:hint="eastAsia" w:ascii="宋体" w:hAnsi="宋体" w:eastAsia="宋体" w:cs="宋体"/>
                <w:color w:val="auto"/>
                <w:szCs w:val="21"/>
                <w:highlight w:val="none"/>
                <w:lang w:eastAsia="zh-CN"/>
              </w:rPr>
              <w:t>不提供不得分</w:t>
            </w:r>
            <w:r>
              <w:rPr>
                <w:rFonts w:hint="eastAsia" w:ascii="宋体" w:hAnsi="宋体" w:eastAsia="宋体" w:cs="宋体"/>
                <w:color w:val="auto"/>
                <w:szCs w:val="21"/>
                <w:highlight w:val="none"/>
              </w:rPr>
              <w:t>。</w:t>
            </w:r>
          </w:p>
        </w:tc>
        <w:tc>
          <w:tcPr>
            <w:tcW w:w="1343" w:type="dxa"/>
            <w:vMerge w:val="continue"/>
            <w:noWrap w:val="0"/>
            <w:vAlign w:val="center"/>
          </w:tcPr>
          <w:p>
            <w:pPr>
              <w:spacing w:line="300" w:lineRule="exact"/>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4" w:hRule="atLeast"/>
        </w:trPr>
        <w:tc>
          <w:tcPr>
            <w:tcW w:w="846" w:type="dxa"/>
            <w:vMerge w:val="continue"/>
            <w:noWrap w:val="0"/>
            <w:vAlign w:val="center"/>
          </w:tcPr>
          <w:p>
            <w:pPr>
              <w:spacing w:line="300" w:lineRule="exact"/>
              <w:rPr>
                <w:rFonts w:hint="eastAsia" w:ascii="宋体" w:hAnsi="宋体" w:eastAsia="宋体" w:cs="宋体"/>
                <w:color w:val="auto"/>
                <w:szCs w:val="21"/>
                <w:highlight w:val="none"/>
              </w:rPr>
            </w:pPr>
          </w:p>
        </w:tc>
        <w:tc>
          <w:tcPr>
            <w:tcW w:w="1080" w:type="dxa"/>
            <w:vMerge w:val="continue"/>
            <w:noWrap w:val="0"/>
            <w:vAlign w:val="center"/>
          </w:tcPr>
          <w:p>
            <w:pPr>
              <w:spacing w:line="300" w:lineRule="exact"/>
              <w:rPr>
                <w:rFonts w:hint="eastAsia" w:ascii="宋体" w:hAnsi="宋体" w:eastAsia="宋体" w:cs="宋体"/>
                <w:color w:val="auto"/>
                <w:szCs w:val="21"/>
                <w:highlight w:val="none"/>
              </w:rPr>
            </w:pPr>
          </w:p>
        </w:tc>
        <w:tc>
          <w:tcPr>
            <w:tcW w:w="752" w:type="dxa"/>
            <w:noWrap w:val="0"/>
            <w:vAlign w:val="center"/>
          </w:tcPr>
          <w:p>
            <w:pPr>
              <w:spacing w:line="300" w:lineRule="exact"/>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val="en-US" w:eastAsia="zh-CN"/>
              </w:rPr>
              <w:t>5</w:t>
            </w:r>
          </w:p>
        </w:tc>
        <w:tc>
          <w:tcPr>
            <w:tcW w:w="6077" w:type="dxa"/>
            <w:noWrap w:val="0"/>
            <w:vAlign w:val="center"/>
          </w:tcPr>
          <w:p>
            <w:pPr>
              <w:spacing w:line="3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根据供应商提供的人员培训计划</w:t>
            </w:r>
            <w:r>
              <w:rPr>
                <w:rFonts w:hint="eastAsia" w:ascii="宋体" w:hAnsi="宋体" w:eastAsia="宋体" w:cs="宋体"/>
                <w:color w:val="auto"/>
                <w:szCs w:val="21"/>
                <w:highlight w:val="none"/>
                <w:lang w:eastAsia="zh-CN"/>
              </w:rPr>
              <w:t>、培训讲师、培训内容</w:t>
            </w:r>
            <w:r>
              <w:rPr>
                <w:rFonts w:hint="eastAsia" w:ascii="宋体" w:hAnsi="宋体" w:eastAsia="宋体" w:cs="宋体"/>
                <w:color w:val="auto"/>
                <w:szCs w:val="21"/>
                <w:highlight w:val="none"/>
              </w:rPr>
              <w:t>及方案进行评议并打分，</w:t>
            </w:r>
            <w:r>
              <w:rPr>
                <w:rFonts w:hint="eastAsia" w:ascii="宋体" w:hAnsi="宋体" w:eastAsia="宋体" w:cs="宋体"/>
                <w:color w:val="auto"/>
                <w:szCs w:val="21"/>
                <w:highlight w:val="none"/>
                <w:lang w:eastAsia="zh-CN"/>
              </w:rPr>
              <w:t>完全满足招标要求得</w:t>
            </w:r>
            <w:r>
              <w:rPr>
                <w:rFonts w:hint="eastAsia" w:ascii="宋体" w:hAnsi="宋体" w:eastAsia="宋体" w:cs="宋体"/>
                <w:color w:val="auto"/>
                <w:szCs w:val="21"/>
                <w:highlight w:val="none"/>
                <w:lang w:val="en-US" w:eastAsia="zh-CN"/>
              </w:rPr>
              <w:t>5</w:t>
            </w:r>
            <w:r>
              <w:rPr>
                <w:rFonts w:hint="eastAsia" w:ascii="宋体" w:hAnsi="宋体" w:eastAsia="宋体" w:cs="宋体"/>
                <w:color w:val="auto"/>
                <w:szCs w:val="21"/>
                <w:highlight w:val="none"/>
              </w:rPr>
              <w:t>分、</w:t>
            </w:r>
            <w:r>
              <w:rPr>
                <w:rFonts w:hint="eastAsia" w:ascii="宋体" w:hAnsi="宋体" w:eastAsia="宋体" w:cs="宋体"/>
                <w:color w:val="auto"/>
                <w:szCs w:val="21"/>
                <w:highlight w:val="none"/>
                <w:lang w:eastAsia="zh-CN"/>
              </w:rPr>
              <w:t>基本满足招标要求</w:t>
            </w:r>
            <w:r>
              <w:rPr>
                <w:rFonts w:hint="eastAsia" w:ascii="宋体" w:hAnsi="宋体" w:eastAsia="宋体" w:cs="宋体"/>
                <w:color w:val="auto"/>
                <w:szCs w:val="21"/>
                <w:highlight w:val="none"/>
              </w:rPr>
              <w:t>得</w:t>
            </w: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rPr>
              <w:t>分，</w:t>
            </w:r>
            <w:r>
              <w:rPr>
                <w:rFonts w:hint="eastAsia" w:ascii="宋体" w:hAnsi="宋体" w:eastAsia="宋体" w:cs="宋体"/>
                <w:color w:val="auto"/>
                <w:szCs w:val="21"/>
                <w:highlight w:val="none"/>
                <w:lang w:eastAsia="zh-CN"/>
              </w:rPr>
              <w:t>提供方案不全面不能满足招标要求</w:t>
            </w:r>
            <w:r>
              <w:rPr>
                <w:rFonts w:hint="eastAsia" w:ascii="宋体" w:hAnsi="宋体" w:eastAsia="宋体" w:cs="宋体"/>
                <w:color w:val="auto"/>
                <w:szCs w:val="21"/>
                <w:highlight w:val="none"/>
              </w:rPr>
              <w:t>得</w:t>
            </w:r>
            <w:r>
              <w:rPr>
                <w:rFonts w:hint="eastAsia" w:ascii="宋体" w:hAnsi="宋体" w:eastAsia="宋体" w:cs="宋体"/>
                <w:color w:val="auto"/>
                <w:szCs w:val="21"/>
                <w:highlight w:val="none"/>
                <w:lang w:val="en-US" w:eastAsia="zh-CN"/>
              </w:rPr>
              <w:t>1</w:t>
            </w:r>
            <w:r>
              <w:rPr>
                <w:rFonts w:hint="eastAsia" w:ascii="宋体" w:hAnsi="宋体" w:eastAsia="宋体" w:cs="宋体"/>
                <w:color w:val="auto"/>
                <w:szCs w:val="21"/>
                <w:highlight w:val="none"/>
              </w:rPr>
              <w:t>分、</w:t>
            </w:r>
            <w:r>
              <w:rPr>
                <w:rFonts w:hint="eastAsia" w:ascii="宋体" w:hAnsi="宋体" w:eastAsia="宋体" w:cs="宋体"/>
                <w:color w:val="auto"/>
                <w:szCs w:val="21"/>
                <w:highlight w:val="none"/>
                <w:lang w:eastAsia="zh-CN"/>
              </w:rPr>
              <w:t>不提供不得分</w:t>
            </w:r>
            <w:r>
              <w:rPr>
                <w:rFonts w:hint="eastAsia" w:ascii="宋体" w:hAnsi="宋体" w:eastAsia="宋体" w:cs="宋体"/>
                <w:color w:val="auto"/>
                <w:szCs w:val="21"/>
                <w:highlight w:val="none"/>
              </w:rPr>
              <w:t>。</w:t>
            </w:r>
          </w:p>
        </w:tc>
        <w:tc>
          <w:tcPr>
            <w:tcW w:w="1343" w:type="dxa"/>
            <w:vMerge w:val="continue"/>
            <w:noWrap w:val="0"/>
            <w:vAlign w:val="center"/>
          </w:tcPr>
          <w:p>
            <w:pPr>
              <w:spacing w:line="300" w:lineRule="exact"/>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1" w:hRule="atLeast"/>
        </w:trPr>
        <w:tc>
          <w:tcPr>
            <w:tcW w:w="846" w:type="dxa"/>
            <w:vMerge w:val="continue"/>
            <w:noWrap w:val="0"/>
            <w:vAlign w:val="center"/>
          </w:tcPr>
          <w:p>
            <w:pPr>
              <w:spacing w:line="300" w:lineRule="exact"/>
              <w:rPr>
                <w:rFonts w:hint="eastAsia" w:ascii="宋体" w:hAnsi="宋体" w:eastAsia="宋体" w:cs="宋体"/>
                <w:color w:val="auto"/>
                <w:szCs w:val="21"/>
                <w:highlight w:val="none"/>
              </w:rPr>
            </w:pPr>
          </w:p>
        </w:tc>
        <w:tc>
          <w:tcPr>
            <w:tcW w:w="1080" w:type="dxa"/>
            <w:vMerge w:val="restart"/>
            <w:noWrap w:val="0"/>
            <w:vAlign w:val="center"/>
          </w:tcPr>
          <w:p>
            <w:pPr>
              <w:spacing w:line="3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质量保证及售后服务</w:t>
            </w:r>
          </w:p>
        </w:tc>
        <w:tc>
          <w:tcPr>
            <w:tcW w:w="752" w:type="dxa"/>
            <w:noWrap w:val="0"/>
            <w:vAlign w:val="center"/>
          </w:tcPr>
          <w:p>
            <w:pPr>
              <w:spacing w:line="300" w:lineRule="exact"/>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val="en-US" w:eastAsia="zh-CN"/>
              </w:rPr>
              <w:t>8</w:t>
            </w:r>
          </w:p>
        </w:tc>
        <w:tc>
          <w:tcPr>
            <w:tcW w:w="6077" w:type="dxa"/>
            <w:noWrap w:val="0"/>
            <w:vAlign w:val="center"/>
          </w:tcPr>
          <w:p>
            <w:pPr>
              <w:spacing w:line="3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根据供应商提供的服务要求承诺（含设备维修）、质保期限、故障响应时间情况进行横向对比：优于其他方案的得</w:t>
            </w:r>
            <w:r>
              <w:rPr>
                <w:rFonts w:hint="eastAsia" w:ascii="宋体" w:hAnsi="宋体" w:cs="宋体"/>
                <w:color w:val="auto"/>
                <w:szCs w:val="21"/>
                <w:highlight w:val="none"/>
                <w:lang w:val="en-US" w:eastAsia="zh-CN"/>
              </w:rPr>
              <w:t>8</w:t>
            </w:r>
            <w:r>
              <w:rPr>
                <w:rFonts w:hint="eastAsia" w:ascii="宋体" w:hAnsi="宋体" w:eastAsia="宋体" w:cs="宋体"/>
                <w:color w:val="auto"/>
                <w:szCs w:val="21"/>
                <w:highlight w:val="none"/>
              </w:rPr>
              <w:t>分，方案满足招标文件要求</w:t>
            </w:r>
            <w:r>
              <w:rPr>
                <w:rFonts w:hint="eastAsia" w:ascii="宋体" w:hAnsi="宋体" w:cs="宋体"/>
                <w:color w:val="auto"/>
                <w:szCs w:val="21"/>
                <w:highlight w:val="none"/>
                <w:lang w:val="en-US" w:eastAsia="zh-CN"/>
              </w:rPr>
              <w:t>5</w:t>
            </w:r>
            <w:r>
              <w:rPr>
                <w:rFonts w:hint="eastAsia" w:ascii="宋体" w:hAnsi="宋体" w:eastAsia="宋体" w:cs="宋体"/>
                <w:color w:val="auto"/>
                <w:szCs w:val="21"/>
                <w:highlight w:val="none"/>
              </w:rPr>
              <w:t>分，服务方案不全面、不具体、可行性低得2分，无内容不得分。</w:t>
            </w:r>
          </w:p>
        </w:tc>
        <w:tc>
          <w:tcPr>
            <w:tcW w:w="1343" w:type="dxa"/>
            <w:vMerge w:val="continue"/>
            <w:noWrap w:val="0"/>
            <w:vAlign w:val="center"/>
          </w:tcPr>
          <w:p>
            <w:pPr>
              <w:spacing w:line="300" w:lineRule="exact"/>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2" w:hRule="atLeast"/>
        </w:trPr>
        <w:tc>
          <w:tcPr>
            <w:tcW w:w="846" w:type="dxa"/>
            <w:vMerge w:val="continue"/>
            <w:noWrap w:val="0"/>
            <w:vAlign w:val="center"/>
          </w:tcPr>
          <w:p>
            <w:pPr>
              <w:spacing w:line="300" w:lineRule="exact"/>
              <w:rPr>
                <w:rFonts w:hint="eastAsia" w:ascii="宋体" w:hAnsi="宋体" w:eastAsia="宋体" w:cs="宋体"/>
                <w:color w:val="auto"/>
                <w:szCs w:val="21"/>
                <w:highlight w:val="none"/>
              </w:rPr>
            </w:pPr>
          </w:p>
        </w:tc>
        <w:tc>
          <w:tcPr>
            <w:tcW w:w="1080" w:type="dxa"/>
            <w:vMerge w:val="continue"/>
            <w:noWrap w:val="0"/>
            <w:vAlign w:val="center"/>
          </w:tcPr>
          <w:p>
            <w:pPr>
              <w:spacing w:line="300" w:lineRule="exact"/>
              <w:rPr>
                <w:rFonts w:hint="eastAsia" w:ascii="宋体" w:hAnsi="宋体" w:eastAsia="宋体" w:cs="宋体"/>
                <w:color w:val="auto"/>
                <w:szCs w:val="21"/>
                <w:highlight w:val="none"/>
              </w:rPr>
            </w:pPr>
          </w:p>
        </w:tc>
        <w:tc>
          <w:tcPr>
            <w:tcW w:w="752" w:type="dxa"/>
            <w:noWrap w:val="0"/>
            <w:vAlign w:val="center"/>
          </w:tcPr>
          <w:p>
            <w:pPr>
              <w:spacing w:line="3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3</w:t>
            </w:r>
          </w:p>
        </w:tc>
        <w:tc>
          <w:tcPr>
            <w:tcW w:w="6077" w:type="dxa"/>
            <w:noWrap w:val="0"/>
            <w:vAlign w:val="center"/>
          </w:tcPr>
          <w:p>
            <w:pPr>
              <w:spacing w:line="3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根据供应商在项目实施地点所提供的易损零部件配备的种类、数量、价格进行评议及打分，</w:t>
            </w:r>
            <w:r>
              <w:rPr>
                <w:rFonts w:hint="eastAsia" w:ascii="宋体" w:hAnsi="宋体" w:cs="宋体"/>
                <w:color w:val="auto"/>
                <w:szCs w:val="21"/>
                <w:highlight w:val="none"/>
                <w:lang w:eastAsia="zh-CN"/>
              </w:rPr>
              <w:t>种类多且价格优惠力度大</w:t>
            </w:r>
            <w:r>
              <w:rPr>
                <w:rFonts w:hint="eastAsia" w:ascii="宋体" w:hAnsi="宋体" w:eastAsia="宋体" w:cs="宋体"/>
                <w:color w:val="auto"/>
                <w:szCs w:val="21"/>
                <w:highlight w:val="none"/>
              </w:rPr>
              <w:t>得3分，</w:t>
            </w:r>
            <w:r>
              <w:rPr>
                <w:rFonts w:hint="eastAsia" w:ascii="宋体" w:hAnsi="宋体" w:cs="宋体"/>
                <w:color w:val="auto"/>
                <w:szCs w:val="21"/>
                <w:highlight w:val="none"/>
                <w:lang w:eastAsia="zh-CN"/>
              </w:rPr>
              <w:t>种类能满足采购需求价格</w:t>
            </w:r>
            <w:r>
              <w:rPr>
                <w:rFonts w:hint="eastAsia" w:ascii="宋体" w:hAnsi="宋体" w:eastAsia="宋体" w:cs="宋体"/>
                <w:color w:val="auto"/>
                <w:szCs w:val="21"/>
                <w:highlight w:val="none"/>
              </w:rPr>
              <w:t>2分，</w:t>
            </w:r>
            <w:r>
              <w:rPr>
                <w:rFonts w:hint="eastAsia" w:ascii="宋体" w:hAnsi="宋体" w:cs="宋体"/>
                <w:color w:val="auto"/>
                <w:szCs w:val="21"/>
                <w:highlight w:val="none"/>
                <w:lang w:eastAsia="zh-CN"/>
              </w:rPr>
              <w:t>不提供不</w:t>
            </w:r>
            <w:r>
              <w:rPr>
                <w:rFonts w:hint="eastAsia" w:ascii="宋体" w:hAnsi="宋体" w:eastAsia="宋体" w:cs="宋体"/>
                <w:color w:val="auto"/>
                <w:szCs w:val="21"/>
                <w:highlight w:val="none"/>
              </w:rPr>
              <w:t>得分。</w:t>
            </w:r>
          </w:p>
        </w:tc>
        <w:tc>
          <w:tcPr>
            <w:tcW w:w="1343" w:type="dxa"/>
            <w:vMerge w:val="continue"/>
            <w:noWrap w:val="0"/>
            <w:vAlign w:val="center"/>
          </w:tcPr>
          <w:p>
            <w:pPr>
              <w:spacing w:line="300" w:lineRule="exact"/>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6" w:hRule="atLeast"/>
        </w:trPr>
        <w:tc>
          <w:tcPr>
            <w:tcW w:w="846" w:type="dxa"/>
            <w:vMerge w:val="continue"/>
            <w:noWrap w:val="0"/>
            <w:vAlign w:val="center"/>
          </w:tcPr>
          <w:p>
            <w:pPr>
              <w:spacing w:line="300" w:lineRule="exact"/>
              <w:rPr>
                <w:rFonts w:hint="eastAsia" w:ascii="宋体" w:hAnsi="宋体" w:eastAsia="宋体" w:cs="宋体"/>
                <w:color w:val="auto"/>
                <w:szCs w:val="21"/>
                <w:highlight w:val="none"/>
              </w:rPr>
            </w:pPr>
          </w:p>
        </w:tc>
        <w:tc>
          <w:tcPr>
            <w:tcW w:w="1080" w:type="dxa"/>
            <w:vMerge w:val="continue"/>
            <w:noWrap w:val="0"/>
            <w:vAlign w:val="center"/>
          </w:tcPr>
          <w:p>
            <w:pPr>
              <w:spacing w:line="300" w:lineRule="exact"/>
              <w:rPr>
                <w:rFonts w:hint="eastAsia" w:ascii="宋体" w:hAnsi="宋体" w:eastAsia="宋体" w:cs="宋体"/>
                <w:color w:val="auto"/>
                <w:szCs w:val="21"/>
                <w:highlight w:val="none"/>
              </w:rPr>
            </w:pPr>
          </w:p>
        </w:tc>
        <w:tc>
          <w:tcPr>
            <w:tcW w:w="752" w:type="dxa"/>
            <w:noWrap w:val="0"/>
            <w:vAlign w:val="center"/>
          </w:tcPr>
          <w:p>
            <w:pPr>
              <w:spacing w:line="3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3</w:t>
            </w:r>
          </w:p>
        </w:tc>
        <w:tc>
          <w:tcPr>
            <w:tcW w:w="6077" w:type="dxa"/>
            <w:noWrap w:val="0"/>
            <w:vAlign w:val="center"/>
          </w:tcPr>
          <w:p>
            <w:pPr>
              <w:spacing w:line="300" w:lineRule="exact"/>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承诺中标后</w:t>
            </w:r>
            <w:r>
              <w:rPr>
                <w:rFonts w:hint="eastAsia" w:ascii="宋体" w:hAnsi="宋体" w:eastAsia="宋体" w:cs="宋体"/>
                <w:color w:val="auto"/>
                <w:szCs w:val="21"/>
                <w:highlight w:val="none"/>
                <w:lang w:val="en-US" w:eastAsia="zh-CN"/>
              </w:rPr>
              <w:t>在疆内有固定的CT维修工程师，</w:t>
            </w:r>
            <w:r>
              <w:rPr>
                <w:rFonts w:hint="eastAsia" w:ascii="宋体" w:hAnsi="宋体" w:eastAsia="宋体" w:cs="宋体"/>
                <w:color w:val="auto"/>
                <w:szCs w:val="21"/>
                <w:highlight w:val="none"/>
              </w:rPr>
              <w:t>随时排除设备故障得3分（如不按承诺兑现，每有一次未按要求及时排除故障扣除3%质保金，扣完为止）。</w:t>
            </w:r>
          </w:p>
        </w:tc>
        <w:tc>
          <w:tcPr>
            <w:tcW w:w="1343" w:type="dxa"/>
            <w:noWrap w:val="0"/>
            <w:vAlign w:val="center"/>
          </w:tcPr>
          <w:p>
            <w:pPr>
              <w:spacing w:line="300" w:lineRule="exact"/>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4" w:hRule="atLeast"/>
        </w:trPr>
        <w:tc>
          <w:tcPr>
            <w:tcW w:w="846" w:type="dxa"/>
            <w:vMerge w:val="continue"/>
            <w:noWrap w:val="0"/>
            <w:vAlign w:val="center"/>
          </w:tcPr>
          <w:p>
            <w:pPr>
              <w:spacing w:line="300" w:lineRule="exact"/>
              <w:rPr>
                <w:rFonts w:hint="eastAsia" w:ascii="宋体" w:hAnsi="宋体" w:eastAsia="宋体" w:cs="宋体"/>
                <w:color w:val="auto"/>
                <w:szCs w:val="21"/>
                <w:highlight w:val="none"/>
              </w:rPr>
            </w:pPr>
          </w:p>
        </w:tc>
        <w:tc>
          <w:tcPr>
            <w:tcW w:w="1080" w:type="dxa"/>
            <w:noWrap w:val="0"/>
            <w:vAlign w:val="center"/>
          </w:tcPr>
          <w:p>
            <w:pPr>
              <w:spacing w:line="3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标书制作</w:t>
            </w:r>
          </w:p>
        </w:tc>
        <w:tc>
          <w:tcPr>
            <w:tcW w:w="752" w:type="dxa"/>
            <w:noWrap w:val="0"/>
            <w:vAlign w:val="center"/>
          </w:tcPr>
          <w:p>
            <w:pPr>
              <w:spacing w:line="3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6077" w:type="dxa"/>
            <w:noWrap w:val="0"/>
            <w:vAlign w:val="center"/>
          </w:tcPr>
          <w:p>
            <w:pPr>
              <w:spacing w:line="3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投标文件目录清晰、页码连续、目录与页码对应准确，评审内容便于查找，正副本内容一样清晰可辨</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没有与评审内容无关的资料及文件</w:t>
            </w:r>
            <w:r>
              <w:rPr>
                <w:rFonts w:hint="eastAsia" w:ascii="宋体" w:hAnsi="宋体" w:eastAsia="宋体" w:cs="宋体"/>
                <w:color w:val="auto"/>
                <w:szCs w:val="21"/>
                <w:highlight w:val="none"/>
              </w:rPr>
              <w:t>得2分，否则不得分。</w:t>
            </w:r>
          </w:p>
        </w:tc>
        <w:tc>
          <w:tcPr>
            <w:tcW w:w="1343" w:type="dxa"/>
            <w:noWrap w:val="0"/>
            <w:vAlign w:val="center"/>
          </w:tcPr>
          <w:p>
            <w:pPr>
              <w:spacing w:line="300" w:lineRule="exact"/>
              <w:rPr>
                <w:rFonts w:hint="eastAsia" w:ascii="宋体" w:hAnsi="宋体" w:eastAsia="宋体" w:cs="宋体"/>
                <w:color w:val="auto"/>
                <w:szCs w:val="21"/>
                <w:highlight w:val="none"/>
              </w:rPr>
            </w:pPr>
          </w:p>
        </w:tc>
      </w:tr>
    </w:tbl>
    <w:p>
      <w:pPr>
        <w:pStyle w:val="6"/>
        <w:ind w:left="0" w:leftChars="0" w:firstLine="0" w:firstLineChars="0"/>
        <w:rPr>
          <w:rFonts w:hint="eastAsia" w:ascii="宋体" w:hAnsi="宋体" w:eastAsia="宋体" w:cs="宋体"/>
          <w:b/>
          <w:color w:val="auto"/>
          <w:sz w:val="32"/>
          <w:highlight w:val="none"/>
        </w:rPr>
      </w:pPr>
    </w:p>
    <w:p>
      <w:pPr>
        <w:rPr>
          <w:rFonts w:hint="eastAsia" w:ascii="宋体" w:hAnsi="宋体" w:eastAsia="宋体" w:cs="宋体"/>
          <w:color w:val="auto"/>
          <w:highlight w:val="none"/>
        </w:rPr>
      </w:pPr>
    </w:p>
    <w:p>
      <w:pPr>
        <w:pStyle w:val="6"/>
        <w:ind w:firstLine="0"/>
        <w:rPr>
          <w:rFonts w:hint="eastAsia" w:ascii="宋体" w:hAnsi="宋体" w:eastAsia="宋体" w:cs="宋体"/>
          <w:b/>
          <w:color w:val="auto"/>
          <w:sz w:val="32"/>
          <w:highlight w:val="none"/>
        </w:rPr>
      </w:pPr>
    </w:p>
    <w:p>
      <w:pPr>
        <w:pStyle w:val="6"/>
        <w:rPr>
          <w:rFonts w:hint="eastAsia" w:ascii="宋体" w:hAnsi="宋体" w:eastAsia="宋体" w:cs="宋体"/>
          <w:b/>
          <w:color w:val="auto"/>
          <w:sz w:val="32"/>
          <w:highlight w:val="none"/>
        </w:rPr>
      </w:pPr>
    </w:p>
    <w:p>
      <w:pPr>
        <w:pStyle w:val="6"/>
        <w:rPr>
          <w:rFonts w:hint="eastAsia" w:ascii="宋体" w:hAnsi="宋体" w:eastAsia="宋体" w:cs="宋体"/>
          <w:b/>
          <w:color w:val="auto"/>
          <w:sz w:val="32"/>
          <w:highlight w:val="none"/>
        </w:rPr>
      </w:pPr>
    </w:p>
    <w:p>
      <w:pPr>
        <w:pStyle w:val="2"/>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p>
      <w:pPr>
        <w:spacing w:line="240" w:lineRule="atLeast"/>
        <w:jc w:val="center"/>
        <w:rPr>
          <w:rFonts w:hint="eastAsia" w:ascii="宋体" w:hAnsi="宋体" w:eastAsia="宋体" w:cs="宋体"/>
          <w:b/>
          <w:color w:val="auto"/>
          <w:sz w:val="44"/>
          <w:szCs w:val="44"/>
          <w:highlight w:val="none"/>
        </w:rPr>
      </w:pPr>
    </w:p>
    <w:p>
      <w:pPr>
        <w:spacing w:line="240" w:lineRule="atLeast"/>
        <w:jc w:val="center"/>
        <w:rPr>
          <w:rFonts w:hint="eastAsia" w:ascii="宋体" w:hAnsi="宋体" w:eastAsia="宋体" w:cs="宋体"/>
          <w:b/>
          <w:color w:val="auto"/>
          <w:sz w:val="44"/>
          <w:szCs w:val="44"/>
          <w:highlight w:val="none"/>
        </w:rPr>
      </w:pPr>
      <w:r>
        <w:rPr>
          <w:rFonts w:hint="eastAsia" w:ascii="宋体" w:hAnsi="宋体" w:eastAsia="宋体" w:cs="宋体"/>
          <w:b/>
          <w:color w:val="auto"/>
          <w:sz w:val="44"/>
          <w:szCs w:val="44"/>
          <w:highlight w:val="none"/>
        </w:rPr>
        <w:t>招 标 文 件</w:t>
      </w:r>
    </w:p>
    <w:p>
      <w:pPr>
        <w:spacing w:line="240" w:lineRule="atLeast"/>
        <w:jc w:val="center"/>
        <w:rPr>
          <w:rFonts w:hint="eastAsia" w:ascii="宋体" w:hAnsi="宋体" w:eastAsia="宋体" w:cs="宋体"/>
          <w:b/>
          <w:color w:val="auto"/>
          <w:sz w:val="40"/>
          <w:szCs w:val="40"/>
          <w:highlight w:val="none"/>
        </w:rPr>
      </w:pPr>
    </w:p>
    <w:p>
      <w:pPr>
        <w:spacing w:line="240" w:lineRule="atLeast"/>
        <w:jc w:val="center"/>
        <w:rPr>
          <w:rFonts w:hint="eastAsia" w:ascii="宋体" w:hAnsi="宋体" w:eastAsia="宋体" w:cs="宋体"/>
          <w:b/>
          <w:color w:val="auto"/>
          <w:sz w:val="40"/>
          <w:szCs w:val="40"/>
          <w:highlight w:val="none"/>
          <w:lang w:val="en-US" w:eastAsia="zh-CN"/>
        </w:rPr>
      </w:pPr>
      <w:r>
        <w:rPr>
          <w:rFonts w:hint="eastAsia" w:ascii="宋体" w:hAnsi="宋体" w:eastAsia="宋体" w:cs="宋体"/>
          <w:b/>
          <w:color w:val="auto"/>
          <w:sz w:val="40"/>
          <w:szCs w:val="40"/>
          <w:highlight w:val="none"/>
        </w:rPr>
        <w:t>项目编号：</w:t>
      </w:r>
      <w:r>
        <w:rPr>
          <w:rFonts w:hint="eastAsia" w:ascii="宋体" w:hAnsi="宋体" w:cs="宋体"/>
          <w:b/>
          <w:color w:val="auto"/>
          <w:sz w:val="40"/>
          <w:szCs w:val="40"/>
          <w:highlight w:val="none"/>
          <w:lang w:eastAsia="zh-CN"/>
        </w:rPr>
        <w:t>ZPDL(2022)022</w:t>
      </w:r>
    </w:p>
    <w:p>
      <w:pPr>
        <w:pStyle w:val="6"/>
        <w:rPr>
          <w:rFonts w:hint="eastAsia" w:ascii="宋体" w:hAnsi="宋体" w:eastAsia="宋体" w:cs="宋体"/>
          <w:color w:val="auto"/>
          <w:highlight w:val="none"/>
        </w:rPr>
      </w:pPr>
    </w:p>
    <w:p>
      <w:pPr>
        <w:pStyle w:val="6"/>
        <w:rPr>
          <w:rFonts w:hint="eastAsia" w:ascii="宋体" w:hAnsi="宋体" w:eastAsia="宋体" w:cs="宋体"/>
          <w:color w:val="auto"/>
          <w:highlight w:val="none"/>
        </w:rPr>
      </w:pPr>
    </w:p>
    <w:p>
      <w:pPr>
        <w:spacing w:line="240" w:lineRule="atLeast"/>
        <w:jc w:val="center"/>
        <w:outlineLvl w:val="0"/>
        <w:rPr>
          <w:rFonts w:hint="eastAsia" w:ascii="宋体" w:hAnsi="宋体" w:eastAsia="宋体" w:cs="宋体"/>
          <w:b/>
          <w:color w:val="auto"/>
          <w:sz w:val="40"/>
          <w:szCs w:val="40"/>
          <w:highlight w:val="none"/>
        </w:rPr>
      </w:pPr>
      <w:bookmarkStart w:id="596" w:name="_Toc997"/>
      <w:bookmarkStart w:id="597" w:name="_Toc25543"/>
      <w:bookmarkStart w:id="598" w:name="_Toc10296"/>
      <w:bookmarkStart w:id="599" w:name="_Toc8709"/>
      <w:bookmarkStart w:id="600" w:name="_Toc16427"/>
      <w:bookmarkStart w:id="601" w:name="_Toc11428"/>
      <w:bookmarkStart w:id="602" w:name="_Toc8381"/>
      <w:bookmarkStart w:id="603" w:name="_Toc25236"/>
      <w:bookmarkStart w:id="604" w:name="_Toc29605"/>
      <w:bookmarkStart w:id="605" w:name="_Toc5580"/>
      <w:bookmarkStart w:id="606" w:name="_Toc20854"/>
      <w:bookmarkStart w:id="607" w:name="_Toc30135"/>
      <w:bookmarkStart w:id="608" w:name="_Toc7062"/>
      <w:bookmarkStart w:id="609" w:name="_Toc17537"/>
      <w:bookmarkStart w:id="610" w:name="_Toc22739"/>
      <w:r>
        <w:rPr>
          <w:rFonts w:hint="eastAsia" w:ascii="宋体" w:hAnsi="宋体" w:eastAsia="宋体" w:cs="宋体"/>
          <w:b/>
          <w:color w:val="auto"/>
          <w:sz w:val="40"/>
          <w:szCs w:val="40"/>
          <w:highlight w:val="none"/>
        </w:rPr>
        <w:t>第 三 册</w:t>
      </w:r>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p>
    <w:p>
      <w:pPr>
        <w:spacing w:line="240" w:lineRule="atLeast"/>
        <w:jc w:val="center"/>
        <w:rPr>
          <w:rFonts w:hint="eastAsia" w:ascii="宋体" w:hAnsi="宋体" w:eastAsia="宋体" w:cs="宋体"/>
          <w:b/>
          <w:color w:val="auto"/>
          <w:sz w:val="32"/>
          <w:highlight w:val="none"/>
        </w:rPr>
      </w:pPr>
    </w:p>
    <w:p>
      <w:pPr>
        <w:spacing w:line="240" w:lineRule="atLeast"/>
        <w:ind w:left="1080" w:leftChars="257" w:hanging="540"/>
        <w:jc w:val="center"/>
        <w:rPr>
          <w:rFonts w:hint="eastAsia" w:ascii="宋体" w:hAnsi="宋体" w:eastAsia="宋体" w:cs="宋体"/>
          <w:b/>
          <w:color w:val="auto"/>
          <w:sz w:val="52"/>
          <w:highlight w:val="none"/>
        </w:rPr>
      </w:pPr>
    </w:p>
    <w:p>
      <w:pPr>
        <w:spacing w:line="240" w:lineRule="atLeast"/>
        <w:ind w:left="1080" w:leftChars="257" w:hanging="540"/>
        <w:jc w:val="center"/>
        <w:rPr>
          <w:rFonts w:hint="eastAsia" w:ascii="宋体" w:hAnsi="宋体" w:eastAsia="宋体" w:cs="宋体"/>
          <w:b/>
          <w:color w:val="auto"/>
          <w:sz w:val="52"/>
          <w:highlight w:val="none"/>
        </w:rPr>
      </w:pPr>
    </w:p>
    <w:p>
      <w:pPr>
        <w:spacing w:line="240" w:lineRule="atLeast"/>
        <w:ind w:left="1080" w:leftChars="257" w:hanging="540"/>
        <w:jc w:val="center"/>
        <w:rPr>
          <w:rFonts w:hint="eastAsia" w:ascii="宋体" w:hAnsi="宋体" w:eastAsia="宋体" w:cs="宋体"/>
          <w:b/>
          <w:color w:val="auto"/>
          <w:sz w:val="52"/>
          <w:highlight w:val="none"/>
        </w:rPr>
      </w:pPr>
    </w:p>
    <w:p>
      <w:pPr>
        <w:pStyle w:val="6"/>
        <w:rPr>
          <w:rFonts w:hint="eastAsia" w:ascii="宋体" w:hAnsi="宋体" w:eastAsia="宋体" w:cs="宋体"/>
          <w:b/>
          <w:color w:val="auto"/>
          <w:sz w:val="52"/>
          <w:highlight w:val="none"/>
        </w:rPr>
      </w:pPr>
    </w:p>
    <w:p>
      <w:pPr>
        <w:pStyle w:val="6"/>
        <w:rPr>
          <w:rFonts w:hint="eastAsia" w:ascii="宋体" w:hAnsi="宋体" w:eastAsia="宋体" w:cs="宋体"/>
          <w:b/>
          <w:color w:val="auto"/>
          <w:sz w:val="52"/>
          <w:highlight w:val="none"/>
        </w:rPr>
      </w:pPr>
    </w:p>
    <w:p>
      <w:pPr>
        <w:pStyle w:val="6"/>
        <w:rPr>
          <w:rFonts w:hint="eastAsia" w:ascii="宋体" w:hAnsi="宋体" w:eastAsia="宋体" w:cs="宋体"/>
          <w:b/>
          <w:color w:val="auto"/>
          <w:sz w:val="52"/>
          <w:highlight w:val="none"/>
        </w:rPr>
      </w:pPr>
    </w:p>
    <w:p>
      <w:pPr>
        <w:spacing w:line="240" w:lineRule="atLeast"/>
        <w:jc w:val="both"/>
        <w:rPr>
          <w:rFonts w:hint="eastAsia" w:ascii="宋体" w:hAnsi="宋体" w:eastAsia="宋体" w:cs="宋体"/>
          <w:b/>
          <w:color w:val="auto"/>
          <w:sz w:val="52"/>
          <w:highlight w:val="none"/>
        </w:rPr>
        <w:sectPr>
          <w:headerReference r:id="rId9" w:type="default"/>
          <w:pgSz w:w="11907" w:h="16840"/>
          <w:pgMar w:top="1474" w:right="1814" w:bottom="1474" w:left="1814" w:header="851" w:footer="851" w:gutter="0"/>
          <w:pgNumType w:fmt="decimal"/>
          <w:cols w:space="720" w:num="1"/>
          <w:docGrid w:linePitch="462" w:charSpace="0"/>
        </w:sectPr>
      </w:pPr>
    </w:p>
    <w:bookmarkEnd w:id="595"/>
    <w:p>
      <w:pPr>
        <w:pStyle w:val="3"/>
        <w:rPr>
          <w:rFonts w:hint="eastAsia" w:ascii="宋体" w:hAnsi="宋体" w:eastAsia="宋体" w:cs="宋体"/>
          <w:color w:val="auto"/>
          <w:highlight w:val="none"/>
        </w:rPr>
      </w:pPr>
      <w:bookmarkStart w:id="611" w:name="_Toc1680"/>
      <w:bookmarkStart w:id="612" w:name="_Toc32068"/>
      <w:bookmarkStart w:id="613" w:name="_Toc6865"/>
      <w:bookmarkStart w:id="614" w:name="_Toc515647833"/>
      <w:bookmarkStart w:id="615" w:name="_Toc12089"/>
      <w:bookmarkStart w:id="616" w:name="_Toc4796"/>
      <w:r>
        <w:rPr>
          <w:rFonts w:hint="eastAsia" w:ascii="宋体" w:hAnsi="宋体" w:eastAsia="宋体" w:cs="宋体"/>
          <w:color w:val="auto"/>
          <w:highlight w:val="none"/>
        </w:rPr>
        <w:t>第7章 政府采购合同</w:t>
      </w:r>
      <w:bookmarkEnd w:id="611"/>
      <w:bookmarkEnd w:id="612"/>
      <w:bookmarkEnd w:id="613"/>
      <w:bookmarkEnd w:id="614"/>
      <w:bookmarkEnd w:id="615"/>
      <w:bookmarkEnd w:id="616"/>
      <w:bookmarkStart w:id="617" w:name="_Hlt487972895"/>
      <w:bookmarkEnd w:id="617"/>
      <w:bookmarkStart w:id="618" w:name="_Toc216513788"/>
      <w:bookmarkStart w:id="619" w:name="_Toc487900382"/>
    </w:p>
    <w:bookmarkEnd w:id="618"/>
    <w:bookmarkEnd w:id="619"/>
    <w:p>
      <w:pPr>
        <w:rPr>
          <w:rFonts w:hint="eastAsia" w:ascii="宋体" w:hAnsi="宋体" w:eastAsia="宋体" w:cs="宋体"/>
          <w:color w:val="auto"/>
          <w:highlight w:val="none"/>
        </w:rPr>
      </w:pPr>
    </w:p>
    <w:p>
      <w:pPr>
        <w:rPr>
          <w:rFonts w:hint="eastAsia" w:ascii="宋体" w:hAnsi="宋体" w:eastAsia="宋体" w:cs="宋体"/>
          <w:color w:val="auto"/>
          <w:highlight w:val="none"/>
        </w:rPr>
      </w:pPr>
      <w:r>
        <w:rPr>
          <w:rFonts w:hint="eastAsia" w:ascii="宋体" w:hAnsi="宋体" w:eastAsia="宋体" w:cs="宋体"/>
          <w:color w:val="auto"/>
          <w:sz w:val="24"/>
          <w:szCs w:val="24"/>
          <w:highlight w:val="none"/>
        </w:rPr>
        <w:t xml:space="preserve">合同编号：   </w:t>
      </w:r>
      <w:r>
        <w:rPr>
          <w:rFonts w:hint="eastAsia" w:ascii="宋体" w:hAnsi="宋体" w:eastAsia="宋体" w:cs="宋体"/>
          <w:color w:val="auto"/>
          <w:highlight w:val="none"/>
        </w:rPr>
        <w:t xml:space="preserve">        </w:t>
      </w: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spacing w:line="500" w:lineRule="exact"/>
        <w:jc w:val="center"/>
        <w:rPr>
          <w:rFonts w:hint="eastAsia" w:ascii="宋体" w:hAnsi="宋体" w:eastAsia="宋体" w:cs="宋体"/>
          <w:b/>
          <w:bCs/>
          <w:color w:val="auto"/>
          <w:sz w:val="44"/>
          <w:szCs w:val="44"/>
          <w:highlight w:val="none"/>
        </w:rPr>
      </w:pPr>
      <w:r>
        <w:rPr>
          <w:rFonts w:hint="eastAsia" w:ascii="宋体" w:hAnsi="宋体" w:eastAsia="宋体" w:cs="宋体"/>
          <w:b/>
          <w:bCs/>
          <w:color w:val="auto"/>
          <w:sz w:val="44"/>
          <w:szCs w:val="44"/>
          <w:highlight w:val="none"/>
        </w:rPr>
        <w:t>政府采购合同参考范本</w:t>
      </w:r>
    </w:p>
    <w:p>
      <w:pPr>
        <w:spacing w:line="500" w:lineRule="exact"/>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（货物类）</w:t>
      </w: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28"/>
        <w:spacing w:line="360" w:lineRule="exact"/>
        <w:ind w:firstLine="0"/>
        <w:jc w:val="center"/>
        <w:rPr>
          <w:rFonts w:hint="eastAsia" w:ascii="宋体" w:hAnsi="宋体" w:eastAsia="宋体" w:cs="宋体"/>
          <w:b/>
          <w:bCs/>
          <w:color w:val="auto"/>
          <w:highlight w:val="none"/>
        </w:rPr>
      </w:pPr>
      <w:r>
        <w:rPr>
          <w:rFonts w:hint="eastAsia" w:ascii="宋体" w:hAnsi="宋体" w:eastAsia="宋体" w:cs="宋体"/>
          <w:b/>
          <w:bCs/>
          <w:color w:val="auto"/>
          <w:highlight w:val="none"/>
        </w:rPr>
        <w:t>第一部分 合同书</w:t>
      </w:r>
    </w:p>
    <w:p>
      <w:pPr>
        <w:rPr>
          <w:rFonts w:hint="eastAsia" w:ascii="宋体" w:hAnsi="宋体" w:eastAsia="宋体" w:cs="宋体"/>
          <w:color w:val="auto"/>
          <w:highlight w:val="none"/>
        </w:rPr>
      </w:pPr>
    </w:p>
    <w:p>
      <w:pPr>
        <w:spacing w:before="120" w:line="360" w:lineRule="exact"/>
        <w:ind w:left="96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项目名称：</w:t>
      </w:r>
      <w:r>
        <w:rPr>
          <w:rFonts w:hint="eastAsia" w:ascii="宋体" w:hAnsi="宋体" w:eastAsia="宋体" w:cs="宋体"/>
          <w:color w:val="auto"/>
          <w:sz w:val="24"/>
          <w:szCs w:val="24"/>
          <w:highlight w:val="none"/>
          <w:u w:val="single"/>
        </w:rPr>
        <w:t xml:space="preserve">                                   </w:t>
      </w:r>
    </w:p>
    <w:p>
      <w:pPr>
        <w:pStyle w:val="29"/>
        <w:spacing w:before="120" w:line="360" w:lineRule="exact"/>
        <w:rPr>
          <w:rFonts w:hint="eastAsia" w:ascii="宋体" w:hAnsi="宋体" w:eastAsia="宋体" w:cs="宋体"/>
          <w:color w:val="auto"/>
          <w:highlight w:val="none"/>
        </w:rPr>
      </w:pPr>
    </w:p>
    <w:p>
      <w:pPr>
        <w:pStyle w:val="29"/>
        <w:spacing w:before="120" w:line="360" w:lineRule="exact"/>
        <w:rPr>
          <w:rFonts w:hint="eastAsia" w:ascii="宋体" w:hAnsi="宋体" w:eastAsia="宋体" w:cs="宋体"/>
          <w:color w:val="auto"/>
          <w:highlight w:val="none"/>
        </w:rPr>
      </w:pPr>
    </w:p>
    <w:p>
      <w:pPr>
        <w:spacing w:line="360" w:lineRule="exact"/>
        <w:rPr>
          <w:rFonts w:hint="eastAsia" w:ascii="宋体" w:hAnsi="宋体" w:eastAsia="宋体" w:cs="宋体"/>
          <w:color w:val="auto"/>
          <w:highlight w:val="none"/>
        </w:rPr>
      </w:pPr>
    </w:p>
    <w:p>
      <w:pPr>
        <w:spacing w:before="120" w:line="360" w:lineRule="exact"/>
        <w:ind w:left="96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甲方：</w:t>
      </w:r>
      <w:r>
        <w:rPr>
          <w:rFonts w:hint="eastAsia" w:ascii="宋体" w:hAnsi="宋体" w:eastAsia="宋体" w:cs="宋体"/>
          <w:color w:val="auto"/>
          <w:sz w:val="24"/>
          <w:szCs w:val="24"/>
          <w:highlight w:val="none"/>
          <w:u w:val="single"/>
        </w:rPr>
        <w:t xml:space="preserve">                                       </w:t>
      </w:r>
    </w:p>
    <w:p>
      <w:pPr>
        <w:spacing w:before="120" w:line="360" w:lineRule="exact"/>
        <w:rPr>
          <w:rFonts w:hint="eastAsia" w:ascii="宋体" w:hAnsi="宋体" w:eastAsia="宋体" w:cs="宋体"/>
          <w:color w:val="auto"/>
          <w:sz w:val="24"/>
          <w:szCs w:val="24"/>
          <w:highlight w:val="none"/>
        </w:rPr>
      </w:pPr>
    </w:p>
    <w:p>
      <w:pPr>
        <w:spacing w:before="120" w:line="360" w:lineRule="exact"/>
        <w:ind w:left="96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乙方：</w:t>
      </w:r>
      <w:r>
        <w:rPr>
          <w:rFonts w:hint="eastAsia" w:ascii="宋体" w:hAnsi="宋体" w:eastAsia="宋体" w:cs="宋体"/>
          <w:color w:val="auto"/>
          <w:sz w:val="24"/>
          <w:szCs w:val="24"/>
          <w:highlight w:val="none"/>
          <w:u w:val="single"/>
        </w:rPr>
        <w:t xml:space="preserve">                                       </w:t>
      </w:r>
    </w:p>
    <w:p>
      <w:pPr>
        <w:spacing w:before="120" w:line="360" w:lineRule="exact"/>
        <w:rPr>
          <w:rFonts w:hint="eastAsia" w:ascii="宋体" w:hAnsi="宋体" w:eastAsia="宋体" w:cs="宋体"/>
          <w:color w:val="auto"/>
          <w:sz w:val="24"/>
          <w:szCs w:val="24"/>
          <w:highlight w:val="none"/>
        </w:rPr>
      </w:pPr>
    </w:p>
    <w:p>
      <w:pPr>
        <w:spacing w:before="120" w:line="360" w:lineRule="exact"/>
        <w:ind w:firstLine="960" w:firstLineChars="4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签订地：</w:t>
      </w:r>
      <w:r>
        <w:rPr>
          <w:rFonts w:hint="eastAsia" w:ascii="宋体" w:hAnsi="宋体" w:eastAsia="宋体" w:cs="宋体"/>
          <w:color w:val="auto"/>
          <w:sz w:val="24"/>
          <w:szCs w:val="24"/>
          <w:highlight w:val="none"/>
          <w:u w:val="single"/>
        </w:rPr>
        <w:t xml:space="preserve">                                     </w:t>
      </w:r>
    </w:p>
    <w:p>
      <w:pPr>
        <w:spacing w:before="120" w:line="360" w:lineRule="exact"/>
        <w:rPr>
          <w:rFonts w:hint="eastAsia" w:ascii="宋体" w:hAnsi="宋体" w:eastAsia="宋体" w:cs="宋体"/>
          <w:color w:val="auto"/>
          <w:sz w:val="24"/>
          <w:szCs w:val="24"/>
          <w:highlight w:val="none"/>
        </w:rPr>
      </w:pPr>
    </w:p>
    <w:p>
      <w:pPr>
        <w:spacing w:before="120" w:line="360" w:lineRule="exact"/>
        <w:ind w:firstLine="960" w:firstLineChars="4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签订日期：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p>
    <w:p>
      <w:pPr>
        <w:autoSpaceDE w:val="0"/>
        <w:autoSpaceDN w:val="0"/>
        <w:adjustRightInd w:val="0"/>
        <w:spacing w:line="360" w:lineRule="exact"/>
        <w:ind w:firstLine="640"/>
        <w:jc w:val="center"/>
        <w:rPr>
          <w:rFonts w:hint="eastAsia" w:ascii="宋体" w:hAnsi="宋体" w:eastAsia="宋体" w:cs="宋体"/>
          <w:color w:val="auto"/>
          <w:sz w:val="24"/>
          <w:szCs w:val="24"/>
          <w:highlight w:val="none"/>
        </w:rPr>
        <w:sectPr>
          <w:footerReference r:id="rId10" w:type="default"/>
          <w:pgSz w:w="11905" w:h="16838"/>
          <w:pgMar w:top="1440" w:right="1797" w:bottom="1440" w:left="1797" w:header="851" w:footer="992" w:gutter="0"/>
          <w:pgNumType w:fmt="decimal"/>
          <w:cols w:space="0" w:num="1"/>
          <w:rtlGutter w:val="0"/>
          <w:docGrid w:linePitch="462" w:charSpace="0"/>
        </w:sectPr>
      </w:pPr>
    </w:p>
    <w:p>
      <w:pPr>
        <w:spacing w:line="360" w:lineRule="exact"/>
        <w:ind w:firstLine="480" w:firstLineChars="200"/>
        <w:rPr>
          <w:rFonts w:hint="eastAsia" w:ascii="宋体" w:hAnsi="宋体" w:eastAsia="宋体" w:cs="宋体"/>
          <w:color w:val="auto"/>
          <w:sz w:val="24"/>
          <w:szCs w:val="24"/>
          <w:highlight w:val="none"/>
        </w:rPr>
      </w:pPr>
      <w:bookmarkStart w:id="620" w:name="_Toc1846"/>
      <w:bookmarkStart w:id="621" w:name="_Toc24059"/>
      <w:bookmarkStart w:id="622" w:name="_Toc2659"/>
      <w:bookmarkStart w:id="623" w:name="_Toc26721"/>
      <w:bookmarkStart w:id="624" w:name="_Toc2232"/>
      <w:bookmarkStart w:id="625" w:name="_Toc3029"/>
      <w:r>
        <w:rPr>
          <w:rFonts w:hint="eastAsia" w:ascii="宋体" w:hAnsi="宋体" w:eastAsia="宋体" w:cs="宋体"/>
          <w:color w:val="auto"/>
          <w:sz w:val="24"/>
          <w:szCs w:val="24"/>
          <w:highlight w:val="none"/>
          <w:u w:val="single"/>
          <w:lang w:val="zh-CN"/>
        </w:rPr>
        <w:t xml:space="preserve">        </w:t>
      </w:r>
      <w:r>
        <w:rPr>
          <w:rFonts w:hint="eastAsia" w:ascii="宋体" w:hAnsi="宋体" w:eastAsia="宋体" w:cs="宋体"/>
          <w:color w:val="auto"/>
          <w:sz w:val="24"/>
          <w:szCs w:val="24"/>
          <w:highlight w:val="none"/>
          <w:lang w:val="zh-CN"/>
        </w:rPr>
        <w:t>年</w:t>
      </w:r>
      <w:r>
        <w:rPr>
          <w:rFonts w:hint="eastAsia" w:ascii="宋体" w:hAnsi="宋体" w:eastAsia="宋体" w:cs="宋体"/>
          <w:color w:val="auto"/>
          <w:sz w:val="24"/>
          <w:szCs w:val="24"/>
          <w:highlight w:val="none"/>
          <w:u w:val="single"/>
          <w:lang w:val="zh-CN"/>
        </w:rPr>
        <w:t xml:space="preserve">    </w:t>
      </w:r>
      <w:r>
        <w:rPr>
          <w:rFonts w:hint="eastAsia" w:ascii="宋体" w:hAnsi="宋体" w:eastAsia="宋体" w:cs="宋体"/>
          <w:color w:val="auto"/>
          <w:sz w:val="24"/>
          <w:szCs w:val="24"/>
          <w:highlight w:val="none"/>
          <w:lang w:val="zh-CN"/>
        </w:rPr>
        <w:t>月</w:t>
      </w:r>
      <w:r>
        <w:rPr>
          <w:rFonts w:hint="eastAsia" w:ascii="宋体" w:hAnsi="宋体" w:eastAsia="宋体" w:cs="宋体"/>
          <w:color w:val="auto"/>
          <w:sz w:val="24"/>
          <w:szCs w:val="24"/>
          <w:highlight w:val="none"/>
          <w:u w:val="single"/>
          <w:lang w:val="zh-CN"/>
        </w:rPr>
        <w:t xml:space="preserve">    </w:t>
      </w:r>
      <w:r>
        <w:rPr>
          <w:rFonts w:hint="eastAsia" w:ascii="宋体" w:hAnsi="宋体" w:eastAsia="宋体" w:cs="宋体"/>
          <w:color w:val="auto"/>
          <w:sz w:val="24"/>
          <w:szCs w:val="24"/>
          <w:highlight w:val="none"/>
          <w:lang w:val="zh-CN"/>
        </w:rPr>
        <w:t>日</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u w:val="single"/>
        </w:rPr>
        <w:t xml:space="preserve">   （采购人名称）   </w:t>
      </w:r>
      <w:r>
        <w:rPr>
          <w:rFonts w:hint="eastAsia" w:ascii="宋体" w:hAnsi="宋体" w:eastAsia="宋体" w:cs="宋体"/>
          <w:color w:val="auto"/>
          <w:sz w:val="24"/>
          <w:szCs w:val="24"/>
          <w:highlight w:val="none"/>
        </w:rPr>
        <w:t>以</w:t>
      </w:r>
      <w:r>
        <w:rPr>
          <w:rFonts w:hint="eastAsia" w:ascii="宋体" w:hAnsi="宋体" w:eastAsia="宋体" w:cs="宋体"/>
          <w:color w:val="auto"/>
          <w:sz w:val="24"/>
          <w:szCs w:val="24"/>
          <w:highlight w:val="none"/>
          <w:u w:val="single"/>
        </w:rPr>
        <w:t xml:space="preserve">   （政府采购方式）  </w:t>
      </w:r>
      <w:r>
        <w:rPr>
          <w:rFonts w:hint="eastAsia" w:ascii="宋体" w:hAnsi="宋体" w:eastAsia="宋体" w:cs="宋体"/>
          <w:color w:val="auto"/>
          <w:sz w:val="24"/>
          <w:szCs w:val="24"/>
          <w:highlight w:val="none"/>
        </w:rPr>
        <w:t>对</w:t>
      </w:r>
      <w:r>
        <w:rPr>
          <w:rFonts w:hint="eastAsia" w:ascii="宋体" w:hAnsi="宋体" w:eastAsia="宋体" w:cs="宋体"/>
          <w:color w:val="auto"/>
          <w:sz w:val="24"/>
          <w:szCs w:val="24"/>
          <w:highlight w:val="none"/>
          <w:u w:val="single"/>
        </w:rPr>
        <w:t xml:space="preserve">   （同前页项目名称）   </w:t>
      </w:r>
      <w:r>
        <w:rPr>
          <w:rFonts w:hint="eastAsia" w:ascii="宋体" w:hAnsi="宋体" w:eastAsia="宋体" w:cs="宋体"/>
          <w:color w:val="auto"/>
          <w:sz w:val="24"/>
          <w:szCs w:val="24"/>
          <w:highlight w:val="none"/>
        </w:rPr>
        <w:t>项目进行了采购。经</w:t>
      </w:r>
      <w:r>
        <w:rPr>
          <w:rFonts w:hint="eastAsia" w:ascii="宋体" w:hAnsi="宋体" w:eastAsia="宋体" w:cs="宋体"/>
          <w:color w:val="auto"/>
          <w:sz w:val="24"/>
          <w:szCs w:val="24"/>
          <w:highlight w:val="none"/>
          <w:u w:val="single"/>
        </w:rPr>
        <w:t xml:space="preserve">   （相关评定主体名称）   </w:t>
      </w:r>
      <w:r>
        <w:rPr>
          <w:rFonts w:hint="eastAsia" w:ascii="宋体" w:hAnsi="宋体" w:eastAsia="宋体" w:cs="宋体"/>
          <w:color w:val="auto"/>
          <w:sz w:val="24"/>
          <w:szCs w:val="24"/>
          <w:highlight w:val="none"/>
        </w:rPr>
        <w:t>评定，</w:t>
      </w:r>
      <w:r>
        <w:rPr>
          <w:rFonts w:hint="eastAsia" w:ascii="宋体" w:hAnsi="宋体" w:eastAsia="宋体" w:cs="宋体"/>
          <w:color w:val="auto"/>
          <w:sz w:val="24"/>
          <w:szCs w:val="24"/>
          <w:highlight w:val="none"/>
          <w:u w:val="single"/>
        </w:rPr>
        <w:t xml:space="preserve">   （中标供应商名称）</w:t>
      </w:r>
      <w:r>
        <w:rPr>
          <w:rFonts w:hint="eastAsia" w:ascii="宋体" w:hAnsi="宋体" w:eastAsia="宋体" w:cs="宋体"/>
          <w:color w:val="auto"/>
          <w:sz w:val="24"/>
          <w:szCs w:val="24"/>
          <w:highlight w:val="none"/>
        </w:rPr>
        <w:t>为该项目中标供应商。现于中标通知书发出之日起三十日内，按照采购文件确定的事项签订本合同。</w:t>
      </w:r>
    </w:p>
    <w:p>
      <w:pPr>
        <w:spacing w:line="3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根据《中华人民共和国合同法》、《中华人民共和国政府采购法》等相关法律法规之规定，按照平等、自愿、公平和诚实信用的原则，经</w:t>
      </w:r>
      <w:r>
        <w:rPr>
          <w:rFonts w:hint="eastAsia" w:ascii="宋体" w:hAnsi="宋体" w:eastAsia="宋体" w:cs="宋体"/>
          <w:color w:val="auto"/>
          <w:sz w:val="24"/>
          <w:szCs w:val="24"/>
          <w:highlight w:val="none"/>
          <w:u w:val="single"/>
        </w:rPr>
        <w:t xml:space="preserve">   （采购人名称）   </w:t>
      </w:r>
      <w:r>
        <w:rPr>
          <w:rFonts w:hint="eastAsia" w:ascii="宋体" w:hAnsi="宋体" w:eastAsia="宋体" w:cs="宋体"/>
          <w:color w:val="auto"/>
          <w:sz w:val="24"/>
          <w:szCs w:val="24"/>
          <w:highlight w:val="none"/>
          <w:lang w:val="zh-CN"/>
        </w:rPr>
        <w:t>(以下简称：甲方)和</w:t>
      </w:r>
      <w:r>
        <w:rPr>
          <w:rFonts w:hint="eastAsia" w:ascii="宋体" w:hAnsi="宋体" w:eastAsia="宋体" w:cs="宋体"/>
          <w:color w:val="auto"/>
          <w:sz w:val="24"/>
          <w:szCs w:val="24"/>
          <w:highlight w:val="none"/>
          <w:u w:val="single"/>
        </w:rPr>
        <w:t xml:space="preserve">   （中标供应商名称）   </w:t>
      </w:r>
      <w:r>
        <w:rPr>
          <w:rFonts w:hint="eastAsia" w:ascii="宋体" w:hAnsi="宋体" w:eastAsia="宋体" w:cs="宋体"/>
          <w:color w:val="auto"/>
          <w:sz w:val="24"/>
          <w:szCs w:val="24"/>
          <w:highlight w:val="none"/>
          <w:lang w:val="zh-CN"/>
        </w:rPr>
        <w:t>(以下简称：乙方)协商一致，约定以下合同</w:t>
      </w:r>
      <w:r>
        <w:rPr>
          <w:rFonts w:hint="eastAsia" w:ascii="宋体" w:hAnsi="宋体" w:eastAsia="宋体" w:cs="宋体"/>
          <w:color w:val="auto"/>
          <w:sz w:val="24"/>
          <w:szCs w:val="24"/>
          <w:highlight w:val="none"/>
        </w:rPr>
        <w:t>条款，以兹共同遵守、全面履行。</w:t>
      </w:r>
    </w:p>
    <w:bookmarkEnd w:id="620"/>
    <w:bookmarkEnd w:id="621"/>
    <w:bookmarkEnd w:id="622"/>
    <w:bookmarkEnd w:id="623"/>
    <w:bookmarkEnd w:id="624"/>
    <w:bookmarkEnd w:id="625"/>
    <w:p>
      <w:pPr>
        <w:spacing w:line="360" w:lineRule="exact"/>
        <w:ind w:firstLine="482" w:firstLineChars="200"/>
        <w:outlineLvl w:val="0"/>
        <w:rPr>
          <w:rFonts w:hint="eastAsia" w:ascii="宋体" w:hAnsi="宋体" w:eastAsia="宋体" w:cs="宋体"/>
          <w:b/>
          <w:bCs/>
          <w:color w:val="auto"/>
          <w:sz w:val="24"/>
          <w:szCs w:val="24"/>
          <w:highlight w:val="none"/>
        </w:rPr>
      </w:pPr>
      <w:bookmarkStart w:id="626" w:name="_Toc16230"/>
      <w:bookmarkStart w:id="627" w:name="_Toc7850"/>
      <w:bookmarkStart w:id="628" w:name="_Toc2616"/>
      <w:bookmarkStart w:id="629" w:name="_Toc18534"/>
      <w:bookmarkStart w:id="630" w:name="_Toc27428"/>
      <w:bookmarkStart w:id="631" w:name="_Toc28090"/>
      <w:bookmarkStart w:id="632" w:name="_Toc4498"/>
      <w:bookmarkStart w:id="633" w:name="_Toc416"/>
      <w:bookmarkStart w:id="634" w:name="_Toc21386"/>
      <w:bookmarkStart w:id="635" w:name="_Toc17622"/>
      <w:bookmarkStart w:id="636" w:name="_Toc6038"/>
      <w:bookmarkStart w:id="637" w:name="_Toc29481"/>
      <w:bookmarkStart w:id="638" w:name="_Toc15305"/>
      <w:bookmarkStart w:id="639" w:name="_Toc14766"/>
      <w:bookmarkStart w:id="640" w:name="_Toc26943"/>
      <w:bookmarkStart w:id="641" w:name="_Toc967"/>
      <w:bookmarkStart w:id="642" w:name="_Toc18247"/>
      <w:bookmarkStart w:id="643" w:name="_Toc27963"/>
      <w:bookmarkStart w:id="644" w:name="_Toc2048"/>
      <w:bookmarkStart w:id="645" w:name="_Toc30575"/>
      <w:bookmarkStart w:id="646" w:name="_Toc25352"/>
      <w:bookmarkStart w:id="647" w:name="_Toc2992"/>
      <w:bookmarkStart w:id="648" w:name="_Toc8683"/>
      <w:bookmarkStart w:id="649" w:name="_Toc4751"/>
      <w:bookmarkStart w:id="650" w:name="_Toc14493"/>
      <w:bookmarkStart w:id="651" w:name="_Toc29751"/>
      <w:bookmarkStart w:id="652" w:name="_Toc24186"/>
      <w:r>
        <w:rPr>
          <w:rFonts w:hint="eastAsia" w:ascii="宋体" w:hAnsi="宋体" w:eastAsia="宋体" w:cs="宋体"/>
          <w:b/>
          <w:bCs/>
          <w:color w:val="auto"/>
          <w:sz w:val="24"/>
          <w:szCs w:val="24"/>
          <w:highlight w:val="none"/>
        </w:rPr>
        <w:t>1.1 合同组成部分</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p>
    <w:p>
      <w:pPr>
        <w:spacing w:line="3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3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1.1.1 本合同及其补充合同、变更协议；</w:t>
      </w:r>
    </w:p>
    <w:p>
      <w:pPr>
        <w:spacing w:line="3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1.1.2 中标通知书；</w:t>
      </w:r>
    </w:p>
    <w:p>
      <w:pPr>
        <w:spacing w:line="3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1.1.3 投标文件（含澄清或者说明文件）；</w:t>
      </w:r>
    </w:p>
    <w:p>
      <w:pPr>
        <w:spacing w:line="3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1.1.4 招标文件（含澄清或者修改文件）；</w:t>
      </w:r>
    </w:p>
    <w:p>
      <w:pPr>
        <w:spacing w:line="3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1.1.5 其他相关采购文件。</w:t>
      </w:r>
    </w:p>
    <w:p>
      <w:pPr>
        <w:spacing w:line="360" w:lineRule="exact"/>
        <w:ind w:firstLine="482" w:firstLineChars="200"/>
        <w:outlineLvl w:val="0"/>
        <w:rPr>
          <w:rFonts w:hint="eastAsia" w:ascii="宋体" w:hAnsi="宋体" w:eastAsia="宋体" w:cs="宋体"/>
          <w:b/>
          <w:bCs/>
          <w:color w:val="auto"/>
          <w:sz w:val="24"/>
          <w:szCs w:val="24"/>
          <w:highlight w:val="none"/>
        </w:rPr>
      </w:pPr>
      <w:bookmarkStart w:id="653" w:name="_Toc12394"/>
      <w:bookmarkStart w:id="654" w:name="_Toc1446"/>
      <w:bookmarkStart w:id="655" w:name="_Toc15345"/>
      <w:bookmarkStart w:id="656" w:name="_Toc25665"/>
      <w:bookmarkStart w:id="657" w:name="_Toc25735"/>
      <w:bookmarkStart w:id="658" w:name="_Toc25402"/>
      <w:bookmarkStart w:id="659" w:name="_Toc7541"/>
      <w:bookmarkStart w:id="660" w:name="_Toc27126"/>
      <w:bookmarkStart w:id="661" w:name="_Toc16583"/>
      <w:bookmarkStart w:id="662" w:name="_Toc4735"/>
      <w:bookmarkStart w:id="663" w:name="_Toc9006"/>
      <w:bookmarkStart w:id="664" w:name="_Toc22461"/>
      <w:bookmarkStart w:id="665" w:name="_Toc21295"/>
      <w:bookmarkStart w:id="666" w:name="_Toc14235"/>
      <w:bookmarkStart w:id="667" w:name="_Toc21217"/>
      <w:bookmarkStart w:id="668" w:name="_Toc8631"/>
      <w:bookmarkStart w:id="669" w:name="_Toc27318"/>
      <w:bookmarkStart w:id="670" w:name="_Toc11238"/>
      <w:bookmarkStart w:id="671" w:name="_Toc13138"/>
      <w:bookmarkStart w:id="672" w:name="_Toc31632"/>
      <w:bookmarkStart w:id="673" w:name="_Toc24003"/>
      <w:bookmarkStart w:id="674" w:name="_Toc2579"/>
      <w:bookmarkStart w:id="675" w:name="_Toc7977"/>
      <w:bookmarkStart w:id="676" w:name="_Toc32674"/>
      <w:bookmarkStart w:id="677" w:name="_Toc20136"/>
      <w:bookmarkStart w:id="678" w:name="_Toc24300"/>
      <w:bookmarkStart w:id="679" w:name="_Toc31638"/>
      <w:bookmarkStart w:id="680" w:name="_Toc19432"/>
      <w:bookmarkStart w:id="681" w:name="_Toc5906"/>
      <w:bookmarkStart w:id="682" w:name="_Toc24413"/>
      <w:bookmarkStart w:id="683" w:name="_Toc21690"/>
      <w:bookmarkStart w:id="684" w:name="_Toc11506"/>
      <w:r>
        <w:rPr>
          <w:rFonts w:hint="eastAsia" w:ascii="宋体" w:hAnsi="宋体" w:eastAsia="宋体" w:cs="宋体"/>
          <w:b/>
          <w:bCs/>
          <w:color w:val="auto"/>
          <w:sz w:val="24"/>
          <w:szCs w:val="24"/>
          <w:highlight w:val="none"/>
        </w:rPr>
        <w:t>1.2 货物</w:t>
      </w:r>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p>
    <w:p>
      <w:pPr>
        <w:spacing w:line="360" w:lineRule="exact"/>
        <w:ind w:firstLine="480" w:firstLineChars="2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1.2.1 货物名称：</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spacing w:line="360" w:lineRule="exact"/>
        <w:ind w:firstLine="480" w:firstLineChars="2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1.2.2 货物数量：</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spacing w:line="3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1.2.3 货物质量：</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spacing w:line="360" w:lineRule="exact"/>
        <w:ind w:firstLine="482" w:firstLineChars="200"/>
        <w:outlineLvl w:val="0"/>
        <w:rPr>
          <w:rFonts w:hint="eastAsia" w:ascii="宋体" w:hAnsi="宋体" w:eastAsia="宋体" w:cs="宋体"/>
          <w:b/>
          <w:bCs/>
          <w:color w:val="auto"/>
          <w:sz w:val="24"/>
          <w:szCs w:val="24"/>
          <w:highlight w:val="none"/>
        </w:rPr>
      </w:pPr>
      <w:bookmarkStart w:id="685" w:name="_Toc2897"/>
      <w:bookmarkStart w:id="686" w:name="_Toc13898"/>
      <w:bookmarkStart w:id="687" w:name="_Toc21040"/>
      <w:bookmarkStart w:id="688" w:name="_Toc6581"/>
      <w:bookmarkStart w:id="689" w:name="_Toc21631"/>
      <w:bookmarkStart w:id="690" w:name="_Toc19682"/>
      <w:bookmarkStart w:id="691" w:name="_Toc8386"/>
      <w:bookmarkStart w:id="692" w:name="_Toc29540"/>
      <w:bookmarkStart w:id="693" w:name="_Toc21551"/>
      <w:bookmarkStart w:id="694" w:name="_Toc1267"/>
      <w:bookmarkStart w:id="695" w:name="_Toc9364"/>
      <w:bookmarkStart w:id="696" w:name="_Toc633"/>
      <w:bookmarkStart w:id="697" w:name="_Toc30755"/>
      <w:bookmarkStart w:id="698" w:name="_Toc23292"/>
      <w:bookmarkStart w:id="699" w:name="_Toc27282"/>
      <w:bookmarkStart w:id="700" w:name="_Toc26807"/>
      <w:bookmarkStart w:id="701" w:name="_Toc10942"/>
      <w:bookmarkStart w:id="702" w:name="_Toc11045"/>
      <w:bookmarkStart w:id="703" w:name="_Toc25368"/>
      <w:bookmarkStart w:id="704" w:name="_Toc1528"/>
      <w:bookmarkStart w:id="705" w:name="_Toc16487"/>
      <w:bookmarkStart w:id="706" w:name="_Toc31994"/>
      <w:bookmarkStart w:id="707" w:name="_Toc9271"/>
      <w:bookmarkStart w:id="708" w:name="_Toc6258"/>
      <w:bookmarkStart w:id="709" w:name="_Toc31650"/>
      <w:bookmarkStart w:id="710" w:name="_Toc29469"/>
      <w:bookmarkStart w:id="711" w:name="_Toc9579"/>
      <w:bookmarkStart w:id="712" w:name="_Toc8798"/>
      <w:bookmarkStart w:id="713" w:name="_Toc30667"/>
      <w:bookmarkStart w:id="714" w:name="_Toc12266"/>
      <w:bookmarkStart w:id="715" w:name="_Toc25180"/>
      <w:bookmarkStart w:id="716" w:name="_Toc28886"/>
      <w:r>
        <w:rPr>
          <w:rFonts w:hint="eastAsia" w:ascii="宋体" w:hAnsi="宋体" w:eastAsia="宋体" w:cs="宋体"/>
          <w:b/>
          <w:bCs/>
          <w:color w:val="auto"/>
          <w:sz w:val="24"/>
          <w:szCs w:val="24"/>
          <w:highlight w:val="none"/>
        </w:rPr>
        <w:t>1.3 价款</w:t>
      </w:r>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p>
    <w:p>
      <w:pPr>
        <w:spacing w:line="3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本合同总价为：￥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元（大写：</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元人民币）。</w:t>
      </w:r>
    </w:p>
    <w:p>
      <w:pPr>
        <w:spacing w:line="360" w:lineRule="exact"/>
        <w:ind w:firstLine="480" w:firstLineChars="2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分项价格：</w:t>
      </w:r>
    </w:p>
    <w:tbl>
      <w:tblPr>
        <w:tblStyle w:val="20"/>
        <w:tblW w:w="78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9"/>
        <w:gridCol w:w="3738"/>
        <w:gridCol w:w="2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319" w:type="dxa"/>
            <w:vAlign w:val="center"/>
          </w:tcPr>
          <w:p>
            <w:pPr>
              <w:pStyle w:val="30"/>
              <w:spacing w:line="360" w:lineRule="exact"/>
              <w:jc w:val="cente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序号</w:t>
            </w:r>
          </w:p>
        </w:tc>
        <w:tc>
          <w:tcPr>
            <w:tcW w:w="3738" w:type="dxa"/>
            <w:vAlign w:val="center"/>
          </w:tcPr>
          <w:p>
            <w:pPr>
              <w:pStyle w:val="30"/>
              <w:spacing w:line="360" w:lineRule="exact"/>
              <w:ind w:firstLine="200"/>
              <w:jc w:val="cente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分项名称</w:t>
            </w:r>
          </w:p>
        </w:tc>
        <w:tc>
          <w:tcPr>
            <w:tcW w:w="2803" w:type="dxa"/>
            <w:vAlign w:val="center"/>
          </w:tcPr>
          <w:p>
            <w:pPr>
              <w:pStyle w:val="30"/>
              <w:spacing w:line="360" w:lineRule="exact"/>
              <w:jc w:val="cente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319" w:type="dxa"/>
            <w:vAlign w:val="center"/>
          </w:tcPr>
          <w:p>
            <w:pPr>
              <w:pStyle w:val="30"/>
              <w:spacing w:line="360" w:lineRule="exact"/>
              <w:ind w:firstLine="200"/>
              <w:jc w:val="center"/>
              <w:rPr>
                <w:rFonts w:hint="eastAsia" w:ascii="宋体" w:hAnsi="宋体" w:eastAsia="宋体" w:cs="宋体"/>
                <w:color w:val="auto"/>
                <w:kern w:val="2"/>
                <w:sz w:val="24"/>
                <w:szCs w:val="24"/>
                <w:highlight w:val="none"/>
              </w:rPr>
            </w:pPr>
          </w:p>
        </w:tc>
        <w:tc>
          <w:tcPr>
            <w:tcW w:w="3738" w:type="dxa"/>
            <w:vAlign w:val="center"/>
          </w:tcPr>
          <w:p>
            <w:pPr>
              <w:pStyle w:val="30"/>
              <w:spacing w:line="360" w:lineRule="exact"/>
              <w:ind w:firstLine="200"/>
              <w:jc w:val="center"/>
              <w:rPr>
                <w:rFonts w:hint="eastAsia" w:ascii="宋体" w:hAnsi="宋体" w:eastAsia="宋体" w:cs="宋体"/>
                <w:color w:val="auto"/>
                <w:kern w:val="2"/>
                <w:sz w:val="24"/>
                <w:szCs w:val="24"/>
                <w:highlight w:val="none"/>
              </w:rPr>
            </w:pPr>
          </w:p>
        </w:tc>
        <w:tc>
          <w:tcPr>
            <w:tcW w:w="2803" w:type="dxa"/>
            <w:vAlign w:val="center"/>
          </w:tcPr>
          <w:p>
            <w:pPr>
              <w:pStyle w:val="30"/>
              <w:spacing w:line="360" w:lineRule="exact"/>
              <w:ind w:firstLine="200"/>
              <w:jc w:val="center"/>
              <w:rPr>
                <w:rFonts w:hint="eastAsia" w:ascii="宋体" w:hAnsi="宋体" w:eastAsia="宋体" w:cs="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319" w:type="dxa"/>
            <w:vAlign w:val="center"/>
          </w:tcPr>
          <w:p>
            <w:pPr>
              <w:pStyle w:val="30"/>
              <w:spacing w:line="360" w:lineRule="exact"/>
              <w:ind w:firstLine="200"/>
              <w:jc w:val="center"/>
              <w:rPr>
                <w:rFonts w:hint="eastAsia" w:ascii="宋体" w:hAnsi="宋体" w:eastAsia="宋体" w:cs="宋体"/>
                <w:color w:val="auto"/>
                <w:kern w:val="2"/>
                <w:sz w:val="24"/>
                <w:szCs w:val="24"/>
                <w:highlight w:val="none"/>
              </w:rPr>
            </w:pPr>
          </w:p>
        </w:tc>
        <w:tc>
          <w:tcPr>
            <w:tcW w:w="3738" w:type="dxa"/>
            <w:vAlign w:val="center"/>
          </w:tcPr>
          <w:p>
            <w:pPr>
              <w:pStyle w:val="30"/>
              <w:spacing w:line="360" w:lineRule="exact"/>
              <w:ind w:firstLine="200"/>
              <w:jc w:val="center"/>
              <w:rPr>
                <w:rFonts w:hint="eastAsia" w:ascii="宋体" w:hAnsi="宋体" w:eastAsia="宋体" w:cs="宋体"/>
                <w:color w:val="auto"/>
                <w:kern w:val="2"/>
                <w:sz w:val="24"/>
                <w:szCs w:val="24"/>
                <w:highlight w:val="none"/>
              </w:rPr>
            </w:pPr>
          </w:p>
        </w:tc>
        <w:tc>
          <w:tcPr>
            <w:tcW w:w="2803" w:type="dxa"/>
            <w:vAlign w:val="center"/>
          </w:tcPr>
          <w:p>
            <w:pPr>
              <w:pStyle w:val="30"/>
              <w:spacing w:line="360" w:lineRule="exact"/>
              <w:ind w:firstLine="200"/>
              <w:jc w:val="center"/>
              <w:rPr>
                <w:rFonts w:hint="eastAsia" w:ascii="宋体" w:hAnsi="宋体" w:eastAsia="宋体" w:cs="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5057" w:type="dxa"/>
            <w:gridSpan w:val="2"/>
            <w:vAlign w:val="center"/>
          </w:tcPr>
          <w:p>
            <w:pPr>
              <w:pStyle w:val="30"/>
              <w:spacing w:line="360" w:lineRule="exact"/>
              <w:ind w:firstLine="200"/>
              <w:jc w:val="cente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总价</w:t>
            </w:r>
          </w:p>
        </w:tc>
        <w:tc>
          <w:tcPr>
            <w:tcW w:w="2803" w:type="dxa"/>
            <w:vAlign w:val="center"/>
          </w:tcPr>
          <w:p>
            <w:pPr>
              <w:pStyle w:val="30"/>
              <w:spacing w:line="360" w:lineRule="exact"/>
              <w:ind w:firstLine="200"/>
              <w:jc w:val="center"/>
              <w:rPr>
                <w:rFonts w:hint="eastAsia" w:ascii="宋体" w:hAnsi="宋体" w:eastAsia="宋体" w:cs="宋体"/>
                <w:color w:val="auto"/>
                <w:kern w:val="2"/>
                <w:sz w:val="24"/>
                <w:szCs w:val="24"/>
                <w:highlight w:val="none"/>
              </w:rPr>
            </w:pPr>
          </w:p>
        </w:tc>
      </w:tr>
    </w:tbl>
    <w:p>
      <w:pPr>
        <w:spacing w:line="360" w:lineRule="exact"/>
        <w:ind w:firstLine="482" w:firstLineChars="200"/>
        <w:outlineLvl w:val="0"/>
        <w:rPr>
          <w:rFonts w:hint="eastAsia" w:ascii="宋体" w:hAnsi="宋体" w:eastAsia="宋体" w:cs="宋体"/>
          <w:b/>
          <w:bCs/>
          <w:color w:val="auto"/>
          <w:sz w:val="24"/>
          <w:szCs w:val="24"/>
          <w:highlight w:val="none"/>
        </w:rPr>
      </w:pPr>
      <w:bookmarkStart w:id="717" w:name="_Toc27817"/>
      <w:bookmarkStart w:id="718" w:name="_Toc8276"/>
      <w:bookmarkStart w:id="719" w:name="_Toc44"/>
      <w:bookmarkStart w:id="720" w:name="_Toc5736"/>
      <w:bookmarkStart w:id="721" w:name="_Toc10086"/>
      <w:bookmarkStart w:id="722" w:name="_Toc6274"/>
      <w:bookmarkStart w:id="723" w:name="_Toc673"/>
      <w:bookmarkStart w:id="724" w:name="_Toc11775"/>
      <w:bookmarkStart w:id="725" w:name="_Toc28499"/>
      <w:bookmarkStart w:id="726" w:name="_Toc1814"/>
      <w:bookmarkStart w:id="727" w:name="_Toc7801"/>
      <w:bookmarkStart w:id="728" w:name="_Toc28773"/>
      <w:bookmarkStart w:id="729" w:name="_Toc27654"/>
      <w:bookmarkStart w:id="730" w:name="_Toc26112"/>
      <w:bookmarkStart w:id="731" w:name="_Toc6614"/>
      <w:bookmarkStart w:id="732" w:name="_Toc21349"/>
      <w:bookmarkStart w:id="733" w:name="_Toc2285"/>
      <w:bookmarkStart w:id="734" w:name="_Toc24781"/>
      <w:bookmarkStart w:id="735" w:name="_Toc8933"/>
      <w:bookmarkStart w:id="736" w:name="_Toc27908"/>
      <w:bookmarkStart w:id="737" w:name="_Toc26470"/>
      <w:bookmarkStart w:id="738" w:name="_Toc30643"/>
      <w:bookmarkStart w:id="739" w:name="_Toc5065"/>
      <w:bookmarkStart w:id="740" w:name="_Toc22618"/>
      <w:bookmarkStart w:id="741" w:name="_Toc7458"/>
      <w:bookmarkStart w:id="742" w:name="_Toc4585"/>
      <w:bookmarkStart w:id="743" w:name="_Toc25914"/>
      <w:bookmarkStart w:id="744" w:name="_Toc21104"/>
      <w:bookmarkStart w:id="745" w:name="_Toc30507"/>
      <w:bookmarkStart w:id="746" w:name="_Toc10340"/>
      <w:bookmarkStart w:id="747" w:name="_Toc27811"/>
      <w:bookmarkStart w:id="748" w:name="_Toc16769"/>
      <w:r>
        <w:rPr>
          <w:rFonts w:hint="eastAsia" w:ascii="宋体" w:hAnsi="宋体" w:eastAsia="宋体" w:cs="宋体"/>
          <w:b/>
          <w:bCs/>
          <w:color w:val="auto"/>
          <w:sz w:val="24"/>
          <w:szCs w:val="24"/>
          <w:highlight w:val="none"/>
        </w:rPr>
        <w:t>1.4 付款方式和发票开具方式</w:t>
      </w:r>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p>
    <w:p>
      <w:pPr>
        <w:spacing w:line="3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1.4.1 付款方式：</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spacing w:line="3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1.4.2 发票开具方式：</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spacing w:line="360" w:lineRule="exact"/>
        <w:ind w:firstLine="482" w:firstLineChars="200"/>
        <w:outlineLvl w:val="0"/>
        <w:rPr>
          <w:rFonts w:hint="eastAsia" w:ascii="宋体" w:hAnsi="宋体" w:eastAsia="宋体" w:cs="宋体"/>
          <w:b/>
          <w:bCs/>
          <w:color w:val="auto"/>
          <w:sz w:val="24"/>
          <w:szCs w:val="24"/>
          <w:highlight w:val="none"/>
        </w:rPr>
      </w:pPr>
      <w:bookmarkStart w:id="749" w:name="_Toc30563"/>
      <w:bookmarkStart w:id="750" w:name="_Toc11682"/>
      <w:bookmarkStart w:id="751" w:name="_Toc30447"/>
      <w:bookmarkStart w:id="752" w:name="_Toc25427"/>
      <w:bookmarkStart w:id="753" w:name="_Toc32071"/>
      <w:bookmarkStart w:id="754" w:name="_Toc2846"/>
      <w:bookmarkStart w:id="755" w:name="_Toc15376"/>
      <w:bookmarkStart w:id="756" w:name="_Toc17179"/>
      <w:bookmarkStart w:id="757" w:name="_Toc25278"/>
      <w:bookmarkStart w:id="758" w:name="_Toc22861"/>
      <w:bookmarkStart w:id="759" w:name="_Toc26187"/>
      <w:bookmarkStart w:id="760" w:name="_Toc29557"/>
      <w:bookmarkStart w:id="761" w:name="_Toc23862"/>
      <w:bookmarkStart w:id="762" w:name="_Toc4377"/>
      <w:bookmarkStart w:id="763" w:name="_Toc30894"/>
      <w:bookmarkStart w:id="764" w:name="_Toc9478"/>
      <w:bookmarkStart w:id="765" w:name="_Toc19304"/>
      <w:bookmarkStart w:id="766" w:name="_Toc28343"/>
      <w:bookmarkStart w:id="767" w:name="_Toc2852"/>
      <w:bookmarkStart w:id="768" w:name="_Toc4501"/>
      <w:bookmarkStart w:id="769" w:name="_Toc26681"/>
      <w:bookmarkStart w:id="770" w:name="_Toc2083"/>
      <w:bookmarkStart w:id="771" w:name="_Toc6106"/>
      <w:bookmarkStart w:id="772" w:name="_Toc2750"/>
      <w:bookmarkStart w:id="773" w:name="_Toc4058"/>
      <w:bookmarkStart w:id="774" w:name="_Toc4651"/>
      <w:bookmarkStart w:id="775" w:name="_Toc17448"/>
      <w:bookmarkStart w:id="776" w:name="_Toc10276"/>
      <w:bookmarkStart w:id="777" w:name="_Toc16823"/>
      <w:bookmarkStart w:id="778" w:name="_Toc17060"/>
      <w:bookmarkStart w:id="779" w:name="_Toc32641"/>
      <w:bookmarkStart w:id="780" w:name="_Toc8997"/>
      <w:bookmarkStart w:id="781" w:name="_Toc29863"/>
      <w:r>
        <w:rPr>
          <w:rFonts w:hint="eastAsia" w:ascii="宋体" w:hAnsi="宋体" w:eastAsia="宋体" w:cs="宋体"/>
          <w:b/>
          <w:bCs/>
          <w:color w:val="auto"/>
          <w:sz w:val="24"/>
          <w:szCs w:val="24"/>
          <w:highlight w:val="none"/>
        </w:rPr>
        <w:t>1.5 货物交付期限、地点和方式</w:t>
      </w:r>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p>
    <w:p>
      <w:pPr>
        <w:spacing w:line="360" w:lineRule="exact"/>
        <w:ind w:firstLine="480" w:firstLineChars="2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1.5.1 交付期限：</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spacing w:line="3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1.5.2 交付地点：</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spacing w:line="3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1.5.3 交付方式：</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spacing w:line="360" w:lineRule="exact"/>
        <w:ind w:firstLine="482" w:firstLineChars="200"/>
        <w:outlineLvl w:val="0"/>
        <w:rPr>
          <w:rFonts w:hint="eastAsia" w:ascii="宋体" w:hAnsi="宋体" w:eastAsia="宋体" w:cs="宋体"/>
          <w:b/>
          <w:bCs/>
          <w:color w:val="auto"/>
          <w:sz w:val="24"/>
          <w:szCs w:val="24"/>
          <w:highlight w:val="none"/>
        </w:rPr>
      </w:pPr>
      <w:bookmarkStart w:id="782" w:name="_Toc12753"/>
      <w:bookmarkStart w:id="783" w:name="_Toc13569"/>
      <w:bookmarkStart w:id="784" w:name="_Toc8754"/>
      <w:bookmarkStart w:id="785" w:name="_Toc23854"/>
      <w:bookmarkStart w:id="786" w:name="_Toc10320"/>
      <w:bookmarkStart w:id="787" w:name="_Toc19554"/>
      <w:bookmarkStart w:id="788" w:name="_Toc13799"/>
      <w:bookmarkStart w:id="789" w:name="_Toc12679"/>
      <w:bookmarkStart w:id="790" w:name="_Toc13854"/>
      <w:bookmarkStart w:id="791" w:name="_Toc12988"/>
      <w:bookmarkStart w:id="792" w:name="_Toc29965"/>
      <w:bookmarkStart w:id="793" w:name="_Toc26850"/>
      <w:bookmarkStart w:id="794" w:name="_Toc3320"/>
      <w:bookmarkStart w:id="795" w:name="_Toc21423"/>
      <w:bookmarkStart w:id="796" w:name="_Toc27247"/>
      <w:bookmarkStart w:id="797" w:name="_Toc22802"/>
      <w:bookmarkStart w:id="798" w:name="_Toc10321"/>
      <w:bookmarkStart w:id="799" w:name="_Toc25694"/>
      <w:bookmarkStart w:id="800" w:name="_Toc15865"/>
      <w:bookmarkStart w:id="801" w:name="_Toc28455"/>
      <w:bookmarkStart w:id="802" w:name="_Toc12424"/>
      <w:bookmarkStart w:id="803" w:name="_Toc4190"/>
      <w:bookmarkStart w:id="804" w:name="_Toc21406"/>
      <w:bookmarkStart w:id="805" w:name="_Toc27250"/>
      <w:bookmarkStart w:id="806" w:name="_Toc6841"/>
      <w:bookmarkStart w:id="807" w:name="_Toc29769"/>
      <w:bookmarkStart w:id="808" w:name="_Toc32387"/>
      <w:bookmarkStart w:id="809" w:name="_Toc7978"/>
      <w:bookmarkStart w:id="810" w:name="_Toc11237"/>
      <w:bookmarkStart w:id="811" w:name="_Toc1835"/>
      <w:bookmarkStart w:id="812" w:name="_Toc8569"/>
      <w:bookmarkStart w:id="813" w:name="_Toc12629"/>
      <w:bookmarkStart w:id="814" w:name="_Toc15668"/>
      <w:r>
        <w:rPr>
          <w:rFonts w:hint="eastAsia" w:ascii="宋体" w:hAnsi="宋体" w:eastAsia="宋体" w:cs="宋体"/>
          <w:b/>
          <w:bCs/>
          <w:color w:val="auto"/>
          <w:sz w:val="24"/>
          <w:szCs w:val="24"/>
          <w:highlight w:val="none"/>
        </w:rPr>
        <w:t>1.6 违约责任</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p>
    <w:p>
      <w:pPr>
        <w:spacing w:line="3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1.6.1 除不可抗力外，如果乙方没有按照本合同约定的期限、地点和方式交付货物，那么甲方可要求乙方支付违约金，违约金按每迟延交付货物一日的应交付而未交付货物价格的</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%计算，最高限额为本合同总价的</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%；迟延交付货物的违约金计算数额达到前述最高限额之日起，甲方有权在要求乙方支付违约金的同时，书面通知乙方解除本合同；</w:t>
      </w:r>
    </w:p>
    <w:p>
      <w:pPr>
        <w:spacing w:line="3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1.6.2 除不可抗力外，如果甲方没有按照本合同约定的付款方式付款，那么乙方可要求甲方支付违约金，违约金按每迟延付款一日的应付而未付款的</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%计算，最高限额为本合同总价的</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%；迟延付款的违约金计算数额达到前述最高限额之日起，乙方有权在要求甲方支付违约金的同时，书面通知甲方解除本合同；</w:t>
      </w:r>
    </w:p>
    <w:p>
      <w:pPr>
        <w:spacing w:line="3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3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3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1.6.6 如果出现政府采购监督管理部门在处理投诉事项期间，书面通知甲方暂停采购活动的情形，或者询问或质疑事项可能影响中标结果的，导致甲方中止履行合同的情形，均不视为甲方违约。</w:t>
      </w:r>
    </w:p>
    <w:p>
      <w:pPr>
        <w:spacing w:line="360" w:lineRule="exact"/>
        <w:ind w:firstLine="482" w:firstLineChars="200"/>
        <w:outlineLvl w:val="0"/>
        <w:rPr>
          <w:rFonts w:hint="eastAsia" w:ascii="宋体" w:hAnsi="宋体" w:eastAsia="宋体" w:cs="宋体"/>
          <w:b/>
          <w:bCs/>
          <w:color w:val="auto"/>
          <w:sz w:val="24"/>
          <w:szCs w:val="24"/>
          <w:highlight w:val="none"/>
        </w:rPr>
      </w:pPr>
      <w:bookmarkStart w:id="815" w:name="_Toc22341"/>
      <w:bookmarkStart w:id="816" w:name="_Toc28375"/>
      <w:bookmarkStart w:id="817" w:name="_Toc8914"/>
      <w:bookmarkStart w:id="818" w:name="_Toc12178"/>
      <w:bookmarkStart w:id="819" w:name="_Toc5482"/>
      <w:bookmarkStart w:id="820" w:name="_Toc6344"/>
      <w:bookmarkStart w:id="821" w:name="_Toc2053"/>
      <w:bookmarkStart w:id="822" w:name="_Toc30551"/>
      <w:bookmarkStart w:id="823" w:name="_Toc23654"/>
      <w:bookmarkStart w:id="824" w:name="_Toc21643"/>
      <w:bookmarkStart w:id="825" w:name="_Toc29338"/>
      <w:bookmarkStart w:id="826" w:name="_Toc27762"/>
      <w:bookmarkStart w:id="827" w:name="_Toc3403"/>
      <w:bookmarkStart w:id="828" w:name="_Toc16341"/>
      <w:bookmarkStart w:id="829" w:name="_Toc1244"/>
      <w:bookmarkStart w:id="830" w:name="_Toc17508"/>
      <w:bookmarkStart w:id="831" w:name="_Toc12021"/>
      <w:bookmarkStart w:id="832" w:name="_Toc7216"/>
      <w:bookmarkStart w:id="833" w:name="_Toc15583"/>
      <w:bookmarkStart w:id="834" w:name="_Toc13284"/>
      <w:bookmarkStart w:id="835" w:name="_Toc16021"/>
      <w:bookmarkStart w:id="836" w:name="_Toc29447"/>
      <w:bookmarkStart w:id="837" w:name="_Toc19011"/>
      <w:bookmarkStart w:id="838" w:name="_Toc20497"/>
      <w:bookmarkStart w:id="839" w:name="_Toc24393"/>
      <w:bookmarkStart w:id="840" w:name="_Toc27927"/>
      <w:bookmarkStart w:id="841" w:name="_Toc25915"/>
      <w:bookmarkStart w:id="842" w:name="_Toc30512"/>
      <w:bookmarkStart w:id="843" w:name="_Toc20610"/>
      <w:bookmarkStart w:id="844" w:name="_Toc9202"/>
      <w:bookmarkStart w:id="845" w:name="_Toc31145"/>
      <w:bookmarkStart w:id="846" w:name="_Toc9069"/>
      <w:bookmarkStart w:id="847" w:name="_Toc2369"/>
      <w:r>
        <w:rPr>
          <w:rFonts w:hint="eastAsia" w:ascii="宋体" w:hAnsi="宋体" w:eastAsia="宋体" w:cs="宋体"/>
          <w:b/>
          <w:bCs/>
          <w:color w:val="auto"/>
          <w:sz w:val="24"/>
          <w:szCs w:val="24"/>
          <w:highlight w:val="none"/>
        </w:rPr>
        <w:t>1.7 合同争议的解决</w:t>
      </w:r>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p>
    <w:p>
      <w:pPr>
        <w:spacing w:line="3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本合同履行过程中发生的任何争议，双方当事人均可通过和解或者调解解决；不愿和解、调解或者和解、调解不成的，可以选择下列第</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种方式解决：</w:t>
      </w:r>
    </w:p>
    <w:p>
      <w:pPr>
        <w:spacing w:line="3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1.7.1 将争议提交</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仲裁委员会依申请仲裁时其现行有效的仲裁规则裁决；</w:t>
      </w:r>
    </w:p>
    <w:p>
      <w:pPr>
        <w:spacing w:line="3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1.7.2 向</w:t>
      </w:r>
      <w:r>
        <w:rPr>
          <w:rFonts w:hint="eastAsia" w:ascii="宋体" w:hAnsi="宋体" w:eastAsia="宋体" w:cs="宋体"/>
          <w:color w:val="auto"/>
          <w:sz w:val="24"/>
          <w:szCs w:val="24"/>
          <w:highlight w:val="none"/>
          <w:u w:val="single"/>
        </w:rPr>
        <w:t xml:space="preserve">   （被告住所地、合同履行地、合同签订地、原告住所地、标的物所在地等与争议有实际联系的地点中选出的人民法院名称）    </w:t>
      </w:r>
      <w:r>
        <w:rPr>
          <w:rFonts w:hint="eastAsia" w:ascii="宋体" w:hAnsi="宋体" w:eastAsia="宋体" w:cs="宋体"/>
          <w:color w:val="auto"/>
          <w:sz w:val="24"/>
          <w:szCs w:val="24"/>
          <w:highlight w:val="none"/>
        </w:rPr>
        <w:t>人民法院起诉。</w:t>
      </w:r>
    </w:p>
    <w:p>
      <w:pPr>
        <w:spacing w:line="360" w:lineRule="exact"/>
        <w:ind w:firstLine="482" w:firstLineChars="200"/>
        <w:outlineLvl w:val="0"/>
        <w:rPr>
          <w:rFonts w:hint="eastAsia" w:ascii="宋体" w:hAnsi="宋体" w:eastAsia="宋体" w:cs="宋体"/>
          <w:b/>
          <w:bCs/>
          <w:color w:val="auto"/>
          <w:sz w:val="24"/>
          <w:szCs w:val="24"/>
          <w:highlight w:val="none"/>
        </w:rPr>
      </w:pPr>
      <w:bookmarkStart w:id="848" w:name="_Toc17113"/>
      <w:bookmarkStart w:id="849" w:name="_Toc30260"/>
      <w:bookmarkStart w:id="850" w:name="_Toc16410"/>
      <w:bookmarkStart w:id="851" w:name="_Toc29292"/>
      <w:bookmarkStart w:id="852" w:name="_Toc31964"/>
      <w:bookmarkStart w:id="853" w:name="_Toc12946"/>
      <w:bookmarkStart w:id="854" w:name="_Toc11173"/>
      <w:bookmarkStart w:id="855" w:name="_Toc17196"/>
      <w:bookmarkStart w:id="856" w:name="_Toc1647"/>
      <w:bookmarkStart w:id="857" w:name="_Toc20501"/>
      <w:bookmarkStart w:id="858" w:name="_Toc7245"/>
      <w:bookmarkStart w:id="859" w:name="_Toc5077"/>
      <w:bookmarkStart w:id="860" w:name="_Toc10043"/>
      <w:bookmarkStart w:id="861" w:name="_Toc19138"/>
      <w:bookmarkStart w:id="862" w:name="_Toc10429"/>
      <w:bookmarkStart w:id="863" w:name="_Toc8975"/>
      <w:bookmarkStart w:id="864" w:name="_Toc6411"/>
      <w:bookmarkStart w:id="865" w:name="_Toc9329"/>
      <w:bookmarkStart w:id="866" w:name="_Toc28492"/>
      <w:bookmarkStart w:id="867" w:name="_Toc20305"/>
      <w:bookmarkStart w:id="868" w:name="_Toc32578"/>
      <w:bookmarkStart w:id="869" w:name="_Toc518"/>
      <w:bookmarkStart w:id="870" w:name="_Toc2901"/>
      <w:bookmarkStart w:id="871" w:name="_Toc10255"/>
      <w:bookmarkStart w:id="872" w:name="_Toc12054"/>
      <w:bookmarkStart w:id="873" w:name="_Toc15322"/>
      <w:bookmarkStart w:id="874" w:name="_Toc32374"/>
      <w:bookmarkStart w:id="875" w:name="_Toc20192"/>
      <w:bookmarkStart w:id="876" w:name="_Toc4516"/>
      <w:bookmarkStart w:id="877" w:name="_Toc2894"/>
      <w:bookmarkStart w:id="878" w:name="_Toc21408"/>
      <w:bookmarkStart w:id="879" w:name="_Toc14796"/>
      <w:bookmarkStart w:id="880" w:name="_Toc4338"/>
      <w:r>
        <w:rPr>
          <w:rFonts w:hint="eastAsia" w:ascii="宋体" w:hAnsi="宋体" w:eastAsia="宋体" w:cs="宋体"/>
          <w:b/>
          <w:bCs/>
          <w:color w:val="auto"/>
          <w:sz w:val="24"/>
          <w:szCs w:val="24"/>
          <w:highlight w:val="none"/>
        </w:rPr>
        <w:t>1.8 合同生效</w:t>
      </w:r>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p>
    <w:p>
      <w:pPr>
        <w:spacing w:line="360" w:lineRule="exact"/>
        <w:ind w:firstLine="480" w:firstLineChars="200"/>
        <w:rPr>
          <w:rFonts w:hint="eastAsia" w:ascii="宋体" w:hAnsi="宋体" w:eastAsia="宋体" w:cs="宋体"/>
          <w:b/>
          <w:bCs/>
          <w:color w:val="auto"/>
          <w:sz w:val="24"/>
          <w:szCs w:val="24"/>
          <w:highlight w:val="none"/>
        </w:rPr>
      </w:pPr>
      <w:r>
        <w:rPr>
          <w:rFonts w:hint="eastAsia" w:ascii="宋体" w:hAnsi="宋体" w:eastAsia="宋体" w:cs="宋体"/>
          <w:color w:val="auto"/>
          <w:sz w:val="24"/>
          <w:szCs w:val="24"/>
          <w:highlight w:val="none"/>
        </w:rPr>
        <w:t>本合同自双方当事人盖章或者签字时生效。</w:t>
      </w:r>
    </w:p>
    <w:p>
      <w:pPr>
        <w:autoSpaceDE w:val="0"/>
        <w:autoSpaceDN w:val="0"/>
        <w:adjustRightInd w:val="0"/>
        <w:spacing w:line="360" w:lineRule="exact"/>
        <w:rPr>
          <w:rFonts w:hint="eastAsia" w:ascii="宋体" w:hAnsi="宋体" w:eastAsia="宋体" w:cs="宋体"/>
          <w:color w:val="auto"/>
          <w:sz w:val="24"/>
          <w:szCs w:val="24"/>
          <w:highlight w:val="none"/>
          <w:lang w:val="zh-CN"/>
        </w:rPr>
      </w:pPr>
    </w:p>
    <w:p>
      <w:pPr>
        <w:autoSpaceDE w:val="0"/>
        <w:autoSpaceDN w:val="0"/>
        <w:adjustRightInd w:val="0"/>
        <w:spacing w:line="360" w:lineRule="exact"/>
        <w:rPr>
          <w:rFonts w:hint="eastAsia" w:ascii="宋体" w:hAnsi="宋体" w:eastAsia="宋体" w:cs="宋体"/>
          <w:color w:val="auto"/>
          <w:sz w:val="24"/>
          <w:szCs w:val="24"/>
          <w:highlight w:val="none"/>
          <w:lang w:val="zh-CN"/>
        </w:rPr>
      </w:pPr>
      <w:r>
        <w:rPr>
          <w:rFonts w:hint="eastAsia" w:ascii="宋体" w:hAnsi="宋体" w:eastAsia="宋体" w:cs="宋体"/>
          <w:b/>
          <w:bCs/>
          <w:color w:val="auto"/>
          <w:sz w:val="24"/>
          <w:szCs w:val="24"/>
          <w:highlight w:val="none"/>
          <w:lang w:val="zh-CN"/>
        </w:rPr>
        <w:t>甲方</w:t>
      </w:r>
      <w:r>
        <w:rPr>
          <w:rFonts w:hint="eastAsia" w:ascii="宋体" w:hAnsi="宋体" w:eastAsia="宋体" w:cs="宋体"/>
          <w:color w:val="auto"/>
          <w:sz w:val="24"/>
          <w:szCs w:val="24"/>
          <w:highlight w:val="none"/>
          <w:lang w:val="zh-CN"/>
        </w:rPr>
        <w:t xml:space="preserve">：                             </w:t>
      </w:r>
      <w:r>
        <w:rPr>
          <w:rFonts w:hint="eastAsia" w:ascii="宋体" w:hAnsi="宋体" w:eastAsia="宋体" w:cs="宋体"/>
          <w:b/>
          <w:bCs/>
          <w:color w:val="auto"/>
          <w:sz w:val="24"/>
          <w:szCs w:val="24"/>
          <w:highlight w:val="none"/>
          <w:lang w:val="zh-CN"/>
        </w:rPr>
        <w:t xml:space="preserve">      乙方</w:t>
      </w:r>
      <w:r>
        <w:rPr>
          <w:rFonts w:hint="eastAsia" w:ascii="宋体" w:hAnsi="宋体" w:eastAsia="宋体" w:cs="宋体"/>
          <w:color w:val="auto"/>
          <w:sz w:val="24"/>
          <w:szCs w:val="24"/>
          <w:highlight w:val="none"/>
          <w:lang w:val="zh-CN"/>
        </w:rPr>
        <w:t>：</w:t>
      </w:r>
    </w:p>
    <w:p>
      <w:pPr>
        <w:autoSpaceDE w:val="0"/>
        <w:autoSpaceDN w:val="0"/>
        <w:adjustRightInd w:val="0"/>
        <w:spacing w:line="360" w:lineRule="exact"/>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统一社会信用代码：                        统一社会信用代码或身份证号码：</w:t>
      </w:r>
    </w:p>
    <w:p>
      <w:pPr>
        <w:autoSpaceDE w:val="0"/>
        <w:autoSpaceDN w:val="0"/>
        <w:adjustRightInd w:val="0"/>
        <w:spacing w:line="360" w:lineRule="exact"/>
        <w:rPr>
          <w:rFonts w:hint="eastAsia" w:ascii="宋体" w:hAnsi="宋体" w:eastAsia="宋体" w:cs="宋体"/>
          <w:color w:val="auto"/>
          <w:sz w:val="24"/>
          <w:szCs w:val="24"/>
          <w:highlight w:val="none"/>
          <w:lang w:val="zh-CN"/>
        </w:rPr>
      </w:pPr>
    </w:p>
    <w:p>
      <w:pPr>
        <w:autoSpaceDE w:val="0"/>
        <w:autoSpaceDN w:val="0"/>
        <w:adjustRightInd w:val="0"/>
        <w:spacing w:line="360" w:lineRule="exact"/>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住所：                                   住所：</w:t>
      </w:r>
    </w:p>
    <w:p>
      <w:pPr>
        <w:autoSpaceDE w:val="0"/>
        <w:autoSpaceDN w:val="0"/>
        <w:adjustRightInd w:val="0"/>
        <w:spacing w:line="360" w:lineRule="exact"/>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法定代表人或                             法定代表人</w:t>
      </w:r>
    </w:p>
    <w:p>
      <w:pPr>
        <w:autoSpaceDE w:val="0"/>
        <w:autoSpaceDN w:val="0"/>
        <w:adjustRightInd w:val="0"/>
        <w:spacing w:line="360" w:lineRule="exact"/>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 xml:space="preserve">授权代表（签字）：                       或授权代表（签字）: </w:t>
      </w:r>
    </w:p>
    <w:p>
      <w:pPr>
        <w:autoSpaceDE w:val="0"/>
        <w:autoSpaceDN w:val="0"/>
        <w:adjustRightInd w:val="0"/>
        <w:spacing w:line="360" w:lineRule="exact"/>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联系人：                                 联系人：</w:t>
      </w:r>
    </w:p>
    <w:p>
      <w:pPr>
        <w:autoSpaceDE w:val="0"/>
        <w:autoSpaceDN w:val="0"/>
        <w:adjustRightInd w:val="0"/>
        <w:spacing w:line="360" w:lineRule="exact"/>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约定送达地址：                           约定送达地址：</w:t>
      </w:r>
    </w:p>
    <w:p>
      <w:pPr>
        <w:autoSpaceDE w:val="0"/>
        <w:autoSpaceDN w:val="0"/>
        <w:adjustRightInd w:val="0"/>
        <w:spacing w:line="360" w:lineRule="exact"/>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邮政编码：                               邮政编码：</w:t>
      </w:r>
    </w:p>
    <w:p>
      <w:pPr>
        <w:autoSpaceDE w:val="0"/>
        <w:autoSpaceDN w:val="0"/>
        <w:adjustRightInd w:val="0"/>
        <w:spacing w:line="360" w:lineRule="exact"/>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 xml:space="preserve">电话:                                    电话: </w:t>
      </w:r>
    </w:p>
    <w:p>
      <w:pPr>
        <w:autoSpaceDE w:val="0"/>
        <w:autoSpaceDN w:val="0"/>
        <w:adjustRightInd w:val="0"/>
        <w:spacing w:line="360" w:lineRule="exact"/>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传真:                                    传真:</w:t>
      </w:r>
    </w:p>
    <w:p>
      <w:pPr>
        <w:autoSpaceDE w:val="0"/>
        <w:autoSpaceDN w:val="0"/>
        <w:adjustRightInd w:val="0"/>
        <w:spacing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电子邮箱：                               电子邮箱：</w:t>
      </w:r>
    </w:p>
    <w:p>
      <w:pPr>
        <w:autoSpaceDE w:val="0"/>
        <w:autoSpaceDN w:val="0"/>
        <w:adjustRightInd w:val="0"/>
        <w:spacing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开户银行：                               开户银行： </w:t>
      </w:r>
    </w:p>
    <w:p>
      <w:pPr>
        <w:autoSpaceDE w:val="0"/>
        <w:autoSpaceDN w:val="0"/>
        <w:adjustRightInd w:val="0"/>
        <w:spacing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开户名称：                               开户名称： </w:t>
      </w:r>
    </w:p>
    <w:p>
      <w:pPr>
        <w:autoSpaceDE w:val="0"/>
        <w:autoSpaceDN w:val="0"/>
        <w:adjustRightInd w:val="0"/>
        <w:spacing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开户账号：</w:t>
      </w:r>
      <w:r>
        <w:rPr>
          <w:rFonts w:hint="eastAsia" w:ascii="宋体" w:hAnsi="宋体" w:eastAsia="宋体" w:cs="宋体"/>
          <w:color w:val="auto"/>
          <w:sz w:val="24"/>
          <w:szCs w:val="24"/>
          <w:highlight w:val="none"/>
          <w:lang w:val="zh-CN"/>
        </w:rPr>
        <w:t xml:space="preserve">                               </w:t>
      </w:r>
      <w:r>
        <w:rPr>
          <w:rFonts w:hint="eastAsia" w:ascii="宋体" w:hAnsi="宋体" w:eastAsia="宋体" w:cs="宋体"/>
          <w:color w:val="auto"/>
          <w:sz w:val="24"/>
          <w:szCs w:val="24"/>
          <w:highlight w:val="none"/>
        </w:rPr>
        <w:t>开户账号：</w:t>
      </w:r>
    </w:p>
    <w:p>
      <w:pPr>
        <w:widowControl/>
        <w:spacing w:line="360" w:lineRule="exact"/>
        <w:jc w:val="left"/>
        <w:rPr>
          <w:rFonts w:hint="eastAsia" w:ascii="宋体" w:hAnsi="宋体" w:eastAsia="宋体" w:cs="宋体"/>
          <w:b/>
          <w:bCs/>
          <w:color w:val="auto"/>
          <w:highlight w:val="none"/>
        </w:rPr>
      </w:pPr>
      <w:bookmarkStart w:id="881" w:name="_Toc331685783"/>
    </w:p>
    <w:p>
      <w:pPr>
        <w:widowControl/>
        <w:spacing w:line="360" w:lineRule="exact"/>
        <w:jc w:val="left"/>
        <w:rPr>
          <w:rFonts w:hint="eastAsia" w:ascii="宋体" w:hAnsi="宋体" w:eastAsia="宋体" w:cs="宋体"/>
          <w:b/>
          <w:bCs/>
          <w:color w:val="auto"/>
          <w:highlight w:val="none"/>
        </w:rPr>
      </w:pPr>
    </w:p>
    <w:p>
      <w:pPr>
        <w:pStyle w:val="28"/>
        <w:spacing w:line="360" w:lineRule="exact"/>
        <w:ind w:firstLine="200"/>
        <w:jc w:val="center"/>
        <w:rPr>
          <w:rFonts w:hint="eastAsia" w:ascii="宋体" w:hAnsi="宋体" w:eastAsia="宋体" w:cs="宋体"/>
          <w:b/>
          <w:bCs/>
          <w:color w:val="auto"/>
          <w:highlight w:val="none"/>
        </w:rPr>
      </w:pPr>
      <w:r>
        <w:rPr>
          <w:rFonts w:hint="eastAsia" w:ascii="宋体" w:hAnsi="宋体" w:eastAsia="宋体" w:cs="宋体"/>
          <w:b/>
          <w:bCs/>
          <w:color w:val="auto"/>
          <w:highlight w:val="none"/>
        </w:rPr>
        <w:t>第二部分 合同一般条款</w:t>
      </w:r>
      <w:bookmarkEnd w:id="881"/>
    </w:p>
    <w:p>
      <w:pPr>
        <w:spacing w:line="360" w:lineRule="exact"/>
        <w:ind w:firstLine="482" w:firstLineChars="200"/>
        <w:outlineLvl w:val="0"/>
        <w:rPr>
          <w:rFonts w:hint="eastAsia" w:ascii="宋体" w:hAnsi="宋体" w:eastAsia="宋体" w:cs="宋体"/>
          <w:b/>
          <w:bCs/>
          <w:color w:val="auto"/>
          <w:sz w:val="24"/>
          <w:szCs w:val="24"/>
          <w:highlight w:val="none"/>
        </w:rPr>
      </w:pPr>
      <w:bookmarkStart w:id="882" w:name="_Toc16917"/>
      <w:bookmarkStart w:id="883" w:name="_Toc26936"/>
      <w:bookmarkStart w:id="884" w:name="_Toc279701240"/>
      <w:bookmarkStart w:id="885" w:name="_Toc28763"/>
      <w:bookmarkStart w:id="886" w:name="_Toc29659"/>
      <w:bookmarkStart w:id="887" w:name="_Toc18089"/>
      <w:bookmarkStart w:id="888" w:name="_Ref467378463"/>
      <w:bookmarkStart w:id="889" w:name="_Toc14827"/>
      <w:bookmarkStart w:id="890" w:name="_Toc6788"/>
      <w:bookmarkStart w:id="891" w:name="_Toc15647"/>
      <w:bookmarkStart w:id="892" w:name="_Ref467379101"/>
      <w:bookmarkStart w:id="893" w:name="_Toc26015"/>
      <w:bookmarkStart w:id="894" w:name="_Ref467379225"/>
      <w:bookmarkStart w:id="895" w:name="_Toc2854"/>
      <w:bookmarkStart w:id="896" w:name="_Toc28865"/>
      <w:bookmarkStart w:id="897" w:name="_Toc25554"/>
      <w:bookmarkStart w:id="898" w:name="_Toc17718"/>
      <w:bookmarkStart w:id="899" w:name="_Ref467379094"/>
      <w:bookmarkStart w:id="900" w:name="_Toc20709"/>
      <w:bookmarkStart w:id="901" w:name="_Toc23094"/>
      <w:bookmarkStart w:id="902" w:name="_Toc5579"/>
      <w:bookmarkStart w:id="903" w:name="_Toc23427"/>
      <w:bookmarkStart w:id="904" w:name="_Toc259093669"/>
      <w:bookmarkStart w:id="905" w:name="_Ref467379205"/>
      <w:bookmarkStart w:id="906" w:name="_Toc17226"/>
      <w:bookmarkStart w:id="907" w:name="_Toc19614"/>
      <w:bookmarkStart w:id="908" w:name="_Toc31417"/>
      <w:bookmarkStart w:id="909" w:name="_Toc24879"/>
      <w:bookmarkStart w:id="910" w:name="_Toc3091"/>
      <w:bookmarkStart w:id="911" w:name="_Ref467378404"/>
      <w:bookmarkStart w:id="912" w:name="_Toc2034"/>
      <w:bookmarkStart w:id="913" w:name="_Toc32624"/>
      <w:bookmarkStart w:id="914" w:name="_Toc510"/>
      <w:bookmarkStart w:id="915" w:name="_Toc24046"/>
      <w:bookmarkStart w:id="916" w:name="_Toc28547"/>
      <w:bookmarkStart w:id="917" w:name="_Toc18085"/>
      <w:bookmarkStart w:id="918" w:name="_Toc10245"/>
      <w:bookmarkStart w:id="919" w:name="_Ref467378499"/>
      <w:bookmarkStart w:id="920" w:name="_Toc26415"/>
      <w:bookmarkStart w:id="921" w:name="_Toc7464"/>
      <w:bookmarkStart w:id="922" w:name="_Toc25035"/>
      <w:bookmarkStart w:id="923" w:name="_Ref467379109"/>
      <w:bookmarkStart w:id="924" w:name="_Toc487900349"/>
      <w:bookmarkStart w:id="925" w:name="_Ref467379195"/>
      <w:bookmarkStart w:id="926" w:name="_Ref467379214"/>
      <w:bookmarkStart w:id="927" w:name="_Toc24453"/>
      <w:r>
        <w:rPr>
          <w:rFonts w:hint="eastAsia" w:ascii="宋体" w:hAnsi="宋体" w:eastAsia="宋体" w:cs="宋体"/>
          <w:b/>
          <w:bCs/>
          <w:color w:val="auto"/>
          <w:sz w:val="24"/>
          <w:szCs w:val="24"/>
          <w:highlight w:val="none"/>
        </w:rPr>
        <w:t>2.1 定义</w:t>
      </w:r>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p>
    <w:p>
      <w:pPr>
        <w:spacing w:line="3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本合同中的下列词语应按以下内容进行解释：</w:t>
      </w:r>
    </w:p>
    <w:p>
      <w:pPr>
        <w:spacing w:line="3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2.1.1 “合同”系指采购人和中标供应商签订的载明双方当事人所达成的协议，并包括所有的附件、附录和构成合同的其他文件。</w:t>
      </w:r>
    </w:p>
    <w:p>
      <w:pPr>
        <w:spacing w:line="3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2.1.2 “合同价”系指根据合同约定，中标供应商在完全履行合同义务后，采购人应支付给中标供应商的价格。</w:t>
      </w:r>
    </w:p>
    <w:p>
      <w:pPr>
        <w:spacing w:line="3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2.1.3 “货物”系指中标供应商根据合同约定应向采购人交付的一切各种形态和种类的物品，包括原材料、燃料、设备、机械、仪表、备件、计算机软件、产品等，并包括工具、手册等其他相关资料。</w:t>
      </w:r>
    </w:p>
    <w:p>
      <w:pPr>
        <w:spacing w:line="360" w:lineRule="exact"/>
        <w:ind w:firstLine="480" w:firstLineChars="200"/>
        <w:rPr>
          <w:rFonts w:hint="eastAsia" w:ascii="宋体" w:hAnsi="宋体" w:eastAsia="宋体" w:cs="宋体"/>
          <w:color w:val="auto"/>
          <w:sz w:val="24"/>
          <w:szCs w:val="24"/>
          <w:highlight w:val="none"/>
        </w:rPr>
      </w:pPr>
      <w:bookmarkStart w:id="928" w:name="_Ref467378840"/>
      <w:r>
        <w:rPr>
          <w:rFonts w:hint="eastAsia" w:ascii="宋体" w:hAnsi="宋体" w:eastAsia="宋体" w:cs="宋体"/>
          <w:color w:val="auto"/>
          <w:sz w:val="24"/>
          <w:szCs w:val="24"/>
          <w:highlight w:val="none"/>
        </w:rPr>
        <w:t>2.1.4 “甲方”系指与中标供应商签署合同的采购人</w:t>
      </w:r>
      <w:bookmarkEnd w:id="928"/>
      <w:r>
        <w:rPr>
          <w:rFonts w:hint="eastAsia" w:ascii="宋体" w:hAnsi="宋体" w:eastAsia="宋体" w:cs="宋体"/>
          <w:color w:val="auto"/>
          <w:sz w:val="24"/>
          <w:szCs w:val="24"/>
          <w:highlight w:val="none"/>
        </w:rPr>
        <w:t>；采购人委托采购代理机构代表其与乙方签订合同的，采购人的授权委托书作为合同附件。</w:t>
      </w:r>
    </w:p>
    <w:p>
      <w:pPr>
        <w:spacing w:line="360" w:lineRule="exact"/>
        <w:ind w:firstLine="480" w:firstLineChars="200"/>
        <w:rPr>
          <w:rFonts w:hint="eastAsia" w:ascii="宋体" w:hAnsi="宋体" w:eastAsia="宋体" w:cs="宋体"/>
          <w:color w:val="auto"/>
          <w:sz w:val="24"/>
          <w:szCs w:val="24"/>
          <w:highlight w:val="none"/>
        </w:rPr>
      </w:pPr>
      <w:bookmarkStart w:id="929" w:name="_Ref467379400"/>
      <w:r>
        <w:rPr>
          <w:rFonts w:hint="eastAsia" w:ascii="宋体" w:hAnsi="宋体" w:eastAsia="宋体" w:cs="宋体"/>
          <w:color w:val="auto"/>
          <w:sz w:val="24"/>
          <w:szCs w:val="24"/>
          <w:highlight w:val="none"/>
        </w:rPr>
        <w:t>2.1.5 “乙方”系指根据合同约定交付货物的中标供应商</w:t>
      </w:r>
      <w:bookmarkEnd w:id="929"/>
      <w:r>
        <w:rPr>
          <w:rFonts w:hint="eastAsia" w:ascii="宋体" w:hAnsi="宋体" w:eastAsia="宋体" w:cs="宋体"/>
          <w:color w:val="auto"/>
          <w:sz w:val="24"/>
          <w:szCs w:val="24"/>
          <w:highlight w:val="none"/>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360" w:lineRule="exact"/>
        <w:ind w:firstLine="480" w:firstLineChars="200"/>
        <w:rPr>
          <w:rFonts w:hint="eastAsia" w:ascii="宋体" w:hAnsi="宋体" w:eastAsia="宋体" w:cs="宋体"/>
          <w:color w:val="auto"/>
          <w:sz w:val="24"/>
          <w:szCs w:val="24"/>
          <w:highlight w:val="none"/>
        </w:rPr>
      </w:pPr>
      <w:bookmarkStart w:id="930" w:name="_Ref467379436"/>
      <w:r>
        <w:rPr>
          <w:rFonts w:hint="eastAsia" w:ascii="宋体" w:hAnsi="宋体" w:eastAsia="宋体" w:cs="宋体"/>
          <w:color w:val="auto"/>
          <w:sz w:val="24"/>
          <w:szCs w:val="24"/>
          <w:highlight w:val="none"/>
        </w:rPr>
        <w:t>2.1.6 “现场”系指合同约定货物将要运至或者安装的地点。</w:t>
      </w:r>
      <w:bookmarkEnd w:id="930"/>
    </w:p>
    <w:p>
      <w:pPr>
        <w:spacing w:line="360" w:lineRule="exact"/>
        <w:ind w:firstLine="482" w:firstLineChars="200"/>
        <w:outlineLvl w:val="0"/>
        <w:rPr>
          <w:rFonts w:hint="eastAsia" w:ascii="宋体" w:hAnsi="宋体" w:eastAsia="宋体" w:cs="宋体"/>
          <w:b/>
          <w:bCs/>
          <w:color w:val="auto"/>
          <w:sz w:val="24"/>
          <w:szCs w:val="24"/>
          <w:highlight w:val="none"/>
        </w:rPr>
      </w:pPr>
      <w:bookmarkStart w:id="931" w:name="_Toc32570"/>
      <w:bookmarkStart w:id="932" w:name="_Toc30246"/>
      <w:bookmarkStart w:id="933" w:name="_Toc25266"/>
      <w:bookmarkStart w:id="934" w:name="_Toc1352"/>
      <w:bookmarkStart w:id="935" w:name="_Toc10950"/>
      <w:bookmarkStart w:id="936" w:name="_Toc22769"/>
      <w:bookmarkStart w:id="937" w:name="_Toc7048"/>
      <w:bookmarkStart w:id="938" w:name="_Toc259093670"/>
      <w:bookmarkStart w:id="939" w:name="_Toc17151"/>
      <w:bookmarkStart w:id="940" w:name="_Toc25958"/>
      <w:bookmarkStart w:id="941" w:name="_Toc22104"/>
      <w:bookmarkStart w:id="942" w:name="_Toc22122"/>
      <w:bookmarkStart w:id="943" w:name="_Toc6595"/>
      <w:bookmarkStart w:id="944" w:name="_Toc1221"/>
      <w:bookmarkStart w:id="945" w:name="_Toc487900350"/>
      <w:bookmarkStart w:id="946" w:name="_Toc18471"/>
      <w:bookmarkStart w:id="947" w:name="_Toc19892"/>
      <w:bookmarkStart w:id="948" w:name="_Toc13336"/>
      <w:bookmarkStart w:id="949" w:name="_Toc3949"/>
      <w:bookmarkStart w:id="950" w:name="_Toc7416"/>
      <w:bookmarkStart w:id="951" w:name="_Toc1183"/>
      <w:bookmarkStart w:id="952" w:name="_Toc24792"/>
      <w:bookmarkStart w:id="953" w:name="_Toc24322"/>
      <w:bookmarkStart w:id="954" w:name="_Toc25269"/>
      <w:bookmarkStart w:id="955" w:name="_Toc22131"/>
      <w:bookmarkStart w:id="956" w:name="_Toc24523"/>
      <w:bookmarkStart w:id="957" w:name="_Toc1447"/>
      <w:bookmarkStart w:id="958" w:name="_Toc279701241"/>
      <w:bookmarkStart w:id="959" w:name="_Toc27635"/>
      <w:bookmarkStart w:id="960" w:name="_Toc23689"/>
      <w:bookmarkStart w:id="961" w:name="_Toc11142"/>
      <w:bookmarkStart w:id="962" w:name="_Toc3193"/>
      <w:bookmarkStart w:id="963" w:name="_Toc32504"/>
      <w:bookmarkStart w:id="964" w:name="_Toc5592"/>
      <w:bookmarkStart w:id="965" w:name="_Toc18137"/>
      <w:bookmarkStart w:id="966" w:name="_Toc1865"/>
      <w:r>
        <w:rPr>
          <w:rFonts w:hint="eastAsia" w:ascii="宋体" w:hAnsi="宋体" w:eastAsia="宋体" w:cs="宋体"/>
          <w:b/>
          <w:bCs/>
          <w:color w:val="auto"/>
          <w:sz w:val="24"/>
          <w:szCs w:val="24"/>
          <w:highlight w:val="none"/>
        </w:rPr>
        <w:t>2.2 技术规范</w:t>
      </w:r>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p>
    <w:p>
      <w:pPr>
        <w:spacing w:line="3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360" w:lineRule="exact"/>
        <w:ind w:firstLine="482" w:firstLineChars="200"/>
        <w:outlineLvl w:val="0"/>
        <w:rPr>
          <w:rFonts w:hint="eastAsia" w:ascii="宋体" w:hAnsi="宋体" w:eastAsia="宋体" w:cs="宋体"/>
          <w:b/>
          <w:bCs/>
          <w:color w:val="auto"/>
          <w:sz w:val="24"/>
          <w:szCs w:val="24"/>
          <w:highlight w:val="none"/>
        </w:rPr>
      </w:pPr>
      <w:bookmarkStart w:id="967" w:name="_Toc10461"/>
      <w:bookmarkStart w:id="968" w:name="_Toc259093671"/>
      <w:bookmarkStart w:id="969" w:name="_Toc10999"/>
      <w:bookmarkStart w:id="970" w:name="_Toc28946"/>
      <w:bookmarkStart w:id="971" w:name="_Toc23791"/>
      <w:bookmarkStart w:id="972" w:name="_Toc4029"/>
      <w:bookmarkStart w:id="973" w:name="_Toc31634"/>
      <w:bookmarkStart w:id="974" w:name="_Toc20130"/>
      <w:bookmarkStart w:id="975" w:name="_Toc3879"/>
      <w:bookmarkStart w:id="976" w:name="_Toc23649"/>
      <w:bookmarkStart w:id="977" w:name="_Toc30700"/>
      <w:bookmarkStart w:id="978" w:name="_Toc18092"/>
      <w:bookmarkStart w:id="979" w:name="_Toc17383"/>
      <w:bookmarkStart w:id="980" w:name="_Toc27853"/>
      <w:bookmarkStart w:id="981" w:name="_Toc30552"/>
      <w:bookmarkStart w:id="982" w:name="_Toc2878"/>
      <w:bookmarkStart w:id="983" w:name="_Toc1649"/>
      <w:bookmarkStart w:id="984" w:name="_Toc13750"/>
      <w:bookmarkStart w:id="985" w:name="_Toc7722"/>
      <w:bookmarkStart w:id="986" w:name="_Toc4916"/>
      <w:bookmarkStart w:id="987" w:name="_Toc11837"/>
      <w:bookmarkStart w:id="988" w:name="_Toc14632"/>
      <w:bookmarkStart w:id="989" w:name="_Toc6121"/>
      <w:bookmarkStart w:id="990" w:name="_Toc18332"/>
      <w:bookmarkStart w:id="991" w:name="_Toc24537"/>
      <w:bookmarkStart w:id="992" w:name="_Toc9829"/>
      <w:bookmarkStart w:id="993" w:name="_Toc24588"/>
      <w:bookmarkStart w:id="994" w:name="_Toc3854"/>
      <w:bookmarkStart w:id="995" w:name="_Toc487900351"/>
      <w:bookmarkStart w:id="996" w:name="_Toc279701242"/>
      <w:bookmarkStart w:id="997" w:name="_Toc975"/>
      <w:bookmarkStart w:id="998" w:name="_Toc28662"/>
      <w:bookmarkStart w:id="999" w:name="_Toc32048"/>
      <w:bookmarkStart w:id="1000" w:name="_Toc6835"/>
      <w:bookmarkStart w:id="1001" w:name="_Toc15733"/>
      <w:bookmarkStart w:id="1002" w:name="_Toc18486"/>
      <w:r>
        <w:rPr>
          <w:rFonts w:hint="eastAsia" w:ascii="宋体" w:hAnsi="宋体" w:eastAsia="宋体" w:cs="宋体"/>
          <w:b/>
          <w:bCs/>
          <w:color w:val="auto"/>
          <w:sz w:val="24"/>
          <w:szCs w:val="24"/>
          <w:highlight w:val="none"/>
        </w:rPr>
        <w:t>2.3 知识产权</w:t>
      </w:r>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p>
    <w:p>
      <w:pPr>
        <w:spacing w:line="3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spacing w:line="3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2.3.2具有知识产权的计算机软件等货物的知识产权归属，详见</w:t>
      </w:r>
      <w:r>
        <w:rPr>
          <w:rFonts w:hint="eastAsia" w:ascii="宋体" w:hAnsi="宋体" w:eastAsia="宋体" w:cs="宋体"/>
          <w:b/>
          <w:bCs/>
          <w:i/>
          <w:iCs/>
          <w:color w:val="auto"/>
          <w:sz w:val="24"/>
          <w:szCs w:val="24"/>
          <w:highlight w:val="none"/>
          <w:u w:val="single"/>
        </w:rPr>
        <w:t>合同专用条款</w:t>
      </w:r>
      <w:r>
        <w:rPr>
          <w:rFonts w:hint="eastAsia" w:ascii="宋体" w:hAnsi="宋体" w:eastAsia="宋体" w:cs="宋体"/>
          <w:color w:val="auto"/>
          <w:sz w:val="24"/>
          <w:szCs w:val="24"/>
          <w:highlight w:val="none"/>
        </w:rPr>
        <w:t>。</w:t>
      </w:r>
    </w:p>
    <w:p>
      <w:pPr>
        <w:spacing w:line="360" w:lineRule="exact"/>
        <w:ind w:firstLine="482" w:firstLineChars="200"/>
        <w:outlineLvl w:val="0"/>
        <w:rPr>
          <w:rFonts w:hint="eastAsia" w:ascii="宋体" w:hAnsi="宋体" w:eastAsia="宋体" w:cs="宋体"/>
          <w:b/>
          <w:bCs/>
          <w:color w:val="auto"/>
          <w:sz w:val="24"/>
          <w:szCs w:val="24"/>
          <w:highlight w:val="none"/>
        </w:rPr>
      </w:pPr>
      <w:bookmarkStart w:id="1003" w:name="_Toc10546"/>
      <w:bookmarkStart w:id="1004" w:name="_Toc18554"/>
      <w:bookmarkStart w:id="1005" w:name="_Toc10970"/>
      <w:bookmarkStart w:id="1006" w:name="_Toc27108"/>
      <w:bookmarkStart w:id="1007" w:name="_Toc19842"/>
      <w:bookmarkStart w:id="1008" w:name="_Toc9741"/>
      <w:bookmarkStart w:id="1009" w:name="_Toc23105"/>
      <w:bookmarkStart w:id="1010" w:name="_Toc15409"/>
      <w:bookmarkStart w:id="1011" w:name="_Toc26731"/>
      <w:bookmarkStart w:id="1012" w:name="_Toc19638"/>
      <w:bookmarkStart w:id="1013" w:name="_Toc455"/>
      <w:bookmarkStart w:id="1014" w:name="_Toc836"/>
      <w:bookmarkStart w:id="1015" w:name="_Toc24384"/>
      <w:bookmarkStart w:id="1016" w:name="_Toc28170"/>
      <w:bookmarkStart w:id="1017" w:name="_Toc5395"/>
      <w:bookmarkStart w:id="1018" w:name="_Toc29149"/>
      <w:bookmarkStart w:id="1019" w:name="_Toc2585"/>
      <w:bookmarkStart w:id="1020" w:name="_Toc12219"/>
      <w:bookmarkStart w:id="1021" w:name="_Toc8795"/>
      <w:bookmarkStart w:id="1022" w:name="_Toc4194"/>
      <w:bookmarkStart w:id="1023" w:name="_Toc684"/>
      <w:bookmarkStart w:id="1024" w:name="_Toc3486"/>
      <w:bookmarkStart w:id="1025" w:name="_Toc6781"/>
      <w:bookmarkStart w:id="1026" w:name="_Toc30542"/>
      <w:bookmarkStart w:id="1027" w:name="_Toc18533"/>
      <w:bookmarkStart w:id="1028" w:name="_Toc25767"/>
      <w:bookmarkStart w:id="1029" w:name="_Toc28714"/>
      <w:bookmarkStart w:id="1030" w:name="_Toc1877"/>
      <w:bookmarkStart w:id="1031" w:name="_Toc9470"/>
      <w:bookmarkStart w:id="1032" w:name="_Toc11932"/>
      <w:bookmarkStart w:id="1033" w:name="_Toc20620"/>
      <w:bookmarkStart w:id="1034" w:name="_Toc17080"/>
      <w:bookmarkStart w:id="1035" w:name="_Toc6562"/>
      <w:r>
        <w:rPr>
          <w:rFonts w:hint="eastAsia" w:ascii="宋体" w:hAnsi="宋体" w:eastAsia="宋体" w:cs="宋体"/>
          <w:b/>
          <w:bCs/>
          <w:color w:val="auto"/>
          <w:sz w:val="24"/>
          <w:szCs w:val="24"/>
          <w:highlight w:val="none"/>
        </w:rPr>
        <w:t>2.4 包装和装运</w:t>
      </w:r>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p>
    <w:p>
      <w:pPr>
        <w:spacing w:line="3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2.4.1除</w:t>
      </w:r>
      <w:r>
        <w:rPr>
          <w:rFonts w:hint="eastAsia" w:ascii="宋体" w:hAnsi="宋体" w:eastAsia="宋体" w:cs="宋体"/>
          <w:b/>
          <w:bCs/>
          <w:i/>
          <w:iCs/>
          <w:color w:val="auto"/>
          <w:sz w:val="24"/>
          <w:szCs w:val="24"/>
          <w:highlight w:val="none"/>
          <w:u w:val="single"/>
        </w:rPr>
        <w:t>合同专用条款</w:t>
      </w:r>
      <w:r>
        <w:rPr>
          <w:rFonts w:hint="eastAsia" w:ascii="宋体" w:hAnsi="宋体" w:eastAsia="宋体" w:cs="宋体"/>
          <w:color w:val="auto"/>
          <w:sz w:val="24"/>
          <w:szCs w:val="24"/>
          <w:highlight w:val="none"/>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3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2.4.2 装运货物的要求和通知，详见</w:t>
      </w:r>
      <w:r>
        <w:rPr>
          <w:rFonts w:hint="eastAsia" w:ascii="宋体" w:hAnsi="宋体" w:eastAsia="宋体" w:cs="宋体"/>
          <w:b/>
          <w:bCs/>
          <w:i/>
          <w:iCs/>
          <w:color w:val="auto"/>
          <w:sz w:val="24"/>
          <w:szCs w:val="24"/>
          <w:highlight w:val="none"/>
          <w:u w:val="single"/>
        </w:rPr>
        <w:t>合同专用条款</w:t>
      </w:r>
      <w:r>
        <w:rPr>
          <w:rFonts w:hint="eastAsia" w:ascii="宋体" w:hAnsi="宋体" w:eastAsia="宋体" w:cs="宋体"/>
          <w:color w:val="auto"/>
          <w:sz w:val="24"/>
          <w:szCs w:val="24"/>
          <w:highlight w:val="none"/>
        </w:rPr>
        <w:t>。</w:t>
      </w:r>
    </w:p>
    <w:p>
      <w:pPr>
        <w:spacing w:line="360" w:lineRule="exact"/>
        <w:ind w:firstLine="482" w:firstLineChars="200"/>
        <w:outlineLvl w:val="0"/>
        <w:rPr>
          <w:rFonts w:hint="eastAsia" w:ascii="宋体" w:hAnsi="宋体" w:eastAsia="宋体" w:cs="宋体"/>
          <w:b/>
          <w:bCs/>
          <w:color w:val="auto"/>
          <w:sz w:val="24"/>
          <w:szCs w:val="24"/>
          <w:highlight w:val="none"/>
        </w:rPr>
      </w:pPr>
      <w:bookmarkStart w:id="1036" w:name="_Ref467379527"/>
      <w:bookmarkStart w:id="1037" w:name="_Ref467379542"/>
      <w:bookmarkStart w:id="1038" w:name="_Toc279701245"/>
      <w:bookmarkStart w:id="1039" w:name="_Toc259093674"/>
      <w:bookmarkStart w:id="1040" w:name="_Toc487900354"/>
      <w:bookmarkStart w:id="1041" w:name="_Ref467378591"/>
      <w:bookmarkStart w:id="1042" w:name="_Ref467378541"/>
      <w:bookmarkStart w:id="1043" w:name="_Ref467379536"/>
      <w:bookmarkStart w:id="1044" w:name="_Toc24935"/>
      <w:bookmarkStart w:id="1045" w:name="_Toc30516"/>
      <w:bookmarkStart w:id="1046" w:name="_Toc26182"/>
      <w:bookmarkStart w:id="1047" w:name="_Toc18307"/>
      <w:bookmarkStart w:id="1048" w:name="_Toc28658"/>
      <w:bookmarkStart w:id="1049" w:name="_Toc4831"/>
      <w:bookmarkStart w:id="1050" w:name="_Toc21410"/>
      <w:bookmarkStart w:id="1051" w:name="_Toc5927"/>
      <w:bookmarkStart w:id="1052" w:name="_Toc10071"/>
      <w:bookmarkStart w:id="1053" w:name="_Toc15512"/>
      <w:bookmarkStart w:id="1054" w:name="_Toc18515"/>
      <w:bookmarkStart w:id="1055" w:name="_Toc24299"/>
      <w:bookmarkStart w:id="1056" w:name="_Toc4396"/>
      <w:bookmarkStart w:id="1057" w:name="_Toc12428"/>
      <w:bookmarkStart w:id="1058" w:name="_Toc4182"/>
      <w:bookmarkStart w:id="1059" w:name="_Toc2174"/>
      <w:bookmarkStart w:id="1060" w:name="_Toc21198"/>
      <w:bookmarkStart w:id="1061" w:name="_Toc3408"/>
      <w:bookmarkStart w:id="1062" w:name="_Toc19074"/>
      <w:bookmarkStart w:id="1063" w:name="_Toc28582"/>
      <w:bookmarkStart w:id="1064" w:name="_Toc23561"/>
      <w:bookmarkStart w:id="1065" w:name="_Toc28937"/>
      <w:bookmarkStart w:id="1066" w:name="_Toc7299"/>
      <w:bookmarkStart w:id="1067" w:name="_Toc1580"/>
      <w:bookmarkStart w:id="1068" w:name="_Toc31437"/>
      <w:bookmarkStart w:id="1069" w:name="_Toc14100"/>
      <w:bookmarkStart w:id="1070" w:name="_Toc7379"/>
      <w:bookmarkStart w:id="1071" w:name="_Toc2815"/>
      <w:bookmarkStart w:id="1072" w:name="_Toc30272"/>
      <w:bookmarkStart w:id="1073" w:name="_Toc30291"/>
      <w:bookmarkStart w:id="1074" w:name="_Toc10209"/>
      <w:bookmarkStart w:id="1075" w:name="_Toc28324"/>
      <w:bookmarkStart w:id="1076" w:name="_Toc30610"/>
      <w:r>
        <w:rPr>
          <w:rFonts w:hint="eastAsia" w:ascii="宋体" w:hAnsi="宋体" w:eastAsia="宋体" w:cs="宋体"/>
          <w:b/>
          <w:bCs/>
          <w:color w:val="auto"/>
          <w:sz w:val="24"/>
          <w:szCs w:val="24"/>
          <w:highlight w:val="none"/>
        </w:rPr>
        <w:t>2.</w:t>
      </w:r>
      <w:bookmarkEnd w:id="1036"/>
      <w:bookmarkEnd w:id="1037"/>
      <w:bookmarkEnd w:id="1038"/>
      <w:bookmarkEnd w:id="1039"/>
      <w:bookmarkEnd w:id="1040"/>
      <w:bookmarkEnd w:id="1041"/>
      <w:bookmarkEnd w:id="1042"/>
      <w:bookmarkEnd w:id="1043"/>
      <w:r>
        <w:rPr>
          <w:rFonts w:hint="eastAsia" w:ascii="宋体" w:hAnsi="宋体" w:eastAsia="宋体" w:cs="宋体"/>
          <w:b/>
          <w:bCs/>
          <w:color w:val="auto"/>
          <w:sz w:val="24"/>
          <w:szCs w:val="24"/>
          <w:highlight w:val="none"/>
        </w:rPr>
        <w:t>5 履约检查和问题反馈</w:t>
      </w:r>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p>
    <w:p>
      <w:pPr>
        <w:spacing w:line="360" w:lineRule="exact"/>
        <w:ind w:firstLine="480" w:firstLineChars="200"/>
        <w:rPr>
          <w:rFonts w:hint="eastAsia" w:ascii="宋体" w:hAnsi="宋体" w:eastAsia="宋体" w:cs="宋体"/>
          <w:color w:val="auto"/>
          <w:sz w:val="24"/>
          <w:szCs w:val="24"/>
          <w:highlight w:val="none"/>
        </w:rPr>
      </w:pPr>
      <w:bookmarkStart w:id="1077" w:name="_Ref467379657"/>
      <w:r>
        <w:rPr>
          <w:rFonts w:hint="eastAsia" w:ascii="宋体" w:hAnsi="宋体" w:eastAsia="宋体" w:cs="宋体"/>
          <w:color w:val="auto"/>
          <w:sz w:val="24"/>
          <w:szCs w:val="24"/>
          <w:highlight w:val="none"/>
        </w:rPr>
        <w:t>2.5.1</w:t>
      </w:r>
      <w:bookmarkEnd w:id="1077"/>
      <w:bookmarkStart w:id="1078" w:name="_Toc186431854"/>
      <w:bookmarkStart w:id="1079" w:name="_Ref467379793"/>
      <w:bookmarkStart w:id="1080" w:name="_Toc279701247"/>
      <w:bookmarkStart w:id="1081" w:name="_Ref467379807"/>
      <w:bookmarkStart w:id="1082" w:name="_Toc259093676"/>
      <w:bookmarkStart w:id="1083" w:name="_Toc487900357"/>
      <w:r>
        <w:rPr>
          <w:rFonts w:hint="eastAsia" w:ascii="宋体" w:hAnsi="宋体" w:eastAsia="宋体" w:cs="宋体"/>
          <w:color w:val="auto"/>
          <w:sz w:val="24"/>
          <w:szCs w:val="24"/>
          <w:highlight w:val="none"/>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3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2.5.2 合同履行期间，甲方有权将履行过程中出现的问题反馈给乙方，双方当事人应以书面形式约定需要完善和改进的内容</w:t>
      </w:r>
      <w:bookmarkEnd w:id="1078"/>
      <w:bookmarkStart w:id="1084" w:name="_Toc186431855"/>
      <w:r>
        <w:rPr>
          <w:rFonts w:hint="eastAsia" w:ascii="宋体" w:hAnsi="宋体" w:eastAsia="宋体" w:cs="宋体"/>
          <w:color w:val="auto"/>
          <w:sz w:val="24"/>
          <w:szCs w:val="24"/>
          <w:highlight w:val="none"/>
        </w:rPr>
        <w:t>。</w:t>
      </w:r>
    </w:p>
    <w:bookmarkEnd w:id="1084"/>
    <w:p>
      <w:pPr>
        <w:spacing w:line="360" w:lineRule="exact"/>
        <w:ind w:firstLine="482" w:firstLineChars="200"/>
        <w:outlineLvl w:val="0"/>
        <w:rPr>
          <w:rFonts w:hint="eastAsia" w:ascii="宋体" w:hAnsi="宋体" w:eastAsia="宋体" w:cs="宋体"/>
          <w:b/>
          <w:bCs/>
          <w:color w:val="auto"/>
          <w:sz w:val="24"/>
          <w:szCs w:val="24"/>
          <w:highlight w:val="none"/>
        </w:rPr>
      </w:pPr>
      <w:bookmarkStart w:id="1085" w:name="_Toc9092"/>
      <w:bookmarkStart w:id="1086" w:name="_Toc17283"/>
      <w:bookmarkStart w:id="1087" w:name="_Toc9241"/>
      <w:bookmarkStart w:id="1088" w:name="_Toc12360"/>
      <w:bookmarkStart w:id="1089" w:name="_Toc3057"/>
      <w:bookmarkStart w:id="1090" w:name="_Toc28083"/>
      <w:bookmarkStart w:id="1091" w:name="_Toc31520"/>
      <w:bookmarkStart w:id="1092" w:name="_Toc26298"/>
      <w:bookmarkStart w:id="1093" w:name="_Toc31636"/>
      <w:bookmarkStart w:id="1094" w:name="_Toc7752"/>
      <w:bookmarkStart w:id="1095" w:name="_Toc19219"/>
      <w:bookmarkStart w:id="1096" w:name="_Toc23261"/>
      <w:bookmarkStart w:id="1097" w:name="_Toc795"/>
      <w:bookmarkStart w:id="1098" w:name="_Toc234"/>
      <w:bookmarkStart w:id="1099" w:name="_Toc26245"/>
      <w:bookmarkStart w:id="1100" w:name="_Toc10470"/>
      <w:bookmarkStart w:id="1101" w:name="_Toc2067"/>
      <w:bookmarkStart w:id="1102" w:name="_Toc22032"/>
      <w:bookmarkStart w:id="1103" w:name="_Toc7836"/>
      <w:bookmarkStart w:id="1104" w:name="_Toc11522"/>
      <w:bookmarkStart w:id="1105" w:name="_Toc8058"/>
      <w:bookmarkStart w:id="1106" w:name="_Toc22499"/>
      <w:bookmarkStart w:id="1107" w:name="_Toc582"/>
      <w:bookmarkStart w:id="1108" w:name="_Toc26232"/>
      <w:bookmarkStart w:id="1109" w:name="_Toc5304"/>
      <w:bookmarkStart w:id="1110" w:name="_Toc12377"/>
      <w:bookmarkStart w:id="1111" w:name="_Toc27251"/>
      <w:bookmarkStart w:id="1112" w:name="_Toc30354"/>
      <w:bookmarkStart w:id="1113" w:name="_Toc5363"/>
      <w:bookmarkStart w:id="1114" w:name="_Toc10980"/>
      <w:bookmarkStart w:id="1115" w:name="_Toc28451"/>
      <w:bookmarkStart w:id="1116" w:name="_Toc15854"/>
      <w:bookmarkStart w:id="1117" w:name="_Toc14286"/>
      <w:r>
        <w:rPr>
          <w:rFonts w:hint="eastAsia" w:ascii="宋体" w:hAnsi="宋体" w:eastAsia="宋体" w:cs="宋体"/>
          <w:b/>
          <w:bCs/>
          <w:color w:val="auto"/>
          <w:sz w:val="24"/>
          <w:szCs w:val="24"/>
          <w:highlight w:val="none"/>
        </w:rPr>
        <w:t>2.6 结算方式和付款条件</w:t>
      </w:r>
      <w:bookmarkEnd w:id="1079"/>
      <w:bookmarkEnd w:id="1080"/>
      <w:bookmarkEnd w:id="1081"/>
      <w:bookmarkEnd w:id="1082"/>
      <w:bookmarkEnd w:id="1083"/>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p>
    <w:p>
      <w:pPr>
        <w:spacing w:line="3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详见</w:t>
      </w:r>
      <w:r>
        <w:rPr>
          <w:rFonts w:hint="eastAsia" w:ascii="宋体" w:hAnsi="宋体" w:eastAsia="宋体" w:cs="宋体"/>
          <w:b/>
          <w:bCs/>
          <w:i/>
          <w:iCs/>
          <w:color w:val="auto"/>
          <w:sz w:val="24"/>
          <w:szCs w:val="24"/>
          <w:highlight w:val="none"/>
          <w:u w:val="single"/>
        </w:rPr>
        <w:t>合同专用条款</w:t>
      </w:r>
      <w:r>
        <w:rPr>
          <w:rFonts w:hint="eastAsia" w:ascii="宋体" w:hAnsi="宋体" w:eastAsia="宋体" w:cs="宋体"/>
          <w:color w:val="auto"/>
          <w:sz w:val="24"/>
          <w:szCs w:val="24"/>
          <w:highlight w:val="none"/>
        </w:rPr>
        <w:t>。</w:t>
      </w:r>
    </w:p>
    <w:p>
      <w:pPr>
        <w:spacing w:line="360" w:lineRule="exact"/>
        <w:ind w:firstLine="482" w:firstLineChars="200"/>
        <w:outlineLvl w:val="0"/>
        <w:rPr>
          <w:rFonts w:hint="eastAsia" w:ascii="宋体" w:hAnsi="宋体" w:eastAsia="宋体" w:cs="宋体"/>
          <w:b/>
          <w:bCs/>
          <w:color w:val="auto"/>
          <w:sz w:val="24"/>
          <w:szCs w:val="24"/>
          <w:highlight w:val="none"/>
        </w:rPr>
      </w:pPr>
      <w:bookmarkStart w:id="1118" w:name="_Toc279701248"/>
      <w:bookmarkStart w:id="1119" w:name="_Ref467379852"/>
      <w:bookmarkStart w:id="1120" w:name="_Ref467379923"/>
      <w:bookmarkStart w:id="1121" w:name="_Ref467379863"/>
      <w:bookmarkStart w:id="1122" w:name="_Toc259093677"/>
      <w:bookmarkStart w:id="1123" w:name="_Toc487900358"/>
      <w:bookmarkStart w:id="1124" w:name="_Toc11236"/>
      <w:bookmarkStart w:id="1125" w:name="_Toc12537"/>
      <w:bookmarkStart w:id="1126" w:name="_Toc16303"/>
      <w:bookmarkStart w:id="1127" w:name="_Toc31305"/>
      <w:bookmarkStart w:id="1128" w:name="_Toc13023"/>
      <w:bookmarkStart w:id="1129" w:name="_Toc14432"/>
      <w:bookmarkStart w:id="1130" w:name="_Toc14491"/>
      <w:bookmarkStart w:id="1131" w:name="_Toc26147"/>
      <w:bookmarkStart w:id="1132" w:name="_Toc7000"/>
      <w:bookmarkStart w:id="1133" w:name="_Toc8272"/>
      <w:bookmarkStart w:id="1134" w:name="_Toc9845"/>
      <w:bookmarkStart w:id="1135" w:name="_Toc6635"/>
      <w:bookmarkStart w:id="1136" w:name="_Toc29030"/>
      <w:bookmarkStart w:id="1137" w:name="_Toc25277"/>
      <w:bookmarkStart w:id="1138" w:name="_Toc1200"/>
      <w:bookmarkStart w:id="1139" w:name="_Toc5846"/>
      <w:bookmarkStart w:id="1140" w:name="_Toc11615"/>
      <w:bookmarkStart w:id="1141" w:name="_Toc15067"/>
      <w:bookmarkStart w:id="1142" w:name="_Toc10114"/>
      <w:bookmarkStart w:id="1143" w:name="_Toc774"/>
      <w:bookmarkStart w:id="1144" w:name="_Toc17136"/>
      <w:bookmarkStart w:id="1145" w:name="_Toc11937"/>
      <w:bookmarkStart w:id="1146" w:name="_Toc28781"/>
      <w:bookmarkStart w:id="1147" w:name="_Toc17607"/>
      <w:bookmarkStart w:id="1148" w:name="_Toc20160"/>
      <w:bookmarkStart w:id="1149" w:name="_Toc14801"/>
      <w:bookmarkStart w:id="1150" w:name="_Toc29616"/>
      <w:bookmarkStart w:id="1151" w:name="_Toc24083"/>
      <w:bookmarkStart w:id="1152" w:name="_Toc16110"/>
      <w:bookmarkStart w:id="1153" w:name="_Toc17051"/>
      <w:bookmarkStart w:id="1154" w:name="_Toc31971"/>
      <w:bookmarkStart w:id="1155" w:name="_Toc3225"/>
      <w:bookmarkStart w:id="1156" w:name="_Toc14341"/>
      <w:r>
        <w:rPr>
          <w:rFonts w:hint="eastAsia" w:ascii="宋体" w:hAnsi="宋体" w:eastAsia="宋体" w:cs="宋体"/>
          <w:b/>
          <w:bCs/>
          <w:color w:val="auto"/>
          <w:sz w:val="24"/>
          <w:szCs w:val="24"/>
          <w:highlight w:val="none"/>
        </w:rPr>
        <w:t>2.7 技术资料</w:t>
      </w:r>
      <w:bookmarkEnd w:id="1118"/>
      <w:bookmarkEnd w:id="1119"/>
      <w:bookmarkEnd w:id="1120"/>
      <w:bookmarkEnd w:id="1121"/>
      <w:bookmarkEnd w:id="1122"/>
      <w:bookmarkEnd w:id="1123"/>
      <w:r>
        <w:rPr>
          <w:rFonts w:hint="eastAsia" w:ascii="宋体" w:hAnsi="宋体" w:eastAsia="宋体" w:cs="宋体"/>
          <w:b/>
          <w:bCs/>
          <w:color w:val="auto"/>
          <w:sz w:val="24"/>
          <w:szCs w:val="24"/>
          <w:highlight w:val="none"/>
        </w:rPr>
        <w:t>和保密义务</w:t>
      </w:r>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p>
    <w:p>
      <w:pPr>
        <w:spacing w:line="3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2.7.1 乙方有权依据合同约定和项目需要，向甲方了解有关情况，调阅有关资料等，甲方应予积极配合；</w:t>
      </w:r>
    </w:p>
    <w:p>
      <w:pPr>
        <w:spacing w:line="3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2.7.2 乙方有义务妥善保管和保护由甲方提供的前款信息和资料等；</w:t>
      </w:r>
    </w:p>
    <w:p>
      <w:pPr>
        <w:spacing w:line="3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2.7.3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360" w:lineRule="exact"/>
        <w:ind w:firstLine="482" w:firstLineChars="200"/>
        <w:outlineLvl w:val="0"/>
        <w:rPr>
          <w:rFonts w:hint="eastAsia" w:ascii="宋体" w:hAnsi="宋体" w:eastAsia="宋体" w:cs="宋体"/>
          <w:b/>
          <w:bCs/>
          <w:color w:val="auto"/>
          <w:sz w:val="24"/>
          <w:szCs w:val="24"/>
          <w:highlight w:val="none"/>
        </w:rPr>
      </w:pPr>
      <w:bookmarkStart w:id="1157" w:name="_Toc27453"/>
      <w:bookmarkStart w:id="1158" w:name="_Toc29383"/>
      <w:bookmarkStart w:id="1159" w:name="_Toc4873"/>
      <w:bookmarkStart w:id="1160" w:name="_Toc4779"/>
      <w:bookmarkStart w:id="1161" w:name="_Toc23081"/>
      <w:bookmarkStart w:id="1162" w:name="_Toc16827"/>
      <w:bookmarkStart w:id="1163" w:name="_Toc122"/>
      <w:bookmarkStart w:id="1164" w:name="_Toc25999"/>
      <w:bookmarkStart w:id="1165" w:name="_Toc16190"/>
      <w:bookmarkStart w:id="1166" w:name="_Toc11530"/>
      <w:bookmarkStart w:id="1167" w:name="_Toc7860"/>
      <w:bookmarkStart w:id="1168" w:name="_Toc18231"/>
      <w:bookmarkStart w:id="1169" w:name="_Toc26425"/>
      <w:bookmarkStart w:id="1170" w:name="_Toc8288"/>
      <w:bookmarkStart w:id="1171" w:name="_Toc21267"/>
      <w:bookmarkStart w:id="1172" w:name="_Toc3156"/>
      <w:bookmarkStart w:id="1173" w:name="_Toc30167"/>
      <w:bookmarkStart w:id="1174" w:name="_Toc13819"/>
      <w:bookmarkStart w:id="1175" w:name="_Toc14045"/>
      <w:bookmarkStart w:id="1176" w:name="_Toc5200"/>
      <w:bookmarkStart w:id="1177" w:name="_Toc5556"/>
      <w:bookmarkStart w:id="1178" w:name="_Toc25751"/>
      <w:bookmarkStart w:id="1179" w:name="_Toc25676"/>
      <w:bookmarkStart w:id="1180" w:name="_Toc11328"/>
      <w:bookmarkStart w:id="1181" w:name="_Toc30477"/>
      <w:bookmarkStart w:id="1182" w:name="_Toc31224"/>
      <w:bookmarkStart w:id="1183" w:name="_Toc18551"/>
      <w:bookmarkStart w:id="1184" w:name="_Toc10326"/>
      <w:bookmarkStart w:id="1185" w:name="_Toc30503"/>
      <w:bookmarkStart w:id="1186" w:name="_Toc28998"/>
      <w:bookmarkStart w:id="1187" w:name="_Toc12220"/>
      <w:r>
        <w:rPr>
          <w:rFonts w:hint="eastAsia" w:ascii="宋体" w:hAnsi="宋体" w:eastAsia="宋体" w:cs="宋体"/>
          <w:b/>
          <w:bCs/>
          <w:color w:val="auto"/>
          <w:sz w:val="24"/>
          <w:szCs w:val="24"/>
          <w:highlight w:val="none"/>
        </w:rPr>
        <w:t>2.8 质量保证</w:t>
      </w:r>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p>
    <w:p>
      <w:pPr>
        <w:spacing w:line="3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2.8.1 乙方应建立和完善履行合同的内部质量保证体系，并提供相关内部规章制度给甲方，以便甲方进行监督检查；</w:t>
      </w:r>
    </w:p>
    <w:p>
      <w:pPr>
        <w:spacing w:line="3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2.8.2 乙方应保证履行合同的人员数量和素质、软件和硬件设备的配置、场地、环境和设施等满足全面履行合同的要求，并应接受甲方的监督检查。</w:t>
      </w:r>
    </w:p>
    <w:p>
      <w:pPr>
        <w:spacing w:line="360" w:lineRule="exact"/>
        <w:ind w:firstLine="482" w:firstLineChars="200"/>
        <w:outlineLvl w:val="0"/>
        <w:rPr>
          <w:rFonts w:hint="eastAsia" w:ascii="宋体" w:hAnsi="宋体" w:eastAsia="宋体" w:cs="宋体"/>
          <w:b/>
          <w:bCs/>
          <w:color w:val="auto"/>
          <w:sz w:val="24"/>
          <w:szCs w:val="24"/>
          <w:highlight w:val="none"/>
        </w:rPr>
      </w:pPr>
      <w:bookmarkStart w:id="1188" w:name="_Toc812"/>
      <w:bookmarkStart w:id="1189" w:name="_Toc25529"/>
      <w:bookmarkStart w:id="1190" w:name="_Toc22016"/>
      <w:bookmarkStart w:id="1191" w:name="_Toc20506"/>
      <w:bookmarkStart w:id="1192" w:name="_Toc28147"/>
      <w:bookmarkStart w:id="1193" w:name="_Toc18046"/>
      <w:bookmarkStart w:id="1194" w:name="_Toc14663"/>
      <w:bookmarkStart w:id="1195" w:name="_Toc28753"/>
      <w:bookmarkStart w:id="1196" w:name="_Toc17244"/>
      <w:bookmarkStart w:id="1197" w:name="_Toc15929"/>
      <w:bookmarkStart w:id="1198" w:name="_Toc3300"/>
      <w:bookmarkStart w:id="1199" w:name="_Toc27381"/>
      <w:bookmarkStart w:id="1200" w:name="_Toc27238"/>
      <w:bookmarkStart w:id="1201" w:name="_Toc12010"/>
      <w:bookmarkStart w:id="1202" w:name="_Toc18729"/>
      <w:bookmarkStart w:id="1203" w:name="_Toc25101"/>
      <w:bookmarkStart w:id="1204" w:name="_Toc13812"/>
      <w:bookmarkStart w:id="1205" w:name="_Toc20021"/>
      <w:bookmarkStart w:id="1206" w:name="_Toc17497"/>
      <w:bookmarkStart w:id="1207" w:name="_Toc26555"/>
      <w:bookmarkStart w:id="1208" w:name="_Toc27234"/>
      <w:bookmarkStart w:id="1209" w:name="_Toc30593"/>
      <w:bookmarkStart w:id="1210" w:name="_Toc23172"/>
      <w:bookmarkStart w:id="1211" w:name="_Toc31920"/>
      <w:bookmarkStart w:id="1212" w:name="_Toc17030"/>
      <w:bookmarkStart w:id="1213" w:name="_Toc12408"/>
      <w:bookmarkStart w:id="1214" w:name="_Toc801"/>
      <w:bookmarkStart w:id="1215" w:name="_Toc14596"/>
      <w:bookmarkStart w:id="1216" w:name="_Toc12966"/>
      <w:bookmarkStart w:id="1217" w:name="_Toc15408"/>
      <w:bookmarkStart w:id="1218" w:name="_Toc11638"/>
      <w:bookmarkStart w:id="1219" w:name="_Toc487900362"/>
      <w:bookmarkStart w:id="1220" w:name="_Toc279701252"/>
      <w:bookmarkStart w:id="1221" w:name="_Toc259093681"/>
      <w:r>
        <w:rPr>
          <w:rFonts w:hint="eastAsia" w:ascii="宋体" w:hAnsi="宋体" w:eastAsia="宋体" w:cs="宋体"/>
          <w:b/>
          <w:bCs/>
          <w:color w:val="auto"/>
          <w:sz w:val="24"/>
          <w:szCs w:val="24"/>
          <w:highlight w:val="none"/>
        </w:rPr>
        <w:t>2.9 货物的风险负担</w:t>
      </w:r>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p>
    <w:p>
      <w:pPr>
        <w:spacing w:line="360" w:lineRule="exact"/>
        <w:ind w:firstLine="480" w:firstLineChars="200"/>
        <w:rPr>
          <w:rFonts w:hint="eastAsia" w:ascii="宋体" w:hAnsi="宋体" w:eastAsia="宋体" w:cs="宋体"/>
          <w:b/>
          <w:bCs/>
          <w:color w:val="auto"/>
          <w:sz w:val="24"/>
          <w:szCs w:val="24"/>
          <w:highlight w:val="none"/>
        </w:rPr>
      </w:pPr>
      <w:r>
        <w:rPr>
          <w:rFonts w:hint="eastAsia" w:ascii="宋体" w:hAnsi="宋体" w:eastAsia="宋体" w:cs="宋体"/>
          <w:color w:val="auto"/>
          <w:sz w:val="24"/>
          <w:szCs w:val="24"/>
          <w:highlight w:val="none"/>
        </w:rPr>
        <w:t>货物或者在途货物或者交付给第一承运人后的货物毁损、灭失的风险负担详见</w:t>
      </w:r>
      <w:r>
        <w:rPr>
          <w:rFonts w:hint="eastAsia" w:ascii="宋体" w:hAnsi="宋体" w:eastAsia="宋体" w:cs="宋体"/>
          <w:b/>
          <w:bCs/>
          <w:i/>
          <w:iCs/>
          <w:color w:val="auto"/>
          <w:sz w:val="24"/>
          <w:szCs w:val="24"/>
          <w:highlight w:val="none"/>
          <w:u w:val="single"/>
        </w:rPr>
        <w:t>合同专用条款</w:t>
      </w:r>
      <w:r>
        <w:rPr>
          <w:rFonts w:hint="eastAsia" w:ascii="宋体" w:hAnsi="宋体" w:eastAsia="宋体" w:cs="宋体"/>
          <w:color w:val="auto"/>
          <w:sz w:val="24"/>
          <w:szCs w:val="24"/>
          <w:highlight w:val="none"/>
        </w:rPr>
        <w:t>。</w:t>
      </w:r>
    </w:p>
    <w:p>
      <w:pPr>
        <w:spacing w:line="360" w:lineRule="exact"/>
        <w:ind w:firstLine="482" w:firstLineChars="200"/>
        <w:outlineLvl w:val="0"/>
        <w:rPr>
          <w:rFonts w:hint="eastAsia" w:ascii="宋体" w:hAnsi="宋体" w:eastAsia="宋体" w:cs="宋体"/>
          <w:b/>
          <w:bCs/>
          <w:color w:val="auto"/>
          <w:sz w:val="24"/>
          <w:szCs w:val="24"/>
          <w:highlight w:val="none"/>
        </w:rPr>
      </w:pPr>
      <w:bookmarkStart w:id="1222" w:name="_Toc5196"/>
      <w:bookmarkStart w:id="1223" w:name="_Toc20457"/>
      <w:bookmarkStart w:id="1224" w:name="_Toc15972"/>
      <w:bookmarkStart w:id="1225" w:name="_Toc3191"/>
      <w:bookmarkStart w:id="1226" w:name="_Toc22674"/>
      <w:bookmarkStart w:id="1227" w:name="_Toc19684"/>
      <w:bookmarkStart w:id="1228" w:name="_Toc23732"/>
      <w:bookmarkStart w:id="1229" w:name="_Toc2"/>
      <w:bookmarkStart w:id="1230" w:name="_Toc20938"/>
      <w:bookmarkStart w:id="1231" w:name="_Toc16001"/>
      <w:bookmarkStart w:id="1232" w:name="_Toc1108"/>
      <w:bookmarkStart w:id="1233" w:name="_Toc29837"/>
      <w:bookmarkStart w:id="1234" w:name="_Toc14698"/>
      <w:bookmarkStart w:id="1235" w:name="_Toc27988"/>
      <w:bookmarkStart w:id="1236" w:name="_Toc11963"/>
      <w:bookmarkStart w:id="1237" w:name="_Toc1299"/>
      <w:bookmarkStart w:id="1238" w:name="_Toc26567"/>
      <w:bookmarkStart w:id="1239" w:name="_Toc31334"/>
      <w:bookmarkStart w:id="1240" w:name="_Toc29192"/>
      <w:bookmarkStart w:id="1241" w:name="_Toc7986"/>
      <w:bookmarkStart w:id="1242" w:name="_Toc17555"/>
      <w:bookmarkStart w:id="1243" w:name="_Toc6602"/>
      <w:bookmarkStart w:id="1244" w:name="_Toc1494"/>
      <w:bookmarkStart w:id="1245" w:name="_Toc19541"/>
      <w:bookmarkStart w:id="1246" w:name="_Toc15465"/>
      <w:bookmarkStart w:id="1247" w:name="_Toc25663"/>
      <w:bookmarkStart w:id="1248" w:name="_Toc10918"/>
      <w:bookmarkStart w:id="1249" w:name="_Toc14055"/>
      <w:bookmarkStart w:id="1250" w:name="_Toc12464"/>
      <w:bookmarkStart w:id="1251" w:name="_Toc15112"/>
      <w:bookmarkStart w:id="1252" w:name="_Toc23512"/>
      <w:r>
        <w:rPr>
          <w:rFonts w:hint="eastAsia" w:ascii="宋体" w:hAnsi="宋体" w:eastAsia="宋体" w:cs="宋体"/>
          <w:b/>
          <w:bCs/>
          <w:color w:val="auto"/>
          <w:sz w:val="24"/>
          <w:szCs w:val="24"/>
          <w:highlight w:val="none"/>
        </w:rPr>
        <w:t>2.10 延迟交货</w:t>
      </w:r>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p>
    <w:p>
      <w:pPr>
        <w:spacing w:line="3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360" w:lineRule="exact"/>
        <w:ind w:firstLine="482" w:firstLineChars="200"/>
        <w:outlineLvl w:val="0"/>
        <w:rPr>
          <w:rFonts w:hint="eastAsia" w:ascii="宋体" w:hAnsi="宋体" w:eastAsia="宋体" w:cs="宋体"/>
          <w:b/>
          <w:bCs/>
          <w:color w:val="auto"/>
          <w:sz w:val="24"/>
          <w:szCs w:val="24"/>
          <w:highlight w:val="none"/>
        </w:rPr>
      </w:pPr>
      <w:bookmarkStart w:id="1253" w:name="_Toc10956"/>
      <w:bookmarkStart w:id="1254" w:name="_Toc7502"/>
      <w:bookmarkStart w:id="1255" w:name="_Toc25717"/>
      <w:bookmarkStart w:id="1256" w:name="_Toc23198"/>
      <w:bookmarkStart w:id="1257" w:name="_Toc17237"/>
      <w:bookmarkStart w:id="1258" w:name="_Toc15143"/>
      <w:bookmarkStart w:id="1259" w:name="_Toc25592"/>
      <w:bookmarkStart w:id="1260" w:name="_Toc29075"/>
      <w:bookmarkStart w:id="1261" w:name="_Toc16267"/>
      <w:bookmarkStart w:id="1262" w:name="_Toc4586"/>
      <w:bookmarkStart w:id="1263" w:name="_Toc14851"/>
      <w:bookmarkStart w:id="1264" w:name="_Toc9706"/>
      <w:bookmarkStart w:id="1265" w:name="_Toc16810"/>
      <w:bookmarkStart w:id="1266" w:name="_Toc3064"/>
      <w:bookmarkStart w:id="1267" w:name="_Toc31555"/>
      <w:bookmarkStart w:id="1268" w:name="_Toc31403"/>
      <w:bookmarkStart w:id="1269" w:name="_Toc11669"/>
      <w:bookmarkStart w:id="1270" w:name="_Toc2323"/>
      <w:bookmarkStart w:id="1271" w:name="_Toc8441"/>
      <w:bookmarkStart w:id="1272" w:name="_Toc2860"/>
      <w:bookmarkStart w:id="1273" w:name="_Toc7444"/>
      <w:bookmarkStart w:id="1274" w:name="_Toc18704"/>
      <w:bookmarkStart w:id="1275" w:name="_Toc9194"/>
      <w:bookmarkStart w:id="1276" w:name="_Toc16528"/>
      <w:bookmarkStart w:id="1277" w:name="_Toc6627"/>
      <w:bookmarkStart w:id="1278" w:name="_Toc12175"/>
      <w:bookmarkStart w:id="1279" w:name="_Toc507"/>
      <w:bookmarkStart w:id="1280" w:name="_Toc8126"/>
      <w:bookmarkStart w:id="1281" w:name="_Toc28850"/>
      <w:bookmarkStart w:id="1282" w:name="_Toc28327"/>
      <w:bookmarkStart w:id="1283" w:name="_Toc5999"/>
      <w:bookmarkStart w:id="1284" w:name="_Ref467378121"/>
      <w:bookmarkStart w:id="1285" w:name="_Toc279701254"/>
      <w:bookmarkStart w:id="1286" w:name="_Toc259093683"/>
      <w:bookmarkStart w:id="1287" w:name="_Toc487900364"/>
      <w:r>
        <w:rPr>
          <w:rFonts w:hint="eastAsia" w:ascii="宋体" w:hAnsi="宋体" w:eastAsia="宋体" w:cs="宋体"/>
          <w:b/>
          <w:bCs/>
          <w:color w:val="auto"/>
          <w:sz w:val="24"/>
          <w:szCs w:val="24"/>
          <w:highlight w:val="none"/>
        </w:rPr>
        <w:t>2.11 合同变更</w:t>
      </w:r>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p>
    <w:p>
      <w:pPr>
        <w:spacing w:line="3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2.11.1双方当事人协商一致，可以签订书面补充合同的形式变更合同，但不得违背采购文件确定的事项，且如果系追加与合同标的相同的货物的，那么所有补充合同的采购金额不得超过原合同价的10%；</w:t>
      </w:r>
    </w:p>
    <w:p>
      <w:pPr>
        <w:spacing w:line="3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2.11.2 合同继续履行将损害国家利益和社会公共利益的，双方当事人应当以书面形式变更合同。有过错的一方应当承担赔偿责任，双方当事人都有过错的，各自承担相应的责任。</w:t>
      </w:r>
      <w:bookmarkStart w:id="1288" w:name="_Toc259093688"/>
      <w:bookmarkStart w:id="1289" w:name="_Toc487900369"/>
      <w:bookmarkStart w:id="1290" w:name="_Toc279701259"/>
    </w:p>
    <w:p>
      <w:pPr>
        <w:spacing w:line="360" w:lineRule="exact"/>
        <w:ind w:firstLine="482" w:firstLineChars="200"/>
        <w:outlineLvl w:val="0"/>
        <w:rPr>
          <w:rFonts w:hint="eastAsia" w:ascii="宋体" w:hAnsi="宋体" w:eastAsia="宋体" w:cs="宋体"/>
          <w:b/>
          <w:bCs/>
          <w:color w:val="auto"/>
          <w:sz w:val="24"/>
          <w:szCs w:val="24"/>
          <w:highlight w:val="none"/>
        </w:rPr>
      </w:pPr>
      <w:bookmarkStart w:id="1291" w:name="_Toc15237"/>
      <w:bookmarkStart w:id="1292" w:name="_Toc32309"/>
      <w:bookmarkStart w:id="1293" w:name="_Toc6334"/>
      <w:bookmarkStart w:id="1294" w:name="_Toc2157"/>
      <w:bookmarkStart w:id="1295" w:name="_Toc26224"/>
      <w:bookmarkStart w:id="1296" w:name="_Toc3062"/>
      <w:bookmarkStart w:id="1297" w:name="_Toc1813"/>
      <w:bookmarkStart w:id="1298" w:name="_Toc24511"/>
      <w:bookmarkStart w:id="1299" w:name="_Toc21753"/>
      <w:bookmarkStart w:id="1300" w:name="_Toc3928"/>
      <w:bookmarkStart w:id="1301" w:name="_Toc11626"/>
      <w:bookmarkStart w:id="1302" w:name="_Toc25508"/>
      <w:bookmarkStart w:id="1303" w:name="_Toc10313"/>
      <w:bookmarkStart w:id="1304" w:name="_Toc26553"/>
      <w:bookmarkStart w:id="1305" w:name="_Toc27772"/>
      <w:bookmarkStart w:id="1306" w:name="_Toc3931"/>
      <w:bookmarkStart w:id="1307" w:name="_Toc8679"/>
      <w:bookmarkStart w:id="1308" w:name="_Toc18316"/>
      <w:bookmarkStart w:id="1309" w:name="_Toc19380"/>
      <w:bookmarkStart w:id="1310" w:name="_Toc4789"/>
      <w:bookmarkStart w:id="1311" w:name="_Toc3484"/>
      <w:bookmarkStart w:id="1312" w:name="_Toc32581"/>
      <w:bookmarkStart w:id="1313" w:name="_Toc6051"/>
      <w:bookmarkStart w:id="1314" w:name="_Toc3825"/>
      <w:bookmarkStart w:id="1315" w:name="_Toc14895"/>
      <w:bookmarkStart w:id="1316" w:name="_Toc23079"/>
      <w:bookmarkStart w:id="1317" w:name="_Toc26864"/>
      <w:bookmarkStart w:id="1318" w:name="_Toc23779"/>
      <w:bookmarkStart w:id="1319" w:name="_Toc20978"/>
      <w:bookmarkStart w:id="1320" w:name="_Toc22955"/>
      <w:bookmarkStart w:id="1321" w:name="_Toc10537"/>
      <w:bookmarkStart w:id="1322" w:name="_Toc6176"/>
      <w:r>
        <w:rPr>
          <w:rFonts w:hint="eastAsia" w:ascii="宋体" w:hAnsi="宋体" w:eastAsia="宋体" w:cs="宋体"/>
          <w:b/>
          <w:bCs/>
          <w:color w:val="auto"/>
          <w:sz w:val="24"/>
          <w:szCs w:val="24"/>
          <w:highlight w:val="none"/>
        </w:rPr>
        <w:t>2.12 合同转让</w:t>
      </w:r>
      <w:bookmarkEnd w:id="1288"/>
      <w:bookmarkEnd w:id="1289"/>
      <w:bookmarkEnd w:id="1290"/>
      <w:r>
        <w:rPr>
          <w:rFonts w:hint="eastAsia" w:ascii="宋体" w:hAnsi="宋体" w:eastAsia="宋体" w:cs="宋体"/>
          <w:b/>
          <w:bCs/>
          <w:color w:val="auto"/>
          <w:sz w:val="24"/>
          <w:szCs w:val="24"/>
          <w:highlight w:val="none"/>
        </w:rPr>
        <w:t>和分包</w:t>
      </w:r>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p>
    <w:p>
      <w:pPr>
        <w:spacing w:line="3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360" w:lineRule="exact"/>
        <w:ind w:firstLine="482" w:firstLineChars="200"/>
        <w:outlineLvl w:val="0"/>
        <w:rPr>
          <w:rFonts w:hint="eastAsia" w:ascii="宋体" w:hAnsi="宋体" w:eastAsia="宋体" w:cs="宋体"/>
          <w:b/>
          <w:bCs/>
          <w:color w:val="auto"/>
          <w:sz w:val="24"/>
          <w:szCs w:val="24"/>
          <w:highlight w:val="none"/>
        </w:rPr>
      </w:pPr>
      <w:bookmarkStart w:id="1323" w:name="_Toc14752"/>
      <w:bookmarkStart w:id="1324" w:name="_Toc20647"/>
      <w:bookmarkStart w:id="1325" w:name="_Toc16893"/>
      <w:bookmarkStart w:id="1326" w:name="_Toc14063"/>
      <w:bookmarkStart w:id="1327" w:name="_Toc17498"/>
      <w:bookmarkStart w:id="1328" w:name="_Toc22326"/>
      <w:bookmarkStart w:id="1329" w:name="_Toc7608"/>
      <w:bookmarkStart w:id="1330" w:name="_Toc16508"/>
      <w:bookmarkStart w:id="1331" w:name="_Toc14066"/>
      <w:bookmarkStart w:id="1332" w:name="_Toc13557"/>
      <w:bookmarkStart w:id="1333" w:name="_Toc9855"/>
      <w:bookmarkStart w:id="1334" w:name="_Toc24457"/>
      <w:bookmarkStart w:id="1335" w:name="_Toc2586"/>
      <w:bookmarkStart w:id="1336" w:name="_Toc12809"/>
      <w:bookmarkStart w:id="1337" w:name="_Toc12165"/>
      <w:bookmarkStart w:id="1338" w:name="_Toc32515"/>
      <w:bookmarkStart w:id="1339" w:name="_Toc134"/>
      <w:bookmarkStart w:id="1340" w:name="_Toc31984"/>
      <w:bookmarkStart w:id="1341" w:name="_Toc11104"/>
      <w:bookmarkStart w:id="1342" w:name="_Toc15741"/>
      <w:bookmarkStart w:id="1343" w:name="_Toc19750"/>
      <w:bookmarkStart w:id="1344" w:name="_Toc5484"/>
      <w:bookmarkStart w:id="1345" w:name="_Toc3533"/>
      <w:bookmarkStart w:id="1346" w:name="_Toc14564"/>
      <w:bookmarkStart w:id="1347" w:name="_Toc29366"/>
      <w:bookmarkStart w:id="1348" w:name="_Toc24741"/>
      <w:bookmarkStart w:id="1349" w:name="_Toc13566"/>
      <w:bookmarkStart w:id="1350" w:name="_Toc9493"/>
      <w:bookmarkStart w:id="1351" w:name="_Toc8114"/>
      <w:bookmarkStart w:id="1352" w:name="_Toc32426"/>
      <w:bookmarkStart w:id="1353" w:name="_Toc3177"/>
      <w:bookmarkStart w:id="1354" w:name="_Toc4540"/>
      <w:bookmarkStart w:id="1355" w:name="_Toc9374"/>
      <w:r>
        <w:rPr>
          <w:rFonts w:hint="eastAsia" w:ascii="宋体" w:hAnsi="宋体" w:eastAsia="宋体" w:cs="宋体"/>
          <w:b/>
          <w:bCs/>
          <w:color w:val="auto"/>
          <w:sz w:val="24"/>
          <w:szCs w:val="24"/>
          <w:highlight w:val="none"/>
        </w:rPr>
        <w:t>2.13 不可抗力</w:t>
      </w:r>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p>
    <w:p>
      <w:pPr>
        <w:spacing w:line="3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2.13.1如果任何一方遭遇法律规定的不可抗力，致使合同履行受阻时，履行合同的期限应予延长，延长的期限应相当于不可抗力所影响的时间；</w:t>
      </w:r>
    </w:p>
    <w:p>
      <w:pPr>
        <w:spacing w:line="3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2.13.2 因不可抗力致使不能实现合同目的的，当事人可以解除合同；</w:t>
      </w:r>
    </w:p>
    <w:p>
      <w:pPr>
        <w:spacing w:line="3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2.13.3 因不可抗力致使合同有变更必要的，双方当事人应在</w:t>
      </w:r>
      <w:r>
        <w:rPr>
          <w:rFonts w:hint="eastAsia" w:ascii="宋体" w:hAnsi="宋体" w:eastAsia="宋体" w:cs="宋体"/>
          <w:b/>
          <w:bCs/>
          <w:i/>
          <w:iCs/>
          <w:color w:val="auto"/>
          <w:sz w:val="24"/>
          <w:szCs w:val="24"/>
          <w:highlight w:val="none"/>
          <w:u w:val="single"/>
        </w:rPr>
        <w:t>合同专用条款</w:t>
      </w:r>
      <w:r>
        <w:rPr>
          <w:rFonts w:hint="eastAsia" w:ascii="宋体" w:hAnsi="宋体" w:eastAsia="宋体" w:cs="宋体"/>
          <w:color w:val="auto"/>
          <w:sz w:val="24"/>
          <w:szCs w:val="24"/>
          <w:highlight w:val="none"/>
        </w:rPr>
        <w:t>约定时间内以书面形式变更合同；</w:t>
      </w:r>
    </w:p>
    <w:p>
      <w:pPr>
        <w:spacing w:line="3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2.13.4受不可抗力影响的一方在不可抗力发生后，应在</w:t>
      </w:r>
      <w:r>
        <w:rPr>
          <w:rFonts w:hint="eastAsia" w:ascii="宋体" w:hAnsi="宋体" w:eastAsia="宋体" w:cs="宋体"/>
          <w:b/>
          <w:bCs/>
          <w:i/>
          <w:iCs/>
          <w:color w:val="auto"/>
          <w:sz w:val="24"/>
          <w:szCs w:val="24"/>
          <w:highlight w:val="none"/>
          <w:u w:val="single"/>
        </w:rPr>
        <w:t>合同专用条款</w:t>
      </w:r>
      <w:r>
        <w:rPr>
          <w:rFonts w:hint="eastAsia" w:ascii="宋体" w:hAnsi="宋体" w:eastAsia="宋体" w:cs="宋体"/>
          <w:color w:val="auto"/>
          <w:sz w:val="24"/>
          <w:szCs w:val="24"/>
          <w:highlight w:val="none"/>
        </w:rPr>
        <w:t>约定时间内以书面形式通知对方当事人，并在</w:t>
      </w:r>
      <w:r>
        <w:rPr>
          <w:rFonts w:hint="eastAsia" w:ascii="宋体" w:hAnsi="宋体" w:eastAsia="宋体" w:cs="宋体"/>
          <w:b/>
          <w:bCs/>
          <w:i/>
          <w:iCs/>
          <w:color w:val="auto"/>
          <w:sz w:val="24"/>
          <w:szCs w:val="24"/>
          <w:highlight w:val="none"/>
          <w:u w:val="single"/>
        </w:rPr>
        <w:t>合同专用条款</w:t>
      </w:r>
      <w:r>
        <w:rPr>
          <w:rFonts w:hint="eastAsia" w:ascii="宋体" w:hAnsi="宋体" w:eastAsia="宋体" w:cs="宋体"/>
          <w:color w:val="auto"/>
          <w:sz w:val="24"/>
          <w:szCs w:val="24"/>
          <w:highlight w:val="none"/>
        </w:rPr>
        <w:t>约定时间内，将有关部门出具的证明文件送达对方当事人。</w:t>
      </w:r>
    </w:p>
    <w:p>
      <w:pPr>
        <w:spacing w:line="360" w:lineRule="exact"/>
        <w:ind w:firstLine="482" w:firstLineChars="200"/>
        <w:outlineLvl w:val="0"/>
        <w:rPr>
          <w:rFonts w:hint="eastAsia" w:ascii="宋体" w:hAnsi="宋体" w:eastAsia="宋体" w:cs="宋体"/>
          <w:b/>
          <w:bCs/>
          <w:color w:val="auto"/>
          <w:sz w:val="24"/>
          <w:szCs w:val="24"/>
          <w:highlight w:val="none"/>
        </w:rPr>
      </w:pPr>
      <w:bookmarkStart w:id="1356" w:name="_Toc11423"/>
      <w:bookmarkStart w:id="1357" w:name="_Toc5884"/>
      <w:bookmarkStart w:id="1358" w:name="_Toc30676"/>
      <w:bookmarkStart w:id="1359" w:name="_Toc18785"/>
      <w:bookmarkStart w:id="1360" w:name="_Toc12959"/>
      <w:bookmarkStart w:id="1361" w:name="_Toc28117"/>
      <w:bookmarkStart w:id="1362" w:name="_Toc689"/>
      <w:bookmarkStart w:id="1363" w:name="_Toc6969"/>
      <w:bookmarkStart w:id="1364" w:name="_Toc26085"/>
      <w:bookmarkStart w:id="1365" w:name="_Toc1584"/>
      <w:bookmarkStart w:id="1366" w:name="_Toc25124"/>
      <w:bookmarkStart w:id="1367" w:name="_Toc6047"/>
      <w:bookmarkStart w:id="1368" w:name="_Toc259093684"/>
      <w:bookmarkStart w:id="1369" w:name="_Toc32452"/>
      <w:bookmarkStart w:id="1370" w:name="_Toc19677"/>
      <w:bookmarkStart w:id="1371" w:name="_Toc22873"/>
      <w:bookmarkStart w:id="1372" w:name="_Toc25901"/>
      <w:bookmarkStart w:id="1373" w:name="_Toc10528"/>
      <w:bookmarkStart w:id="1374" w:name="_Toc279701255"/>
      <w:bookmarkStart w:id="1375" w:name="_Toc6288"/>
      <w:bookmarkStart w:id="1376" w:name="_Toc2511"/>
      <w:bookmarkStart w:id="1377" w:name="_Toc5015"/>
      <w:bookmarkStart w:id="1378" w:name="_Toc32764"/>
      <w:bookmarkStart w:id="1379" w:name="_Toc16229"/>
      <w:bookmarkStart w:id="1380" w:name="_Toc31597"/>
      <w:bookmarkStart w:id="1381" w:name="_Toc7175"/>
      <w:bookmarkStart w:id="1382" w:name="_Toc11876"/>
      <w:bookmarkStart w:id="1383" w:name="_Toc6676"/>
      <w:bookmarkStart w:id="1384" w:name="_Toc4006"/>
      <w:bookmarkStart w:id="1385" w:name="_Toc487900365"/>
      <w:bookmarkStart w:id="1386" w:name="_Toc7145"/>
      <w:bookmarkStart w:id="1387" w:name="_Toc28340"/>
      <w:bookmarkStart w:id="1388" w:name="_Toc17299"/>
      <w:bookmarkStart w:id="1389" w:name="_Toc14748"/>
      <w:bookmarkStart w:id="1390" w:name="_Toc13910"/>
      <w:bookmarkStart w:id="1391" w:name="_Toc6308"/>
      <w:r>
        <w:rPr>
          <w:rFonts w:hint="eastAsia" w:ascii="宋体" w:hAnsi="宋体" w:eastAsia="宋体" w:cs="宋体"/>
          <w:b/>
          <w:bCs/>
          <w:color w:val="auto"/>
          <w:sz w:val="24"/>
          <w:szCs w:val="24"/>
          <w:highlight w:val="none"/>
        </w:rPr>
        <w:t>2.14 税费</w:t>
      </w:r>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p>
    <w:p>
      <w:pPr>
        <w:spacing w:line="3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与合同有关的一切税费，均按照中华人民共和国法律的相关规定。</w:t>
      </w:r>
    </w:p>
    <w:p>
      <w:pPr>
        <w:spacing w:line="360" w:lineRule="exact"/>
        <w:ind w:firstLine="482" w:firstLineChars="200"/>
        <w:outlineLvl w:val="0"/>
        <w:rPr>
          <w:rFonts w:hint="eastAsia" w:ascii="宋体" w:hAnsi="宋体" w:eastAsia="宋体" w:cs="宋体"/>
          <w:b/>
          <w:bCs/>
          <w:color w:val="auto"/>
          <w:sz w:val="24"/>
          <w:szCs w:val="24"/>
          <w:highlight w:val="none"/>
        </w:rPr>
      </w:pPr>
      <w:bookmarkStart w:id="1392" w:name="_Toc7999"/>
      <w:bookmarkStart w:id="1393" w:name="_Toc23266"/>
      <w:bookmarkStart w:id="1394" w:name="_Toc14403"/>
      <w:bookmarkStart w:id="1395" w:name="_Toc8934"/>
      <w:bookmarkStart w:id="1396" w:name="_Toc29869"/>
      <w:bookmarkStart w:id="1397" w:name="_Toc8420"/>
      <w:bookmarkStart w:id="1398" w:name="_Toc13488"/>
      <w:bookmarkStart w:id="1399" w:name="_Toc515"/>
      <w:bookmarkStart w:id="1400" w:name="_Toc22239"/>
      <w:bookmarkStart w:id="1401" w:name="_Toc24862"/>
      <w:bookmarkStart w:id="1402" w:name="_Toc15527"/>
      <w:bookmarkStart w:id="1403" w:name="_Toc5733"/>
      <w:bookmarkStart w:id="1404" w:name="_Toc25260"/>
      <w:bookmarkStart w:id="1405" w:name="_Toc27541"/>
      <w:bookmarkStart w:id="1406" w:name="_Toc279701258"/>
      <w:bookmarkStart w:id="1407" w:name="_Toc9909"/>
      <w:bookmarkStart w:id="1408" w:name="_Toc7572"/>
      <w:bookmarkStart w:id="1409" w:name="_Toc8298"/>
      <w:bookmarkStart w:id="1410" w:name="_Toc27950"/>
      <w:bookmarkStart w:id="1411" w:name="_Toc4812"/>
      <w:bookmarkStart w:id="1412" w:name="_Toc12141"/>
      <w:bookmarkStart w:id="1413" w:name="_Toc25055"/>
      <w:bookmarkStart w:id="1414" w:name="_Toc21290"/>
      <w:bookmarkStart w:id="1415" w:name="_Toc13626"/>
      <w:bookmarkStart w:id="1416" w:name="_Toc7117"/>
      <w:bookmarkStart w:id="1417" w:name="_Toc487900368"/>
      <w:bookmarkStart w:id="1418" w:name="_Toc7102"/>
      <w:bookmarkStart w:id="1419" w:name="_Toc29993"/>
      <w:bookmarkStart w:id="1420" w:name="_Toc17523"/>
      <w:bookmarkStart w:id="1421" w:name="_Toc20395"/>
      <w:bookmarkStart w:id="1422" w:name="_Toc16959"/>
      <w:bookmarkStart w:id="1423" w:name="_Toc20594"/>
      <w:bookmarkStart w:id="1424" w:name="_Toc11308"/>
      <w:bookmarkStart w:id="1425" w:name="_Toc259093687"/>
      <w:bookmarkStart w:id="1426" w:name="_Toc10359"/>
      <w:bookmarkStart w:id="1427" w:name="_Toc24701"/>
      <w:r>
        <w:rPr>
          <w:rFonts w:hint="eastAsia" w:ascii="宋体" w:hAnsi="宋体" w:eastAsia="宋体" w:cs="宋体"/>
          <w:b/>
          <w:bCs/>
          <w:color w:val="auto"/>
          <w:sz w:val="24"/>
          <w:szCs w:val="24"/>
          <w:highlight w:val="none"/>
        </w:rPr>
        <w:t>2.15 乙方破产</w:t>
      </w:r>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p>
    <w:p>
      <w:pPr>
        <w:spacing w:line="3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360" w:lineRule="exact"/>
        <w:ind w:firstLine="482" w:firstLineChars="200"/>
        <w:outlineLvl w:val="0"/>
        <w:rPr>
          <w:rFonts w:hint="eastAsia" w:ascii="宋体" w:hAnsi="宋体" w:eastAsia="宋体" w:cs="宋体"/>
          <w:b/>
          <w:bCs/>
          <w:color w:val="auto"/>
          <w:sz w:val="24"/>
          <w:szCs w:val="24"/>
          <w:highlight w:val="none"/>
        </w:rPr>
      </w:pPr>
      <w:bookmarkStart w:id="1428" w:name="_Toc23040"/>
      <w:bookmarkStart w:id="1429" w:name="_Toc9361"/>
      <w:bookmarkStart w:id="1430" w:name="_Toc26255"/>
      <w:bookmarkStart w:id="1431" w:name="_Toc29333"/>
      <w:bookmarkStart w:id="1432" w:name="_Toc1942"/>
      <w:bookmarkStart w:id="1433" w:name="_Toc6134"/>
      <w:bookmarkStart w:id="1434" w:name="_Toc11812"/>
      <w:bookmarkStart w:id="1435" w:name="_Toc12113"/>
      <w:bookmarkStart w:id="1436" w:name="_Toc27106"/>
      <w:bookmarkStart w:id="1437" w:name="_Toc15605"/>
      <w:bookmarkStart w:id="1438" w:name="_Toc818"/>
      <w:bookmarkStart w:id="1439" w:name="_Toc15387"/>
      <w:bookmarkStart w:id="1440" w:name="_Toc16840"/>
      <w:bookmarkStart w:id="1441" w:name="_Toc9318"/>
      <w:bookmarkStart w:id="1442" w:name="_Toc1303"/>
      <w:bookmarkStart w:id="1443" w:name="_Toc31639"/>
      <w:bookmarkStart w:id="1444" w:name="_Toc7009"/>
      <w:bookmarkStart w:id="1445" w:name="_Toc110"/>
      <w:bookmarkStart w:id="1446" w:name="_Toc26083"/>
      <w:bookmarkStart w:id="1447" w:name="_Toc4227"/>
      <w:bookmarkStart w:id="1448" w:name="_Toc15445"/>
      <w:bookmarkStart w:id="1449" w:name="_Toc12606"/>
      <w:bookmarkStart w:id="1450" w:name="_Toc32508"/>
      <w:bookmarkStart w:id="1451" w:name="_Toc24066"/>
      <w:bookmarkStart w:id="1452" w:name="_Toc12781"/>
      <w:bookmarkStart w:id="1453" w:name="_Toc24867"/>
      <w:bookmarkStart w:id="1454" w:name="_Toc5634"/>
      <w:bookmarkStart w:id="1455" w:name="_Toc29764"/>
      <w:bookmarkStart w:id="1456" w:name="_Toc24976"/>
      <w:bookmarkStart w:id="1457" w:name="_Toc4013"/>
      <w:bookmarkStart w:id="1458" w:name="_Toc30362"/>
      <w:bookmarkStart w:id="1459" w:name="_Toc25273"/>
      <w:bookmarkStart w:id="1460" w:name="_Toc3039"/>
      <w:r>
        <w:rPr>
          <w:rFonts w:hint="eastAsia" w:ascii="宋体" w:hAnsi="宋体" w:eastAsia="宋体" w:cs="宋体"/>
          <w:b/>
          <w:bCs/>
          <w:color w:val="auto"/>
          <w:sz w:val="24"/>
          <w:szCs w:val="24"/>
          <w:highlight w:val="none"/>
        </w:rPr>
        <w:t>2.16 合同中止、终止</w:t>
      </w:r>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p>
    <w:p>
      <w:pPr>
        <w:spacing w:line="3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2.16.1 双方当事人不得擅自中止或者终止合同；</w:t>
      </w:r>
    </w:p>
    <w:p>
      <w:pPr>
        <w:spacing w:line="3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2.16.2合同继续履行将损害国家利益和社会公共利益的，双方当事人应当中止或者终止合同。有过错的一方应当承担赔偿责任，双方当事人都有过错的，各自承担相应的责任。</w:t>
      </w:r>
    </w:p>
    <w:p>
      <w:pPr>
        <w:spacing w:line="360" w:lineRule="exact"/>
        <w:ind w:firstLine="482" w:firstLineChars="200"/>
        <w:outlineLvl w:val="0"/>
        <w:rPr>
          <w:rFonts w:hint="eastAsia" w:ascii="宋体" w:hAnsi="宋体" w:eastAsia="宋体" w:cs="宋体"/>
          <w:b/>
          <w:bCs/>
          <w:color w:val="auto"/>
          <w:sz w:val="24"/>
          <w:szCs w:val="24"/>
          <w:highlight w:val="none"/>
        </w:rPr>
      </w:pPr>
      <w:bookmarkStart w:id="1461" w:name="_Toc6596"/>
      <w:bookmarkStart w:id="1462" w:name="_Toc3441"/>
      <w:bookmarkStart w:id="1463" w:name="_Toc11637"/>
      <w:bookmarkStart w:id="1464" w:name="_Toc11658"/>
      <w:bookmarkStart w:id="1465" w:name="_Toc13669"/>
      <w:bookmarkStart w:id="1466" w:name="_Toc25358"/>
      <w:bookmarkStart w:id="1467" w:name="_Toc24731"/>
      <w:bookmarkStart w:id="1468" w:name="_Toc13848"/>
      <w:bookmarkStart w:id="1469" w:name="_Toc31577"/>
      <w:bookmarkStart w:id="1470" w:name="_Toc21636"/>
      <w:bookmarkStart w:id="1471" w:name="_Toc1125"/>
      <w:bookmarkStart w:id="1472" w:name="_Toc25710"/>
      <w:bookmarkStart w:id="1473" w:name="_Toc13150"/>
      <w:bookmarkStart w:id="1474" w:name="_Toc27311"/>
      <w:bookmarkStart w:id="1475" w:name="_Toc11995"/>
      <w:bookmarkStart w:id="1476" w:name="_Toc13316"/>
      <w:bookmarkStart w:id="1477" w:name="_Toc14563"/>
      <w:bookmarkStart w:id="1478" w:name="_Toc14890"/>
      <w:bookmarkStart w:id="1479" w:name="_Toc20145"/>
      <w:bookmarkStart w:id="1480" w:name="_Toc30958"/>
      <w:bookmarkStart w:id="1481" w:name="_Toc6704"/>
      <w:bookmarkStart w:id="1482" w:name="_Toc26299"/>
      <w:bookmarkStart w:id="1483" w:name="_Toc30133"/>
      <w:bookmarkStart w:id="1484" w:name="_Toc28047"/>
      <w:bookmarkStart w:id="1485" w:name="_Toc25230"/>
      <w:bookmarkStart w:id="1486" w:name="_Toc19755"/>
      <w:bookmarkStart w:id="1487" w:name="_Toc30476"/>
      <w:bookmarkStart w:id="1488" w:name="_Toc22335"/>
      <w:bookmarkStart w:id="1489" w:name="_Toc28303"/>
      <w:bookmarkStart w:id="1490" w:name="_Toc11352"/>
      <w:bookmarkStart w:id="1491" w:name="_Toc4111"/>
      <w:bookmarkStart w:id="1492" w:name="_Toc9310"/>
      <w:bookmarkStart w:id="1493" w:name="_Toc29926"/>
      <w:r>
        <w:rPr>
          <w:rFonts w:hint="eastAsia" w:ascii="宋体" w:hAnsi="宋体" w:eastAsia="宋体" w:cs="宋体"/>
          <w:b/>
          <w:bCs/>
          <w:color w:val="auto"/>
          <w:sz w:val="24"/>
          <w:szCs w:val="24"/>
          <w:highlight w:val="none"/>
        </w:rPr>
        <w:t>2.17 检验和验收</w:t>
      </w:r>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p>
    <w:p>
      <w:pPr>
        <w:tabs>
          <w:tab w:val="left" w:pos="360"/>
          <w:tab w:val="left" w:pos="540"/>
          <w:tab w:val="left" w:pos="1080"/>
        </w:tabs>
        <w:spacing w:line="3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2.17.1货物交付前，乙方应对货物的质量、数量等方面进行详细、全面的检验，并向甲方出具证明货物符合合同约定的文件；货物交付时，乙方在</w:t>
      </w:r>
      <w:r>
        <w:rPr>
          <w:rFonts w:hint="eastAsia" w:ascii="宋体" w:hAnsi="宋体" w:eastAsia="宋体" w:cs="宋体"/>
          <w:b/>
          <w:bCs/>
          <w:i/>
          <w:iCs/>
          <w:color w:val="auto"/>
          <w:sz w:val="24"/>
          <w:szCs w:val="24"/>
          <w:highlight w:val="none"/>
          <w:u w:val="single"/>
        </w:rPr>
        <w:t>合同专用条款</w:t>
      </w:r>
      <w:r>
        <w:rPr>
          <w:rFonts w:hint="eastAsia" w:ascii="宋体" w:hAnsi="宋体" w:eastAsia="宋体" w:cs="宋体"/>
          <w:color w:val="auto"/>
          <w:sz w:val="24"/>
          <w:szCs w:val="24"/>
          <w:highlight w:val="none"/>
        </w:rPr>
        <w:t>约定时间内组织验收，并可依法邀请相关方参加，验收应出具验收书。</w:t>
      </w:r>
    </w:p>
    <w:p>
      <w:pPr>
        <w:tabs>
          <w:tab w:val="left" w:pos="360"/>
          <w:tab w:val="left" w:pos="540"/>
          <w:tab w:val="left" w:pos="1080"/>
        </w:tabs>
        <w:spacing w:line="3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2.17.2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3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2.17.3 检验和验收标准、程序等具体内容以及前述验收书的效力详见</w:t>
      </w:r>
      <w:r>
        <w:rPr>
          <w:rFonts w:hint="eastAsia" w:ascii="宋体" w:hAnsi="宋体" w:eastAsia="宋体" w:cs="宋体"/>
          <w:b/>
          <w:bCs/>
          <w:i/>
          <w:iCs/>
          <w:color w:val="auto"/>
          <w:sz w:val="24"/>
          <w:szCs w:val="24"/>
          <w:highlight w:val="none"/>
          <w:u w:val="single"/>
        </w:rPr>
        <w:t>合同专用条款</w:t>
      </w:r>
      <w:r>
        <w:rPr>
          <w:rFonts w:hint="eastAsia" w:ascii="宋体" w:hAnsi="宋体" w:eastAsia="宋体" w:cs="宋体"/>
          <w:i/>
          <w:iCs/>
          <w:color w:val="auto"/>
          <w:sz w:val="24"/>
          <w:szCs w:val="24"/>
          <w:highlight w:val="none"/>
        </w:rPr>
        <w:t>。</w:t>
      </w:r>
    </w:p>
    <w:bookmarkEnd w:id="1284"/>
    <w:bookmarkEnd w:id="1285"/>
    <w:bookmarkEnd w:id="1286"/>
    <w:bookmarkEnd w:id="1287"/>
    <w:p>
      <w:pPr>
        <w:spacing w:line="360" w:lineRule="exact"/>
        <w:ind w:firstLine="482" w:firstLineChars="200"/>
        <w:outlineLvl w:val="0"/>
        <w:rPr>
          <w:rFonts w:hint="eastAsia" w:ascii="宋体" w:hAnsi="宋体" w:eastAsia="宋体" w:cs="宋体"/>
          <w:b/>
          <w:bCs/>
          <w:color w:val="auto"/>
          <w:sz w:val="24"/>
          <w:szCs w:val="24"/>
          <w:highlight w:val="none"/>
        </w:rPr>
      </w:pPr>
      <w:bookmarkStart w:id="1494" w:name="_Toc259093690"/>
      <w:bookmarkStart w:id="1495" w:name="_Toc487900371"/>
      <w:bookmarkStart w:id="1496" w:name="_Toc279701261"/>
      <w:bookmarkStart w:id="1497" w:name="_Toc32473"/>
      <w:bookmarkStart w:id="1498" w:name="_Toc30713"/>
      <w:bookmarkStart w:id="1499" w:name="_Toc26892"/>
      <w:bookmarkStart w:id="1500" w:name="_Toc13220"/>
      <w:bookmarkStart w:id="1501" w:name="_Toc4983"/>
      <w:bookmarkStart w:id="1502" w:name="_Toc19604"/>
      <w:bookmarkStart w:id="1503" w:name="_Toc14665"/>
      <w:bookmarkStart w:id="1504" w:name="_Toc8125"/>
      <w:bookmarkStart w:id="1505" w:name="_Toc725"/>
      <w:bookmarkStart w:id="1506" w:name="_Toc20551"/>
      <w:bookmarkStart w:id="1507" w:name="_Toc11284"/>
      <w:bookmarkStart w:id="1508" w:name="_Toc14242"/>
      <w:bookmarkStart w:id="1509" w:name="_Toc17313"/>
      <w:bookmarkStart w:id="1510" w:name="_Toc9266"/>
      <w:bookmarkStart w:id="1511" w:name="_Toc7660"/>
      <w:bookmarkStart w:id="1512" w:name="_Toc14193"/>
      <w:bookmarkStart w:id="1513" w:name="_Toc22021"/>
      <w:bookmarkStart w:id="1514" w:name="_Toc27621"/>
      <w:bookmarkStart w:id="1515" w:name="_Toc29267"/>
      <w:bookmarkStart w:id="1516" w:name="_Toc8096"/>
      <w:bookmarkStart w:id="1517" w:name="_Toc25182"/>
      <w:bookmarkStart w:id="1518" w:name="_Toc7641"/>
      <w:bookmarkStart w:id="1519" w:name="_Toc12493"/>
      <w:bookmarkStart w:id="1520" w:name="_Toc29082"/>
      <w:bookmarkStart w:id="1521" w:name="_Toc15037"/>
      <w:bookmarkStart w:id="1522" w:name="_Toc26823"/>
      <w:bookmarkStart w:id="1523" w:name="_Toc10130"/>
      <w:bookmarkStart w:id="1524" w:name="_Toc17270"/>
      <w:bookmarkStart w:id="1525" w:name="_Toc17336"/>
      <w:bookmarkStart w:id="1526" w:name="_Toc31945"/>
      <w:bookmarkStart w:id="1527" w:name="_Toc8998"/>
      <w:bookmarkStart w:id="1528" w:name="_Toc32221"/>
      <w:bookmarkStart w:id="1529" w:name="_Toc23678"/>
      <w:r>
        <w:rPr>
          <w:rFonts w:hint="eastAsia" w:ascii="宋体" w:hAnsi="宋体" w:eastAsia="宋体" w:cs="宋体"/>
          <w:b/>
          <w:bCs/>
          <w:color w:val="auto"/>
          <w:sz w:val="24"/>
          <w:szCs w:val="24"/>
          <w:highlight w:val="none"/>
        </w:rPr>
        <w:t>2.18 通知</w:t>
      </w:r>
      <w:bookmarkEnd w:id="1494"/>
      <w:bookmarkEnd w:id="1495"/>
      <w:bookmarkEnd w:id="1496"/>
      <w:r>
        <w:rPr>
          <w:rFonts w:hint="eastAsia" w:ascii="宋体" w:hAnsi="宋体" w:eastAsia="宋体" w:cs="宋体"/>
          <w:b/>
          <w:bCs/>
          <w:color w:val="auto"/>
          <w:sz w:val="24"/>
          <w:szCs w:val="24"/>
          <w:highlight w:val="none"/>
        </w:rPr>
        <w:t>和送达</w:t>
      </w:r>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p>
    <w:p>
      <w:pPr>
        <w:spacing w:line="360" w:lineRule="exact"/>
        <w:ind w:firstLine="480" w:firstLineChars="200"/>
        <w:rPr>
          <w:rFonts w:hint="eastAsia" w:ascii="宋体" w:hAnsi="宋体" w:eastAsia="宋体" w:cs="宋体"/>
          <w:color w:val="auto"/>
          <w:sz w:val="24"/>
          <w:szCs w:val="24"/>
          <w:highlight w:val="none"/>
        </w:rPr>
      </w:pPr>
      <w:bookmarkStart w:id="1530" w:name="_Toc6698"/>
      <w:bookmarkStart w:id="1531" w:name="_Toc3135"/>
      <w:bookmarkStart w:id="1532" w:name="_Toc259093691"/>
      <w:bookmarkStart w:id="1533" w:name="_Toc487900372"/>
      <w:bookmarkStart w:id="1534" w:name="_Toc279701262"/>
      <w:r>
        <w:rPr>
          <w:rFonts w:hint="eastAsia" w:ascii="宋体" w:hAnsi="宋体" w:eastAsia="宋体" w:cs="宋体"/>
          <w:color w:val="auto"/>
          <w:sz w:val="24"/>
          <w:szCs w:val="24"/>
          <w:highlight w:val="none"/>
        </w:rPr>
        <w:t>2.18.1 任何一方因履行合同而以合同第一部分尾部所列明的</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发出的所有通知、文件、材料，均视为已向对方当事人送达；任何一方变更上述送达方式或者地址的，应于</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个工作日内书面通知对方当事人，在对方当事人收到有关变更通知之前，变更前的约定送达方式或者地址仍视为有效。</w:t>
      </w:r>
      <w:bookmarkEnd w:id="1530"/>
      <w:bookmarkEnd w:id="1531"/>
    </w:p>
    <w:p>
      <w:pPr>
        <w:spacing w:line="360" w:lineRule="exact"/>
        <w:ind w:firstLine="480" w:firstLineChars="200"/>
        <w:rPr>
          <w:rFonts w:hint="eastAsia" w:ascii="宋体" w:hAnsi="宋体" w:eastAsia="宋体" w:cs="宋体"/>
          <w:color w:val="auto"/>
          <w:sz w:val="24"/>
          <w:szCs w:val="24"/>
          <w:highlight w:val="none"/>
        </w:rPr>
      </w:pPr>
      <w:bookmarkStart w:id="1535" w:name="_Toc23128"/>
      <w:bookmarkStart w:id="1536" w:name="_Toc23294"/>
      <w:r>
        <w:rPr>
          <w:rFonts w:hint="eastAsia" w:ascii="宋体" w:hAnsi="宋体" w:eastAsia="宋体" w:cs="宋体"/>
          <w:color w:val="auto"/>
          <w:sz w:val="24"/>
          <w:szCs w:val="24"/>
          <w:highlight w:val="none"/>
        </w:rPr>
        <w:t>2.18.2以当面交付方式送达的，交付之时视为送达；以电子邮件方式送达的，发出电子邮件之时视为送达；以传真方式送达的，发出传真之时视为送达；以邮寄方式送达的，邮件挂号寄出或者交邮之日之次日视为送达。</w:t>
      </w:r>
      <w:bookmarkEnd w:id="1535"/>
      <w:bookmarkEnd w:id="1536"/>
    </w:p>
    <w:p>
      <w:pPr>
        <w:spacing w:line="360" w:lineRule="exact"/>
        <w:ind w:firstLine="482" w:firstLineChars="200"/>
        <w:outlineLvl w:val="0"/>
        <w:rPr>
          <w:rFonts w:hint="eastAsia" w:ascii="宋体" w:hAnsi="宋体" w:eastAsia="宋体" w:cs="宋体"/>
          <w:b/>
          <w:bCs/>
          <w:color w:val="auto"/>
          <w:sz w:val="24"/>
          <w:szCs w:val="24"/>
          <w:highlight w:val="none"/>
        </w:rPr>
      </w:pPr>
      <w:bookmarkStart w:id="1537" w:name="_Toc10954"/>
      <w:bookmarkStart w:id="1538" w:name="_Toc13466"/>
      <w:bookmarkStart w:id="1539" w:name="_Toc24062"/>
      <w:bookmarkStart w:id="1540" w:name="_Toc14810"/>
      <w:bookmarkStart w:id="1541" w:name="_Toc18540"/>
      <w:bookmarkStart w:id="1542" w:name="_Toc3295"/>
      <w:bookmarkStart w:id="1543" w:name="_Toc21464"/>
      <w:bookmarkStart w:id="1544" w:name="_Toc20837"/>
      <w:bookmarkStart w:id="1545" w:name="_Toc5141"/>
      <w:bookmarkStart w:id="1546" w:name="_Toc30497"/>
      <w:bookmarkStart w:id="1547" w:name="_Toc2986"/>
      <w:bookmarkStart w:id="1548" w:name="_Toc2100"/>
      <w:bookmarkStart w:id="1549" w:name="_Toc20309"/>
      <w:bookmarkStart w:id="1550" w:name="_Toc12721"/>
      <w:bookmarkStart w:id="1551" w:name="_Toc4747"/>
      <w:bookmarkStart w:id="1552" w:name="_Toc9371"/>
      <w:bookmarkStart w:id="1553" w:name="_Toc18621"/>
      <w:bookmarkStart w:id="1554" w:name="_Toc1114"/>
      <w:bookmarkStart w:id="1555" w:name="_Toc30599"/>
      <w:bookmarkStart w:id="1556" w:name="_Toc15273"/>
      <w:bookmarkStart w:id="1557" w:name="_Toc2439"/>
      <w:bookmarkStart w:id="1558" w:name="_Toc10932"/>
      <w:bookmarkStart w:id="1559" w:name="_Toc21923"/>
      <w:bookmarkStart w:id="1560" w:name="_Toc31861"/>
      <w:bookmarkStart w:id="1561" w:name="_Toc4241"/>
      <w:bookmarkStart w:id="1562" w:name="_Toc11892"/>
      <w:bookmarkStart w:id="1563" w:name="_Toc596"/>
      <w:bookmarkStart w:id="1564" w:name="_Toc27038"/>
      <w:bookmarkStart w:id="1565" w:name="_Toc20914"/>
      <w:bookmarkStart w:id="1566" w:name="_Toc4355"/>
      <w:bookmarkStart w:id="1567" w:name="_Toc29312"/>
      <w:bookmarkStart w:id="1568" w:name="_Toc20763"/>
      <w:r>
        <w:rPr>
          <w:rFonts w:hint="eastAsia" w:ascii="宋体" w:hAnsi="宋体" w:eastAsia="宋体" w:cs="宋体"/>
          <w:b/>
          <w:bCs/>
          <w:color w:val="auto"/>
          <w:sz w:val="24"/>
          <w:szCs w:val="24"/>
          <w:highlight w:val="none"/>
        </w:rPr>
        <w:t>2.19 计量单位</w:t>
      </w:r>
      <w:bookmarkEnd w:id="1532"/>
      <w:bookmarkEnd w:id="1533"/>
      <w:bookmarkEnd w:id="1534"/>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p>
    <w:p>
      <w:pPr>
        <w:spacing w:line="3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除技术规范中另有规定外,合同的计量单位均使用国家法定计量单位。</w:t>
      </w:r>
    </w:p>
    <w:p>
      <w:pPr>
        <w:spacing w:line="360" w:lineRule="exact"/>
        <w:ind w:firstLine="482" w:firstLineChars="200"/>
        <w:outlineLvl w:val="0"/>
        <w:rPr>
          <w:rFonts w:hint="eastAsia" w:ascii="宋体" w:hAnsi="宋体" w:eastAsia="宋体" w:cs="宋体"/>
          <w:b/>
          <w:bCs/>
          <w:color w:val="auto"/>
          <w:sz w:val="24"/>
          <w:szCs w:val="24"/>
          <w:highlight w:val="none"/>
        </w:rPr>
      </w:pPr>
      <w:bookmarkStart w:id="1569" w:name="_Toc13131"/>
      <w:bookmarkStart w:id="1570" w:name="_Toc15868"/>
      <w:bookmarkStart w:id="1571" w:name="_Toc279701263"/>
      <w:bookmarkStart w:id="1572" w:name="_Toc27589"/>
      <w:bookmarkStart w:id="1573" w:name="_Toc26757"/>
      <w:bookmarkStart w:id="1574" w:name="_Toc15428"/>
      <w:bookmarkStart w:id="1575" w:name="_Toc259093692"/>
      <w:bookmarkStart w:id="1576" w:name="_Toc776"/>
      <w:bookmarkStart w:id="1577" w:name="_Toc16880"/>
      <w:bookmarkStart w:id="1578" w:name="_Toc10330"/>
      <w:bookmarkStart w:id="1579" w:name="_Toc487900373"/>
      <w:bookmarkStart w:id="1580" w:name="_Toc14099"/>
      <w:bookmarkStart w:id="1581" w:name="_Toc17517"/>
      <w:bookmarkStart w:id="1582" w:name="_Toc19154"/>
      <w:bookmarkStart w:id="1583" w:name="_Toc6555"/>
      <w:bookmarkStart w:id="1584" w:name="_Toc10536"/>
      <w:bookmarkStart w:id="1585" w:name="_Toc18634"/>
      <w:bookmarkStart w:id="1586" w:name="_Toc12773"/>
      <w:bookmarkStart w:id="1587" w:name="_Toc18567"/>
      <w:bookmarkStart w:id="1588" w:name="_Toc24319"/>
      <w:bookmarkStart w:id="1589" w:name="_Toc26158"/>
      <w:bookmarkStart w:id="1590" w:name="_Toc5796"/>
      <w:bookmarkStart w:id="1591" w:name="_Toc9178"/>
      <w:bookmarkStart w:id="1592" w:name="_Toc10830"/>
      <w:bookmarkStart w:id="1593" w:name="_Toc13041"/>
      <w:bookmarkStart w:id="1594" w:name="_Toc16663"/>
      <w:bookmarkStart w:id="1595" w:name="_Toc32583"/>
      <w:bookmarkStart w:id="1596" w:name="_Toc1728"/>
      <w:bookmarkStart w:id="1597" w:name="_Toc20624"/>
      <w:bookmarkStart w:id="1598" w:name="_Toc28784"/>
      <w:bookmarkStart w:id="1599" w:name="_Toc9626"/>
      <w:bookmarkStart w:id="1600" w:name="_Toc11130"/>
      <w:bookmarkStart w:id="1601" w:name="_Toc19522"/>
      <w:bookmarkStart w:id="1602" w:name="_Toc22826"/>
      <w:bookmarkStart w:id="1603" w:name="_Toc15261"/>
      <w:bookmarkStart w:id="1604" w:name="_Toc30404"/>
      <w:r>
        <w:rPr>
          <w:rFonts w:hint="eastAsia" w:ascii="宋体" w:hAnsi="宋体" w:eastAsia="宋体" w:cs="宋体"/>
          <w:b/>
          <w:bCs/>
          <w:color w:val="auto"/>
          <w:sz w:val="24"/>
          <w:szCs w:val="24"/>
          <w:highlight w:val="none"/>
        </w:rPr>
        <w:t>2.20 合同使用的文字和适用的法律</w:t>
      </w:r>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p>
    <w:p>
      <w:pPr>
        <w:spacing w:line="3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2.20.1 合同使用汉语书就、变更和解释；</w:t>
      </w:r>
    </w:p>
    <w:p>
      <w:pPr>
        <w:spacing w:line="3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2.20.2 合同适用中华人民共和国法律。</w:t>
      </w:r>
    </w:p>
    <w:p>
      <w:pPr>
        <w:spacing w:line="360" w:lineRule="exact"/>
        <w:ind w:firstLine="482" w:firstLineChars="200"/>
        <w:outlineLvl w:val="0"/>
        <w:rPr>
          <w:rFonts w:hint="eastAsia" w:ascii="宋体" w:hAnsi="宋体" w:eastAsia="宋体" w:cs="宋体"/>
          <w:b/>
          <w:bCs/>
          <w:color w:val="auto"/>
          <w:sz w:val="24"/>
          <w:szCs w:val="24"/>
          <w:highlight w:val="none"/>
        </w:rPr>
      </w:pPr>
      <w:bookmarkStart w:id="1605" w:name="_Toc20252"/>
      <w:bookmarkStart w:id="1606" w:name="_Toc30675"/>
      <w:bookmarkStart w:id="1607" w:name="_Toc5571"/>
      <w:bookmarkStart w:id="1608" w:name="_Toc32497"/>
      <w:bookmarkStart w:id="1609" w:name="_Toc31421"/>
      <w:bookmarkStart w:id="1610" w:name="_Toc14964"/>
      <w:bookmarkStart w:id="1611" w:name="_Toc18845"/>
      <w:bookmarkStart w:id="1612" w:name="_Toc9739"/>
      <w:bookmarkStart w:id="1613" w:name="_Toc29455"/>
      <w:bookmarkStart w:id="1614" w:name="_Toc638"/>
      <w:bookmarkStart w:id="1615" w:name="_Toc30511"/>
      <w:bookmarkStart w:id="1616" w:name="_Toc279701264"/>
      <w:bookmarkStart w:id="1617" w:name="_Toc14308"/>
      <w:bookmarkStart w:id="1618" w:name="_Toc16673"/>
      <w:bookmarkStart w:id="1619" w:name="_Toc11201"/>
      <w:bookmarkStart w:id="1620" w:name="_Toc15437"/>
      <w:bookmarkStart w:id="1621" w:name="_Toc8602"/>
      <w:bookmarkStart w:id="1622" w:name="_Toc1670"/>
      <w:bookmarkStart w:id="1623" w:name="_Toc11628"/>
      <w:bookmarkStart w:id="1624" w:name="_Toc24883"/>
      <w:bookmarkStart w:id="1625" w:name="_Toc29073"/>
      <w:bookmarkStart w:id="1626" w:name="_Toc3148"/>
      <w:bookmarkStart w:id="1627" w:name="_Toc259093693"/>
      <w:bookmarkStart w:id="1628" w:name="_Toc11254"/>
      <w:bookmarkStart w:id="1629" w:name="_Toc3838"/>
      <w:bookmarkStart w:id="1630" w:name="_Toc15434"/>
      <w:bookmarkStart w:id="1631" w:name="_Toc31790"/>
      <w:bookmarkStart w:id="1632" w:name="_Toc6225"/>
      <w:bookmarkStart w:id="1633" w:name="_Toc12004"/>
      <w:bookmarkStart w:id="1634" w:name="_Toc26372"/>
      <w:bookmarkStart w:id="1635" w:name="_Toc16479"/>
      <w:bookmarkStart w:id="1636" w:name="_Toc25551"/>
      <w:bookmarkStart w:id="1637" w:name="_Toc22858"/>
      <w:bookmarkStart w:id="1638" w:name="_Toc5000"/>
      <w:bookmarkStart w:id="1639" w:name="_Toc10811"/>
      <w:bookmarkStart w:id="1640" w:name="_Toc487900374"/>
      <w:r>
        <w:rPr>
          <w:rFonts w:hint="eastAsia" w:ascii="宋体" w:hAnsi="宋体" w:eastAsia="宋体" w:cs="宋体"/>
          <w:b/>
          <w:bCs/>
          <w:color w:val="auto"/>
          <w:sz w:val="24"/>
          <w:szCs w:val="24"/>
          <w:highlight w:val="none"/>
        </w:rPr>
        <w:t>2.21 履约保证金</w:t>
      </w:r>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p>
    <w:p>
      <w:pPr>
        <w:spacing w:line="3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2.21.1 采购文件要求乙方提交履约保证金的，乙方应按</w:t>
      </w:r>
      <w:r>
        <w:rPr>
          <w:rFonts w:hint="eastAsia" w:ascii="宋体" w:hAnsi="宋体" w:eastAsia="宋体" w:cs="宋体"/>
          <w:b/>
          <w:bCs/>
          <w:i/>
          <w:iCs/>
          <w:color w:val="auto"/>
          <w:sz w:val="24"/>
          <w:szCs w:val="24"/>
          <w:highlight w:val="none"/>
          <w:u w:val="single"/>
        </w:rPr>
        <w:t>合同专用条款</w:t>
      </w:r>
      <w:r>
        <w:rPr>
          <w:rFonts w:hint="eastAsia" w:ascii="宋体" w:hAnsi="宋体" w:eastAsia="宋体" w:cs="宋体"/>
          <w:color w:val="auto"/>
          <w:sz w:val="24"/>
          <w:szCs w:val="24"/>
          <w:highlight w:val="none"/>
        </w:rPr>
        <w:t>约定的方式，以支票、汇票、本票或者金融机构、担保机构出具的保函等非现金形式，提交不超过合同价10%的履约保证金；</w:t>
      </w:r>
    </w:p>
    <w:p>
      <w:pPr>
        <w:spacing w:line="3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2.21.2  履约保证金在</w:t>
      </w:r>
      <w:r>
        <w:rPr>
          <w:rFonts w:hint="eastAsia" w:ascii="宋体" w:hAnsi="宋体" w:eastAsia="宋体" w:cs="宋体"/>
          <w:b/>
          <w:bCs/>
          <w:i/>
          <w:iCs/>
          <w:color w:val="auto"/>
          <w:sz w:val="24"/>
          <w:szCs w:val="24"/>
          <w:highlight w:val="none"/>
          <w:u w:val="single"/>
        </w:rPr>
        <w:t>合同专用条款</w:t>
      </w:r>
      <w:r>
        <w:rPr>
          <w:rFonts w:hint="eastAsia" w:ascii="宋体" w:hAnsi="宋体" w:eastAsia="宋体" w:cs="宋体"/>
          <w:color w:val="auto"/>
          <w:sz w:val="24"/>
          <w:szCs w:val="24"/>
          <w:highlight w:val="none"/>
        </w:rPr>
        <w:t>约定期间内或者货物质量保证期内不予退还或者应完全有效，前述约定期间届满或者货物质量保证期届满之日起</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个工作日内，甲方应将履约保证金退还乙方；</w:t>
      </w:r>
    </w:p>
    <w:p>
      <w:pPr>
        <w:spacing w:line="3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2.21.3 如果乙方不履行合同，履约保证金不予退还；如果乙方未能按合同约定全面履行义务，那么甲方有权从履约保证金中取得补偿或赔偿，同时不影响甲方要求乙方承担合同约定的超过履约保证金的违约责任的权利。</w:t>
      </w:r>
    </w:p>
    <w:bookmarkEnd w:id="1640"/>
    <w:p>
      <w:pPr>
        <w:spacing w:line="360" w:lineRule="exact"/>
        <w:ind w:firstLine="482" w:firstLineChars="200"/>
        <w:outlineLvl w:val="0"/>
        <w:rPr>
          <w:rFonts w:hint="eastAsia" w:ascii="宋体" w:hAnsi="宋体" w:eastAsia="宋体" w:cs="宋体"/>
          <w:b/>
          <w:bCs/>
          <w:color w:val="auto"/>
          <w:sz w:val="24"/>
          <w:szCs w:val="24"/>
          <w:highlight w:val="none"/>
        </w:rPr>
      </w:pPr>
      <w:bookmarkStart w:id="1641" w:name="_Toc21120"/>
      <w:bookmarkStart w:id="1642" w:name="_Toc25049"/>
      <w:bookmarkStart w:id="1643" w:name="_Toc8495"/>
      <w:bookmarkStart w:id="1644" w:name="_Toc2720"/>
      <w:bookmarkStart w:id="1645" w:name="_Toc14217"/>
      <w:bookmarkStart w:id="1646" w:name="_Toc27563"/>
      <w:bookmarkStart w:id="1647" w:name="_Toc30847"/>
      <w:bookmarkStart w:id="1648" w:name="_Toc10801"/>
      <w:bookmarkStart w:id="1649" w:name="_Toc25691"/>
      <w:bookmarkStart w:id="1650" w:name="_Toc6885"/>
      <w:bookmarkStart w:id="1651" w:name="_Toc8894"/>
      <w:bookmarkStart w:id="1652" w:name="_Toc24307"/>
      <w:bookmarkStart w:id="1653" w:name="_Toc12034"/>
      <w:bookmarkStart w:id="1654" w:name="_Toc30496"/>
      <w:bookmarkStart w:id="1655" w:name="_Toc24006"/>
      <w:bookmarkStart w:id="1656" w:name="_Toc21772"/>
      <w:bookmarkStart w:id="1657" w:name="_Toc20428"/>
      <w:bookmarkStart w:id="1658" w:name="_Toc21762"/>
      <w:bookmarkStart w:id="1659" w:name="_Toc22821"/>
      <w:bookmarkStart w:id="1660" w:name="_Toc28525"/>
      <w:bookmarkStart w:id="1661" w:name="_Toc16431"/>
      <w:bookmarkStart w:id="1662" w:name="_Toc20802"/>
      <w:bookmarkStart w:id="1663" w:name="_Toc11103"/>
      <w:bookmarkStart w:id="1664" w:name="_Toc8867"/>
      <w:bookmarkStart w:id="1665" w:name="_Toc16450"/>
      <w:bookmarkStart w:id="1666" w:name="_Toc17856"/>
      <w:bookmarkStart w:id="1667" w:name="_Toc14001"/>
      <w:bookmarkStart w:id="1668" w:name="_Toc22496"/>
      <w:bookmarkStart w:id="1669" w:name="_Toc17310"/>
      <w:bookmarkStart w:id="1670" w:name="_Toc19890"/>
      <w:bookmarkStart w:id="1671" w:name="_Toc32408"/>
      <w:bookmarkStart w:id="1672" w:name="_Toc32643"/>
      <w:bookmarkStart w:id="1673" w:name="_Toc21934"/>
      <w:r>
        <w:rPr>
          <w:rFonts w:hint="eastAsia" w:ascii="宋体" w:hAnsi="宋体" w:eastAsia="宋体" w:cs="宋体"/>
          <w:b/>
          <w:bCs/>
          <w:color w:val="auto"/>
          <w:sz w:val="24"/>
          <w:szCs w:val="24"/>
          <w:highlight w:val="none"/>
        </w:rPr>
        <w:t>2.22 合同份数</w:t>
      </w:r>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p>
    <w:p>
      <w:pPr>
        <w:spacing w:line="3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合同份数按</w:t>
      </w:r>
      <w:r>
        <w:rPr>
          <w:rFonts w:hint="eastAsia" w:ascii="宋体" w:hAnsi="宋体" w:eastAsia="宋体" w:cs="宋体"/>
          <w:b/>
          <w:bCs/>
          <w:i/>
          <w:iCs/>
          <w:color w:val="auto"/>
          <w:sz w:val="24"/>
          <w:szCs w:val="24"/>
          <w:highlight w:val="none"/>
          <w:u w:val="single"/>
        </w:rPr>
        <w:t>合同专用条款</w:t>
      </w:r>
      <w:r>
        <w:rPr>
          <w:rFonts w:hint="eastAsia" w:ascii="宋体" w:hAnsi="宋体" w:eastAsia="宋体" w:cs="宋体"/>
          <w:color w:val="auto"/>
          <w:sz w:val="24"/>
          <w:szCs w:val="24"/>
          <w:highlight w:val="none"/>
        </w:rPr>
        <w:t>规定，每份均具有同等法律效力。</w:t>
      </w:r>
    </w:p>
    <w:p>
      <w:pPr>
        <w:pStyle w:val="28"/>
        <w:spacing w:line="360" w:lineRule="exact"/>
        <w:ind w:firstLine="0"/>
        <w:jc w:val="center"/>
        <w:rPr>
          <w:rFonts w:hint="eastAsia" w:ascii="宋体" w:hAnsi="宋体" w:eastAsia="宋体" w:cs="宋体"/>
          <w:b/>
          <w:bCs/>
          <w:color w:val="auto"/>
          <w:highlight w:val="none"/>
        </w:rPr>
      </w:pPr>
      <w:bookmarkStart w:id="1674" w:name="_Toc331685784"/>
    </w:p>
    <w:p>
      <w:pPr>
        <w:pStyle w:val="28"/>
        <w:spacing w:line="360" w:lineRule="exact"/>
        <w:ind w:firstLine="0"/>
        <w:jc w:val="center"/>
        <w:rPr>
          <w:rFonts w:hint="eastAsia" w:ascii="宋体" w:hAnsi="宋体" w:eastAsia="宋体" w:cs="宋体"/>
          <w:b/>
          <w:bCs/>
          <w:color w:val="auto"/>
          <w:highlight w:val="none"/>
        </w:rPr>
      </w:pPr>
    </w:p>
    <w:p>
      <w:pPr>
        <w:pStyle w:val="28"/>
        <w:spacing w:line="360" w:lineRule="exact"/>
        <w:ind w:firstLine="0"/>
        <w:jc w:val="center"/>
        <w:rPr>
          <w:rFonts w:hint="eastAsia" w:ascii="宋体" w:hAnsi="宋体" w:eastAsia="宋体" w:cs="宋体"/>
          <w:b/>
          <w:bCs/>
          <w:color w:val="auto"/>
          <w:highlight w:val="none"/>
        </w:rPr>
      </w:pPr>
    </w:p>
    <w:p>
      <w:pPr>
        <w:pStyle w:val="28"/>
        <w:spacing w:line="360" w:lineRule="exact"/>
        <w:ind w:firstLine="0"/>
        <w:jc w:val="center"/>
        <w:rPr>
          <w:rFonts w:hint="eastAsia" w:ascii="宋体" w:hAnsi="宋体" w:eastAsia="宋体" w:cs="宋体"/>
          <w:b/>
          <w:bCs/>
          <w:color w:val="auto"/>
          <w:highlight w:val="none"/>
        </w:rPr>
      </w:pPr>
    </w:p>
    <w:p>
      <w:pPr>
        <w:pStyle w:val="28"/>
        <w:spacing w:line="360" w:lineRule="exact"/>
        <w:ind w:firstLine="0"/>
        <w:jc w:val="center"/>
        <w:rPr>
          <w:rFonts w:hint="eastAsia" w:ascii="宋体" w:hAnsi="宋体" w:eastAsia="宋体" w:cs="宋体"/>
          <w:b/>
          <w:bCs/>
          <w:color w:val="auto"/>
          <w:highlight w:val="none"/>
        </w:rPr>
      </w:pPr>
    </w:p>
    <w:p>
      <w:pPr>
        <w:pStyle w:val="28"/>
        <w:spacing w:line="360" w:lineRule="exact"/>
        <w:ind w:firstLine="0"/>
        <w:jc w:val="center"/>
        <w:rPr>
          <w:rFonts w:hint="eastAsia" w:ascii="宋体" w:hAnsi="宋体" w:eastAsia="宋体" w:cs="宋体"/>
          <w:b/>
          <w:bCs/>
          <w:color w:val="auto"/>
          <w:highlight w:val="none"/>
        </w:rPr>
      </w:pPr>
    </w:p>
    <w:p>
      <w:pPr>
        <w:pStyle w:val="28"/>
        <w:spacing w:line="360" w:lineRule="exact"/>
        <w:ind w:firstLine="0"/>
        <w:jc w:val="center"/>
        <w:rPr>
          <w:rFonts w:hint="eastAsia" w:ascii="宋体" w:hAnsi="宋体" w:eastAsia="宋体" w:cs="宋体"/>
          <w:b/>
          <w:bCs/>
          <w:color w:val="auto"/>
          <w:highlight w:val="none"/>
        </w:rPr>
      </w:pPr>
      <w:r>
        <w:rPr>
          <w:rFonts w:hint="eastAsia" w:ascii="宋体" w:hAnsi="宋体" w:eastAsia="宋体" w:cs="宋体"/>
          <w:b/>
          <w:bCs/>
          <w:color w:val="auto"/>
          <w:highlight w:val="none"/>
        </w:rPr>
        <w:t>第三部分  合同专用条款</w:t>
      </w:r>
      <w:bookmarkEnd w:id="1674"/>
    </w:p>
    <w:p>
      <w:pPr>
        <w:spacing w:line="3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20"/>
        <w:tblW w:w="8434" w:type="dxa"/>
        <w:tblInd w:w="2"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01"/>
        <w:gridCol w:w="763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801" w:type="dxa"/>
            <w:tcBorders>
              <w:left w:val="single" w:color="auto" w:sz="4" w:space="0"/>
            </w:tcBorders>
            <w:vAlign w:val="center"/>
          </w:tcPr>
          <w:p>
            <w:pPr>
              <w:spacing w:line="360" w:lineRule="exact"/>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条款号</w:t>
            </w:r>
          </w:p>
        </w:tc>
        <w:tc>
          <w:tcPr>
            <w:tcW w:w="7633" w:type="dxa"/>
            <w:vAlign w:val="center"/>
          </w:tcPr>
          <w:p>
            <w:pPr>
              <w:spacing w:line="360" w:lineRule="exact"/>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01" w:type="dxa"/>
            <w:tcBorders>
              <w:left w:val="single" w:color="auto" w:sz="4" w:space="0"/>
            </w:tcBorders>
            <w:vAlign w:val="center"/>
          </w:tcPr>
          <w:p>
            <w:pPr>
              <w:spacing w:line="360" w:lineRule="exact"/>
              <w:rPr>
                <w:rFonts w:hint="eastAsia" w:ascii="宋体" w:hAnsi="宋体" w:eastAsia="宋体" w:cs="宋体"/>
                <w:color w:val="auto"/>
                <w:sz w:val="24"/>
                <w:szCs w:val="24"/>
                <w:highlight w:val="none"/>
              </w:rPr>
            </w:pPr>
          </w:p>
        </w:tc>
        <w:tc>
          <w:tcPr>
            <w:tcW w:w="7633" w:type="dxa"/>
            <w:vAlign w:val="center"/>
          </w:tcPr>
          <w:p>
            <w:pPr>
              <w:spacing w:line="360" w:lineRule="exact"/>
              <w:rPr>
                <w:rFonts w:hint="eastAsia" w:ascii="宋体" w:hAnsi="宋体" w:eastAsia="宋体" w:cs="宋体"/>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spacing w:line="360" w:lineRule="exact"/>
              <w:rPr>
                <w:rFonts w:hint="eastAsia" w:ascii="宋体" w:hAnsi="宋体" w:eastAsia="宋体" w:cs="宋体"/>
                <w:color w:val="auto"/>
                <w:sz w:val="24"/>
                <w:szCs w:val="24"/>
                <w:highlight w:val="none"/>
              </w:rPr>
            </w:pPr>
          </w:p>
        </w:tc>
        <w:tc>
          <w:tcPr>
            <w:tcW w:w="7633" w:type="dxa"/>
            <w:vAlign w:val="center"/>
          </w:tcPr>
          <w:p>
            <w:pPr>
              <w:spacing w:line="360" w:lineRule="exact"/>
              <w:rPr>
                <w:rFonts w:hint="eastAsia" w:ascii="宋体" w:hAnsi="宋体" w:eastAsia="宋体" w:cs="宋体"/>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spacing w:line="360" w:lineRule="exact"/>
              <w:rPr>
                <w:rFonts w:hint="eastAsia" w:ascii="宋体" w:hAnsi="宋体" w:eastAsia="宋体" w:cs="宋体"/>
                <w:color w:val="auto"/>
                <w:sz w:val="24"/>
                <w:szCs w:val="24"/>
                <w:highlight w:val="none"/>
              </w:rPr>
            </w:pPr>
          </w:p>
        </w:tc>
        <w:tc>
          <w:tcPr>
            <w:tcW w:w="7633" w:type="dxa"/>
            <w:vAlign w:val="center"/>
          </w:tcPr>
          <w:p>
            <w:pPr>
              <w:spacing w:line="360" w:lineRule="exact"/>
              <w:rPr>
                <w:rFonts w:hint="eastAsia" w:ascii="宋体" w:hAnsi="宋体" w:eastAsia="宋体" w:cs="宋体"/>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spacing w:line="360" w:lineRule="exact"/>
              <w:rPr>
                <w:rFonts w:hint="eastAsia" w:ascii="宋体" w:hAnsi="宋体" w:eastAsia="宋体" w:cs="宋体"/>
                <w:color w:val="auto"/>
                <w:sz w:val="24"/>
                <w:szCs w:val="24"/>
                <w:highlight w:val="none"/>
              </w:rPr>
            </w:pPr>
          </w:p>
        </w:tc>
        <w:tc>
          <w:tcPr>
            <w:tcW w:w="7633" w:type="dxa"/>
            <w:vAlign w:val="center"/>
          </w:tcPr>
          <w:p>
            <w:pPr>
              <w:spacing w:line="360" w:lineRule="exact"/>
              <w:rPr>
                <w:rFonts w:hint="eastAsia" w:ascii="宋体" w:hAnsi="宋体" w:eastAsia="宋体" w:cs="宋体"/>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360" w:lineRule="exact"/>
              <w:rPr>
                <w:rFonts w:hint="eastAsia" w:ascii="宋体" w:hAnsi="宋体" w:eastAsia="宋体" w:cs="宋体"/>
                <w:color w:val="auto"/>
                <w:sz w:val="24"/>
                <w:szCs w:val="24"/>
                <w:highlight w:val="none"/>
              </w:rPr>
            </w:pPr>
          </w:p>
        </w:tc>
        <w:tc>
          <w:tcPr>
            <w:tcW w:w="7633" w:type="dxa"/>
            <w:vAlign w:val="center"/>
          </w:tcPr>
          <w:p>
            <w:pPr>
              <w:spacing w:line="360" w:lineRule="exact"/>
              <w:rPr>
                <w:rFonts w:hint="eastAsia" w:ascii="宋体" w:hAnsi="宋体" w:eastAsia="宋体" w:cs="宋体"/>
                <w:color w:val="auto"/>
                <w:sz w:val="24"/>
                <w:szCs w:val="24"/>
                <w:highlight w:val="none"/>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360" w:lineRule="exact"/>
              <w:rPr>
                <w:rFonts w:hint="eastAsia" w:ascii="宋体" w:hAnsi="宋体" w:eastAsia="宋体" w:cs="宋体"/>
                <w:color w:val="auto"/>
                <w:sz w:val="24"/>
                <w:szCs w:val="24"/>
                <w:highlight w:val="none"/>
              </w:rPr>
            </w:pPr>
          </w:p>
        </w:tc>
        <w:tc>
          <w:tcPr>
            <w:tcW w:w="7633" w:type="dxa"/>
            <w:vAlign w:val="center"/>
          </w:tcPr>
          <w:p>
            <w:pPr>
              <w:spacing w:line="360" w:lineRule="exact"/>
              <w:rPr>
                <w:rFonts w:hint="eastAsia" w:ascii="宋体" w:hAnsi="宋体" w:eastAsia="宋体" w:cs="宋体"/>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spacing w:line="360" w:lineRule="exact"/>
              <w:rPr>
                <w:rFonts w:hint="eastAsia" w:ascii="宋体" w:hAnsi="宋体" w:eastAsia="宋体" w:cs="宋体"/>
                <w:color w:val="auto"/>
                <w:sz w:val="24"/>
                <w:szCs w:val="24"/>
                <w:highlight w:val="none"/>
              </w:rPr>
            </w:pPr>
          </w:p>
        </w:tc>
        <w:tc>
          <w:tcPr>
            <w:tcW w:w="7633" w:type="dxa"/>
            <w:vAlign w:val="center"/>
          </w:tcPr>
          <w:p>
            <w:pPr>
              <w:spacing w:line="360" w:lineRule="exact"/>
              <w:rPr>
                <w:rFonts w:hint="eastAsia" w:ascii="宋体" w:hAnsi="宋体" w:eastAsia="宋体" w:cs="宋体"/>
                <w:color w:val="auto"/>
                <w:sz w:val="24"/>
                <w:szCs w:val="24"/>
                <w:highlight w:val="none"/>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360" w:lineRule="exact"/>
              <w:rPr>
                <w:rFonts w:hint="eastAsia" w:ascii="宋体" w:hAnsi="宋体" w:eastAsia="宋体" w:cs="宋体"/>
                <w:color w:val="auto"/>
                <w:sz w:val="24"/>
                <w:szCs w:val="24"/>
                <w:highlight w:val="none"/>
              </w:rPr>
            </w:pPr>
          </w:p>
        </w:tc>
        <w:tc>
          <w:tcPr>
            <w:tcW w:w="7633" w:type="dxa"/>
            <w:vAlign w:val="center"/>
          </w:tcPr>
          <w:p>
            <w:pPr>
              <w:spacing w:line="360" w:lineRule="exact"/>
              <w:rPr>
                <w:rFonts w:hint="eastAsia" w:ascii="宋体" w:hAnsi="宋体" w:eastAsia="宋体" w:cs="宋体"/>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360" w:lineRule="exact"/>
              <w:rPr>
                <w:rFonts w:hint="eastAsia" w:ascii="宋体" w:hAnsi="宋体" w:eastAsia="宋体" w:cs="宋体"/>
                <w:color w:val="auto"/>
                <w:sz w:val="24"/>
                <w:szCs w:val="24"/>
                <w:highlight w:val="none"/>
              </w:rPr>
            </w:pPr>
          </w:p>
        </w:tc>
        <w:tc>
          <w:tcPr>
            <w:tcW w:w="7633" w:type="dxa"/>
            <w:vAlign w:val="center"/>
          </w:tcPr>
          <w:p>
            <w:pPr>
              <w:spacing w:line="360" w:lineRule="exact"/>
              <w:rPr>
                <w:rFonts w:hint="eastAsia" w:ascii="宋体" w:hAnsi="宋体" w:eastAsia="宋体" w:cs="宋体"/>
                <w:color w:val="auto"/>
                <w:sz w:val="24"/>
                <w:szCs w:val="24"/>
                <w:highlight w:val="none"/>
              </w:rPr>
            </w:pPr>
          </w:p>
        </w:tc>
      </w:tr>
    </w:tbl>
    <w:p>
      <w:pPr>
        <w:rPr>
          <w:rFonts w:hint="eastAsia" w:ascii="宋体" w:hAnsi="宋体" w:eastAsia="宋体" w:cs="宋体"/>
          <w:color w:val="auto"/>
          <w:highlight w:val="none"/>
        </w:rPr>
      </w:pPr>
    </w:p>
    <w:sectPr>
      <w:headerReference r:id="rId11" w:type="default"/>
      <w:pgSz w:w="11905" w:h="16838"/>
      <w:pgMar w:top="1440" w:right="1797" w:bottom="1440" w:left="1797" w:header="851" w:footer="992" w:gutter="0"/>
      <w:pgNumType w:fmt="decimal"/>
      <w:cols w:space="0" w:num="1"/>
      <w:docGrid w:linePitch="46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jc w:val="center"/>
    </w:pPr>
    <w:r>
      <w:rPr>
        <w:color w:val="800000"/>
      </w:rPr>
      <w:t>Add</w:t>
    </w:r>
    <w:r>
      <w:rPr>
        <w:rFonts w:hint="eastAsia" w:cs="宋体"/>
        <w:color w:val="800000"/>
      </w:rPr>
      <w:t>：喀什经济开发区深圳城3号楼12层1204</w:t>
    </w:r>
    <w:r>
      <w:rPr>
        <w:color w:val="800000"/>
      </w:rPr>
      <w:t xml:space="preserve">  </w:t>
    </w:r>
    <w:r>
      <w:rPr>
        <w:rFonts w:hint="eastAsia"/>
        <w:color w:val="800000"/>
        <w:lang w:val="en-US" w:eastAsia="zh-CN"/>
      </w:rPr>
      <w:t xml:space="preserve">                     </w:t>
    </w:r>
    <w:r>
      <w:rPr>
        <w:color w:val="800000"/>
      </w:rPr>
      <w:t xml:space="preserve"> Tel</w:t>
    </w:r>
    <w:r>
      <w:rPr>
        <w:rFonts w:hint="eastAsia" w:cs="宋体"/>
        <w:color w:val="800000"/>
      </w:rPr>
      <w:t>：15099650569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jc w:val="center"/>
    </w:pPr>
    <w:r>
      <w:rPr>
        <w:sz w:val="18"/>
      </w:rPr>
      <mc:AlternateContent>
        <mc:Choice Requires="wps">
          <w:drawing>
            <wp:anchor distT="0" distB="0" distL="114300" distR="114300" simplePos="0" relativeHeight="251666432" behindDoc="0" locked="0" layoutInCell="1" allowOverlap="1">
              <wp:simplePos x="0" y="0"/>
              <wp:positionH relativeFrom="margin">
                <wp:align>inside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1</w:t>
                    </w:r>
                    <w:r>
                      <w:fldChar w:fldCharType="end"/>
                    </w:r>
                  </w:p>
                </w:txbxContent>
              </v:textbox>
            </v:shape>
          </w:pict>
        </mc:Fallback>
      </mc:AlternateContent>
    </w:r>
    <w:r>
      <w:rPr>
        <w:color w:val="800000"/>
      </w:rPr>
      <w:t>Add</w:t>
    </w:r>
    <w:r>
      <w:rPr>
        <w:rFonts w:hint="eastAsia" w:cs="宋体"/>
        <w:color w:val="800000"/>
      </w:rPr>
      <w:t>：喀什经济开发区深圳城3号楼12层1204</w:t>
    </w:r>
    <w:r>
      <w:rPr>
        <w:color w:val="800000"/>
      </w:rPr>
      <w:t xml:space="preserve"> </w:t>
    </w:r>
    <w:r>
      <w:rPr>
        <w:rFonts w:hint="eastAsia"/>
        <w:color w:val="800000"/>
        <w:lang w:val="en-US" w:eastAsia="zh-CN"/>
      </w:rPr>
      <w:t xml:space="preserve">                     </w:t>
    </w:r>
    <w:r>
      <w:rPr>
        <w:color w:val="800000"/>
      </w:rPr>
      <w:t xml:space="preserve"> Tel</w:t>
    </w:r>
    <w:r>
      <w:rPr>
        <w:rFonts w:hint="eastAsia" w:cs="宋体"/>
        <w:color w:val="800000"/>
      </w:rPr>
      <w:t>：15099650569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3"/>
      </w:rPr>
    </w:pPr>
    <w:r>
      <w:fldChar w:fldCharType="begin"/>
    </w:r>
    <w:r>
      <w:rPr>
        <w:rStyle w:val="23"/>
      </w:rPr>
      <w:instrText xml:space="preserve">PAGE  </w:instrText>
    </w:r>
    <w:r>
      <w:fldChar w:fldCharType="end"/>
    </w:r>
  </w:p>
  <w:p>
    <w:pPr>
      <w:pStyle w:val="1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jc w:val="center"/>
      <w:rPr>
        <w:rFonts w:cs="Times New Roman"/>
      </w:rPr>
    </w:pPr>
    <w:r>
      <w:rPr>
        <w:sz w:val="18"/>
      </w:rPr>
      <mc:AlternateContent>
        <mc:Choice Requires="wps">
          <w:drawing>
            <wp:anchor distT="0" distB="0" distL="114300" distR="114300" simplePos="0" relativeHeight="251667456" behindDoc="0" locked="0" layoutInCell="1" allowOverlap="1">
              <wp:simplePos x="0" y="0"/>
              <wp:positionH relativeFrom="margin">
                <wp:align>inside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66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66</w:t>
                    </w:r>
                    <w:r>
                      <w:fldChar w:fldCharType="end"/>
                    </w:r>
                  </w:p>
                </w:txbxContent>
              </v:textbox>
            </v:shape>
          </w:pict>
        </mc:Fallback>
      </mc:AlternateContent>
    </w:r>
    <w:r>
      <w:rPr>
        <w:color w:val="800000"/>
      </w:rPr>
      <w:t>Add</w:t>
    </w:r>
    <w:r>
      <w:rPr>
        <w:rFonts w:hint="eastAsia"/>
        <w:color w:val="800000"/>
      </w:rPr>
      <w:t>：</w:t>
    </w:r>
    <w:r>
      <w:rPr>
        <w:rFonts w:hint="eastAsia" w:cs="宋体"/>
        <w:color w:val="800000"/>
      </w:rPr>
      <w:t>喀什经济开发区深圳城3号楼12层1204</w:t>
    </w:r>
    <w:r>
      <w:rPr>
        <w:color w:val="800000"/>
      </w:rPr>
      <w:t xml:space="preserve">       Tel</w:t>
    </w:r>
    <w:r>
      <w:rPr>
        <w:rFonts w:hint="eastAsia"/>
        <w:color w:val="800000"/>
      </w:rPr>
      <w:t>：</w:t>
    </w:r>
    <w:r>
      <w:rPr>
        <w:color w:val="800000"/>
      </w:rPr>
      <w:t>15099650569</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double" w:color="auto" w:sz="8" w:space="0"/>
      </w:pBdr>
      <w:jc w:val="left"/>
    </w:pPr>
    <w:r>
      <w:pict>
        <v:shape id="_x0000_s2049" o:spid="_x0000_s2049" o:spt="136" type="#_x0000_t136" style="position:absolute;left:0pt;margin-left:67.2pt;margin-top:32.95pt;height:15.6pt;width:152.25pt;z-index:251662336;mso-width-relative:page;mso-height-relative:page;" fillcolor="#333333" filled="t" coordsize="21600,21600">
          <v:path/>
          <v:fill on="t" focussize="0,0"/>
          <v:stroke weight="0pt"/>
          <v:imagedata o:title=""/>
          <o:lock v:ext="edit"/>
          <v:textpath on="t" fitshape="t" fitpath="t" trim="t" xscale="f" string="   中经国际招标集团有限公司" style="font-family:黑体;font-size:12pt;v-text-align:left;"/>
        </v:shape>
      </w:pict>
    </w:r>
    <w:r>
      <w:drawing>
        <wp:inline distT="0" distB="0" distL="114300" distR="114300">
          <wp:extent cx="991235" cy="633095"/>
          <wp:effectExtent l="0" t="0" r="18415" b="14605"/>
          <wp:docPr id="1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pic:cNvPicPr>
                    <a:picLocks noChangeAspect="1"/>
                  </pic:cNvPicPr>
                </pic:nvPicPr>
                <pic:blipFill>
                  <a:blip r:embed="rId1"/>
                  <a:stretch>
                    <a:fillRect/>
                  </a:stretch>
                </pic:blipFill>
                <pic:spPr>
                  <a:xfrm>
                    <a:off x="0" y="0"/>
                    <a:ext cx="991235" cy="63309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double" w:color="auto" w:sz="8" w:space="0"/>
      </w:pBdr>
      <w:jc w:val="left"/>
    </w:pPr>
    <w:r>
      <w:drawing>
        <wp:inline distT="0" distB="0" distL="114300" distR="114300">
          <wp:extent cx="991235" cy="633095"/>
          <wp:effectExtent l="0" t="0" r="18415" b="14605"/>
          <wp:docPr id="1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
                  <pic:cNvPicPr>
                    <a:picLocks noChangeAspect="1"/>
                  </pic:cNvPicPr>
                </pic:nvPicPr>
                <pic:blipFill>
                  <a:blip r:embed="rId1"/>
                  <a:stretch>
                    <a:fillRect/>
                  </a:stretch>
                </pic:blipFill>
                <pic:spPr>
                  <a:xfrm>
                    <a:off x="0" y="0"/>
                    <a:ext cx="991235" cy="633095"/>
                  </a:xfrm>
                  <a:prstGeom prst="rect">
                    <a:avLst/>
                  </a:prstGeom>
                  <a:noFill/>
                  <a:ln>
                    <a:noFill/>
                  </a:ln>
                </pic:spPr>
              </pic:pic>
            </a:graphicData>
          </a:graphic>
        </wp:inline>
      </w:drawing>
    </w:r>
    <w:r>
      <w:pict>
        <v:shape id="_x0000_s2050" o:spid="_x0000_s2050" o:spt="136" type="#_x0000_t136" style="position:absolute;left:0pt;margin-left:67.2pt;margin-top:32.95pt;height:15.6pt;width:152.25pt;z-index:251663360;mso-width-relative:page;mso-height-relative:page;" fillcolor="#333333" filled="t" coordsize="21600,21600">
          <v:path/>
          <v:fill on="t" focussize="0,0"/>
          <v:stroke weight="0pt"/>
          <v:imagedata o:title=""/>
          <o:lock v:ext="edit"/>
          <v:textpath on="t" fitshape="t" fitpath="t" trim="t" xscale="f" string="   中经国际招标集团有限公司" style="font-family:黑体;font-size:12pt;v-text-align:lef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double" w:color="auto" w:sz="8" w:space="0"/>
      </w:pBdr>
      <w:jc w:val="left"/>
    </w:pPr>
    <w:r>
      <w:drawing>
        <wp:inline distT="0" distB="0" distL="114300" distR="114300">
          <wp:extent cx="991235" cy="633095"/>
          <wp:effectExtent l="0" t="0" r="18415" b="14605"/>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pic:cNvPicPr>
                </pic:nvPicPr>
                <pic:blipFill>
                  <a:blip r:embed="rId1"/>
                  <a:stretch>
                    <a:fillRect/>
                  </a:stretch>
                </pic:blipFill>
                <pic:spPr>
                  <a:xfrm>
                    <a:off x="0" y="0"/>
                    <a:ext cx="991235" cy="633095"/>
                  </a:xfrm>
                  <a:prstGeom prst="rect">
                    <a:avLst/>
                  </a:prstGeom>
                  <a:noFill/>
                  <a:ln>
                    <a:noFill/>
                  </a:ln>
                </pic:spPr>
              </pic:pic>
            </a:graphicData>
          </a:graphic>
        </wp:inline>
      </w:drawing>
    </w:r>
    <w:r>
      <w:pict>
        <v:shape id="_x0000_s2052" o:spid="_x0000_s2052" o:spt="136" type="#_x0000_t136" style="position:absolute;left:0pt;margin-left:66.35pt;margin-top:32.95pt;height:15.6pt;width:152.25pt;z-index:251665408;mso-width-relative:page;mso-height-relative:page;" fillcolor="#333333" filled="t" coordsize="21600,21600">
          <v:path/>
          <v:fill on="t" focussize="0,0"/>
          <v:stroke weight="0pt"/>
          <v:imagedata o:title=""/>
          <o:lock v:ext="edit"/>
          <v:textpath on="t" fitshape="t" fitpath="t" trim="t" xscale="f" string="   中经国际招标集团有限公司" style="font-family:黑体;font-size:12pt;v-text-align:left;"/>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194E78"/>
    <w:multiLevelType w:val="singleLevel"/>
    <w:tmpl w:val="93194E78"/>
    <w:lvl w:ilvl="0" w:tentative="0">
      <w:start w:val="2"/>
      <w:numFmt w:val="decimal"/>
      <w:suff w:val="nothing"/>
      <w:lvlText w:val="%1、"/>
      <w:lvlJc w:val="left"/>
    </w:lvl>
  </w:abstractNum>
  <w:abstractNum w:abstractNumId="1">
    <w:nsid w:val="00000001"/>
    <w:multiLevelType w:val="multilevel"/>
    <w:tmpl w:val="00000001"/>
    <w:lvl w:ilvl="0" w:tentative="0">
      <w:start w:val="18"/>
      <w:numFmt w:val="decimal"/>
      <w:lvlText w:val="%1."/>
      <w:lvlJc w:val="left"/>
    </w:lvl>
    <w:lvl w:ilvl="1" w:tentative="0">
      <w:start w:val="1"/>
      <w:numFmt w:val="decimal"/>
      <w:lvlText w:val="%1.%2"/>
      <w:lvlJc w:val="left"/>
      <w:pPr>
        <w:tabs>
          <w:tab w:val="left" w:pos="312"/>
        </w:tabs>
        <w:ind w:left="0" w:firstLine="0"/>
      </w:pPr>
      <w:rPr>
        <w:rFonts w:hint="default"/>
      </w:rPr>
    </w:lvl>
    <w:lvl w:ilvl="2" w:tentative="0">
      <w:start w:val="1"/>
      <w:numFmt w:val="decimal"/>
      <w:lvlText w:val="%1.%2.%3"/>
      <w:lvlJc w:val="left"/>
      <w:pPr>
        <w:tabs>
          <w:tab w:val="left" w:pos="312"/>
        </w:tabs>
        <w:ind w:left="0" w:firstLine="0"/>
      </w:pPr>
      <w:rPr>
        <w:rFonts w:hint="default"/>
      </w:rPr>
    </w:lvl>
    <w:lvl w:ilvl="3" w:tentative="0">
      <w:start w:val="1"/>
      <w:numFmt w:val="decimal"/>
      <w:lvlText w:val="%1.%2.%3.%4"/>
      <w:lvlJc w:val="left"/>
      <w:pPr>
        <w:tabs>
          <w:tab w:val="left" w:pos="312"/>
        </w:tabs>
        <w:ind w:left="0" w:firstLine="0"/>
      </w:pPr>
      <w:rPr>
        <w:rFonts w:hint="default"/>
      </w:rPr>
    </w:lvl>
    <w:lvl w:ilvl="4" w:tentative="0">
      <w:start w:val="1"/>
      <w:numFmt w:val="decimal"/>
      <w:lvlText w:val="%1.%2.%3.%4.%5"/>
      <w:lvlJc w:val="left"/>
      <w:pPr>
        <w:tabs>
          <w:tab w:val="left" w:pos="312"/>
        </w:tabs>
        <w:ind w:left="0" w:firstLine="0"/>
      </w:pPr>
      <w:rPr>
        <w:rFonts w:hint="default"/>
      </w:rPr>
    </w:lvl>
    <w:lvl w:ilvl="5" w:tentative="0">
      <w:start w:val="1"/>
      <w:numFmt w:val="decimal"/>
      <w:lvlText w:val="%1.%2.%3.%4.%5.%6"/>
      <w:lvlJc w:val="left"/>
      <w:pPr>
        <w:tabs>
          <w:tab w:val="left" w:pos="312"/>
        </w:tabs>
        <w:ind w:left="0" w:firstLine="0"/>
      </w:pPr>
      <w:rPr>
        <w:rFonts w:hint="default"/>
      </w:rPr>
    </w:lvl>
    <w:lvl w:ilvl="6" w:tentative="0">
      <w:start w:val="1"/>
      <w:numFmt w:val="decimal"/>
      <w:lvlText w:val="%1.%2.%3.%4.%5.%6.%7"/>
      <w:lvlJc w:val="left"/>
      <w:pPr>
        <w:tabs>
          <w:tab w:val="left" w:pos="312"/>
        </w:tabs>
        <w:ind w:left="0" w:firstLine="0"/>
      </w:pPr>
      <w:rPr>
        <w:rFonts w:hint="default"/>
      </w:rPr>
    </w:lvl>
    <w:lvl w:ilvl="7" w:tentative="0">
      <w:start w:val="1"/>
      <w:numFmt w:val="decimal"/>
      <w:lvlText w:val="%1.%2.%3.%4.%5.%6.%7.%8"/>
      <w:lvlJc w:val="left"/>
      <w:pPr>
        <w:tabs>
          <w:tab w:val="left" w:pos="312"/>
        </w:tabs>
        <w:ind w:left="0" w:firstLine="0"/>
      </w:pPr>
      <w:rPr>
        <w:rFonts w:hint="default"/>
      </w:rPr>
    </w:lvl>
    <w:lvl w:ilvl="8" w:tentative="0">
      <w:start w:val="1"/>
      <w:numFmt w:val="decimal"/>
      <w:lvlText w:val="%1.%2.%3.%4.%5.%6.%7.%8.%9"/>
      <w:lvlJc w:val="left"/>
      <w:pPr>
        <w:tabs>
          <w:tab w:val="left" w:pos="312"/>
        </w:tabs>
        <w:ind w:left="0" w:firstLine="0"/>
      </w:pPr>
      <w:rPr>
        <w:rFonts w:hint="default"/>
      </w:rPr>
    </w:lvl>
  </w:abstractNum>
  <w:abstractNum w:abstractNumId="2">
    <w:nsid w:val="00000003"/>
    <w:multiLevelType w:val="multilevel"/>
    <w:tmpl w:val="00000003"/>
    <w:lvl w:ilvl="0" w:tentative="0">
      <w:start w:val="1"/>
      <w:numFmt w:val="decimal"/>
      <w:lvlText w:val="（%1）"/>
      <w:lvlJc w:val="left"/>
      <w:pPr>
        <w:tabs>
          <w:tab w:val="left" w:pos="1571"/>
        </w:tabs>
        <w:ind w:left="1571" w:hanging="720"/>
      </w:pPr>
      <w:rPr>
        <w:rFonts w:ascii="仿宋_GB2312" w:hAnsi="宋体" w:eastAsia="仿宋_GB2312" w:cs="Times New Roman"/>
      </w:rPr>
    </w:lvl>
    <w:lvl w:ilvl="1" w:tentative="0">
      <w:start w:val="1"/>
      <w:numFmt w:val="lowerLetter"/>
      <w:lvlText w:val="%2)"/>
      <w:lvlJc w:val="left"/>
      <w:pPr>
        <w:tabs>
          <w:tab w:val="left" w:pos="1739"/>
        </w:tabs>
        <w:ind w:left="1739" w:hanging="420"/>
      </w:pPr>
    </w:lvl>
    <w:lvl w:ilvl="2" w:tentative="0">
      <w:start w:val="1"/>
      <w:numFmt w:val="lowerRoman"/>
      <w:lvlText w:val="%3."/>
      <w:lvlJc w:val="right"/>
      <w:pPr>
        <w:tabs>
          <w:tab w:val="left" w:pos="2159"/>
        </w:tabs>
        <w:ind w:left="2159" w:hanging="420"/>
      </w:pPr>
    </w:lvl>
    <w:lvl w:ilvl="3" w:tentative="0">
      <w:start w:val="1"/>
      <w:numFmt w:val="decimal"/>
      <w:lvlText w:val="%4."/>
      <w:lvlJc w:val="left"/>
      <w:pPr>
        <w:tabs>
          <w:tab w:val="left" w:pos="2579"/>
        </w:tabs>
        <w:ind w:left="2579" w:hanging="420"/>
      </w:pPr>
    </w:lvl>
    <w:lvl w:ilvl="4" w:tentative="0">
      <w:start w:val="1"/>
      <w:numFmt w:val="lowerLetter"/>
      <w:lvlText w:val="%5)"/>
      <w:lvlJc w:val="left"/>
      <w:pPr>
        <w:tabs>
          <w:tab w:val="left" w:pos="2999"/>
        </w:tabs>
        <w:ind w:left="2999" w:hanging="420"/>
      </w:pPr>
    </w:lvl>
    <w:lvl w:ilvl="5" w:tentative="0">
      <w:start w:val="1"/>
      <w:numFmt w:val="lowerRoman"/>
      <w:lvlText w:val="%6."/>
      <w:lvlJc w:val="right"/>
      <w:pPr>
        <w:tabs>
          <w:tab w:val="left" w:pos="3419"/>
        </w:tabs>
        <w:ind w:left="3419" w:hanging="420"/>
      </w:pPr>
    </w:lvl>
    <w:lvl w:ilvl="6" w:tentative="0">
      <w:start w:val="1"/>
      <w:numFmt w:val="decimal"/>
      <w:lvlText w:val="%7."/>
      <w:lvlJc w:val="left"/>
      <w:pPr>
        <w:tabs>
          <w:tab w:val="left" w:pos="3839"/>
        </w:tabs>
        <w:ind w:left="3839" w:hanging="420"/>
      </w:pPr>
    </w:lvl>
    <w:lvl w:ilvl="7" w:tentative="0">
      <w:start w:val="1"/>
      <w:numFmt w:val="lowerLetter"/>
      <w:lvlText w:val="%8)"/>
      <w:lvlJc w:val="left"/>
      <w:pPr>
        <w:tabs>
          <w:tab w:val="left" w:pos="4259"/>
        </w:tabs>
        <w:ind w:left="4259" w:hanging="420"/>
      </w:pPr>
    </w:lvl>
    <w:lvl w:ilvl="8" w:tentative="0">
      <w:start w:val="1"/>
      <w:numFmt w:val="lowerRoman"/>
      <w:lvlText w:val="%9."/>
      <w:lvlJc w:val="right"/>
      <w:pPr>
        <w:tabs>
          <w:tab w:val="left" w:pos="4679"/>
        </w:tabs>
        <w:ind w:left="4679" w:hanging="420"/>
      </w:pPr>
    </w:lvl>
  </w:abstractNum>
  <w:abstractNum w:abstractNumId="3">
    <w:nsid w:val="00000004"/>
    <w:multiLevelType w:val="multilevel"/>
    <w:tmpl w:val="00000004"/>
    <w:lvl w:ilvl="0" w:tentative="0">
      <w:start w:val="1"/>
      <w:numFmt w:val="decimal"/>
      <w:lvlText w:val="%1"/>
      <w:lvlJc w:val="left"/>
      <w:pPr>
        <w:tabs>
          <w:tab w:val="left" w:pos="900"/>
        </w:tabs>
        <w:ind w:left="900" w:hanging="900"/>
      </w:pPr>
      <w:rPr>
        <w:rFonts w:hint="eastAsia"/>
      </w:rPr>
    </w:lvl>
    <w:lvl w:ilvl="1" w:tentative="0">
      <w:start w:val="1"/>
      <w:numFmt w:val="decimal"/>
      <w:lvlText w:val="%1.%2"/>
      <w:lvlJc w:val="left"/>
      <w:pPr>
        <w:tabs>
          <w:tab w:val="left" w:pos="900"/>
        </w:tabs>
        <w:ind w:left="900" w:hanging="900"/>
      </w:pPr>
      <w:rPr>
        <w:rFonts w:hint="eastAsia"/>
      </w:rPr>
    </w:lvl>
    <w:lvl w:ilvl="2" w:tentative="0">
      <w:start w:val="1"/>
      <w:numFmt w:val="decimal"/>
      <w:lvlText w:val="%1.%2.%3"/>
      <w:lvlJc w:val="left"/>
      <w:pPr>
        <w:tabs>
          <w:tab w:val="left" w:pos="900"/>
        </w:tabs>
        <w:ind w:left="900" w:hanging="900"/>
      </w:pPr>
      <w:rPr>
        <w:rFonts w:hint="eastAsia"/>
      </w:rPr>
    </w:lvl>
    <w:lvl w:ilvl="3" w:tentative="0">
      <w:start w:val="1"/>
      <w:numFmt w:val="decimal"/>
      <w:lvlText w:val="%1.%2.%3.%4"/>
      <w:lvlJc w:val="left"/>
      <w:pPr>
        <w:tabs>
          <w:tab w:val="left" w:pos="900"/>
        </w:tabs>
        <w:ind w:left="900" w:hanging="900"/>
      </w:pPr>
      <w:rPr>
        <w:rFonts w:hint="eastAsia"/>
      </w:rPr>
    </w:lvl>
    <w:lvl w:ilvl="4" w:tentative="0">
      <w:start w:val="1"/>
      <w:numFmt w:val="decimal"/>
      <w:lvlText w:val="%1.%2.%3.%4.%5"/>
      <w:lvlJc w:val="left"/>
      <w:pPr>
        <w:tabs>
          <w:tab w:val="left" w:pos="900"/>
        </w:tabs>
        <w:ind w:left="900" w:hanging="900"/>
      </w:pPr>
      <w:rPr>
        <w:rFonts w:hint="eastAsia"/>
      </w:rPr>
    </w:lvl>
    <w:lvl w:ilvl="5" w:tentative="0">
      <w:start w:val="1"/>
      <w:numFmt w:val="decimal"/>
      <w:lvlText w:val="%1.%2.%3.%4.%5.%6"/>
      <w:lvlJc w:val="left"/>
      <w:pPr>
        <w:tabs>
          <w:tab w:val="left" w:pos="900"/>
        </w:tabs>
        <w:ind w:left="900" w:hanging="900"/>
      </w:pPr>
      <w:rPr>
        <w:rFonts w:hint="eastAsia"/>
      </w:rPr>
    </w:lvl>
    <w:lvl w:ilvl="6" w:tentative="0">
      <w:start w:val="1"/>
      <w:numFmt w:val="decimal"/>
      <w:lvlText w:val="%1.%2.%3.%4.%5.%6.%7"/>
      <w:lvlJc w:val="left"/>
      <w:pPr>
        <w:tabs>
          <w:tab w:val="left" w:pos="900"/>
        </w:tabs>
        <w:ind w:left="900" w:hanging="900"/>
      </w:pPr>
      <w:rPr>
        <w:rFonts w:hint="eastAsia"/>
      </w:rPr>
    </w:lvl>
    <w:lvl w:ilvl="7" w:tentative="0">
      <w:start w:val="1"/>
      <w:numFmt w:val="decimal"/>
      <w:lvlText w:val="%1.%2.%3.%4.%5.%6.%7.%8"/>
      <w:lvlJc w:val="left"/>
      <w:pPr>
        <w:tabs>
          <w:tab w:val="left" w:pos="900"/>
        </w:tabs>
        <w:ind w:left="900" w:hanging="900"/>
      </w:pPr>
      <w:rPr>
        <w:rFonts w:hint="eastAsia"/>
      </w:rPr>
    </w:lvl>
    <w:lvl w:ilvl="8" w:tentative="0">
      <w:start w:val="1"/>
      <w:numFmt w:val="decimal"/>
      <w:lvlText w:val="%1.%2.%3.%4.%5.%6.%7.%8.%9"/>
      <w:lvlJc w:val="left"/>
      <w:pPr>
        <w:tabs>
          <w:tab w:val="left" w:pos="900"/>
        </w:tabs>
        <w:ind w:left="900" w:hanging="900"/>
      </w:pPr>
      <w:rPr>
        <w:rFonts w:hint="eastAsia"/>
      </w:rPr>
    </w:lvl>
  </w:abstractNum>
  <w:abstractNum w:abstractNumId="4">
    <w:nsid w:val="36E1116A"/>
    <w:multiLevelType w:val="multilevel"/>
    <w:tmpl w:val="36E1116A"/>
    <w:lvl w:ilvl="0" w:tentative="0">
      <w:start w:val="1"/>
      <w:numFmt w:val="decimal"/>
      <w:pStyle w:val="40"/>
      <w:lvlText w:val="%1"/>
      <w:lvlJc w:val="left"/>
      <w:pPr>
        <w:widowControl/>
        <w:ind w:left="432" w:hanging="432"/>
        <w:textAlignment w:val="baseline"/>
      </w:pPr>
    </w:lvl>
    <w:lvl w:ilvl="1" w:tentative="0">
      <w:start w:val="1"/>
      <w:numFmt w:val="decimal"/>
      <w:pStyle w:val="42"/>
      <w:lvlText w:val="%1.%2"/>
      <w:lvlJc w:val="left"/>
      <w:pPr>
        <w:widowControl/>
        <w:ind w:left="1710" w:hanging="576"/>
        <w:textAlignment w:val="baseline"/>
      </w:pPr>
    </w:lvl>
    <w:lvl w:ilvl="2" w:tentative="0">
      <w:start w:val="1"/>
      <w:numFmt w:val="decimal"/>
      <w:lvlText w:val="%1.%2.%3"/>
      <w:lvlJc w:val="left"/>
      <w:pPr>
        <w:widowControl/>
        <w:ind w:left="720" w:hanging="720"/>
        <w:textAlignment w:val="baseline"/>
      </w:pPr>
    </w:lvl>
    <w:lvl w:ilvl="3" w:tentative="0">
      <w:start w:val="1"/>
      <w:numFmt w:val="decimal"/>
      <w:lvlText w:val="%1.%2.%3.%4"/>
      <w:lvlJc w:val="left"/>
      <w:pPr>
        <w:widowControl/>
        <w:ind w:left="864" w:hanging="864"/>
        <w:textAlignment w:val="baseline"/>
      </w:pPr>
    </w:lvl>
    <w:lvl w:ilvl="4" w:tentative="0">
      <w:start w:val="1"/>
      <w:numFmt w:val="decimal"/>
      <w:lvlText w:val="%1.%2.%3.%4.%5"/>
      <w:lvlJc w:val="left"/>
      <w:pPr>
        <w:widowControl/>
        <w:ind w:left="1008" w:hanging="1008"/>
        <w:textAlignment w:val="baseline"/>
      </w:pPr>
    </w:lvl>
    <w:lvl w:ilvl="5" w:tentative="0">
      <w:start w:val="1"/>
      <w:numFmt w:val="decimal"/>
      <w:lvlText w:val="%1.%2.%3.%4.%5.%6"/>
      <w:lvlJc w:val="left"/>
      <w:pPr>
        <w:widowControl/>
        <w:ind w:left="1152" w:hanging="1152"/>
        <w:textAlignment w:val="baseline"/>
      </w:pPr>
    </w:lvl>
    <w:lvl w:ilvl="6" w:tentative="0">
      <w:start w:val="1"/>
      <w:numFmt w:val="decimal"/>
      <w:lvlText w:val="%1.%2.%3.%4.%5.%6.%7"/>
      <w:lvlJc w:val="left"/>
      <w:pPr>
        <w:widowControl/>
        <w:ind w:left="1296" w:hanging="1296"/>
        <w:textAlignment w:val="baseline"/>
      </w:pPr>
    </w:lvl>
    <w:lvl w:ilvl="7" w:tentative="0">
      <w:start w:val="1"/>
      <w:numFmt w:val="decimal"/>
      <w:lvlText w:val="%1.%2.%3.%4.%5.%6.%7.%8"/>
      <w:lvlJc w:val="left"/>
      <w:pPr>
        <w:widowControl/>
        <w:ind w:left="1440" w:hanging="1440"/>
        <w:textAlignment w:val="baseline"/>
      </w:pPr>
    </w:lvl>
    <w:lvl w:ilvl="8" w:tentative="0">
      <w:start w:val="1"/>
      <w:numFmt w:val="decimal"/>
      <w:lvlText w:val="%1.%2.%3.%4.%5.%6.%7.%8.%9"/>
      <w:lvlJc w:val="left"/>
      <w:pPr>
        <w:widowControl/>
        <w:ind w:left="1584" w:hanging="1584"/>
        <w:textAlignment w:val="baseline"/>
      </w:pPr>
    </w:lvl>
  </w:abstractNum>
  <w:abstractNum w:abstractNumId="5">
    <w:nsid w:val="47A0951B"/>
    <w:multiLevelType w:val="singleLevel"/>
    <w:tmpl w:val="47A0951B"/>
    <w:lvl w:ilvl="0" w:tentative="0">
      <w:start w:val="2"/>
      <w:numFmt w:val="chineseCounting"/>
      <w:suff w:val="space"/>
      <w:lvlText w:val="第%1部分"/>
      <w:lvlJc w:val="left"/>
      <w:rPr>
        <w:rFonts w:hint="eastAsia"/>
      </w:r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RmZjhkYTRmOWVmZjA4ZDcwNTZkZWNhOWYyYjI0ZjYifQ=="/>
  </w:docVars>
  <w:rsids>
    <w:rsidRoot w:val="4E9B67BC"/>
    <w:rsid w:val="00076B15"/>
    <w:rsid w:val="00125DB3"/>
    <w:rsid w:val="00202BA0"/>
    <w:rsid w:val="002726EE"/>
    <w:rsid w:val="00340A80"/>
    <w:rsid w:val="003A7815"/>
    <w:rsid w:val="004C3054"/>
    <w:rsid w:val="00510400"/>
    <w:rsid w:val="00610CAD"/>
    <w:rsid w:val="006B4D0F"/>
    <w:rsid w:val="00763B64"/>
    <w:rsid w:val="00853197"/>
    <w:rsid w:val="00C11035"/>
    <w:rsid w:val="00D65B2D"/>
    <w:rsid w:val="00DD4EA4"/>
    <w:rsid w:val="00F55B83"/>
    <w:rsid w:val="017604FA"/>
    <w:rsid w:val="018F17E7"/>
    <w:rsid w:val="019E64FB"/>
    <w:rsid w:val="01A53393"/>
    <w:rsid w:val="01BF6EF9"/>
    <w:rsid w:val="01C94168"/>
    <w:rsid w:val="02BB465C"/>
    <w:rsid w:val="02C205D8"/>
    <w:rsid w:val="02C74346"/>
    <w:rsid w:val="02D52FF9"/>
    <w:rsid w:val="02F96F18"/>
    <w:rsid w:val="031414D5"/>
    <w:rsid w:val="032D143B"/>
    <w:rsid w:val="03334901"/>
    <w:rsid w:val="039C163C"/>
    <w:rsid w:val="040D2765"/>
    <w:rsid w:val="045649DA"/>
    <w:rsid w:val="045D1075"/>
    <w:rsid w:val="056C042B"/>
    <w:rsid w:val="05D91524"/>
    <w:rsid w:val="05FA70D2"/>
    <w:rsid w:val="05FF513E"/>
    <w:rsid w:val="062F4971"/>
    <w:rsid w:val="064D5B1C"/>
    <w:rsid w:val="06550CE5"/>
    <w:rsid w:val="069D4B6B"/>
    <w:rsid w:val="06CE51BA"/>
    <w:rsid w:val="06E40ABE"/>
    <w:rsid w:val="071E532B"/>
    <w:rsid w:val="07211EDF"/>
    <w:rsid w:val="073736D8"/>
    <w:rsid w:val="07496D8C"/>
    <w:rsid w:val="07801315"/>
    <w:rsid w:val="07B463DA"/>
    <w:rsid w:val="07DE755A"/>
    <w:rsid w:val="08591AD2"/>
    <w:rsid w:val="08A00680"/>
    <w:rsid w:val="08B1155B"/>
    <w:rsid w:val="0924515A"/>
    <w:rsid w:val="0927393C"/>
    <w:rsid w:val="09513AEA"/>
    <w:rsid w:val="09885D9B"/>
    <w:rsid w:val="099E3EED"/>
    <w:rsid w:val="09B70E66"/>
    <w:rsid w:val="09E44647"/>
    <w:rsid w:val="0A037FB9"/>
    <w:rsid w:val="0AB55DA2"/>
    <w:rsid w:val="0AD26657"/>
    <w:rsid w:val="0B0410FE"/>
    <w:rsid w:val="0B0D365A"/>
    <w:rsid w:val="0B305EC4"/>
    <w:rsid w:val="0C493BA6"/>
    <w:rsid w:val="0C4F01D1"/>
    <w:rsid w:val="0C7A3B49"/>
    <w:rsid w:val="0CAC7FA3"/>
    <w:rsid w:val="0CC33E28"/>
    <w:rsid w:val="0D3A658D"/>
    <w:rsid w:val="0D642C52"/>
    <w:rsid w:val="0D82059D"/>
    <w:rsid w:val="0D8860AE"/>
    <w:rsid w:val="0DA87B2D"/>
    <w:rsid w:val="0DB33E73"/>
    <w:rsid w:val="0DBD57D4"/>
    <w:rsid w:val="0DC15569"/>
    <w:rsid w:val="0DDF0F54"/>
    <w:rsid w:val="0DF8713D"/>
    <w:rsid w:val="0E2B3460"/>
    <w:rsid w:val="0E320976"/>
    <w:rsid w:val="0EBC26DF"/>
    <w:rsid w:val="0ECE01CA"/>
    <w:rsid w:val="0F20705B"/>
    <w:rsid w:val="0F367867"/>
    <w:rsid w:val="0FA07A02"/>
    <w:rsid w:val="0FC22610"/>
    <w:rsid w:val="0FCA771C"/>
    <w:rsid w:val="0FDC4EB3"/>
    <w:rsid w:val="0FF97C3C"/>
    <w:rsid w:val="10310440"/>
    <w:rsid w:val="106A366C"/>
    <w:rsid w:val="10742BBD"/>
    <w:rsid w:val="10D17AEF"/>
    <w:rsid w:val="10E77350"/>
    <w:rsid w:val="111357E9"/>
    <w:rsid w:val="11261718"/>
    <w:rsid w:val="115B6A10"/>
    <w:rsid w:val="116412EF"/>
    <w:rsid w:val="11730B34"/>
    <w:rsid w:val="11BB462E"/>
    <w:rsid w:val="11BB6A83"/>
    <w:rsid w:val="11DE16C3"/>
    <w:rsid w:val="11E73E84"/>
    <w:rsid w:val="127C300E"/>
    <w:rsid w:val="128375CC"/>
    <w:rsid w:val="12903B44"/>
    <w:rsid w:val="12DE26FE"/>
    <w:rsid w:val="13496D93"/>
    <w:rsid w:val="138D0E77"/>
    <w:rsid w:val="13C71C86"/>
    <w:rsid w:val="13FD3CDB"/>
    <w:rsid w:val="140E6D1D"/>
    <w:rsid w:val="14651540"/>
    <w:rsid w:val="14D42F61"/>
    <w:rsid w:val="15811E5B"/>
    <w:rsid w:val="15A25376"/>
    <w:rsid w:val="15C3785F"/>
    <w:rsid w:val="162C32E2"/>
    <w:rsid w:val="16592972"/>
    <w:rsid w:val="16B919FC"/>
    <w:rsid w:val="16CE74DF"/>
    <w:rsid w:val="173340D0"/>
    <w:rsid w:val="184F70CC"/>
    <w:rsid w:val="189305FF"/>
    <w:rsid w:val="194C74C1"/>
    <w:rsid w:val="19836FA6"/>
    <w:rsid w:val="19EC175E"/>
    <w:rsid w:val="1A084A4F"/>
    <w:rsid w:val="1A170EA3"/>
    <w:rsid w:val="1A4E33FF"/>
    <w:rsid w:val="1A616198"/>
    <w:rsid w:val="1A675266"/>
    <w:rsid w:val="1B03683B"/>
    <w:rsid w:val="1B5E1503"/>
    <w:rsid w:val="1B6B12FD"/>
    <w:rsid w:val="1BD364C3"/>
    <w:rsid w:val="1C0E338C"/>
    <w:rsid w:val="1C23374F"/>
    <w:rsid w:val="1C813293"/>
    <w:rsid w:val="1CA83281"/>
    <w:rsid w:val="1D047715"/>
    <w:rsid w:val="1DA07640"/>
    <w:rsid w:val="1E132F5C"/>
    <w:rsid w:val="1E84244A"/>
    <w:rsid w:val="1EC9373C"/>
    <w:rsid w:val="1F7B4EE6"/>
    <w:rsid w:val="1F88755A"/>
    <w:rsid w:val="1F944AF4"/>
    <w:rsid w:val="1FA47FC0"/>
    <w:rsid w:val="1FF30812"/>
    <w:rsid w:val="1FF43F7F"/>
    <w:rsid w:val="202569A9"/>
    <w:rsid w:val="20E91BE2"/>
    <w:rsid w:val="20F205CC"/>
    <w:rsid w:val="212862A1"/>
    <w:rsid w:val="214571DB"/>
    <w:rsid w:val="216E282D"/>
    <w:rsid w:val="217C77B1"/>
    <w:rsid w:val="218C132D"/>
    <w:rsid w:val="21937664"/>
    <w:rsid w:val="21CD510A"/>
    <w:rsid w:val="21E729B4"/>
    <w:rsid w:val="22416C93"/>
    <w:rsid w:val="225A5A56"/>
    <w:rsid w:val="22A743E5"/>
    <w:rsid w:val="238D5F1B"/>
    <w:rsid w:val="239046FC"/>
    <w:rsid w:val="23933D5B"/>
    <w:rsid w:val="23B40D7E"/>
    <w:rsid w:val="23EA146F"/>
    <w:rsid w:val="240C6D4F"/>
    <w:rsid w:val="241C3A86"/>
    <w:rsid w:val="247B1749"/>
    <w:rsid w:val="249413D2"/>
    <w:rsid w:val="24D4440C"/>
    <w:rsid w:val="253A6F43"/>
    <w:rsid w:val="25543DB1"/>
    <w:rsid w:val="255C7774"/>
    <w:rsid w:val="25C31EE3"/>
    <w:rsid w:val="26372CEA"/>
    <w:rsid w:val="26C27944"/>
    <w:rsid w:val="26D00778"/>
    <w:rsid w:val="26D034EA"/>
    <w:rsid w:val="26D237B8"/>
    <w:rsid w:val="277D0157"/>
    <w:rsid w:val="278C3BAB"/>
    <w:rsid w:val="27CF71E8"/>
    <w:rsid w:val="29166294"/>
    <w:rsid w:val="292F7C85"/>
    <w:rsid w:val="297E2AE9"/>
    <w:rsid w:val="29EC794F"/>
    <w:rsid w:val="2A0D3DFC"/>
    <w:rsid w:val="2A6149C8"/>
    <w:rsid w:val="2AB133DB"/>
    <w:rsid w:val="2ADD75D8"/>
    <w:rsid w:val="2ADF1AC3"/>
    <w:rsid w:val="2C5B7F75"/>
    <w:rsid w:val="2C660F58"/>
    <w:rsid w:val="2C6F4AD6"/>
    <w:rsid w:val="2C7D49E2"/>
    <w:rsid w:val="2CAE0793"/>
    <w:rsid w:val="2CCA7E9F"/>
    <w:rsid w:val="2CCB0888"/>
    <w:rsid w:val="2CD35AD8"/>
    <w:rsid w:val="2CE865EB"/>
    <w:rsid w:val="2E213A49"/>
    <w:rsid w:val="2E4B2AB6"/>
    <w:rsid w:val="2E730855"/>
    <w:rsid w:val="2E88384B"/>
    <w:rsid w:val="2E8B0406"/>
    <w:rsid w:val="2F9E1A6C"/>
    <w:rsid w:val="2FB05E47"/>
    <w:rsid w:val="2FB21D8F"/>
    <w:rsid w:val="2FF1050E"/>
    <w:rsid w:val="302312BF"/>
    <w:rsid w:val="30490022"/>
    <w:rsid w:val="306A7DB6"/>
    <w:rsid w:val="307A6ED8"/>
    <w:rsid w:val="30843145"/>
    <w:rsid w:val="308C1E8F"/>
    <w:rsid w:val="30961F94"/>
    <w:rsid w:val="30F3628A"/>
    <w:rsid w:val="311F44DC"/>
    <w:rsid w:val="31705223"/>
    <w:rsid w:val="31B05B0C"/>
    <w:rsid w:val="31D87CF4"/>
    <w:rsid w:val="31EB6C4B"/>
    <w:rsid w:val="31F63CCE"/>
    <w:rsid w:val="31FD2462"/>
    <w:rsid w:val="32141C05"/>
    <w:rsid w:val="322A1CDE"/>
    <w:rsid w:val="32333393"/>
    <w:rsid w:val="32511749"/>
    <w:rsid w:val="32B55B54"/>
    <w:rsid w:val="32DC2DD8"/>
    <w:rsid w:val="32F27783"/>
    <w:rsid w:val="32F30491"/>
    <w:rsid w:val="33010656"/>
    <w:rsid w:val="332F3F54"/>
    <w:rsid w:val="33376964"/>
    <w:rsid w:val="336F7772"/>
    <w:rsid w:val="33D208B5"/>
    <w:rsid w:val="33D36AC6"/>
    <w:rsid w:val="340E037E"/>
    <w:rsid w:val="3521444F"/>
    <w:rsid w:val="35BC6F9E"/>
    <w:rsid w:val="35CA3350"/>
    <w:rsid w:val="35CE486B"/>
    <w:rsid w:val="35FF1E65"/>
    <w:rsid w:val="360D00F6"/>
    <w:rsid w:val="36AA5C59"/>
    <w:rsid w:val="36D51EC2"/>
    <w:rsid w:val="378A207C"/>
    <w:rsid w:val="37C37463"/>
    <w:rsid w:val="37D66CAB"/>
    <w:rsid w:val="37EE5B1B"/>
    <w:rsid w:val="38432180"/>
    <w:rsid w:val="384A49E5"/>
    <w:rsid w:val="39C04884"/>
    <w:rsid w:val="3A002717"/>
    <w:rsid w:val="3A18017C"/>
    <w:rsid w:val="3A275949"/>
    <w:rsid w:val="3A5F40D4"/>
    <w:rsid w:val="3A7973FC"/>
    <w:rsid w:val="3AA00D92"/>
    <w:rsid w:val="3AB473B4"/>
    <w:rsid w:val="3AFB18FD"/>
    <w:rsid w:val="3B246374"/>
    <w:rsid w:val="3B3B1F84"/>
    <w:rsid w:val="3B5444BC"/>
    <w:rsid w:val="3B995CAC"/>
    <w:rsid w:val="3BC81962"/>
    <w:rsid w:val="3BD02B1C"/>
    <w:rsid w:val="3BFC254A"/>
    <w:rsid w:val="3C2B4038"/>
    <w:rsid w:val="3C3230C8"/>
    <w:rsid w:val="3C5B3EEB"/>
    <w:rsid w:val="3C5C6808"/>
    <w:rsid w:val="3C680446"/>
    <w:rsid w:val="3CAC7CF3"/>
    <w:rsid w:val="3CBB144D"/>
    <w:rsid w:val="3D446734"/>
    <w:rsid w:val="3D6A74A7"/>
    <w:rsid w:val="3DA176FD"/>
    <w:rsid w:val="3DEC3C01"/>
    <w:rsid w:val="3E0D2A11"/>
    <w:rsid w:val="3E782BEC"/>
    <w:rsid w:val="3E78493B"/>
    <w:rsid w:val="3E887A2E"/>
    <w:rsid w:val="3F2C0A1A"/>
    <w:rsid w:val="3F9E7CED"/>
    <w:rsid w:val="3FC34E91"/>
    <w:rsid w:val="40425CC8"/>
    <w:rsid w:val="40546965"/>
    <w:rsid w:val="40CE4847"/>
    <w:rsid w:val="414053B1"/>
    <w:rsid w:val="42057C91"/>
    <w:rsid w:val="420C28DA"/>
    <w:rsid w:val="422E7A08"/>
    <w:rsid w:val="423C432C"/>
    <w:rsid w:val="425B0CF1"/>
    <w:rsid w:val="42A97C45"/>
    <w:rsid w:val="42D52715"/>
    <w:rsid w:val="42ED7226"/>
    <w:rsid w:val="430E6249"/>
    <w:rsid w:val="43117016"/>
    <w:rsid w:val="43307A9B"/>
    <w:rsid w:val="43760CA2"/>
    <w:rsid w:val="44081505"/>
    <w:rsid w:val="443C2FF5"/>
    <w:rsid w:val="4460072E"/>
    <w:rsid w:val="44C65159"/>
    <w:rsid w:val="450A1050"/>
    <w:rsid w:val="45E61751"/>
    <w:rsid w:val="45E65C7A"/>
    <w:rsid w:val="45EA58D8"/>
    <w:rsid w:val="462413C5"/>
    <w:rsid w:val="469419FB"/>
    <w:rsid w:val="46A46B0C"/>
    <w:rsid w:val="46B832C1"/>
    <w:rsid w:val="474A0FBF"/>
    <w:rsid w:val="476C3D13"/>
    <w:rsid w:val="482057DA"/>
    <w:rsid w:val="48892425"/>
    <w:rsid w:val="48DA50B4"/>
    <w:rsid w:val="492C65D4"/>
    <w:rsid w:val="49681DDE"/>
    <w:rsid w:val="49FD7ED0"/>
    <w:rsid w:val="4AA913F2"/>
    <w:rsid w:val="4B2302FD"/>
    <w:rsid w:val="4B2C18FC"/>
    <w:rsid w:val="4B4D7AEB"/>
    <w:rsid w:val="4BD9672F"/>
    <w:rsid w:val="4C0513A3"/>
    <w:rsid w:val="4C4F003A"/>
    <w:rsid w:val="4C6B0617"/>
    <w:rsid w:val="4C981319"/>
    <w:rsid w:val="4C9818B5"/>
    <w:rsid w:val="4CB05284"/>
    <w:rsid w:val="4CB67988"/>
    <w:rsid w:val="4CBE371D"/>
    <w:rsid w:val="4CD04A15"/>
    <w:rsid w:val="4D0A3E08"/>
    <w:rsid w:val="4D0D7D70"/>
    <w:rsid w:val="4D61115C"/>
    <w:rsid w:val="4D6A2DDD"/>
    <w:rsid w:val="4D88319C"/>
    <w:rsid w:val="4DD02F4B"/>
    <w:rsid w:val="4DFE0029"/>
    <w:rsid w:val="4E2D1F6C"/>
    <w:rsid w:val="4E846870"/>
    <w:rsid w:val="4E9B67BC"/>
    <w:rsid w:val="4EB224F0"/>
    <w:rsid w:val="4EE239D8"/>
    <w:rsid w:val="4F042515"/>
    <w:rsid w:val="4F532425"/>
    <w:rsid w:val="4FF625BD"/>
    <w:rsid w:val="50034FBA"/>
    <w:rsid w:val="50067A26"/>
    <w:rsid w:val="50B044CF"/>
    <w:rsid w:val="50F47A0B"/>
    <w:rsid w:val="513368EC"/>
    <w:rsid w:val="51551D75"/>
    <w:rsid w:val="518656A6"/>
    <w:rsid w:val="51955765"/>
    <w:rsid w:val="51C105F9"/>
    <w:rsid w:val="524C24BC"/>
    <w:rsid w:val="526A759C"/>
    <w:rsid w:val="529D5C8E"/>
    <w:rsid w:val="52C35822"/>
    <w:rsid w:val="530C1B08"/>
    <w:rsid w:val="5320688E"/>
    <w:rsid w:val="537233AA"/>
    <w:rsid w:val="53A41EEB"/>
    <w:rsid w:val="53AA427E"/>
    <w:rsid w:val="546E1CC1"/>
    <w:rsid w:val="550765AD"/>
    <w:rsid w:val="553538A2"/>
    <w:rsid w:val="55874323"/>
    <w:rsid w:val="55A44EAB"/>
    <w:rsid w:val="55E81A73"/>
    <w:rsid w:val="56180EB4"/>
    <w:rsid w:val="56466CFB"/>
    <w:rsid w:val="565D55F9"/>
    <w:rsid w:val="5668109E"/>
    <w:rsid w:val="567F0E22"/>
    <w:rsid w:val="568430D7"/>
    <w:rsid w:val="573D4A5D"/>
    <w:rsid w:val="57563EB4"/>
    <w:rsid w:val="579664CC"/>
    <w:rsid w:val="57AB0DA5"/>
    <w:rsid w:val="57EB29F2"/>
    <w:rsid w:val="57F64A30"/>
    <w:rsid w:val="57F70204"/>
    <w:rsid w:val="583008DF"/>
    <w:rsid w:val="587B2BC7"/>
    <w:rsid w:val="58911275"/>
    <w:rsid w:val="58B3282B"/>
    <w:rsid w:val="59133F81"/>
    <w:rsid w:val="59A02B41"/>
    <w:rsid w:val="5A8A7C62"/>
    <w:rsid w:val="5A991F91"/>
    <w:rsid w:val="5AAB0B54"/>
    <w:rsid w:val="5AC96837"/>
    <w:rsid w:val="5AF05E01"/>
    <w:rsid w:val="5B1939D9"/>
    <w:rsid w:val="5B244EB1"/>
    <w:rsid w:val="5B600C6F"/>
    <w:rsid w:val="5B7A5691"/>
    <w:rsid w:val="5BDA6742"/>
    <w:rsid w:val="5C0B5E1C"/>
    <w:rsid w:val="5C5771DC"/>
    <w:rsid w:val="5C7C6623"/>
    <w:rsid w:val="5D1217CA"/>
    <w:rsid w:val="5D3D7004"/>
    <w:rsid w:val="5D8F1ECE"/>
    <w:rsid w:val="5DD05414"/>
    <w:rsid w:val="5E0B7922"/>
    <w:rsid w:val="5E1324F6"/>
    <w:rsid w:val="5E856502"/>
    <w:rsid w:val="5EBC649C"/>
    <w:rsid w:val="5F577D10"/>
    <w:rsid w:val="5F6340B0"/>
    <w:rsid w:val="5F963B95"/>
    <w:rsid w:val="5FE20D54"/>
    <w:rsid w:val="5FFB5969"/>
    <w:rsid w:val="6020520C"/>
    <w:rsid w:val="608A299F"/>
    <w:rsid w:val="61073D37"/>
    <w:rsid w:val="6153376C"/>
    <w:rsid w:val="61AA0BE8"/>
    <w:rsid w:val="628F33F4"/>
    <w:rsid w:val="62A2324F"/>
    <w:rsid w:val="62B706C7"/>
    <w:rsid w:val="63012912"/>
    <w:rsid w:val="634E1FB8"/>
    <w:rsid w:val="636B6C93"/>
    <w:rsid w:val="637B4714"/>
    <w:rsid w:val="63B81330"/>
    <w:rsid w:val="640912D0"/>
    <w:rsid w:val="646D0802"/>
    <w:rsid w:val="64F53A18"/>
    <w:rsid w:val="65343DE0"/>
    <w:rsid w:val="6569254B"/>
    <w:rsid w:val="66103D73"/>
    <w:rsid w:val="6635242D"/>
    <w:rsid w:val="663C1604"/>
    <w:rsid w:val="668062FC"/>
    <w:rsid w:val="66821CF9"/>
    <w:rsid w:val="66AA5B84"/>
    <w:rsid w:val="66BC4927"/>
    <w:rsid w:val="66DF7335"/>
    <w:rsid w:val="66FA215B"/>
    <w:rsid w:val="67132B98"/>
    <w:rsid w:val="671A2F6C"/>
    <w:rsid w:val="67A1534C"/>
    <w:rsid w:val="67B17D2B"/>
    <w:rsid w:val="67CC136F"/>
    <w:rsid w:val="67CD7156"/>
    <w:rsid w:val="680B58AB"/>
    <w:rsid w:val="685459C4"/>
    <w:rsid w:val="68AE0222"/>
    <w:rsid w:val="68D34E91"/>
    <w:rsid w:val="68DB7F4E"/>
    <w:rsid w:val="690B6C28"/>
    <w:rsid w:val="693615C1"/>
    <w:rsid w:val="69726A55"/>
    <w:rsid w:val="697F530A"/>
    <w:rsid w:val="699B063E"/>
    <w:rsid w:val="6A0C66BF"/>
    <w:rsid w:val="6A3E1DE9"/>
    <w:rsid w:val="6ADC25E1"/>
    <w:rsid w:val="6AEC13C1"/>
    <w:rsid w:val="6AEC76D4"/>
    <w:rsid w:val="6B601D3B"/>
    <w:rsid w:val="6B6327F6"/>
    <w:rsid w:val="6B65142C"/>
    <w:rsid w:val="6BB16C12"/>
    <w:rsid w:val="6BD116D9"/>
    <w:rsid w:val="6CA675F8"/>
    <w:rsid w:val="6CC67CC3"/>
    <w:rsid w:val="6CCA77E4"/>
    <w:rsid w:val="6CE842B7"/>
    <w:rsid w:val="6D00196C"/>
    <w:rsid w:val="6D0D7C60"/>
    <w:rsid w:val="6D184DC4"/>
    <w:rsid w:val="6EE40EB5"/>
    <w:rsid w:val="6F164DD9"/>
    <w:rsid w:val="6F18352C"/>
    <w:rsid w:val="6F5E4972"/>
    <w:rsid w:val="6FA843BB"/>
    <w:rsid w:val="7012670B"/>
    <w:rsid w:val="70756D77"/>
    <w:rsid w:val="7080520C"/>
    <w:rsid w:val="70DD7A9D"/>
    <w:rsid w:val="7101329C"/>
    <w:rsid w:val="711456B4"/>
    <w:rsid w:val="711C4FBD"/>
    <w:rsid w:val="718801FD"/>
    <w:rsid w:val="71CF18CE"/>
    <w:rsid w:val="720262D4"/>
    <w:rsid w:val="727953E3"/>
    <w:rsid w:val="72D948CC"/>
    <w:rsid w:val="73104D96"/>
    <w:rsid w:val="73387EC0"/>
    <w:rsid w:val="73393E4E"/>
    <w:rsid w:val="735A34D3"/>
    <w:rsid w:val="73601522"/>
    <w:rsid w:val="73854EF4"/>
    <w:rsid w:val="738F7621"/>
    <w:rsid w:val="73EA666A"/>
    <w:rsid w:val="73FD53D5"/>
    <w:rsid w:val="740D50D2"/>
    <w:rsid w:val="7479348D"/>
    <w:rsid w:val="7483764E"/>
    <w:rsid w:val="74B142F1"/>
    <w:rsid w:val="74EA2BF3"/>
    <w:rsid w:val="74EA5A04"/>
    <w:rsid w:val="75020BE3"/>
    <w:rsid w:val="750740F3"/>
    <w:rsid w:val="754C14DB"/>
    <w:rsid w:val="756D6306"/>
    <w:rsid w:val="758051DE"/>
    <w:rsid w:val="758B30EE"/>
    <w:rsid w:val="758D1184"/>
    <w:rsid w:val="75BD30D1"/>
    <w:rsid w:val="75EF6B1F"/>
    <w:rsid w:val="76273FDD"/>
    <w:rsid w:val="7633519A"/>
    <w:rsid w:val="763B55AB"/>
    <w:rsid w:val="769A48E2"/>
    <w:rsid w:val="76DF2562"/>
    <w:rsid w:val="772C1565"/>
    <w:rsid w:val="7748215F"/>
    <w:rsid w:val="776B20CD"/>
    <w:rsid w:val="7790430F"/>
    <w:rsid w:val="78215C39"/>
    <w:rsid w:val="782A0928"/>
    <w:rsid w:val="784D0730"/>
    <w:rsid w:val="79165DCC"/>
    <w:rsid w:val="792B1718"/>
    <w:rsid w:val="798300E6"/>
    <w:rsid w:val="799E2066"/>
    <w:rsid w:val="79A36298"/>
    <w:rsid w:val="79CC129B"/>
    <w:rsid w:val="7A461F6A"/>
    <w:rsid w:val="7A9529FB"/>
    <w:rsid w:val="7AA6067E"/>
    <w:rsid w:val="7AAD55AE"/>
    <w:rsid w:val="7AB63E59"/>
    <w:rsid w:val="7ABB1638"/>
    <w:rsid w:val="7AEB4950"/>
    <w:rsid w:val="7B017D5F"/>
    <w:rsid w:val="7B6A7B36"/>
    <w:rsid w:val="7B82584B"/>
    <w:rsid w:val="7C653EF3"/>
    <w:rsid w:val="7C6B7F1F"/>
    <w:rsid w:val="7C8D1E2F"/>
    <w:rsid w:val="7CCE22DA"/>
    <w:rsid w:val="7CE75DB4"/>
    <w:rsid w:val="7D1275F9"/>
    <w:rsid w:val="7D1B5538"/>
    <w:rsid w:val="7D7816F0"/>
    <w:rsid w:val="7D814B58"/>
    <w:rsid w:val="7DE47D98"/>
    <w:rsid w:val="7DF30B59"/>
    <w:rsid w:val="7E7D02A1"/>
    <w:rsid w:val="7EBB34BE"/>
    <w:rsid w:val="7EBD4CBE"/>
    <w:rsid w:val="7ED06A9B"/>
    <w:rsid w:val="7F2D1C7C"/>
    <w:rsid w:val="7F3564AC"/>
    <w:rsid w:val="7F6E24A2"/>
    <w:rsid w:val="7FB046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31"/>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7"/>
    <w:qFormat/>
    <w:uiPriority w:val="0"/>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4">
    <w:name w:val="heading 2"/>
    <w:basedOn w:val="1"/>
    <w:next w:val="1"/>
    <w:qFormat/>
    <w:uiPriority w:val="0"/>
    <w:pPr>
      <w:keepNext/>
      <w:keepLines/>
      <w:autoSpaceDE w:val="0"/>
      <w:autoSpaceDN w:val="0"/>
      <w:adjustRightInd w:val="0"/>
      <w:spacing w:before="120" w:line="300" w:lineRule="auto"/>
      <w:jc w:val="center"/>
      <w:outlineLvl w:val="1"/>
    </w:pPr>
    <w:rPr>
      <w:rFonts w:ascii="Arial" w:hAnsi="Arial" w:eastAsia="黑体"/>
      <w:kern w:val="0"/>
      <w:sz w:val="30"/>
      <w:szCs w:val="20"/>
    </w:rPr>
  </w:style>
  <w:style w:type="paragraph" w:styleId="5">
    <w:name w:val="heading 3"/>
    <w:basedOn w:val="1"/>
    <w:next w:val="6"/>
    <w:qFormat/>
    <w:uiPriority w:val="0"/>
    <w:pPr>
      <w:spacing w:before="360" w:after="120"/>
      <w:jc w:val="left"/>
      <w:outlineLvl w:val="2"/>
    </w:pPr>
    <w:rPr>
      <w:rFonts w:ascii="宋体" w:hAnsi="Times New Roman" w:eastAsia="宋体"/>
      <w:b/>
      <w:sz w:val="24"/>
      <w:u w:val="single"/>
    </w:rPr>
  </w:style>
  <w:style w:type="paragraph" w:styleId="7">
    <w:name w:val="heading 4"/>
    <w:basedOn w:val="1"/>
    <w:next w:val="1"/>
    <w:qFormat/>
    <w:uiPriority w:val="0"/>
    <w:pPr>
      <w:keepNext/>
      <w:keepLines/>
      <w:spacing w:before="280" w:after="290" w:line="374" w:lineRule="auto"/>
      <w:ind w:left="1296" w:hanging="1296"/>
      <w:jc w:val="left"/>
      <w:outlineLvl w:val="3"/>
    </w:pPr>
    <w:rPr>
      <w:rFonts w:ascii="Cambria" w:hAnsi="Cambria" w:eastAsia="黑体"/>
      <w:bCs/>
      <w:kern w:val="0"/>
      <w:sz w:val="28"/>
      <w:szCs w:val="28"/>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footnote text"/>
    <w:basedOn w:val="1"/>
    <w:qFormat/>
    <w:uiPriority w:val="0"/>
    <w:pPr>
      <w:snapToGrid w:val="0"/>
      <w:jc w:val="left"/>
    </w:pPr>
    <w:rPr>
      <w:rFonts w:ascii="Times New Roman" w:hAnsi="Times New Roman" w:eastAsia="宋体" w:cs="Times New Roman"/>
      <w:sz w:val="18"/>
    </w:rPr>
  </w:style>
  <w:style w:type="paragraph" w:styleId="6">
    <w:name w:val="Normal Indent"/>
    <w:basedOn w:val="1"/>
    <w:next w:val="1"/>
    <w:qFormat/>
    <w:uiPriority w:val="0"/>
    <w:pPr>
      <w:autoSpaceDE w:val="0"/>
      <w:autoSpaceDN w:val="0"/>
      <w:adjustRightInd w:val="0"/>
      <w:ind w:firstLine="420"/>
      <w:jc w:val="left"/>
    </w:pPr>
    <w:rPr>
      <w:rFonts w:ascii="宋体"/>
      <w:kern w:val="0"/>
      <w:sz w:val="24"/>
      <w:szCs w:val="20"/>
    </w:rPr>
  </w:style>
  <w:style w:type="paragraph" w:styleId="8">
    <w:name w:val="toa heading"/>
    <w:basedOn w:val="1"/>
    <w:next w:val="1"/>
    <w:qFormat/>
    <w:uiPriority w:val="0"/>
    <w:pPr>
      <w:spacing w:before="120"/>
    </w:pPr>
    <w:rPr>
      <w:rFonts w:ascii="Cambria" w:hAnsi="Cambria"/>
      <w:sz w:val="24"/>
      <w:szCs w:val="24"/>
    </w:rPr>
  </w:style>
  <w:style w:type="paragraph" w:styleId="9">
    <w:name w:val="Body Text"/>
    <w:basedOn w:val="1"/>
    <w:next w:val="1"/>
    <w:qFormat/>
    <w:uiPriority w:val="0"/>
    <w:pPr>
      <w:tabs>
        <w:tab w:val="left" w:pos="567"/>
      </w:tabs>
      <w:spacing w:before="120" w:line="22" w:lineRule="atLeast"/>
    </w:pPr>
    <w:rPr>
      <w:rFonts w:ascii="宋体" w:hAnsi="宋体"/>
      <w:sz w:val="24"/>
    </w:rPr>
  </w:style>
  <w:style w:type="paragraph" w:styleId="10">
    <w:name w:val="Body Text Indent"/>
    <w:basedOn w:val="1"/>
    <w:qFormat/>
    <w:uiPriority w:val="0"/>
    <w:pPr>
      <w:spacing w:line="360" w:lineRule="auto"/>
      <w:ind w:firstLine="570"/>
    </w:pPr>
    <w:rPr>
      <w:sz w:val="24"/>
    </w:rPr>
  </w:style>
  <w:style w:type="paragraph" w:styleId="11">
    <w:name w:val="Plain Text"/>
    <w:basedOn w:val="1"/>
    <w:qFormat/>
    <w:uiPriority w:val="0"/>
    <w:rPr>
      <w:rFonts w:ascii="宋体" w:hAnsi="Courier New"/>
      <w:szCs w:val="20"/>
    </w:rPr>
  </w:style>
  <w:style w:type="paragraph" w:styleId="12">
    <w:name w:val="Date"/>
    <w:basedOn w:val="1"/>
    <w:next w:val="1"/>
    <w:qFormat/>
    <w:uiPriority w:val="0"/>
    <w:rPr>
      <w:color w:val="000000"/>
      <w:kern w:val="0"/>
      <w:sz w:val="30"/>
    </w:rPr>
  </w:style>
  <w:style w:type="paragraph" w:styleId="13">
    <w:name w:val="footer"/>
    <w:basedOn w:val="1"/>
    <w:qFormat/>
    <w:uiPriority w:val="0"/>
    <w:pPr>
      <w:tabs>
        <w:tab w:val="center" w:pos="4153"/>
        <w:tab w:val="right" w:pos="8306"/>
      </w:tabs>
      <w:autoSpaceDE w:val="0"/>
      <w:autoSpaceDN w:val="0"/>
      <w:adjustRightInd w:val="0"/>
      <w:snapToGrid w:val="0"/>
      <w:jc w:val="left"/>
    </w:pPr>
    <w:rPr>
      <w:rFonts w:ascii="宋体"/>
      <w:kern w:val="0"/>
      <w:sz w:val="18"/>
      <w:szCs w:val="20"/>
    </w:rPr>
  </w:style>
  <w:style w:type="paragraph" w:styleId="1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0"/>
  </w:style>
  <w:style w:type="paragraph" w:styleId="16">
    <w:name w:val="toc 2"/>
    <w:basedOn w:val="1"/>
    <w:next w:val="1"/>
    <w:qFormat/>
    <w:uiPriority w:val="0"/>
    <w:pPr>
      <w:ind w:left="420" w:leftChars="200"/>
    </w:pPr>
  </w:style>
  <w:style w:type="paragraph" w:styleId="17">
    <w:name w:val="Normal (Web)"/>
    <w:basedOn w:val="1"/>
    <w:qFormat/>
    <w:uiPriority w:val="0"/>
    <w:pPr>
      <w:spacing w:before="100" w:beforeAutospacing="1" w:after="100" w:afterAutospacing="1"/>
      <w:jc w:val="left"/>
    </w:pPr>
    <w:rPr>
      <w:rFonts w:ascii="Calibri" w:hAnsi="Calibri"/>
      <w:kern w:val="0"/>
      <w:sz w:val="24"/>
    </w:rPr>
  </w:style>
  <w:style w:type="paragraph" w:styleId="18">
    <w:name w:val="Title"/>
    <w:basedOn w:val="1"/>
    <w:next w:val="1"/>
    <w:qFormat/>
    <w:uiPriority w:val="10"/>
    <w:pPr>
      <w:jc w:val="center"/>
      <w:outlineLvl w:val="0"/>
    </w:pPr>
    <w:rPr>
      <w:rFonts w:ascii="Cambria" w:hAnsi="Cambria"/>
      <w:b/>
      <w:bCs/>
      <w:kern w:val="28"/>
      <w:szCs w:val="32"/>
    </w:rPr>
  </w:style>
  <w:style w:type="paragraph" w:styleId="19">
    <w:name w:val="Body Text First Indent 2"/>
    <w:basedOn w:val="10"/>
    <w:qFormat/>
    <w:uiPriority w:val="0"/>
    <w:pPr>
      <w:ind w:firstLine="420" w:firstLineChars="200"/>
    </w:pPr>
    <w:rPr>
      <w:rFonts w:ascii="Times New Roman" w:hAnsi="Times New Roman" w:eastAsia="宋体" w:cs="Times New Roman"/>
      <w:szCs w:val="24"/>
    </w:rPr>
  </w:style>
  <w:style w:type="table" w:styleId="21">
    <w:name w:val="Table Grid"/>
    <w:basedOn w:val="2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page number"/>
    <w:basedOn w:val="24"/>
    <w:qFormat/>
    <w:uiPriority w:val="0"/>
    <w:rPr>
      <w:rFonts w:ascii="Times New Roman" w:hAnsi="Times New Roman" w:eastAsia="宋体" w:cs="Times New Roman"/>
    </w:rPr>
  </w:style>
  <w:style w:type="character" w:customStyle="1" w:styleId="24">
    <w:name w:val="默认段落字体1"/>
    <w:qFormat/>
    <w:uiPriority w:val="0"/>
  </w:style>
  <w:style w:type="character" w:styleId="25">
    <w:name w:val="Hyperlink"/>
    <w:basedOn w:val="22"/>
    <w:qFormat/>
    <w:uiPriority w:val="0"/>
    <w:rPr>
      <w:color w:val="0000FF"/>
      <w:u w:val="single"/>
    </w:rPr>
  </w:style>
  <w:style w:type="paragraph" w:customStyle="1" w:styleId="26">
    <w:name w:val="Default"/>
    <w:qFormat/>
    <w:uiPriority w:val="0"/>
    <w:pPr>
      <w:widowControl w:val="0"/>
      <w:autoSpaceDE w:val="0"/>
      <w:autoSpaceDN w:val="0"/>
    </w:pPr>
    <w:rPr>
      <w:rFonts w:ascii="宋体" w:hAnsi="Times New Roman" w:eastAsia="宋体" w:cs="宋体"/>
      <w:color w:val="000000"/>
      <w:sz w:val="24"/>
      <w:szCs w:val="24"/>
      <w:lang w:val="en-US" w:eastAsia="zh-CN" w:bidi="ar-SA"/>
    </w:rPr>
  </w:style>
  <w:style w:type="character" w:customStyle="1" w:styleId="27">
    <w:name w:val="标题 1 字符"/>
    <w:link w:val="3"/>
    <w:qFormat/>
    <w:uiPriority w:val="0"/>
    <w:rPr>
      <w:rFonts w:ascii="宋体" w:hAnsi="Times New Roman" w:eastAsia="宋体" w:cs="Times New Roman"/>
      <w:b/>
      <w:kern w:val="44"/>
      <w:sz w:val="32"/>
      <w:szCs w:val="20"/>
    </w:rPr>
  </w:style>
  <w:style w:type="paragraph" w:customStyle="1" w:styleId="28">
    <w:name w:val="正文缩进1"/>
    <w:basedOn w:val="1"/>
    <w:qFormat/>
    <w:uiPriority w:val="0"/>
    <w:pPr>
      <w:autoSpaceDE w:val="0"/>
      <w:autoSpaceDN w:val="0"/>
      <w:adjustRightInd w:val="0"/>
      <w:ind w:firstLine="420"/>
      <w:jc w:val="left"/>
    </w:pPr>
    <w:rPr>
      <w:rFonts w:ascii="宋体"/>
      <w:kern w:val="0"/>
      <w:sz w:val="24"/>
      <w:szCs w:val="20"/>
    </w:rPr>
  </w:style>
  <w:style w:type="paragraph" w:customStyle="1" w:styleId="29">
    <w:name w:val="索引 11"/>
    <w:basedOn w:val="1"/>
    <w:next w:val="1"/>
    <w:qFormat/>
    <w:uiPriority w:val="0"/>
    <w:pPr>
      <w:spacing w:line="360" w:lineRule="auto"/>
    </w:pPr>
    <w:rPr>
      <w:rFonts w:ascii="仿宋_GB2312" w:eastAsia="仿宋_GB2312"/>
      <w:sz w:val="24"/>
      <w:szCs w:val="20"/>
    </w:rPr>
  </w:style>
  <w:style w:type="paragraph" w:customStyle="1" w:styleId="30">
    <w:name w:val="纯文本1"/>
    <w:basedOn w:val="1"/>
    <w:qFormat/>
    <w:uiPriority w:val="0"/>
    <w:rPr>
      <w:rFonts w:ascii="宋体" w:hAnsi="Courier New"/>
      <w:kern w:val="0"/>
      <w:sz w:val="20"/>
      <w:szCs w:val="20"/>
    </w:rPr>
  </w:style>
  <w:style w:type="character" w:customStyle="1" w:styleId="31">
    <w:name w:val="NormalCharacter"/>
    <w:link w:val="1"/>
    <w:qFormat/>
    <w:uiPriority w:val="0"/>
    <w:rPr>
      <w:rFonts w:ascii="Times New Roman" w:hAnsi="Times New Roman" w:eastAsia="宋体" w:cs="Times New Roman"/>
      <w:kern w:val="2"/>
      <w:sz w:val="21"/>
      <w:szCs w:val="24"/>
      <w:lang w:val="en-US" w:eastAsia="zh-CN" w:bidi="ar-SA"/>
    </w:rPr>
  </w:style>
  <w:style w:type="paragraph" w:customStyle="1" w:styleId="32">
    <w:name w:val="UserStyle_44"/>
    <w:basedOn w:val="1"/>
    <w:qFormat/>
    <w:uiPriority w:val="0"/>
    <w:pPr>
      <w:spacing w:before="120" w:after="120" w:line="360" w:lineRule="auto"/>
      <w:jc w:val="center"/>
    </w:pPr>
    <w:rPr>
      <w:rFonts w:eastAsia="仿宋_GB2312"/>
      <w:b/>
      <w:sz w:val="24"/>
    </w:rPr>
  </w:style>
  <w:style w:type="paragraph" w:customStyle="1" w:styleId="33">
    <w:name w:val="NormalIndent"/>
    <w:basedOn w:val="1"/>
    <w:qFormat/>
    <w:uiPriority w:val="0"/>
    <w:pPr>
      <w:ind w:firstLine="420"/>
      <w:jc w:val="left"/>
    </w:pPr>
    <w:rPr>
      <w:rFonts w:ascii="宋体"/>
      <w:kern w:val="0"/>
      <w:sz w:val="24"/>
      <w:szCs w:val="20"/>
    </w:rPr>
  </w:style>
  <w:style w:type="paragraph" w:customStyle="1" w:styleId="34">
    <w:name w:val="图例"/>
    <w:basedOn w:val="1"/>
    <w:qFormat/>
    <w:uiPriority w:val="0"/>
    <w:pPr>
      <w:spacing w:before="120" w:beforeLines="0" w:after="120" w:afterLines="0" w:line="360" w:lineRule="auto"/>
      <w:jc w:val="center"/>
    </w:pPr>
    <w:rPr>
      <w:rFonts w:eastAsia="仿宋_GB2312"/>
      <w:b/>
      <w:sz w:val="24"/>
    </w:rPr>
  </w:style>
  <w:style w:type="character" w:customStyle="1" w:styleId="35">
    <w:name w:val="font11"/>
    <w:basedOn w:val="22"/>
    <w:qFormat/>
    <w:uiPriority w:val="0"/>
    <w:rPr>
      <w:rFonts w:hint="eastAsia" w:ascii="宋体" w:hAnsi="宋体" w:eastAsia="宋体" w:cs="宋体"/>
      <w:color w:val="FF0000"/>
      <w:sz w:val="16"/>
      <w:szCs w:val="16"/>
      <w:u w:val="none"/>
    </w:rPr>
  </w:style>
  <w:style w:type="character" w:customStyle="1" w:styleId="36">
    <w:name w:val="font21"/>
    <w:basedOn w:val="22"/>
    <w:qFormat/>
    <w:uiPriority w:val="0"/>
    <w:rPr>
      <w:rFonts w:hint="eastAsia" w:ascii="宋体" w:hAnsi="宋体" w:eastAsia="宋体" w:cs="宋体"/>
      <w:color w:val="000000"/>
      <w:sz w:val="16"/>
      <w:szCs w:val="16"/>
      <w:u w:val="none"/>
    </w:rPr>
  </w:style>
  <w:style w:type="character" w:customStyle="1" w:styleId="37">
    <w:name w:val="style23"/>
    <w:basedOn w:val="22"/>
    <w:qFormat/>
    <w:uiPriority w:val="0"/>
  </w:style>
  <w:style w:type="paragraph" w:customStyle="1" w:styleId="38">
    <w:name w:val="表格文字"/>
    <w:basedOn w:val="1"/>
    <w:qFormat/>
    <w:uiPriority w:val="0"/>
    <w:pPr>
      <w:spacing w:before="25" w:after="25"/>
      <w:jc w:val="left"/>
    </w:pPr>
    <w:rPr>
      <w:bCs/>
      <w:spacing w:val="10"/>
      <w:kern w:val="0"/>
      <w:sz w:val="24"/>
    </w:rPr>
  </w:style>
  <w:style w:type="paragraph" w:styleId="39">
    <w:name w:val="List Paragraph"/>
    <w:basedOn w:val="1"/>
    <w:qFormat/>
    <w:uiPriority w:val="34"/>
    <w:pPr>
      <w:ind w:firstLine="420" w:firstLineChars="200"/>
    </w:pPr>
  </w:style>
  <w:style w:type="paragraph" w:customStyle="1" w:styleId="40">
    <w:name w:val="Heading1"/>
    <w:basedOn w:val="1"/>
    <w:next w:val="1"/>
    <w:qFormat/>
    <w:uiPriority w:val="0"/>
    <w:pPr>
      <w:keepNext/>
      <w:numPr>
        <w:ilvl w:val="0"/>
        <w:numId w:val="1"/>
      </w:numPr>
      <w:spacing w:before="240" w:after="60"/>
      <w:ind w:left="100" w:firstLine="0"/>
      <w:contextualSpacing/>
      <w:jc w:val="left"/>
    </w:pPr>
    <w:rPr>
      <w:rFonts w:ascii="Cambria" w:hAnsi="Cambria" w:eastAsia="宋体" w:cs="Times New Roman"/>
      <w:bCs/>
      <w:iCs/>
      <w:kern w:val="32"/>
      <w:sz w:val="24"/>
      <w:szCs w:val="32"/>
      <w:lang w:eastAsia="en-US"/>
    </w:rPr>
  </w:style>
  <w:style w:type="paragraph" w:customStyle="1" w:styleId="41">
    <w:name w:val="UserStyle_15"/>
    <w:basedOn w:val="42"/>
    <w:qFormat/>
    <w:uiPriority w:val="0"/>
    <w:pPr>
      <w:spacing w:before="100" w:beforeAutospacing="1" w:after="100" w:afterAutospacing="1"/>
      <w:ind w:right="100" w:rightChars="100"/>
    </w:pPr>
    <w:rPr>
      <w:sz w:val="21"/>
    </w:rPr>
  </w:style>
  <w:style w:type="paragraph" w:customStyle="1" w:styleId="42">
    <w:name w:val="Heading2"/>
    <w:basedOn w:val="1"/>
    <w:next w:val="1"/>
    <w:qFormat/>
    <w:uiPriority w:val="0"/>
    <w:pPr>
      <w:keepNext/>
      <w:numPr>
        <w:ilvl w:val="1"/>
        <w:numId w:val="1"/>
      </w:numPr>
      <w:spacing w:before="240" w:after="60"/>
      <w:jc w:val="left"/>
    </w:pPr>
    <w:rPr>
      <w:rFonts w:ascii="Cambria" w:hAnsi="Cambria" w:eastAsia="宋体" w:cs="Times New Roman"/>
      <w:b/>
      <w:bCs/>
      <w:i/>
      <w:iCs/>
      <w:kern w:val="0"/>
      <w:sz w:val="28"/>
      <w:szCs w:val="28"/>
      <w:lang w:eastAsia="en-US"/>
    </w:rPr>
  </w:style>
  <w:style w:type="paragraph" w:customStyle="1" w:styleId="43">
    <w:name w:val="列出段落1"/>
    <w:basedOn w:val="1"/>
    <w:qFormat/>
    <w:uiPriority w:val="34"/>
    <w:pPr>
      <w:ind w:firstLine="420" w:firstLineChars="200"/>
    </w:pPr>
  </w:style>
  <w:style w:type="paragraph" w:customStyle="1" w:styleId="44">
    <w:name w:val="章标题"/>
    <w:next w:val="1"/>
    <w:qFormat/>
    <w:uiPriority w:val="0"/>
    <w:pPr>
      <w:spacing w:before="156" w:beforeLines="50" w:after="156" w:afterLines="50"/>
      <w:jc w:val="both"/>
      <w:outlineLvl w:val="1"/>
    </w:pPr>
    <w:rPr>
      <w:rFonts w:ascii="黑体" w:hAnsi="Times New Roman" w:eastAsia="黑体" w:cs="Times New Roman"/>
      <w:sz w:val="21"/>
      <w:lang w:val="en-US" w:eastAsia="zh-CN" w:bidi="ar-SA"/>
    </w:rPr>
  </w:style>
  <w:style w:type="character" w:customStyle="1" w:styleId="45">
    <w:name w:val="font31"/>
    <w:basedOn w:val="22"/>
    <w:qFormat/>
    <w:uiPriority w:val="0"/>
    <w:rPr>
      <w:rFonts w:hint="eastAsia" w:ascii="宋体" w:hAnsi="宋体" w:eastAsia="宋体" w:cs="宋体"/>
      <w:color w:val="000000"/>
      <w:sz w:val="24"/>
      <w:szCs w:val="24"/>
      <w:u w:val="none"/>
    </w:rPr>
  </w:style>
  <w:style w:type="paragraph" w:customStyle="1" w:styleId="46">
    <w:name w:val="_Style 1"/>
    <w:qFormat/>
    <w:uiPriority w:val="99"/>
    <w:pPr>
      <w:widowControl w:val="0"/>
      <w:ind w:firstLine="200" w:firstLineChars="200"/>
      <w:jc w:val="both"/>
    </w:pPr>
    <w:rPr>
      <w:rFonts w:ascii="Times New Roman" w:hAnsi="Times New Roman" w:eastAsia="仿宋_GB2312" w:cs="Times New Roman"/>
      <w:kern w:val="2"/>
      <w:sz w:val="24"/>
      <w:szCs w:val="22"/>
      <w:lang w:val="en-US" w:eastAsia="zh-CN" w:bidi="ar-SA"/>
    </w:rPr>
  </w:style>
  <w:style w:type="paragraph" w:customStyle="1" w:styleId="47">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2.jpeg"/><Relationship Id="rId12" Type="http://schemas.openxmlformats.org/officeDocument/2006/relationships/theme" Target="theme/theme1.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2049"/>
    <customShpInfo spid="_x0000_s2050"/>
    <customShpInfo spid="_x0000_s1026" textRotate="1"/>
    <customShpInfo spid="_x0000_s2052"/>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B5D67E-5CBE-48FE-9A1E-7C47A02B0BD7}">
  <ds:schemaRefs/>
</ds:datastoreItem>
</file>

<file path=docProps/app.xml><?xml version="1.0" encoding="utf-8"?>
<Properties xmlns="http://schemas.openxmlformats.org/officeDocument/2006/extended-properties" xmlns:vt="http://schemas.openxmlformats.org/officeDocument/2006/docPropsVTypes">
  <Template>Normal.dotm</Template>
  <Pages>75</Pages>
  <Words>38579</Words>
  <Characters>42711</Characters>
  <Lines>303</Lines>
  <Paragraphs>85</Paragraphs>
  <TotalTime>26</TotalTime>
  <ScaleCrop>false</ScaleCrop>
  <LinksUpToDate>false</LinksUpToDate>
  <CharactersWithSpaces>47683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2020-04-03T05:40:00Z</dcterms:created>
  <dc:creator>Administrator</dc:creator>
  <cp:lastModifiedBy>Administrator</cp:lastModifiedBy>
  <cp:lastPrinted>2021-08-25T10:33:00Z</cp:lastPrinted>
  <dcterms:modified xsi:type="dcterms:W3CDTF">2022-07-08T11:43:16Z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F250DBC976264FA6A950FBE4D3BAEBB5</vt:lpwstr>
  </property>
</Properties>
</file>